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spacing w:before="156" w:beforeLines="50" w:line="240" w:lineRule="auto"/>
        <w:outlineLvl w:val="0"/>
        <w:rPr>
          <w:rFonts w:hint="eastAsia" w:eastAsia="黑体"/>
          <w:color w:val="auto"/>
          <w:spacing w:val="-22"/>
          <w:kern w:val="2"/>
          <w:sz w:val="52"/>
          <w:szCs w:val="52"/>
          <w:highlight w:val="none"/>
          <w:lang w:eastAsia="zh-CN"/>
        </w:rPr>
      </w:pPr>
      <w:bookmarkStart w:id="0" w:name="_Toc20775"/>
      <w:bookmarkStart w:id="1" w:name="OLE_LINK163"/>
      <w:bookmarkStart w:id="2" w:name="_Toc2597"/>
      <w:bookmarkStart w:id="3" w:name="_Toc7913"/>
      <w:bookmarkStart w:id="4" w:name="_Toc25468"/>
      <w:bookmarkStart w:id="5" w:name="_Toc5091"/>
      <w:r>
        <w:rPr>
          <w:rFonts w:hint="eastAsia" w:eastAsia="黑体"/>
          <w:color w:val="auto"/>
          <w:spacing w:val="-22"/>
          <w:kern w:val="2"/>
          <w:sz w:val="52"/>
          <w:szCs w:val="52"/>
          <w:highlight w:val="none"/>
          <w:lang w:eastAsia="zh-CN"/>
        </w:rPr>
        <w:t>新疆夏子街油田丰探1井区二叠系风城组页岩油2025年产能建设项目</w:t>
      </w:r>
      <w:bookmarkEnd w:id="0"/>
    </w:p>
    <w:bookmarkEnd w:id="1"/>
    <w:p>
      <w:pPr>
        <w:spacing w:before="156" w:beforeLines="50" w:line="240" w:lineRule="auto"/>
        <w:outlineLvl w:val="0"/>
        <w:rPr>
          <w:rFonts w:ascii="宋体" w:hAnsi="宋体" w:cs="宋体"/>
          <w:b/>
          <w:bCs/>
          <w:color w:val="auto"/>
          <w:kern w:val="2"/>
          <w:sz w:val="72"/>
          <w:szCs w:val="72"/>
          <w:highlight w:val="none"/>
        </w:rPr>
      </w:pPr>
      <w:bookmarkStart w:id="6" w:name="_Toc27322"/>
      <w:r>
        <w:rPr>
          <w:rFonts w:hint="eastAsia" w:ascii="宋体" w:hAnsi="宋体" w:cs="宋体"/>
          <w:b/>
          <w:bCs/>
          <w:color w:val="auto"/>
          <w:kern w:val="2"/>
          <w:sz w:val="72"/>
          <w:szCs w:val="72"/>
          <w:highlight w:val="none"/>
        </w:rPr>
        <w:t>环境影响报告书</w:t>
      </w:r>
      <w:bookmarkEnd w:id="2"/>
      <w:bookmarkEnd w:id="3"/>
      <w:bookmarkEnd w:id="4"/>
      <w:bookmarkEnd w:id="5"/>
      <w:bookmarkEnd w:id="6"/>
    </w:p>
    <w:p>
      <w:pPr>
        <w:rPr>
          <w:b/>
          <w:bCs/>
          <w:color w:val="auto"/>
          <w:highlight w:val="none"/>
        </w:rPr>
      </w:pPr>
    </w:p>
    <w:p>
      <w:pPr>
        <w:rPr>
          <w:b/>
          <w:bCs/>
          <w:color w:val="auto"/>
          <w:sz w:val="32"/>
          <w:szCs w:val="32"/>
          <w:highlight w:val="none"/>
        </w:rPr>
      </w:pPr>
      <w:r>
        <w:rPr>
          <w:rFonts w:hint="eastAsia"/>
          <w:b/>
          <w:bCs/>
          <w:color w:val="auto"/>
          <w:sz w:val="32"/>
          <w:szCs w:val="32"/>
          <w:highlight w:val="none"/>
        </w:rPr>
        <w:t>（送审稿）</w:t>
      </w: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tbl>
      <w:tblPr>
        <w:tblStyle w:val="34"/>
        <w:tblW w:w="0" w:type="auto"/>
        <w:jc w:val="center"/>
        <w:tblLayout w:type="fixed"/>
        <w:tblCellMar>
          <w:top w:w="0" w:type="dxa"/>
          <w:left w:w="0" w:type="dxa"/>
          <w:bottom w:w="0" w:type="dxa"/>
          <w:right w:w="0" w:type="dxa"/>
        </w:tblCellMar>
      </w:tblPr>
      <w:tblGrid>
        <w:gridCol w:w="1527"/>
        <w:gridCol w:w="5978"/>
      </w:tblGrid>
      <w:tr>
        <w:tblPrEx>
          <w:tblCellMar>
            <w:top w:w="0" w:type="dxa"/>
            <w:left w:w="0" w:type="dxa"/>
            <w:bottom w:w="0" w:type="dxa"/>
            <w:right w:w="0" w:type="dxa"/>
          </w:tblCellMar>
        </w:tblPrEx>
        <w:trPr>
          <w:trHeight w:val="510" w:hRule="atLeast"/>
          <w:jc w:val="center"/>
        </w:trPr>
        <w:tc>
          <w:tcPr>
            <w:tcW w:w="1527" w:type="dxa"/>
            <w:vAlign w:val="center"/>
          </w:tcPr>
          <w:p>
            <w:pPr>
              <w:widowControl w:val="0"/>
              <w:adjustRightInd/>
              <w:snapToGrid/>
              <w:spacing w:line="360" w:lineRule="auto"/>
              <w:rPr>
                <w:rFonts w:ascii="宋体" w:hAnsi="宋体" w:cs="宋体"/>
                <w:b/>
                <w:bCs/>
                <w:color w:val="auto"/>
                <w:sz w:val="32"/>
                <w:szCs w:val="32"/>
                <w:highlight w:val="none"/>
              </w:rPr>
            </w:pPr>
            <w:r>
              <w:rPr>
                <w:rFonts w:hint="eastAsia" w:ascii="宋体" w:hAnsi="宋体" w:cs="宋体"/>
                <w:b/>
                <w:bCs/>
                <w:color w:val="auto"/>
                <w:sz w:val="32"/>
                <w:szCs w:val="32"/>
                <w:highlight w:val="none"/>
              </w:rPr>
              <w:t>建设单位：</w:t>
            </w:r>
          </w:p>
        </w:tc>
        <w:tc>
          <w:tcPr>
            <w:tcW w:w="5978" w:type="dxa"/>
            <w:vAlign w:val="center"/>
          </w:tcPr>
          <w:p>
            <w:pPr>
              <w:widowControl w:val="0"/>
              <w:adjustRightInd/>
              <w:snapToGrid/>
              <w:spacing w:before="31" w:beforeLines="10" w:line="360" w:lineRule="auto"/>
              <w:jc w:val="left"/>
              <w:rPr>
                <w:rFonts w:hint="eastAsia" w:ascii="宋体" w:hAnsi="宋体" w:eastAsia="宋体" w:cs="宋体"/>
                <w:b/>
                <w:bCs/>
                <w:color w:val="auto"/>
                <w:spacing w:val="-10"/>
                <w:sz w:val="32"/>
                <w:szCs w:val="32"/>
                <w:highlight w:val="none"/>
                <w:lang w:eastAsia="zh-CN"/>
              </w:rPr>
            </w:pPr>
            <w:bookmarkStart w:id="7" w:name="OLE_LINK25"/>
            <w:r>
              <w:rPr>
                <w:rFonts w:hint="eastAsia" w:ascii="宋体" w:hAnsi="宋体" w:cs="宋体"/>
                <w:b/>
                <w:bCs/>
                <w:color w:val="auto"/>
                <w:spacing w:val="-17"/>
                <w:sz w:val="32"/>
                <w:szCs w:val="32"/>
                <w:highlight w:val="none"/>
                <w:lang w:eastAsia="zh-CN"/>
              </w:rPr>
              <w:t>中国石油新疆油田分公司玛湖勘探开发项目部</w:t>
            </w:r>
            <w:bookmarkEnd w:id="7"/>
          </w:p>
        </w:tc>
      </w:tr>
      <w:tr>
        <w:tblPrEx>
          <w:tblCellMar>
            <w:top w:w="0" w:type="dxa"/>
            <w:left w:w="0" w:type="dxa"/>
            <w:bottom w:w="0" w:type="dxa"/>
            <w:right w:w="0" w:type="dxa"/>
          </w:tblCellMar>
        </w:tblPrEx>
        <w:trPr>
          <w:trHeight w:val="510" w:hRule="atLeast"/>
          <w:jc w:val="center"/>
        </w:trPr>
        <w:tc>
          <w:tcPr>
            <w:tcW w:w="1527" w:type="dxa"/>
            <w:vAlign w:val="center"/>
          </w:tcPr>
          <w:p>
            <w:pPr>
              <w:widowControl w:val="0"/>
              <w:adjustRightInd/>
              <w:snapToGrid/>
              <w:spacing w:before="31" w:beforeLines="10" w:line="360" w:lineRule="auto"/>
              <w:rPr>
                <w:rFonts w:ascii="宋体" w:hAnsi="宋体" w:cs="宋体"/>
                <w:b/>
                <w:bCs/>
                <w:color w:val="auto"/>
                <w:sz w:val="32"/>
                <w:szCs w:val="32"/>
                <w:highlight w:val="none"/>
              </w:rPr>
            </w:pPr>
            <w:r>
              <w:rPr>
                <w:rFonts w:hint="eastAsia" w:ascii="宋体" w:hAnsi="宋体" w:cs="宋体"/>
                <w:b/>
                <w:bCs/>
                <w:color w:val="auto"/>
                <w:sz w:val="32"/>
                <w:szCs w:val="32"/>
                <w:highlight w:val="none"/>
              </w:rPr>
              <w:t>编制单位：</w:t>
            </w:r>
          </w:p>
        </w:tc>
        <w:tc>
          <w:tcPr>
            <w:tcW w:w="5978" w:type="dxa"/>
            <w:vAlign w:val="center"/>
          </w:tcPr>
          <w:p>
            <w:pPr>
              <w:widowControl w:val="0"/>
              <w:adjustRightInd/>
              <w:snapToGrid/>
              <w:spacing w:before="31" w:beforeLines="10" w:line="360" w:lineRule="auto"/>
              <w:jc w:val="left"/>
              <w:rPr>
                <w:rFonts w:ascii="宋体" w:hAnsi="宋体" w:cs="宋体"/>
                <w:b/>
                <w:bCs/>
                <w:color w:val="auto"/>
                <w:spacing w:val="-12"/>
                <w:sz w:val="32"/>
                <w:szCs w:val="32"/>
                <w:highlight w:val="none"/>
              </w:rPr>
            </w:pPr>
            <w:r>
              <w:rPr>
                <w:rFonts w:hint="eastAsia" w:ascii="宋体" w:hAnsi="宋体" w:cs="宋体"/>
                <w:b/>
                <w:bCs/>
                <w:color w:val="auto"/>
                <w:sz w:val="32"/>
                <w:szCs w:val="32"/>
                <w:highlight w:val="none"/>
              </w:rPr>
              <w:t>新疆天合环境技术咨询有限公司</w:t>
            </w:r>
          </w:p>
        </w:tc>
      </w:tr>
      <w:tr>
        <w:tblPrEx>
          <w:tblCellMar>
            <w:top w:w="0" w:type="dxa"/>
            <w:left w:w="0" w:type="dxa"/>
            <w:bottom w:w="0" w:type="dxa"/>
            <w:right w:w="0" w:type="dxa"/>
          </w:tblCellMar>
        </w:tblPrEx>
        <w:trPr>
          <w:trHeight w:val="510" w:hRule="atLeast"/>
          <w:jc w:val="center"/>
        </w:trPr>
        <w:tc>
          <w:tcPr>
            <w:tcW w:w="7505" w:type="dxa"/>
            <w:gridSpan w:val="2"/>
            <w:vAlign w:val="center"/>
          </w:tcPr>
          <w:p>
            <w:pPr>
              <w:rPr>
                <w:rFonts w:ascii="宋体" w:hAnsi="宋体" w:cs="宋体"/>
                <w:b/>
                <w:bCs/>
                <w:color w:val="auto"/>
                <w:sz w:val="30"/>
                <w:szCs w:val="30"/>
                <w:highlight w:val="none"/>
              </w:rPr>
            </w:pPr>
            <w:r>
              <w:rPr>
                <w:b/>
                <w:bCs/>
                <w:color w:val="auto"/>
                <w:sz w:val="32"/>
                <w:szCs w:val="32"/>
                <w:highlight w:val="none"/>
              </w:rPr>
              <w:t>2025年</w:t>
            </w:r>
            <w:r>
              <w:rPr>
                <w:rFonts w:hint="eastAsia"/>
                <w:b/>
                <w:bCs/>
                <w:color w:val="auto"/>
                <w:sz w:val="32"/>
                <w:szCs w:val="32"/>
                <w:highlight w:val="none"/>
                <w:lang w:val="en-US" w:eastAsia="zh-CN"/>
              </w:rPr>
              <w:t>9</w:t>
            </w:r>
            <w:r>
              <w:rPr>
                <w:b/>
                <w:bCs/>
                <w:color w:val="auto"/>
                <w:sz w:val="32"/>
                <w:szCs w:val="32"/>
                <w:highlight w:val="none"/>
              </w:rPr>
              <w:t>月</w:t>
            </w:r>
          </w:p>
        </w:tc>
      </w:tr>
    </w:tbl>
    <w:p>
      <w:pPr>
        <w:rPr>
          <w:color w:val="auto"/>
          <w:highlight w:val="none"/>
        </w:rPr>
      </w:pPr>
    </w:p>
    <w:p>
      <w:pPr>
        <w:rPr>
          <w:color w:val="auto"/>
          <w:highlight w:val="none"/>
        </w:rPr>
      </w:pPr>
    </w:p>
    <w:p>
      <w:pPr>
        <w:rPr>
          <w:color w:val="auto"/>
          <w:highlight w:val="none"/>
        </w:rPr>
      </w:pPr>
      <w:r>
        <w:rPr>
          <w:rFonts w:hint="eastAsia"/>
          <w:color w:val="auto"/>
          <w:highlight w:val="none"/>
        </w:rPr>
        <w:t xml:space="preserve"> </w:t>
      </w:r>
    </w:p>
    <w:p>
      <w:pPr>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outlineLvl w:val="0"/>
        <w:rPr>
          <w:b/>
          <w:bCs/>
          <w:color w:val="auto"/>
          <w:sz w:val="32"/>
          <w:szCs w:val="32"/>
          <w:highlight w:val="none"/>
        </w:rPr>
      </w:pPr>
      <w:bookmarkStart w:id="8" w:name="_Toc13501"/>
      <w:bookmarkStart w:id="9" w:name="_Toc6364"/>
      <w:bookmarkStart w:id="10" w:name="_Toc5747"/>
      <w:r>
        <w:rPr>
          <w:rFonts w:hint="eastAsia"/>
          <w:b/>
          <w:bCs/>
          <w:color w:val="auto"/>
          <w:sz w:val="32"/>
          <w:szCs w:val="32"/>
          <w:highlight w:val="none"/>
        </w:rPr>
        <w:t xml:space="preserve">目 </w:t>
      </w:r>
      <w:r>
        <w:rPr>
          <w:b/>
          <w:bCs/>
          <w:color w:val="auto"/>
          <w:sz w:val="32"/>
          <w:szCs w:val="32"/>
          <w:highlight w:val="none"/>
        </w:rPr>
        <w:t xml:space="preserve"> </w:t>
      </w:r>
      <w:r>
        <w:rPr>
          <w:rFonts w:hint="eastAsia"/>
          <w:b/>
          <w:bCs/>
          <w:color w:val="auto"/>
          <w:sz w:val="32"/>
          <w:szCs w:val="32"/>
          <w:highlight w:val="none"/>
        </w:rPr>
        <w:t>录</w:t>
      </w:r>
      <w:bookmarkEnd w:id="8"/>
      <w:bookmarkEnd w:id="9"/>
      <w:bookmarkEnd w:id="10"/>
    </w:p>
    <w:sdt>
      <w:sdtPr>
        <w:rPr>
          <w:rFonts w:ascii="宋体" w:hAnsi="宋体"/>
          <w:color w:val="auto"/>
          <w:highlight w:val="none"/>
        </w:rPr>
        <w:id w:val="147465990"/>
        <w15:color w:val="DBDBDB"/>
        <w:docPartObj>
          <w:docPartGallery w:val="Table of Contents"/>
          <w:docPartUnique/>
        </w:docPartObj>
      </w:sdtPr>
      <w:sdtEndPr>
        <w:rPr>
          <w:rFonts w:ascii="宋体" w:hAnsi="宋体"/>
          <w:color w:val="auto"/>
          <w:highlight w:val="none"/>
        </w:rPr>
      </w:sdtEndPr>
      <w:sdtContent>
        <w:p>
          <w:pPr>
            <w:spacing w:line="240" w:lineRule="auto"/>
            <w:rPr>
              <w:color w:val="auto"/>
              <w:highlight w:val="none"/>
            </w:rPr>
          </w:pPr>
          <w:bookmarkStart w:id="977" w:name="_GoBack"/>
          <w:bookmarkEnd w:id="977"/>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color w:val="auto"/>
              <w:highlight w:val="none"/>
            </w:rPr>
            <w:fldChar w:fldCharType="begin"/>
          </w:r>
          <w:r>
            <w:rPr>
              <w:color w:val="auto"/>
              <w:highlight w:val="none"/>
            </w:rPr>
            <w:instrText xml:space="preserve">TOC \o "1-2" \h \u </w:instrText>
          </w:r>
          <w:r>
            <w:rPr>
              <w:color w:val="auto"/>
              <w:highlight w:val="none"/>
            </w:rPr>
            <w:fldChar w:fldCharType="separate"/>
          </w: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_Toc26504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1.概述</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_Toc26504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_Toc4133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1.1建设项目特点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_Toc4133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_Toc6592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1.2环境影响评价的工作过程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_Toc6592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_Toc24390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1.3分析判定相关情况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_Toc24390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_Toc24996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1.4关注的主要环境问题和环境影响</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_Toc24996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_Toc13292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1.5环境影响评价的主要结论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_Toc13292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_Toc31321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2.总则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_Toc31321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_Toc21237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2.1编制依据</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_Toc21237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_Toc23151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2.2评价目的与原则</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_Toc23151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_Toc4420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2.3环境影响因素识别和评价因子筛选</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_Toc4420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_Toc16744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2.4环境功能区划及评价标准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_Toc16744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_Toc15812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2.5评价工作等级和评价范围</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_Toc15812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_Toc16970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2.6环境保护目标</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_Toc16970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_Toc10265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2.7评价内容和评价重</w:t>
          </w:r>
          <w:r>
            <w:rPr>
              <w:rFonts w:hint="default" w:ascii="Times New Roman" w:hAnsi="Times New Roman" w:eastAsia="宋体" w:cs="Times New Roman"/>
              <w:color w:val="auto"/>
              <w:kern w:val="0"/>
              <w:sz w:val="24"/>
              <w:szCs w:val="24"/>
              <w:highlight w:val="none"/>
            </w:rPr>
            <w:t>点</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_Toc10265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_Toc15351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2.8评价时段和评价方法</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_Toc15351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_Toc4648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3.建设项目工程分析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_Toc4648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_Toc29991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1</w:t>
          </w:r>
          <w:r>
            <w:rPr>
              <w:rFonts w:hint="default" w:ascii="Times New Roman" w:hAnsi="Times New Roman" w:cs="Times New Roman"/>
              <w:color w:val="auto"/>
              <w:sz w:val="24"/>
              <w:szCs w:val="24"/>
              <w:highlight w:val="none"/>
            </w:rPr>
            <w:t>已建工程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_Toc29991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_Toc299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拟建工程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42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_Toc24900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工程分析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_Toc24900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74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_Toc31725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w:t>
          </w:r>
          <w:r>
            <w:rPr>
              <w:rFonts w:hint="default" w:ascii="Times New Roman" w:hAnsi="Times New Roman" w:cs="Times New Roman"/>
              <w:color w:val="auto"/>
              <w:sz w:val="24"/>
              <w:szCs w:val="24"/>
              <w:highlight w:val="none"/>
              <w:lang w:val="en-US" w:eastAsia="zh-CN"/>
            </w:rPr>
            <w:t>4</w:t>
          </w:r>
          <w:r>
            <w:rPr>
              <w:rFonts w:hint="default" w:ascii="Times New Roman" w:hAnsi="Times New Roman" w:cs="Times New Roman"/>
              <w:color w:val="auto"/>
              <w:sz w:val="24"/>
              <w:szCs w:val="24"/>
              <w:highlight w:val="none"/>
            </w:rPr>
            <w:t>相关政策法规、规划符合性分析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_Toc31725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_Toc10562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3.6选址、选线合理性分析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_Toc10562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138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_Toc24262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_Toc24262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_Toc9565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4.1自然环境概况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_Toc9565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_Toc32030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4.2生态环境现状调查与评价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_Toc32030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146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_Toc4221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4.3地下水环境现状调查与评价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_Toc4221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163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_Toc28401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4.4地表水环境现状调查与评价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_Toc28401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_Toc4239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4.5土壤环境现状调查与评价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_Toc4239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_Toc8375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4.6环境空气质量现状调查与评价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_Toc8375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179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_Toc19819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4.7声环境现状调查与评价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_Toc19819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_Toc15161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5.环境影响预测与评价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_Toc15161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_Toc13246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5.1生态环境影响分析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_Toc13246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185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_Toc27479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5.2地下水环境影响分析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_Toc27479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196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_Toc27712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5.3地表水环境影响评价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_Toc27712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_Toc4311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5.4土壤环境影响评价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_Toc4311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_Toc4559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5.5大气环境影响评价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_Toc4559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222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_Toc21668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5.6声环境影响分析与评价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_Toc21668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231</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_Toc17693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5.7固体废物影响分析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_Toc17693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237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_Toc27188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5.8</w:t>
          </w:r>
          <w:r>
            <w:rPr>
              <w:rFonts w:hint="default" w:ascii="Times New Roman" w:hAnsi="Times New Roman" w:eastAsia="宋体" w:cs="Times New Roman"/>
              <w:color w:val="auto"/>
              <w:sz w:val="24"/>
              <w:szCs w:val="24"/>
              <w:highlight w:val="none"/>
            </w:rPr>
            <w:t>环境风险评价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_Toc27188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243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_Toc29463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bCs/>
              <w:color w:val="auto"/>
              <w:sz w:val="24"/>
              <w:szCs w:val="24"/>
              <w:highlight w:val="none"/>
            </w:rPr>
            <w:t>6.</w:t>
          </w:r>
          <w:r>
            <w:rPr>
              <w:rFonts w:hint="default" w:ascii="Times New Roman" w:hAnsi="Times New Roman" w:cs="Times New Roman"/>
              <w:color w:val="auto"/>
              <w:sz w:val="24"/>
              <w:szCs w:val="24"/>
              <w:highlight w:val="none"/>
            </w:rPr>
            <w:t>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_Toc29463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259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_Toc7402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6.1生态保护措施可行性论证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_Toc7402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259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_Toc2858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6.2 地下水环境保护措施可行性论证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_Toc2858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267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_Toc4524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6.3地表水环境保护措施可行性论证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_Toc4524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_Toc3347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6.4土壤环境保护措施可行性论证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_Toc3347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_Toc9734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6.5大气环境保护措施可行性论证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_Toc9734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279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_Toc20965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6.6 声环境保护措施可行性论证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_Toc20965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282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_Toc21082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6.7 固体废物处理措施可行性论证</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_Toc21082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283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_Toc21379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7.温室气体排放影响评价</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_Toc21379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287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_Toc31930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7.1 温室气体排放分析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_Toc31930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287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_Toc17781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7.2 减污降碳措施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_Toc17781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_Toc32465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7.3 温室气体排放评价结论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_Toc32465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_Toc13826 </w:instrText>
          </w:r>
          <w:r>
            <w:rPr>
              <w:rFonts w:hint="default" w:ascii="Times New Roman" w:hAnsi="Times New Roman" w:cs="Times New Roman"/>
              <w:color w:val="auto"/>
              <w:sz w:val="24"/>
              <w:szCs w:val="24"/>
              <w:highlight w:val="none"/>
            </w:rPr>
            <w:fldChar w:fldCharType="separate"/>
          </w:r>
          <w:r>
            <w:rPr>
              <w:rFonts w:hint="default" w:ascii="Times New Roman" w:hAnsi="Times New Roman" w:eastAsia="宋体" w:cs="Times New Roman"/>
              <w:color w:val="auto"/>
              <w:sz w:val="24"/>
              <w:szCs w:val="24"/>
              <w:highlight w:val="none"/>
            </w:rPr>
            <w:t>8环境影响经济损益分析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_Toc13826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_Toc19667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8.1 环境效益分析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_Toc19667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_Toc24738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8.2 社会效益分析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_Toc24738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297</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_Toc13342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8.3 综合效益分析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_Toc13342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_Toc1503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8.4环境经济损益分析结论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_Toc1503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299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_Toc305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9.环境管理与监测计划</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_Toc305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_Toc32234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9.1环境管理</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_Toc32234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_Toc14943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9.2企业环境信息披露</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_Toc14943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_Toc12561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9.3污染物排放清单</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_Toc12561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_Toc15612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9.4生态环境监测</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_Toc15612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306</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_Toc11430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9.5环保设施“三同时”验收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_Toc11430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308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2"/>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_Toc14619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_Toc14619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_Toc82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10.1建设项目情况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_Toc82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_Toc10263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10.2产业政策、选址符合性</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_Toc10263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312</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_Toc12024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10.3环境质量现状</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_Toc12024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313</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_Toc31864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10.4污染物排放情况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_Toc31864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314</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_Toc6017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10.5主要环境影响</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_Toc6017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315</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_Toc32248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10.6环境保护措施</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_Toc32248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318</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_Toc7507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10.7公众意见采纳情况</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_Toc7507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_Toc6831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10.8环境影响经济损益分析</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_Toc6831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319</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_Toc21828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10.9环境管理与监测计划</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_Toc21828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pStyle w:val="28"/>
            <w:keepNext w:val="0"/>
            <w:keepLines w:val="0"/>
            <w:pageBreakBefore w:val="0"/>
            <w:widowControl/>
            <w:tabs>
              <w:tab w:val="right" w:leader="dot" w:pos="8617"/>
            </w:tabs>
            <w:kinsoku/>
            <w:wordWrap/>
            <w:overflowPunct/>
            <w:topLinePunct w:val="0"/>
            <w:autoSpaceDE/>
            <w:autoSpaceDN/>
            <w:bidi w:val="0"/>
            <w:adjustRightInd w:val="0"/>
            <w:snapToGrid w:val="0"/>
            <w:spacing w:line="480" w:lineRule="exact"/>
            <w:textAlignment w:val="auto"/>
            <w:rPr>
              <w:color w:val="auto"/>
            </w:rPr>
          </w:pPr>
          <w:r>
            <w:rPr>
              <w:rFonts w:hint="default" w:ascii="Times New Roman" w:hAnsi="Times New Roman" w:cs="Times New Roman"/>
              <w:color w:val="auto"/>
              <w:sz w:val="24"/>
              <w:szCs w:val="24"/>
              <w:highlight w:val="none"/>
            </w:rPr>
            <w:fldChar w:fldCharType="begin"/>
          </w:r>
          <w:r>
            <w:rPr>
              <w:rFonts w:hint="default" w:ascii="Times New Roman" w:hAnsi="Times New Roman" w:cs="Times New Roman"/>
              <w:color w:val="auto"/>
              <w:sz w:val="24"/>
              <w:szCs w:val="24"/>
              <w:highlight w:val="none"/>
            </w:rPr>
            <w:instrText xml:space="preserve"> HYPERLINK \l _Toc32439 </w:instrText>
          </w:r>
          <w:r>
            <w:rPr>
              <w:rFonts w:hint="default" w:ascii="Times New Roman" w:hAnsi="Times New Roman" w:cs="Times New Roman"/>
              <w:color w:val="auto"/>
              <w:sz w:val="24"/>
              <w:szCs w:val="24"/>
              <w:highlight w:val="none"/>
            </w:rPr>
            <w:fldChar w:fldCharType="separate"/>
          </w:r>
          <w:r>
            <w:rPr>
              <w:rFonts w:hint="default" w:ascii="Times New Roman" w:hAnsi="Times New Roman" w:cs="Times New Roman"/>
              <w:color w:val="auto"/>
              <w:sz w:val="24"/>
              <w:szCs w:val="24"/>
              <w:highlight w:val="none"/>
            </w:rPr>
            <w:t>10.11项目可行性结论</w:t>
          </w:r>
          <w:r>
            <w:rPr>
              <w:rFonts w:hint="default" w:ascii="Times New Roman" w:hAnsi="Times New Roman" w:cs="Times New Roman"/>
              <w:color w:val="auto"/>
              <w:sz w:val="24"/>
              <w:szCs w:val="24"/>
            </w:rPr>
            <w:tab/>
          </w:r>
          <w:r>
            <w:rPr>
              <w:rFonts w:hint="default" w:ascii="Times New Roman" w:hAnsi="Times New Roman" w:cs="Times New Roman"/>
              <w:color w:val="auto"/>
              <w:sz w:val="24"/>
              <w:szCs w:val="24"/>
            </w:rPr>
            <w:fldChar w:fldCharType="begin"/>
          </w:r>
          <w:r>
            <w:rPr>
              <w:rFonts w:hint="default" w:ascii="Times New Roman" w:hAnsi="Times New Roman" w:cs="Times New Roman"/>
              <w:color w:val="auto"/>
              <w:sz w:val="24"/>
              <w:szCs w:val="24"/>
            </w:rPr>
            <w:instrText xml:space="preserve"> PAGEREF _Toc32439 \h </w:instrText>
          </w:r>
          <w:r>
            <w:rPr>
              <w:rFonts w:hint="default" w:ascii="Times New Roman" w:hAnsi="Times New Roman" w:cs="Times New Roman"/>
              <w:color w:val="auto"/>
              <w:sz w:val="24"/>
              <w:szCs w:val="24"/>
            </w:rPr>
            <w:fldChar w:fldCharType="separate"/>
          </w:r>
          <w:r>
            <w:rPr>
              <w:rFonts w:hint="default" w:ascii="Times New Roman" w:hAnsi="Times New Roman" w:cs="Times New Roman"/>
              <w:color w:val="auto"/>
              <w:sz w:val="24"/>
              <w:szCs w:val="24"/>
            </w:rPr>
            <w:t>320</w:t>
          </w:r>
          <w:r>
            <w:rPr>
              <w:rFonts w:hint="default" w:ascii="Times New Roman" w:hAnsi="Times New Roman" w:cs="Times New Roman"/>
              <w:color w:val="auto"/>
              <w:sz w:val="24"/>
              <w:szCs w:val="24"/>
            </w:rPr>
            <w:fldChar w:fldCharType="end"/>
          </w:r>
          <w:r>
            <w:rPr>
              <w:rFonts w:hint="default" w:ascii="Times New Roman" w:hAnsi="Times New Roman" w:cs="Times New Roman"/>
              <w:color w:val="auto"/>
              <w:sz w:val="24"/>
              <w:szCs w:val="24"/>
              <w:highlight w:val="none"/>
            </w:rPr>
            <w:fldChar w:fldCharType="end"/>
          </w:r>
        </w:p>
        <w:p>
          <w:pPr>
            <w:rPr>
              <w:color w:val="auto"/>
              <w:highlight w:val="none"/>
            </w:rPr>
          </w:pPr>
          <w:r>
            <w:rPr>
              <w:color w:val="auto"/>
              <w:highlight w:val="none"/>
            </w:rPr>
            <w:fldChar w:fldCharType="end"/>
          </w:r>
        </w:p>
      </w:sdtContent>
    </w:sdt>
    <w:p>
      <w:pPr>
        <w:rPr>
          <w:color w:val="auto"/>
          <w:highlight w:val="none"/>
        </w:rPr>
        <w:sectPr>
          <w:headerReference r:id="rId5" w:type="default"/>
          <w:footerReference r:id="rId6" w:type="default"/>
          <w:pgSz w:w="11905" w:h="16838"/>
          <w:pgMar w:top="1474" w:right="1474" w:bottom="1474" w:left="1814" w:header="850" w:footer="992" w:gutter="0"/>
          <w:pgBorders>
            <w:top w:val="none" w:sz="0" w:space="0"/>
            <w:left w:val="none" w:sz="0" w:space="0"/>
            <w:bottom w:val="none" w:sz="0" w:space="0"/>
            <w:right w:val="none" w:sz="0" w:space="0"/>
          </w:pgBorders>
          <w:pgNumType w:fmt="decimal" w:start="1"/>
          <w:cols w:space="0" w:num="1"/>
          <w:rtlGutter w:val="0"/>
          <w:docGrid w:type="lines" w:linePitch="331" w:charSpace="0"/>
        </w:sectPr>
      </w:pPr>
    </w:p>
    <w:p>
      <w:pPr>
        <w:pStyle w:val="47"/>
        <w:pageBreakBefore w:val="0"/>
        <w:kinsoku/>
        <w:wordWrap/>
        <w:overflowPunct/>
        <w:topLinePunct w:val="0"/>
        <w:autoSpaceDE/>
        <w:autoSpaceDN/>
        <w:bidi w:val="0"/>
        <w:spacing w:line="480" w:lineRule="exact"/>
        <w:textAlignment w:val="auto"/>
        <w:rPr>
          <w:color w:val="auto"/>
          <w:highlight w:val="none"/>
        </w:rPr>
      </w:pPr>
      <w:bookmarkStart w:id="11" w:name="_Toc26504"/>
      <w:r>
        <w:rPr>
          <w:color w:val="auto"/>
          <w:highlight w:val="none"/>
        </w:rPr>
        <w:t>1.概述</w:t>
      </w:r>
      <w:bookmarkEnd w:id="11"/>
    </w:p>
    <w:p>
      <w:pPr>
        <w:pStyle w:val="49"/>
        <w:pageBreakBefore w:val="0"/>
        <w:kinsoku/>
        <w:wordWrap/>
        <w:overflowPunct/>
        <w:topLinePunct w:val="0"/>
        <w:autoSpaceDE/>
        <w:autoSpaceDN/>
        <w:bidi w:val="0"/>
        <w:spacing w:line="480" w:lineRule="exact"/>
        <w:textAlignment w:val="auto"/>
        <w:rPr>
          <w:color w:val="auto"/>
          <w:highlight w:val="none"/>
        </w:rPr>
      </w:pPr>
      <w:bookmarkStart w:id="12" w:name="_Toc173942658"/>
      <w:bookmarkStart w:id="13" w:name="_Toc173941777"/>
      <w:bookmarkStart w:id="14" w:name="_Toc173941704"/>
      <w:bookmarkStart w:id="15" w:name="_Toc21364"/>
      <w:bookmarkStart w:id="16" w:name="_Toc17270"/>
      <w:bookmarkStart w:id="17" w:name="_Toc4133"/>
      <w:r>
        <w:rPr>
          <w:color w:val="auto"/>
          <w:highlight w:val="none"/>
        </w:rPr>
        <w:t>1.1</w:t>
      </w:r>
      <w:r>
        <w:rPr>
          <w:rFonts w:hint="eastAsia"/>
          <w:color w:val="auto"/>
          <w:highlight w:val="none"/>
        </w:rPr>
        <w:t>建设</w:t>
      </w:r>
      <w:r>
        <w:rPr>
          <w:color w:val="auto"/>
          <w:highlight w:val="none"/>
        </w:rPr>
        <w:t>项目特点</w:t>
      </w:r>
      <w:bookmarkEnd w:id="12"/>
      <w:bookmarkEnd w:id="13"/>
      <w:bookmarkEnd w:id="14"/>
      <w:bookmarkEnd w:id="15"/>
      <w:bookmarkEnd w:id="16"/>
      <w:bookmarkEnd w:id="17"/>
    </w:p>
    <w:p>
      <w:pPr>
        <w:pStyle w:val="57"/>
        <w:pageBreakBefore w:val="0"/>
        <w:kinsoku/>
        <w:wordWrap/>
        <w:overflowPunct/>
        <w:topLinePunct w:val="0"/>
        <w:autoSpaceDE/>
        <w:autoSpaceDN/>
        <w:bidi w:val="0"/>
        <w:spacing w:line="480" w:lineRule="exact"/>
        <w:textAlignment w:val="auto"/>
        <w:rPr>
          <w:rFonts w:hint="eastAsia" w:ascii="宋体" w:hAnsi="宋体" w:eastAsia="宋体"/>
          <w:color w:val="auto"/>
          <w:szCs w:val="24"/>
          <w:highlight w:val="none"/>
          <w:lang w:eastAsia="zh-CN"/>
        </w:rPr>
      </w:pPr>
      <w:r>
        <w:rPr>
          <w:rFonts w:hint="eastAsia" w:ascii="宋体" w:hAnsi="宋体"/>
          <w:color w:val="auto"/>
          <w:szCs w:val="24"/>
          <w:highlight w:val="none"/>
        </w:rPr>
        <w:t>2022年9月1日，中国石油天然气股份有限公司新疆油田分公司（以下简称“中石油新疆油田分公司”）研究决定成立中国石油新疆油田分公司玛湖勘探开发项目部（以下简称“玛湖项目部”），作为公司二级单位管理</w:t>
      </w:r>
      <w:r>
        <w:rPr>
          <w:rFonts w:hint="eastAsia" w:ascii="宋体" w:hAnsi="宋体"/>
          <w:color w:val="auto"/>
          <w:szCs w:val="24"/>
          <w:highlight w:val="none"/>
          <w:lang w:eastAsia="zh-CN"/>
        </w:rPr>
        <w:t>。</w:t>
      </w:r>
    </w:p>
    <w:p>
      <w:pPr>
        <w:pStyle w:val="57"/>
        <w:pageBreakBefore w:val="0"/>
        <w:kinsoku/>
        <w:wordWrap/>
        <w:overflowPunct/>
        <w:topLinePunct w:val="0"/>
        <w:autoSpaceDE/>
        <w:autoSpaceDN/>
        <w:bidi w:val="0"/>
        <w:spacing w:line="480" w:lineRule="exact"/>
        <w:textAlignment w:val="auto"/>
        <w:rPr>
          <w:rFonts w:hint="eastAsia" w:ascii="宋体" w:hAnsi="宋体" w:eastAsia="宋体"/>
          <w:color w:val="auto"/>
          <w:szCs w:val="24"/>
          <w:highlight w:val="none"/>
          <w:lang w:eastAsia="zh-CN"/>
        </w:rPr>
      </w:pPr>
      <w:r>
        <w:rPr>
          <w:rFonts w:hint="eastAsia" w:ascii="宋体" w:hAnsi="宋体"/>
          <w:color w:val="auto"/>
          <w:szCs w:val="24"/>
          <w:highlight w:val="none"/>
        </w:rPr>
        <w:t>该项目部是集油藏评价、油田开发、钻采工程、地面工程、质量安全、经营财务、党建综合等领域综合队伍。其主要任务是加大、加快玛湖油区勘探开发力度，负责在夏子街油田、玛北131区块等油田部署勘探开发，未来高质量建成玛湖500万吨示范区</w:t>
      </w:r>
      <w:r>
        <w:rPr>
          <w:rFonts w:hint="eastAsia" w:ascii="宋体" w:hAnsi="宋体"/>
          <w:color w:val="auto"/>
          <w:szCs w:val="24"/>
          <w:highlight w:val="none"/>
          <w:lang w:eastAsia="zh-CN"/>
        </w:rPr>
        <w:t>。</w:t>
      </w:r>
    </w:p>
    <w:p>
      <w:pPr>
        <w:pStyle w:val="57"/>
        <w:pageBreakBefore w:val="0"/>
        <w:kinsoku/>
        <w:wordWrap/>
        <w:overflowPunct/>
        <w:topLinePunct w:val="0"/>
        <w:autoSpaceDE/>
        <w:autoSpaceDN/>
        <w:bidi w:val="0"/>
        <w:spacing w:line="480" w:lineRule="exact"/>
        <w:textAlignment w:val="auto"/>
        <w:rPr>
          <w:rFonts w:hint="eastAsia" w:ascii="宋体" w:hAnsi="宋体"/>
          <w:color w:val="auto"/>
          <w:szCs w:val="24"/>
          <w:highlight w:val="none"/>
        </w:rPr>
      </w:pPr>
      <w:r>
        <w:rPr>
          <w:rFonts w:hint="eastAsia"/>
          <w:color w:val="auto"/>
          <w:sz w:val="24"/>
          <w:szCs w:val="22"/>
          <w:highlight w:val="none"/>
        </w:rPr>
        <w:t>夏子街油田</w:t>
      </w:r>
      <w:r>
        <w:rPr>
          <w:rFonts w:hint="eastAsia"/>
          <w:color w:val="auto"/>
          <w:sz w:val="24"/>
          <w:szCs w:val="22"/>
          <w:highlight w:val="none"/>
          <w:lang w:val="en-US" w:eastAsia="zh-CN"/>
        </w:rPr>
        <w:t>位于新疆维吾尔自治区</w:t>
      </w:r>
      <w:bookmarkStart w:id="18" w:name="OLE_LINK7"/>
      <w:r>
        <w:rPr>
          <w:rFonts w:hint="eastAsia"/>
          <w:color w:val="auto"/>
          <w:sz w:val="24"/>
          <w:szCs w:val="22"/>
          <w:highlight w:val="none"/>
        </w:rPr>
        <w:t>克拉玛依市</w:t>
      </w:r>
      <w:r>
        <w:rPr>
          <w:rFonts w:hint="eastAsia"/>
          <w:color w:val="auto"/>
          <w:sz w:val="24"/>
          <w:szCs w:val="22"/>
          <w:highlight w:val="none"/>
          <w:lang w:val="en-US" w:eastAsia="zh-CN"/>
        </w:rPr>
        <w:t>乌尔禾区</w:t>
      </w:r>
      <w:bookmarkEnd w:id="18"/>
      <w:r>
        <w:rPr>
          <w:rFonts w:hint="eastAsia"/>
          <w:color w:val="auto"/>
          <w:sz w:val="24"/>
          <w:szCs w:val="22"/>
          <w:highlight w:val="none"/>
          <w:lang w:eastAsia="zh-CN"/>
        </w:rPr>
        <w:t>、</w:t>
      </w:r>
      <w:r>
        <w:rPr>
          <w:rFonts w:hint="eastAsia"/>
          <w:color w:val="auto"/>
          <w:sz w:val="24"/>
          <w:szCs w:val="22"/>
          <w:highlight w:val="none"/>
        </w:rPr>
        <w:t>塔城地区和布克赛尔蒙古自治县</w:t>
      </w:r>
      <w:r>
        <w:rPr>
          <w:rFonts w:hint="eastAsia"/>
          <w:color w:val="auto"/>
          <w:sz w:val="24"/>
          <w:szCs w:val="22"/>
          <w:highlight w:val="none"/>
          <w:lang w:val="en-US" w:eastAsia="zh-CN"/>
        </w:rPr>
        <w:t>和</w:t>
      </w:r>
      <w:r>
        <w:rPr>
          <w:rFonts w:hint="eastAsia" w:ascii="Times New Roman" w:hAnsi="Times New Roman" w:eastAsia="宋体" w:cs="Times New Roman"/>
          <w:bCs w:val="0"/>
          <w:color w:val="auto"/>
          <w:kern w:val="24"/>
          <w:sz w:val="24"/>
          <w:szCs w:val="22"/>
          <w:highlight w:val="none"/>
          <w:lang w:val="en-US" w:eastAsia="zh-CN" w:bidi="ar-SA"/>
        </w:rPr>
        <w:t>新疆生产建设兵团第十师北屯市184团</w:t>
      </w:r>
      <w:r>
        <w:rPr>
          <w:rFonts w:hint="eastAsia" w:cs="Times New Roman"/>
          <w:bCs w:val="0"/>
          <w:color w:val="auto"/>
          <w:kern w:val="24"/>
          <w:sz w:val="24"/>
          <w:szCs w:val="22"/>
          <w:highlight w:val="none"/>
          <w:lang w:val="en-US" w:eastAsia="zh-CN" w:bidi="ar-SA"/>
        </w:rPr>
        <w:t>境内</w:t>
      </w:r>
      <w:r>
        <w:rPr>
          <w:rFonts w:hint="eastAsia"/>
          <w:color w:val="auto"/>
          <w:sz w:val="24"/>
          <w:szCs w:val="22"/>
          <w:highlight w:val="none"/>
        </w:rPr>
        <w:t>，西距克拉玛依市乌尔禾镇</w:t>
      </w:r>
      <w:r>
        <w:rPr>
          <w:rFonts w:hint="eastAsia"/>
          <w:color w:val="auto"/>
          <w:sz w:val="24"/>
          <w:szCs w:val="22"/>
          <w:highlight w:val="none"/>
          <w:lang w:val="en-US" w:eastAsia="zh-CN"/>
        </w:rPr>
        <w:t>17</w:t>
      </w:r>
      <w:r>
        <w:rPr>
          <w:rFonts w:hint="eastAsia"/>
          <w:color w:val="auto"/>
          <w:sz w:val="24"/>
          <w:szCs w:val="22"/>
          <w:highlight w:val="none"/>
        </w:rPr>
        <w:t>km，属</w:t>
      </w:r>
      <w:r>
        <w:rPr>
          <w:rFonts w:hint="eastAsia"/>
          <w:color w:val="auto"/>
          <w:sz w:val="24"/>
          <w:szCs w:val="22"/>
          <w:highlight w:val="none"/>
          <w:lang w:eastAsia="zh-CN"/>
        </w:rPr>
        <w:t>风城油田作业区</w:t>
      </w:r>
      <w:r>
        <w:rPr>
          <w:rFonts w:hint="eastAsia"/>
          <w:color w:val="auto"/>
          <w:sz w:val="24"/>
          <w:szCs w:val="22"/>
          <w:highlight w:val="none"/>
        </w:rPr>
        <w:t>管辖。区域构造位于准</w:t>
      </w:r>
      <w:r>
        <w:rPr>
          <w:rFonts w:hint="eastAsia"/>
          <w:color w:val="auto"/>
          <w:sz w:val="24"/>
          <w:szCs w:val="22"/>
          <w:highlight w:val="none"/>
          <w:lang w:val="en-US" w:eastAsia="zh-CN"/>
        </w:rPr>
        <w:t>噶</w:t>
      </w:r>
      <w:r>
        <w:rPr>
          <w:rFonts w:hint="eastAsia"/>
          <w:color w:val="auto"/>
          <w:sz w:val="24"/>
          <w:szCs w:val="22"/>
          <w:highlight w:val="none"/>
        </w:rPr>
        <w:t>尔盆地西北缘乌夏断裂带东段，是一个分布于断裂带下盘断褶区呈条带状展布的构造油气田</w:t>
      </w:r>
      <w:r>
        <w:rPr>
          <w:rFonts w:hint="eastAsia"/>
          <w:color w:val="auto"/>
          <w:sz w:val="24"/>
          <w:szCs w:val="22"/>
          <w:highlight w:val="none"/>
          <w:lang w:eastAsia="zh-CN"/>
        </w:rPr>
        <w:t>，南临玛北油田，西与黄羊泉地区相接，东部延伸到红旗坝地区，为一东西长70km、南北宽约30km的区域</w:t>
      </w:r>
      <w:r>
        <w:rPr>
          <w:rFonts w:hint="eastAsia"/>
          <w:color w:val="auto"/>
          <w:sz w:val="24"/>
          <w:szCs w:val="22"/>
          <w:highlight w:val="none"/>
        </w:rPr>
        <w:t>。地势较为平坦，平均地面海拔448m左右，地表生长有稀疏的荒漠植物。</w:t>
      </w:r>
    </w:p>
    <w:p>
      <w:pPr>
        <w:pStyle w:val="57"/>
        <w:pageBreakBefore w:val="0"/>
        <w:kinsoku/>
        <w:wordWrap/>
        <w:overflowPunct/>
        <w:topLinePunct w:val="0"/>
        <w:autoSpaceDE/>
        <w:autoSpaceDN/>
        <w:bidi w:val="0"/>
        <w:spacing w:line="480" w:lineRule="exact"/>
        <w:textAlignment w:val="auto"/>
        <w:rPr>
          <w:rFonts w:hint="default" w:ascii="Times New Roman" w:hAnsi="Times New Roman" w:cs="Times New Roman"/>
          <w:color w:val="auto"/>
          <w:szCs w:val="24"/>
          <w:highlight w:val="none"/>
          <w:lang w:val="en-US" w:eastAsia="zh-CN"/>
        </w:rPr>
      </w:pPr>
      <w:r>
        <w:rPr>
          <w:rFonts w:hint="eastAsia" w:ascii="Times New Roman" w:hAnsi="Times New Roman" w:cs="Times New Roman"/>
          <w:color w:val="auto"/>
          <w:szCs w:val="24"/>
          <w:highlight w:val="none"/>
          <w:lang w:val="en-US" w:eastAsia="zh-CN"/>
        </w:rPr>
        <w:t>本工程</w:t>
      </w:r>
      <w:r>
        <w:rPr>
          <w:rFonts w:hint="default" w:ascii="Times New Roman" w:hAnsi="Times New Roman" w:cs="Times New Roman"/>
          <w:color w:val="auto"/>
          <w:szCs w:val="24"/>
          <w:highlight w:val="none"/>
          <w:lang w:val="en-US" w:eastAsia="zh-CN"/>
        </w:rPr>
        <w:t>开发区域</w:t>
      </w:r>
      <w:bookmarkStart w:id="19" w:name="OLE_LINK140"/>
      <w:r>
        <w:rPr>
          <w:rFonts w:hint="default" w:ascii="Times New Roman" w:hAnsi="Times New Roman" w:cs="Times New Roman"/>
          <w:color w:val="auto"/>
          <w:szCs w:val="24"/>
          <w:highlight w:val="none"/>
          <w:lang w:val="en-US" w:eastAsia="zh-CN"/>
        </w:rPr>
        <w:t>丰探1井区</w:t>
      </w:r>
      <w:bookmarkEnd w:id="19"/>
      <w:r>
        <w:rPr>
          <w:rFonts w:hint="default" w:ascii="Times New Roman" w:hAnsi="Times New Roman" w:cs="Times New Roman"/>
          <w:color w:val="auto"/>
          <w:szCs w:val="24"/>
          <w:highlight w:val="none"/>
          <w:lang w:val="en-US" w:eastAsia="zh-CN"/>
        </w:rPr>
        <w:t>属于夏子街油田，位于玛51X井区块西北侧。2023年部署上钻了风险探井丰探1井。该井于2023年10月7日开钻，2024年2月15日完钻。丰探1井在目的层风城组油气显示活跃，气测异常明显，录井解释油层60层250m、差油层35层330m；测井解释油层173.5m、差油层240.7m、含油层127.6m。丰探1井在风城组一段+佳木河组5511m</w:t>
      </w:r>
      <w:r>
        <w:rPr>
          <w:rFonts w:hint="eastAsia" w:cs="Times New Roman"/>
          <w:color w:val="auto"/>
          <w:szCs w:val="24"/>
          <w:highlight w:val="none"/>
          <w:lang w:val="en-US" w:eastAsia="zh-CN"/>
        </w:rPr>
        <w:t>～</w:t>
      </w:r>
      <w:r>
        <w:rPr>
          <w:rFonts w:hint="default" w:ascii="Times New Roman" w:hAnsi="Times New Roman" w:cs="Times New Roman"/>
          <w:color w:val="auto"/>
          <w:szCs w:val="24"/>
          <w:highlight w:val="none"/>
          <w:lang w:val="en-US" w:eastAsia="zh-CN"/>
        </w:rPr>
        <w:t>5750m火山岩段合试，获日产油1.17t，累产油13.36t；在风城组一段顶部与风城组二段中下部5280m</w:t>
      </w:r>
      <w:r>
        <w:rPr>
          <w:rFonts w:hint="eastAsia" w:cs="Times New Roman"/>
          <w:color w:val="auto"/>
          <w:szCs w:val="24"/>
          <w:highlight w:val="none"/>
          <w:lang w:val="en-US" w:eastAsia="zh-CN"/>
        </w:rPr>
        <w:t>～</w:t>
      </w:r>
      <w:r>
        <w:rPr>
          <w:rFonts w:hint="default" w:ascii="Times New Roman" w:hAnsi="Times New Roman" w:cs="Times New Roman"/>
          <w:color w:val="auto"/>
          <w:szCs w:val="24"/>
          <w:highlight w:val="none"/>
          <w:lang w:val="en-US" w:eastAsia="zh-CN"/>
        </w:rPr>
        <w:t>5457m合试，获日产油97.9t，日产气7770m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；在风二段中上部与风三段中下部合试，获日产油42.47t，证实了断裂带风城组具备高产条件。</w:t>
      </w:r>
      <w:r>
        <w:rPr>
          <w:rFonts w:hint="eastAsia" w:cs="Times New Roman"/>
          <w:color w:val="auto"/>
          <w:szCs w:val="24"/>
          <w:highlight w:val="none"/>
          <w:lang w:val="en-US" w:eastAsia="zh-CN"/>
        </w:rPr>
        <w:t>截至目前，</w:t>
      </w:r>
      <w:r>
        <w:rPr>
          <w:rFonts w:hint="default" w:ascii="Times New Roman" w:hAnsi="Times New Roman" w:cs="Times New Roman"/>
          <w:color w:val="auto"/>
          <w:szCs w:val="24"/>
          <w:highlight w:val="none"/>
          <w:lang w:val="en-US" w:eastAsia="zh-CN"/>
        </w:rPr>
        <w:t>丰探1井区</w:t>
      </w:r>
      <w:r>
        <w:rPr>
          <w:rFonts w:hint="eastAsia" w:ascii="Times New Roman" w:hAnsi="Times New Roman" w:cs="Times New Roman"/>
          <w:color w:val="auto"/>
          <w:szCs w:val="24"/>
          <w:highlight w:val="none"/>
          <w:lang w:val="en-US" w:eastAsia="zh-CN"/>
        </w:rPr>
        <w:t>共有11口评价井（丰探1、丰探101、丰探102、丰探103、夏211X、夏213、夏216、夏217、风城5、风城6X、风城7）</w:t>
      </w:r>
      <w:r>
        <w:rPr>
          <w:rFonts w:hint="eastAsia" w:cs="Times New Roman"/>
          <w:color w:val="auto"/>
          <w:szCs w:val="24"/>
          <w:highlight w:val="none"/>
          <w:lang w:val="en-US" w:eastAsia="zh-CN"/>
        </w:rPr>
        <w:t>，均已取得钻井</w:t>
      </w:r>
      <w:r>
        <w:rPr>
          <w:rFonts w:hint="eastAsia"/>
          <w:color w:val="auto"/>
          <w:sz w:val="24"/>
          <w:szCs w:val="24"/>
        </w:rPr>
        <w:t>环评批复</w:t>
      </w:r>
      <w:r>
        <w:rPr>
          <w:rFonts w:hint="eastAsia" w:ascii="Times New Roman" w:hAnsi="Times New Roman" w:cs="Times New Roman"/>
          <w:color w:val="auto"/>
          <w:szCs w:val="24"/>
          <w:highlight w:val="none"/>
          <w:lang w:val="en-US" w:eastAsia="zh-CN"/>
        </w:rPr>
        <w:t>，</w:t>
      </w:r>
      <w:r>
        <w:rPr>
          <w:rFonts w:hint="eastAsia"/>
          <w:color w:val="auto"/>
          <w:szCs w:val="24"/>
          <w:lang w:val="en-US" w:eastAsia="zh-CN"/>
        </w:rPr>
        <w:t>其中9口井（</w:t>
      </w:r>
      <w:r>
        <w:rPr>
          <w:rFonts w:hint="eastAsia"/>
          <w:color w:val="auto"/>
          <w:szCs w:val="24"/>
        </w:rPr>
        <w:t>丰探1、丰探103、夏211X、夏213、夏216、夏217、风城5、风城6X、风城7</w:t>
      </w:r>
      <w:r>
        <w:rPr>
          <w:rFonts w:hint="eastAsia"/>
          <w:color w:val="auto"/>
          <w:szCs w:val="24"/>
          <w:lang w:val="en-US" w:eastAsia="zh-CN"/>
        </w:rPr>
        <w:t>）</w:t>
      </w:r>
      <w:r>
        <w:rPr>
          <w:rFonts w:hint="eastAsia"/>
          <w:color w:val="auto"/>
          <w:szCs w:val="24"/>
        </w:rPr>
        <w:t>已完钻</w:t>
      </w:r>
      <w:r>
        <w:rPr>
          <w:rFonts w:hint="eastAsia"/>
          <w:color w:val="auto"/>
          <w:szCs w:val="24"/>
          <w:lang w:eastAsia="zh-CN"/>
        </w:rPr>
        <w:t>，</w:t>
      </w:r>
      <w:r>
        <w:rPr>
          <w:rFonts w:hint="eastAsia"/>
          <w:color w:val="auto"/>
          <w:szCs w:val="24"/>
        </w:rPr>
        <w:t>丰探102、丰探103</w:t>
      </w:r>
      <w:r>
        <w:rPr>
          <w:rFonts w:hint="eastAsia"/>
          <w:color w:val="auto"/>
          <w:szCs w:val="24"/>
          <w:lang w:val="en-US" w:eastAsia="zh-CN"/>
        </w:rPr>
        <w:t>目前还在钻井作业</w:t>
      </w:r>
      <w:r>
        <w:rPr>
          <w:rFonts w:hint="eastAsia"/>
          <w:color w:val="auto"/>
          <w:szCs w:val="24"/>
        </w:rPr>
        <w:t>，</w:t>
      </w:r>
      <w:r>
        <w:rPr>
          <w:rFonts w:hint="default" w:ascii="Times New Roman" w:hAnsi="Times New Roman" w:cs="Times New Roman"/>
          <w:color w:val="auto"/>
          <w:szCs w:val="24"/>
          <w:highlight w:val="none"/>
          <w:lang w:val="en-US" w:eastAsia="zh-CN"/>
        </w:rPr>
        <w:t>丰探1井</w:t>
      </w:r>
      <w:r>
        <w:rPr>
          <w:rFonts w:hint="eastAsia" w:ascii="Times New Roman" w:hAnsi="Times New Roman" w:cs="Times New Roman"/>
          <w:color w:val="auto"/>
          <w:szCs w:val="24"/>
          <w:highlight w:val="none"/>
          <w:lang w:val="en-US" w:eastAsia="zh-CN"/>
        </w:rPr>
        <w:t>区</w:t>
      </w:r>
      <w:r>
        <w:rPr>
          <w:rFonts w:hint="eastAsia"/>
          <w:color w:val="auto"/>
          <w:szCs w:val="24"/>
        </w:rPr>
        <w:t>还未建设油气集输管网系统</w:t>
      </w:r>
      <w:r>
        <w:rPr>
          <w:rFonts w:hint="eastAsia" w:ascii="Times New Roman" w:hAnsi="Times New Roman" w:eastAsia="宋体" w:cs="Times New Roman"/>
          <w:bCs/>
          <w:color w:val="auto"/>
          <w:kern w:val="2"/>
          <w:sz w:val="24"/>
          <w:szCs w:val="24"/>
          <w:highlight w:val="none"/>
          <w:shd w:val="clear" w:color="auto" w:fill="auto"/>
          <w:lang w:val="en-US" w:eastAsia="zh-CN"/>
        </w:rPr>
        <w:t>。</w:t>
      </w:r>
    </w:p>
    <w:p>
      <w:pPr>
        <w:pStyle w:val="57"/>
        <w:pageBreakBefore w:val="0"/>
        <w:kinsoku/>
        <w:wordWrap/>
        <w:overflowPunct/>
        <w:topLinePunct w:val="0"/>
        <w:autoSpaceDE/>
        <w:autoSpaceDN/>
        <w:bidi w:val="0"/>
        <w:spacing w:line="480" w:lineRule="exact"/>
        <w:ind w:left="0" w:leftChars="0" w:firstLine="480" w:firstLineChars="200"/>
        <w:textAlignment w:val="auto"/>
        <w:rPr>
          <w:rFonts w:hint="default" w:ascii="Times New Roman" w:hAnsi="Times New Roman" w:cs="Times New Roman"/>
          <w:color w:val="auto"/>
          <w:highlight w:val="none"/>
        </w:rPr>
      </w:pPr>
      <w:r>
        <w:rPr>
          <w:rFonts w:hint="default" w:ascii="Times New Roman" w:hAnsi="Times New Roman" w:cs="Times New Roman"/>
          <w:color w:val="auto"/>
          <w:szCs w:val="24"/>
          <w:highlight w:val="none"/>
        </w:rPr>
        <w:t>为加快储量升级、推动风城组有序动用，同时落实二叠系风城组合理的井网参数及井组生产规律，探索页岩油小井距立体开发模式，玛湖项目部拟实施</w:t>
      </w:r>
      <w:r>
        <w:rPr>
          <w:rFonts w:hint="default" w:ascii="Times New Roman" w:hAnsi="Times New Roman" w:cs="Times New Roman"/>
          <w:color w:val="auto"/>
          <w:szCs w:val="24"/>
          <w:highlight w:val="none"/>
          <w:lang w:eastAsia="zh-CN"/>
        </w:rPr>
        <w:t>“新疆夏子街油田丰探1井区二叠系风城组页岩油2025年产能建设项目”，该项目属于页岩油开采项目（石油开采新区块开发），位于</w:t>
      </w:r>
      <w:bookmarkStart w:id="20" w:name="OLE_LINK5"/>
      <w:bookmarkStart w:id="21" w:name="OLE_LINK9"/>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bookmarkEnd w:id="20"/>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bookmarkEnd w:id="21"/>
      <w:r>
        <w:rPr>
          <w:rFonts w:hint="default" w:ascii="Times New Roman" w:hAnsi="Times New Roman" w:cs="Times New Roman"/>
          <w:color w:val="auto"/>
          <w:szCs w:val="24"/>
          <w:highlight w:val="none"/>
          <w:lang w:eastAsia="zh-CN"/>
        </w:rPr>
        <w:t>。</w:t>
      </w:r>
      <w:r>
        <w:rPr>
          <w:rFonts w:hint="default" w:ascii="Times New Roman" w:hAnsi="Times New Roman" w:cs="Times New Roman"/>
          <w:color w:val="auto"/>
          <w:highlight w:val="none"/>
        </w:rPr>
        <w:t>工程总投资</w:t>
      </w:r>
      <w:r>
        <w:rPr>
          <w:rFonts w:hint="default" w:ascii="Times New Roman" w:hAnsi="Times New Roman" w:cs="Times New Roman"/>
          <w:color w:val="auto"/>
          <w:highlight w:val="none"/>
          <w:lang w:eastAsia="zh-CN"/>
        </w:rPr>
        <w:t>5321.98</w:t>
      </w:r>
      <w:r>
        <w:rPr>
          <w:rFonts w:hint="default" w:ascii="Times New Roman" w:hAnsi="Times New Roman" w:cs="Times New Roman"/>
          <w:color w:val="auto"/>
          <w:highlight w:val="none"/>
        </w:rPr>
        <w:t>万元。</w:t>
      </w:r>
    </w:p>
    <w:p>
      <w:pPr>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本工程主要建设内容为：①部署7口采油井</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；②</w:t>
      </w:r>
      <w:r>
        <w:rPr>
          <w:rFonts w:hint="eastAsia" w:cs="Times New Roman"/>
          <w:color w:val="auto"/>
          <w:sz w:val="24"/>
          <w:szCs w:val="24"/>
          <w:highlight w:val="none"/>
          <w:lang w:val="en-US" w:eastAsia="zh-CN" w:bidi="ar-SA"/>
        </w:rPr>
        <w:t>新建采油井场18座（FTYHW1235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FTYHW1234、丰探1、丰探101、丰探102、丰探103、夏211X、夏213、夏216、夏217、风城5、风城6X、风城7），</w:t>
      </w:r>
      <w:r>
        <w:rPr>
          <w:rFonts w:hint="default" w:ascii="Times New Roman" w:hAnsi="Times New Roman" w:eastAsia="宋体" w:cs="Times New Roman"/>
          <w:color w:val="auto"/>
          <w:sz w:val="24"/>
          <w:szCs w:val="24"/>
          <w:highlight w:val="none"/>
          <w:lang w:val="en-US" w:eastAsia="zh-CN" w:bidi="ar-SA"/>
        </w:rPr>
        <w:t>新建集中拉油站一座，12井式计量站一座，新建阀池1座；③新建各类集输管道</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km；④配套自动控制、通信、供配电、结构、给排水及消防等辅助系统工程。项目建成后，区块新建产能</w:t>
      </w:r>
      <w:r>
        <w:rPr>
          <w:rFonts w:hint="eastAsia" w:cs="Times New Roman"/>
          <w:color w:val="auto"/>
          <w:sz w:val="24"/>
          <w:szCs w:val="24"/>
          <w:highlight w:val="none"/>
          <w:lang w:val="en-US" w:eastAsia="zh-CN" w:bidi="ar-SA"/>
        </w:rPr>
        <w:t>15.5</w:t>
      </w:r>
      <w:r>
        <w:rPr>
          <w:rFonts w:hint="default"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vertAlign w:val="superscript"/>
          <w:lang w:val="en-US" w:eastAsia="zh-CN" w:bidi="ar-SA"/>
        </w:rPr>
        <w:t>4</w:t>
      </w:r>
      <w:r>
        <w:rPr>
          <w:rFonts w:hint="default" w:ascii="Times New Roman" w:hAnsi="Times New Roman" w:eastAsia="宋体" w:cs="Times New Roman"/>
          <w:color w:val="auto"/>
          <w:sz w:val="24"/>
          <w:szCs w:val="24"/>
          <w:highlight w:val="none"/>
          <w:lang w:val="en-US" w:eastAsia="zh-CN" w:bidi="ar-SA"/>
        </w:rPr>
        <w:t>t/a。</w:t>
      </w:r>
    </w:p>
    <w:p>
      <w:pPr>
        <w:pStyle w:val="49"/>
        <w:pageBreakBefore w:val="0"/>
        <w:kinsoku/>
        <w:wordWrap/>
        <w:overflowPunct/>
        <w:topLinePunct w:val="0"/>
        <w:autoSpaceDE/>
        <w:autoSpaceDN/>
        <w:bidi w:val="0"/>
        <w:spacing w:line="480" w:lineRule="exact"/>
        <w:textAlignment w:val="auto"/>
        <w:rPr>
          <w:color w:val="auto"/>
          <w:highlight w:val="none"/>
        </w:rPr>
      </w:pPr>
      <w:bookmarkStart w:id="22" w:name="_Toc173942659"/>
      <w:bookmarkStart w:id="23" w:name="_Toc173941778"/>
      <w:bookmarkStart w:id="24" w:name="_Toc6592"/>
      <w:bookmarkStart w:id="25" w:name="_Toc173941705"/>
      <w:bookmarkStart w:id="26" w:name="_Toc8550"/>
      <w:bookmarkStart w:id="27" w:name="_Toc224"/>
      <w:bookmarkStart w:id="28" w:name="_Toc508291868"/>
      <w:r>
        <w:rPr>
          <w:color w:val="auto"/>
          <w:highlight w:val="none"/>
        </w:rPr>
        <w:t>1.2环境影响评价</w:t>
      </w:r>
      <w:r>
        <w:rPr>
          <w:rFonts w:hint="eastAsia"/>
          <w:color w:val="auto"/>
          <w:highlight w:val="none"/>
        </w:rPr>
        <w:t>的工作</w:t>
      </w:r>
      <w:r>
        <w:rPr>
          <w:color w:val="auto"/>
          <w:highlight w:val="none"/>
        </w:rPr>
        <w:t>过程</w:t>
      </w:r>
      <w:bookmarkEnd w:id="22"/>
      <w:bookmarkEnd w:id="23"/>
      <w:bookmarkEnd w:id="24"/>
      <w:bookmarkEnd w:id="25"/>
      <w:bookmarkEnd w:id="26"/>
      <w:bookmarkEnd w:id="27"/>
      <w:bookmarkEnd w:id="28"/>
    </w:p>
    <w:p>
      <w:pPr>
        <w:pStyle w:val="57"/>
        <w:pageBreakBefore w:val="0"/>
        <w:kinsoku/>
        <w:wordWrap/>
        <w:overflowPunct/>
        <w:topLinePunct w:val="0"/>
        <w:autoSpaceDE/>
        <w:autoSpaceDN/>
        <w:bidi w:val="0"/>
        <w:spacing w:line="480" w:lineRule="exact"/>
        <w:textAlignment w:val="auto"/>
        <w:rPr>
          <w:color w:val="auto"/>
          <w:sz w:val="24"/>
          <w:szCs w:val="24"/>
          <w:highlight w:val="none"/>
        </w:rPr>
      </w:pPr>
      <w:r>
        <w:rPr>
          <w:rFonts w:hint="eastAsia" w:hAnsi="宋体" w:cs="宋体"/>
          <w:color w:val="auto"/>
          <w:sz w:val="24"/>
          <w:szCs w:val="24"/>
          <w:highlight w:val="none"/>
        </w:rPr>
        <w:t>本工程</w:t>
      </w:r>
      <w:r>
        <w:rPr>
          <w:rFonts w:hAnsi="宋体" w:cs="宋体"/>
          <w:color w:val="auto"/>
          <w:sz w:val="24"/>
          <w:szCs w:val="24"/>
          <w:highlight w:val="none"/>
        </w:rPr>
        <w:t>属于</w:t>
      </w:r>
      <w:r>
        <w:rPr>
          <w:rFonts w:hint="eastAsia" w:hAnsi="宋体" w:cs="宋体"/>
          <w:color w:val="auto"/>
          <w:sz w:val="24"/>
          <w:szCs w:val="24"/>
          <w:highlight w:val="none"/>
          <w:lang w:val="en-US" w:eastAsia="zh-CN"/>
        </w:rPr>
        <w:t>页岩油开采</w:t>
      </w:r>
      <w:r>
        <w:rPr>
          <w:rFonts w:hAnsi="宋体" w:cs="宋体"/>
          <w:color w:val="auto"/>
          <w:sz w:val="24"/>
          <w:szCs w:val="24"/>
          <w:highlight w:val="none"/>
        </w:rPr>
        <w:t>项目，</w:t>
      </w:r>
      <w:r>
        <w:rPr>
          <w:rFonts w:hint="eastAsia"/>
          <w:color w:val="auto"/>
          <w:sz w:val="24"/>
          <w:szCs w:val="24"/>
          <w:highlight w:val="none"/>
        </w:rPr>
        <w:t>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eastAsia"/>
          <w:color w:val="auto"/>
          <w:sz w:val="24"/>
          <w:szCs w:val="24"/>
          <w:highlight w:val="none"/>
        </w:rPr>
        <w:t>境内，根据《新疆维吾尔自治区水土保持规划</w:t>
      </w:r>
      <w:r>
        <w:rPr>
          <w:rFonts w:hint="eastAsia"/>
          <w:color w:val="auto"/>
          <w:sz w:val="24"/>
          <w:szCs w:val="24"/>
          <w:highlight w:val="none"/>
          <w:lang w:eastAsia="zh-CN"/>
        </w:rPr>
        <w:t>（</w:t>
      </w:r>
      <w:r>
        <w:rPr>
          <w:rFonts w:hint="eastAsia"/>
          <w:color w:val="auto"/>
          <w:sz w:val="24"/>
          <w:szCs w:val="24"/>
          <w:highlight w:val="none"/>
        </w:rPr>
        <w:t>2018</w:t>
      </w:r>
      <w:r>
        <w:rPr>
          <w:rFonts w:hint="eastAsia"/>
          <w:color w:val="auto"/>
          <w:sz w:val="24"/>
          <w:szCs w:val="24"/>
          <w:highlight w:val="none"/>
          <w:lang w:eastAsia="zh-CN"/>
        </w:rPr>
        <w:t>—</w:t>
      </w:r>
      <w:r>
        <w:rPr>
          <w:rFonts w:hint="eastAsia"/>
          <w:color w:val="auto"/>
          <w:sz w:val="24"/>
          <w:szCs w:val="24"/>
          <w:highlight w:val="none"/>
        </w:rPr>
        <w:t>2030年</w:t>
      </w:r>
      <w:r>
        <w:rPr>
          <w:rFonts w:hint="eastAsia"/>
          <w:color w:val="auto"/>
          <w:sz w:val="24"/>
          <w:szCs w:val="24"/>
          <w:highlight w:val="none"/>
          <w:lang w:eastAsia="zh-CN"/>
        </w:rPr>
        <w:t>）</w:t>
      </w:r>
      <w:r>
        <w:rPr>
          <w:rFonts w:hint="eastAsia"/>
          <w:color w:val="auto"/>
          <w:sz w:val="24"/>
          <w:szCs w:val="24"/>
          <w:highlight w:val="none"/>
        </w:rPr>
        <w:t>》和</w:t>
      </w:r>
      <w:r>
        <w:rPr>
          <w:color w:val="auto"/>
          <w:sz w:val="24"/>
          <w:szCs w:val="24"/>
          <w:highlight w:val="none"/>
        </w:rPr>
        <w:t>新水水保〔2019〕4号</w:t>
      </w:r>
      <w:r>
        <w:rPr>
          <w:rFonts w:hint="eastAsia"/>
          <w:color w:val="auto"/>
          <w:sz w:val="24"/>
          <w:szCs w:val="24"/>
          <w:highlight w:val="none"/>
        </w:rPr>
        <w:t>，项目所在区域属于</w:t>
      </w:r>
      <w:r>
        <w:rPr>
          <w:rFonts w:hint="eastAsia"/>
          <w:color w:val="auto"/>
          <w:sz w:val="24"/>
          <w:szCs w:val="24"/>
          <w:highlight w:val="none"/>
          <w:lang w:eastAsia="zh-CN"/>
        </w:rPr>
        <w:t>天山北坡诸小河流域重点治理区</w:t>
      </w:r>
      <w:r>
        <w:rPr>
          <w:rFonts w:hint="eastAsia"/>
          <w:color w:val="auto"/>
          <w:sz w:val="24"/>
          <w:szCs w:val="24"/>
          <w:highlight w:val="none"/>
        </w:rPr>
        <w:t>范围。根据《中华人民共和国环境影响评价法》</w:t>
      </w:r>
      <w:r>
        <w:rPr>
          <w:rFonts w:hint="eastAsia"/>
          <w:color w:val="auto"/>
          <w:sz w:val="24"/>
          <w:szCs w:val="24"/>
          <w:highlight w:val="none"/>
          <w:lang w:eastAsia="zh-CN"/>
        </w:rPr>
        <w:t>（</w:t>
      </w:r>
      <w:r>
        <w:rPr>
          <w:rFonts w:hint="eastAsia"/>
          <w:color w:val="auto"/>
          <w:sz w:val="24"/>
          <w:szCs w:val="24"/>
          <w:highlight w:val="none"/>
        </w:rPr>
        <w:t>2018年12月29日修正</w:t>
      </w:r>
      <w:r>
        <w:rPr>
          <w:rFonts w:hint="eastAsia"/>
          <w:color w:val="auto"/>
          <w:sz w:val="24"/>
          <w:szCs w:val="24"/>
          <w:highlight w:val="none"/>
          <w:lang w:eastAsia="zh-CN"/>
        </w:rPr>
        <w:t>）</w:t>
      </w:r>
      <w:r>
        <w:rPr>
          <w:rFonts w:hint="eastAsia"/>
          <w:color w:val="auto"/>
          <w:sz w:val="24"/>
          <w:szCs w:val="24"/>
          <w:highlight w:val="none"/>
        </w:rPr>
        <w:t>、《建设项目环境影响评价分类管理名录</w:t>
      </w:r>
      <w:r>
        <w:rPr>
          <w:rFonts w:hint="eastAsia"/>
          <w:color w:val="auto"/>
          <w:sz w:val="24"/>
          <w:szCs w:val="24"/>
          <w:highlight w:val="none"/>
          <w:lang w:eastAsia="zh-CN"/>
        </w:rPr>
        <w:t>（</w:t>
      </w:r>
      <w:r>
        <w:rPr>
          <w:rFonts w:hint="eastAsia"/>
          <w:color w:val="auto"/>
          <w:sz w:val="24"/>
          <w:szCs w:val="24"/>
          <w:highlight w:val="none"/>
        </w:rPr>
        <w:t>2021年版</w:t>
      </w:r>
      <w:r>
        <w:rPr>
          <w:rFonts w:hint="eastAsia"/>
          <w:color w:val="auto"/>
          <w:sz w:val="24"/>
          <w:szCs w:val="24"/>
          <w:highlight w:val="none"/>
          <w:lang w:eastAsia="zh-CN"/>
        </w:rPr>
        <w:t>）</w:t>
      </w:r>
      <w:r>
        <w:rPr>
          <w:rFonts w:hint="eastAsia"/>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rPr>
        <w:t>部令第16号</w:t>
      </w:r>
      <w:r>
        <w:rPr>
          <w:rFonts w:hint="eastAsia"/>
          <w:color w:val="auto"/>
          <w:sz w:val="24"/>
          <w:szCs w:val="24"/>
          <w:highlight w:val="none"/>
          <w:lang w:eastAsia="zh-CN"/>
        </w:rPr>
        <w:t>）</w:t>
      </w:r>
      <w:r>
        <w:rPr>
          <w:rFonts w:hint="eastAsia"/>
          <w:color w:val="auto"/>
          <w:sz w:val="24"/>
          <w:szCs w:val="24"/>
          <w:highlight w:val="none"/>
        </w:rPr>
        <w:t>，拟建工程属于分类管理名录“五 石油和天然气开采业07 陆地</w:t>
      </w:r>
      <w:r>
        <w:rPr>
          <w:rFonts w:hint="eastAsia"/>
          <w:color w:val="auto"/>
          <w:sz w:val="24"/>
          <w:szCs w:val="24"/>
          <w:highlight w:val="none"/>
          <w:lang w:val="en-US" w:eastAsia="zh-CN"/>
        </w:rPr>
        <w:t>石油</w:t>
      </w:r>
      <w:r>
        <w:rPr>
          <w:rFonts w:hint="eastAsia"/>
          <w:color w:val="auto"/>
          <w:sz w:val="24"/>
          <w:szCs w:val="24"/>
          <w:highlight w:val="none"/>
        </w:rPr>
        <w:t>开采07</w:t>
      </w:r>
      <w:r>
        <w:rPr>
          <w:rFonts w:hint="eastAsia"/>
          <w:color w:val="auto"/>
          <w:sz w:val="24"/>
          <w:szCs w:val="24"/>
          <w:highlight w:val="none"/>
          <w:lang w:val="en-US" w:eastAsia="zh-CN"/>
        </w:rPr>
        <w:t>11</w:t>
      </w:r>
      <w:r>
        <w:rPr>
          <w:rFonts w:hint="eastAsia"/>
          <w:color w:val="auto"/>
          <w:sz w:val="24"/>
          <w:szCs w:val="24"/>
          <w:highlight w:val="none"/>
        </w:rPr>
        <w:t>”中</w:t>
      </w:r>
      <w:r>
        <w:rPr>
          <w:rFonts w:hint="eastAsia"/>
          <w:color w:val="auto"/>
          <w:sz w:val="24"/>
          <w:szCs w:val="24"/>
          <w:highlight w:val="none"/>
          <w:lang w:val="en-US" w:eastAsia="zh-CN"/>
        </w:rPr>
        <w:t>页岩油开采</w:t>
      </w:r>
      <w:r>
        <w:rPr>
          <w:rFonts w:hint="default" w:ascii="Times New Roman" w:hAnsi="Times New Roman" w:cs="Times New Roman"/>
          <w:color w:val="auto"/>
          <w:sz w:val="24"/>
          <w:szCs w:val="24"/>
          <w:highlight w:val="none"/>
          <w:lang w:eastAsia="zh-CN"/>
        </w:rPr>
        <w:t>（石油开采新区块开发）</w:t>
      </w:r>
      <w:r>
        <w:rPr>
          <w:rFonts w:hint="eastAsia"/>
          <w:color w:val="auto"/>
          <w:sz w:val="24"/>
          <w:szCs w:val="24"/>
          <w:highlight w:val="none"/>
          <w:lang w:val="en-US" w:eastAsia="zh-CN"/>
        </w:rPr>
        <w:t>以及</w:t>
      </w:r>
      <w:r>
        <w:rPr>
          <w:rFonts w:hint="eastAsia"/>
          <w:color w:val="auto"/>
          <w:sz w:val="24"/>
          <w:szCs w:val="24"/>
          <w:highlight w:val="none"/>
        </w:rPr>
        <w:t>“涉及环境敏感区的</w:t>
      </w:r>
      <w:r>
        <w:rPr>
          <w:rFonts w:hint="eastAsia"/>
          <w:color w:val="auto"/>
          <w:sz w:val="24"/>
          <w:szCs w:val="24"/>
          <w:highlight w:val="none"/>
          <w:lang w:eastAsia="zh-CN"/>
        </w:rPr>
        <w:t>（</w:t>
      </w:r>
      <w:r>
        <w:rPr>
          <w:rFonts w:hint="eastAsia"/>
          <w:color w:val="auto"/>
          <w:sz w:val="24"/>
          <w:szCs w:val="24"/>
          <w:highlight w:val="none"/>
        </w:rPr>
        <w:t>含内部集输管道建设</w:t>
      </w:r>
      <w:r>
        <w:rPr>
          <w:rFonts w:hint="eastAsia"/>
          <w:color w:val="auto"/>
          <w:sz w:val="24"/>
          <w:szCs w:val="24"/>
          <w:highlight w:val="none"/>
          <w:lang w:eastAsia="zh-CN"/>
        </w:rPr>
        <w:t>）</w:t>
      </w:r>
      <w:r>
        <w:rPr>
          <w:rFonts w:hint="eastAsia"/>
          <w:color w:val="auto"/>
          <w:sz w:val="24"/>
          <w:szCs w:val="24"/>
          <w:highlight w:val="none"/>
        </w:rPr>
        <w:t>”，应编制环境影响报告书。</w:t>
      </w:r>
    </w:p>
    <w:p>
      <w:pPr>
        <w:pStyle w:val="57"/>
        <w:pageBreakBefore w:val="0"/>
        <w:kinsoku/>
        <w:wordWrap/>
        <w:overflowPunct/>
        <w:topLinePunct w:val="0"/>
        <w:autoSpaceDE/>
        <w:autoSpaceDN/>
        <w:bidi w:val="0"/>
        <w:spacing w:line="480" w:lineRule="exact"/>
        <w:textAlignment w:val="auto"/>
        <w:rPr>
          <w:color w:val="auto"/>
          <w:sz w:val="24"/>
          <w:szCs w:val="24"/>
          <w:highlight w:val="none"/>
        </w:rPr>
      </w:pPr>
      <w:r>
        <w:rPr>
          <w:color w:val="auto"/>
          <w:sz w:val="24"/>
          <w:szCs w:val="24"/>
          <w:highlight w:val="none"/>
        </w:rPr>
        <w:t>202</w:t>
      </w:r>
      <w:r>
        <w:rPr>
          <w:rFonts w:hint="eastAsia"/>
          <w:color w:val="auto"/>
          <w:sz w:val="24"/>
          <w:szCs w:val="24"/>
          <w:highlight w:val="none"/>
        </w:rPr>
        <w:t>5</w:t>
      </w:r>
      <w:r>
        <w:rPr>
          <w:color w:val="auto"/>
          <w:sz w:val="24"/>
          <w:szCs w:val="24"/>
          <w:highlight w:val="none"/>
        </w:rPr>
        <w:t>年</w:t>
      </w:r>
      <w:r>
        <w:rPr>
          <w:rFonts w:hint="eastAsia"/>
          <w:color w:val="auto"/>
          <w:sz w:val="24"/>
          <w:szCs w:val="24"/>
          <w:highlight w:val="none"/>
          <w:lang w:val="en-US" w:eastAsia="zh-CN"/>
        </w:rPr>
        <w:t>7</w:t>
      </w:r>
      <w:r>
        <w:rPr>
          <w:color w:val="auto"/>
          <w:sz w:val="24"/>
          <w:szCs w:val="24"/>
          <w:highlight w:val="none"/>
        </w:rPr>
        <w:t>月</w:t>
      </w:r>
      <w:r>
        <w:rPr>
          <w:rFonts w:hint="eastAsia"/>
          <w:color w:val="auto"/>
          <w:sz w:val="24"/>
          <w:szCs w:val="24"/>
          <w:highlight w:val="none"/>
          <w:lang w:val="en-US" w:eastAsia="zh-CN"/>
        </w:rPr>
        <w:t>9</w:t>
      </w:r>
      <w:r>
        <w:rPr>
          <w:rFonts w:hint="eastAsia"/>
          <w:color w:val="auto"/>
          <w:sz w:val="24"/>
          <w:szCs w:val="24"/>
          <w:highlight w:val="none"/>
        </w:rPr>
        <w:t>日</w:t>
      </w:r>
      <w:r>
        <w:rPr>
          <w:color w:val="auto"/>
          <w:sz w:val="24"/>
          <w:szCs w:val="24"/>
          <w:highlight w:val="none"/>
        </w:rPr>
        <w:t>，</w:t>
      </w:r>
      <w:r>
        <w:rPr>
          <w:rFonts w:hint="eastAsia"/>
          <w:color w:val="auto"/>
          <w:sz w:val="24"/>
          <w:szCs w:val="24"/>
          <w:highlight w:val="none"/>
          <w:lang w:eastAsia="zh-CN"/>
        </w:rPr>
        <w:t>中国石油新疆油田分公司玛湖勘探开发项目部</w:t>
      </w:r>
      <w:r>
        <w:rPr>
          <w:rFonts w:hint="eastAsia"/>
          <w:color w:val="auto"/>
          <w:sz w:val="24"/>
          <w:szCs w:val="24"/>
          <w:highlight w:val="none"/>
        </w:rPr>
        <w:t>（以下简称“建设单位”）</w:t>
      </w:r>
      <w:r>
        <w:rPr>
          <w:color w:val="auto"/>
          <w:sz w:val="24"/>
          <w:szCs w:val="24"/>
          <w:highlight w:val="none"/>
        </w:rPr>
        <w:t>委托新疆天合环境技术咨询有限公司（以下简称“天合公司”）承担</w:t>
      </w:r>
      <w:r>
        <w:rPr>
          <w:rFonts w:hint="eastAsia"/>
          <w:color w:val="auto"/>
          <w:sz w:val="24"/>
          <w:szCs w:val="24"/>
          <w:highlight w:val="none"/>
        </w:rPr>
        <w:t>本工程</w:t>
      </w:r>
      <w:r>
        <w:rPr>
          <w:color w:val="auto"/>
          <w:sz w:val="24"/>
          <w:szCs w:val="24"/>
          <w:highlight w:val="none"/>
        </w:rPr>
        <w:t>的环境影响评价工作（见附件1）。</w:t>
      </w:r>
    </w:p>
    <w:p>
      <w:pPr>
        <w:pStyle w:val="57"/>
        <w:pageBreakBefore w:val="0"/>
        <w:kinsoku/>
        <w:wordWrap/>
        <w:overflowPunct/>
        <w:topLinePunct w:val="0"/>
        <w:autoSpaceDE/>
        <w:autoSpaceDN/>
        <w:bidi w:val="0"/>
        <w:spacing w:line="480" w:lineRule="exact"/>
        <w:textAlignment w:val="auto"/>
        <w:rPr>
          <w:color w:val="auto"/>
          <w:sz w:val="24"/>
          <w:szCs w:val="24"/>
          <w:highlight w:val="none"/>
        </w:rPr>
      </w:pPr>
      <w:r>
        <w:rPr>
          <w:color w:val="auto"/>
          <w:sz w:val="24"/>
          <w:szCs w:val="24"/>
          <w:highlight w:val="none"/>
        </w:rPr>
        <w:t>天合公司接受环评委托后，在建设单位的协助下，按照环境影响评价的相关技术导则及有关工作程序，组织专业人员，对项目区现场实地踏勘、开展现状调查工作、收集资料及其他支撑性文件资料，对建设项目进行工程分析，根据各环境要素的评价等级对各要素环境影响进行预测和评价，提出环境保护措施并进行经济技术论证。受天合公司委托，</w:t>
      </w:r>
      <w:r>
        <w:rPr>
          <w:rFonts w:hint="eastAsia"/>
          <w:color w:val="auto"/>
          <w:sz w:val="24"/>
          <w:szCs w:val="24"/>
          <w:highlight w:val="none"/>
          <w:lang w:eastAsia="zh-CN"/>
        </w:rPr>
        <w:t>克拉玛依钧仪衡环境检测有限公司</w:t>
      </w:r>
      <w:r>
        <w:rPr>
          <w:rFonts w:hint="eastAsia"/>
          <w:color w:val="auto"/>
          <w:sz w:val="24"/>
          <w:szCs w:val="24"/>
          <w:highlight w:val="none"/>
        </w:rPr>
        <w:t>于2025年</w:t>
      </w:r>
      <w:r>
        <w:rPr>
          <w:rFonts w:hint="eastAsia"/>
          <w:color w:val="auto"/>
          <w:sz w:val="24"/>
          <w:szCs w:val="24"/>
          <w:highlight w:val="none"/>
          <w:lang w:val="en-US" w:eastAsia="zh-CN"/>
        </w:rPr>
        <w:t>7</w:t>
      </w:r>
      <w:r>
        <w:rPr>
          <w:rFonts w:hint="eastAsia"/>
          <w:color w:val="auto"/>
          <w:sz w:val="24"/>
          <w:szCs w:val="24"/>
          <w:highlight w:val="none"/>
        </w:rPr>
        <w:t>月</w:t>
      </w:r>
      <w:r>
        <w:rPr>
          <w:color w:val="auto"/>
          <w:sz w:val="24"/>
          <w:szCs w:val="24"/>
          <w:highlight w:val="none"/>
        </w:rPr>
        <w:t>对</w:t>
      </w:r>
      <w:r>
        <w:rPr>
          <w:rFonts w:hint="eastAsia"/>
          <w:color w:val="auto"/>
          <w:sz w:val="24"/>
          <w:szCs w:val="24"/>
          <w:highlight w:val="none"/>
        </w:rPr>
        <w:t>本工程评价</w:t>
      </w:r>
      <w:r>
        <w:rPr>
          <w:color w:val="auto"/>
          <w:sz w:val="24"/>
          <w:szCs w:val="24"/>
          <w:highlight w:val="none"/>
        </w:rPr>
        <w:t>区域环境质量现状进行了监测</w:t>
      </w:r>
      <w:r>
        <w:rPr>
          <w:rFonts w:hint="eastAsia"/>
          <w:color w:val="auto"/>
          <w:sz w:val="24"/>
          <w:szCs w:val="24"/>
          <w:highlight w:val="none"/>
        </w:rPr>
        <w:t>。</w:t>
      </w:r>
    </w:p>
    <w:p>
      <w:pPr>
        <w:pStyle w:val="57"/>
        <w:pageBreakBefore w:val="0"/>
        <w:kinsoku/>
        <w:wordWrap/>
        <w:overflowPunct/>
        <w:topLinePunct w:val="0"/>
        <w:autoSpaceDE/>
        <w:autoSpaceDN/>
        <w:bidi w:val="0"/>
        <w:spacing w:line="480" w:lineRule="exact"/>
        <w:textAlignment w:val="auto"/>
        <w:rPr>
          <w:color w:val="auto"/>
          <w:sz w:val="24"/>
          <w:szCs w:val="24"/>
          <w:highlight w:val="none"/>
        </w:rPr>
      </w:pPr>
      <w:r>
        <w:rPr>
          <w:color w:val="auto"/>
          <w:sz w:val="24"/>
          <w:szCs w:val="24"/>
          <w:highlight w:val="none"/>
        </w:rPr>
        <w:t>在以上基础上，天合公司编制完成了《</w:t>
      </w:r>
      <w:r>
        <w:rPr>
          <w:rFonts w:hint="eastAsia"/>
          <w:color w:val="auto"/>
          <w:sz w:val="24"/>
          <w:szCs w:val="24"/>
          <w:highlight w:val="none"/>
          <w:lang w:eastAsia="zh-CN"/>
        </w:rPr>
        <w:t>新疆夏子街油田丰探1井区二叠系风城组页岩油2025年产能建设项目</w:t>
      </w:r>
      <w:r>
        <w:rPr>
          <w:color w:val="auto"/>
          <w:sz w:val="24"/>
          <w:szCs w:val="24"/>
          <w:highlight w:val="none"/>
        </w:rPr>
        <w:t>环境影响报告书》（以下简称“报告书”）。环境影响评价的工作程序见图1.2-1。</w:t>
      </w: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r>
        <w:rPr>
          <w:color w:val="auto"/>
          <w:sz w:val="24"/>
          <w:szCs w:val="24"/>
          <w:highlight w:val="none"/>
        </w:rPr>
        <w:t>报告书经生态环境主管部门批准后，可以作为</w:t>
      </w:r>
      <w:r>
        <w:rPr>
          <w:rFonts w:hint="eastAsia"/>
          <w:color w:val="auto"/>
          <w:sz w:val="24"/>
          <w:szCs w:val="24"/>
          <w:highlight w:val="none"/>
        </w:rPr>
        <w:t>本工程施工期</w:t>
      </w:r>
      <w:r>
        <w:rPr>
          <w:color w:val="auto"/>
          <w:sz w:val="24"/>
          <w:szCs w:val="24"/>
          <w:highlight w:val="none"/>
        </w:rPr>
        <w:t>、运营期、</w:t>
      </w:r>
      <w:r>
        <w:rPr>
          <w:rFonts w:hint="eastAsia"/>
          <w:color w:val="auto"/>
          <w:sz w:val="24"/>
          <w:szCs w:val="24"/>
          <w:highlight w:val="none"/>
        </w:rPr>
        <w:t>退役期</w:t>
      </w:r>
      <w:r>
        <w:rPr>
          <w:color w:val="auto"/>
          <w:sz w:val="24"/>
          <w:szCs w:val="24"/>
          <w:highlight w:val="none"/>
        </w:rPr>
        <w:t>的环境保护管理依据</w:t>
      </w:r>
      <w:r>
        <w:rPr>
          <w:rFonts w:hint="eastAsia"/>
          <w:color w:val="auto"/>
          <w:sz w:val="24"/>
          <w:szCs w:val="24"/>
          <w:highlight w:val="none"/>
        </w:rPr>
        <w:t>。</w:t>
      </w: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eastAsia"/>
          <w:color w:val="auto"/>
          <w:sz w:val="24"/>
          <w:szCs w:val="24"/>
          <w:highlight w:val="none"/>
        </w:rPr>
      </w:pPr>
    </w:p>
    <w:p>
      <w:pPr>
        <w:pageBreakBefore w:val="0"/>
        <w:widowControl w:val="0"/>
        <w:kinsoku/>
        <w:wordWrap/>
        <w:overflowPunct/>
        <w:topLinePunct w:val="0"/>
        <w:autoSpaceDE/>
        <w:autoSpaceDN/>
        <w:bidi w:val="0"/>
        <w:spacing w:line="480" w:lineRule="exact"/>
        <w:ind w:firstLine="480"/>
        <w:jc w:val="both"/>
        <w:textAlignment w:val="auto"/>
        <w:rPr>
          <w:rFonts w:hint="default"/>
          <w:color w:val="auto"/>
          <w:sz w:val="24"/>
          <w:szCs w:val="24"/>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8720" behindDoc="0" locked="0" layoutInCell="1" allowOverlap="1">
                <wp:simplePos x="0" y="0"/>
                <wp:positionH relativeFrom="column">
                  <wp:posOffset>50800</wp:posOffset>
                </wp:positionH>
                <wp:positionV relativeFrom="paragraph">
                  <wp:posOffset>33655</wp:posOffset>
                </wp:positionV>
                <wp:extent cx="5364480" cy="6579235"/>
                <wp:effectExtent l="4445" t="5080" r="22225" b="6985"/>
                <wp:wrapNone/>
                <wp:docPr id="41" name="矩形 41"/>
                <wp:cNvGraphicFramePr/>
                <a:graphic xmlns:a="http://schemas.openxmlformats.org/drawingml/2006/main">
                  <a:graphicData uri="http://schemas.microsoft.com/office/word/2010/wordprocessingShape">
                    <wps:wsp>
                      <wps:cNvSpPr/>
                      <wps:spPr>
                        <a:xfrm>
                          <a:off x="0" y="0"/>
                          <a:ext cx="5181600" cy="6579235"/>
                        </a:xfrm>
                        <a:prstGeom prst="rect">
                          <a:avLst/>
                        </a:prstGeom>
                        <a:noFill/>
                        <a:ln w="9525" cap="flat" cmpd="sng">
                          <a:solidFill>
                            <a:srgbClr val="000000"/>
                          </a:solidFill>
                          <a:prstDash val="dash"/>
                          <a:miter/>
                          <a:headEnd type="none" w="med" len="med"/>
                          <a:tailEnd type="none" w="med" len="med"/>
                        </a:ln>
                        <a:effectLst/>
                      </wps:spPr>
                      <wps:bodyPr upright="1"/>
                    </wps:wsp>
                  </a:graphicData>
                </a:graphic>
              </wp:anchor>
            </w:drawing>
          </mc:Choice>
          <mc:Fallback>
            <w:pict>
              <v:rect id="_x0000_s1026" o:spid="_x0000_s1026" o:spt="1" style="position:absolute;left:0pt;margin-left:4pt;margin-top:2.65pt;height:518.05pt;width:422.4pt;z-index:251678720;mso-width-relative:page;mso-height-relative:page;" filled="f" stroked="t" coordsize="21600,21600" o:gfxdata="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g6ESi9UAAAAIAQAADwAAAAAAAAABACAAAAAiAAAAZHJzL2Rvd25yZXYu&#10;eG1sUEsBAhQAFAAAAAgAh07iQCs6R6L+AQAABQQAAA4AAAAAAAAAAQAgAAAAJAEAAGRycy9lMm9E&#10;b2MueG1sUEsFBgAAAAAGAAYAWQEAAJQFAAAAAA==&#10;">
                <v:fill on="f" focussize="0,0"/>
                <v:stroke color="#000000" joinstyle="miter" dashstyle="dash"/>
                <v:imagedata o:title=""/>
                <o:lock v:ext="edit" aspectratio="f"/>
              </v:rect>
            </w:pict>
          </mc:Fallback>
        </mc:AlternateContent>
      </w: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2336" behindDoc="0" locked="0" layoutInCell="1" allowOverlap="1">
                <wp:simplePos x="0" y="0"/>
                <wp:positionH relativeFrom="column">
                  <wp:posOffset>1122045</wp:posOffset>
                </wp:positionH>
                <wp:positionV relativeFrom="paragraph">
                  <wp:posOffset>71755</wp:posOffset>
                </wp:positionV>
                <wp:extent cx="2936875" cy="553720"/>
                <wp:effectExtent l="4445" t="5080" r="11430" b="12700"/>
                <wp:wrapNone/>
                <wp:docPr id="37" name="矩形 37"/>
                <wp:cNvGraphicFramePr/>
                <a:graphic xmlns:a="http://schemas.openxmlformats.org/drawingml/2006/main">
                  <a:graphicData uri="http://schemas.microsoft.com/office/word/2010/wordprocessingShape">
                    <wps:wsp>
                      <wps:cNvSpPr/>
                      <wps:spPr>
                        <a:xfrm>
                          <a:off x="0" y="0"/>
                          <a:ext cx="2936875" cy="55372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收集分析工程技术文件</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以及相关基础资料</w:t>
                            </w:r>
                          </w:p>
                        </w:txbxContent>
                      </wps:txbx>
                      <wps:bodyPr upright="1"/>
                    </wps:wsp>
                  </a:graphicData>
                </a:graphic>
              </wp:anchor>
            </w:drawing>
          </mc:Choice>
          <mc:Fallback>
            <w:pict>
              <v:rect id="_x0000_s1026" o:spid="_x0000_s1026" o:spt="1" style="position:absolute;left:0pt;margin-left:88.35pt;margin-top:5.65pt;height:43.6pt;width:231.25pt;z-index:251662336;mso-width-relative:page;mso-height-relative:page;" fillcolor="#FFFFFF" filled="t" stroked="t" coordsize="21600,21600" o:gfxdata="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U6C3l9gAAAAJAQAADwAAAAAAAAABACAAAAAi&#10;AAAAZHJzL2Rvd25yZXYueG1sUEsBAhQAFAAAAAgAh07iQLFK1qsKAgAAOQQAAA4AAAAAAAAAAQAg&#10;AAAAJwEAAGRycy9lMm9Eb2MueG1sUEsFBgAAAAAGAAYAWQEAAKM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收集分析工程技术文件</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以及相关基础资料</w:t>
                      </w:r>
                    </w:p>
                  </w:txbxContent>
                </v:textbox>
              </v:rect>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3360" behindDoc="0" locked="0" layoutInCell="1" allowOverlap="1">
                <wp:simplePos x="0" y="0"/>
                <wp:positionH relativeFrom="column">
                  <wp:posOffset>2580640</wp:posOffset>
                </wp:positionH>
                <wp:positionV relativeFrom="paragraph">
                  <wp:posOffset>102870</wp:posOffset>
                </wp:positionV>
                <wp:extent cx="6350" cy="424180"/>
                <wp:effectExtent l="36830" t="0" r="33020" b="13970"/>
                <wp:wrapNone/>
                <wp:docPr id="39" name="直接箭头连接符 39"/>
                <wp:cNvGraphicFramePr/>
                <a:graphic xmlns:a="http://schemas.openxmlformats.org/drawingml/2006/main">
                  <a:graphicData uri="http://schemas.microsoft.com/office/word/2010/wordprocessingShape">
                    <wps:wsp>
                      <wps:cNvCnPr/>
                      <wps:spPr>
                        <a:xfrm flipH="1">
                          <a:off x="0" y="0"/>
                          <a:ext cx="6350" cy="42418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3.2pt;margin-top:8.1pt;height:33.4pt;width:0.5pt;z-index:251663360;mso-width-relative:page;mso-height-relative:page;" filled="f" stroked="t" coordsize="21600,21600" o:gfxdata="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AtC7G/YAAAACQEAAA8A&#10;AAAAAAAAAQAgAAAAIgAAAGRycy9kb3ducmV2LnhtbFBLAQIUABQAAAAIAIdO4kAcJ3DzFwIAAAwE&#10;AAAOAAAAAAAAAAEAIAAAACcBAABkcnMvZTJvRG9jLnhtbFBLBQYAAAAABgAGAFkBAACwBQAAAAA=&#10;">
                <v:fill on="f" focussize="0,0"/>
                <v:stroke color="#000000" joinstyle="round" endarrow="block"/>
                <v:imagedata o:title=""/>
                <o:lock v:ext="edit" aspectratio="f"/>
              </v:shape>
            </w:pict>
          </mc:Fallback>
        </mc:AlternateContent>
      </w: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5648" behindDoc="0" locked="0" layoutInCell="1" allowOverlap="1">
                <wp:simplePos x="0" y="0"/>
                <wp:positionH relativeFrom="column">
                  <wp:posOffset>100330</wp:posOffset>
                </wp:positionH>
                <wp:positionV relativeFrom="paragraph">
                  <wp:posOffset>156845</wp:posOffset>
                </wp:positionV>
                <wp:extent cx="266700" cy="1123950"/>
                <wp:effectExtent l="0" t="0" r="0" b="0"/>
                <wp:wrapNone/>
                <wp:docPr id="45" name="矩形 45"/>
                <wp:cNvGraphicFramePr/>
                <a:graphic xmlns:a="http://schemas.openxmlformats.org/drawingml/2006/main">
                  <a:graphicData uri="http://schemas.microsoft.com/office/word/2010/wordprocessingShape">
                    <wps:wsp>
                      <wps:cNvSpPr/>
                      <wps:spPr>
                        <a:xfrm>
                          <a:off x="0" y="0"/>
                          <a:ext cx="266700" cy="1123950"/>
                        </a:xfrm>
                        <a:prstGeom prst="rect">
                          <a:avLst/>
                        </a:prstGeom>
                        <a:noFill/>
                        <a:ln w="9525">
                          <a:noFill/>
                        </a:ln>
                        <a:effectLst/>
                      </wps:spPr>
                      <wps:txbx>
                        <w:txbxContent>
                          <w:p>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第第一阶段</w:t>
                            </w:r>
                          </w:p>
                        </w:txbxContent>
                      </wps:txbx>
                      <wps:bodyPr upright="1"/>
                    </wps:wsp>
                  </a:graphicData>
                </a:graphic>
              </wp:anchor>
            </w:drawing>
          </mc:Choice>
          <mc:Fallback>
            <w:pict>
              <v:rect id="_x0000_s1026" o:spid="_x0000_s1026" o:spt="1" style="position:absolute;left:0pt;margin-left:7.9pt;margin-top:12.35pt;height:88.5pt;width:21pt;z-index:251675648;mso-width-relative:page;mso-height-relative:page;" filled="f" stroked="f" coordsize="21600,21600" o:gfxdata="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">
                <v:fill on="f" focussize="0,0"/>
                <v:stroke on="f"/>
                <v:imagedata o:title=""/>
                <o:lock v:ext="edit" aspectratio="f"/>
                <v:textbox>
                  <w:txbxContent>
                    <w:p>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第第一阶段</w:t>
                      </w:r>
                    </w:p>
                  </w:txbxContent>
                </v:textbox>
              </v:rect>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1312" behindDoc="0" locked="0" layoutInCell="1" allowOverlap="1">
                <wp:simplePos x="0" y="0"/>
                <wp:positionH relativeFrom="column">
                  <wp:posOffset>1142365</wp:posOffset>
                </wp:positionH>
                <wp:positionV relativeFrom="paragraph">
                  <wp:posOffset>28575</wp:posOffset>
                </wp:positionV>
                <wp:extent cx="2838450" cy="687705"/>
                <wp:effectExtent l="4445" t="4445" r="14605" b="12700"/>
                <wp:wrapNone/>
                <wp:docPr id="46" name="矩形 46"/>
                <wp:cNvGraphicFramePr/>
                <a:graphic xmlns:a="http://schemas.openxmlformats.org/drawingml/2006/main">
                  <a:graphicData uri="http://schemas.microsoft.com/office/word/2010/wordprocessingShape">
                    <wps:wsp>
                      <wps:cNvSpPr/>
                      <wps:spPr>
                        <a:xfrm>
                          <a:off x="0" y="0"/>
                          <a:ext cx="2838450" cy="68770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进行工程分析，识别环境影响</w:t>
                            </w:r>
                          </w:p>
                          <w:p>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并筛选评价因子，明确环境影响</w:t>
                            </w:r>
                          </w:p>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评价工作重点和环境保护目标</w:t>
                            </w:r>
                          </w:p>
                        </w:txbxContent>
                      </wps:txbx>
                      <wps:bodyPr upright="1"/>
                    </wps:wsp>
                  </a:graphicData>
                </a:graphic>
              </wp:anchor>
            </w:drawing>
          </mc:Choice>
          <mc:Fallback>
            <w:pict>
              <v:rect id="_x0000_s1026" o:spid="_x0000_s1026" o:spt="1" style="position:absolute;left:0pt;margin-left:89.95pt;margin-top:2.25pt;height:54.15pt;width:223.5pt;z-index:251661312;mso-width-relative:page;mso-height-relative:page;" fillcolor="#FFFFFF" filled="t" stroked="t" coordsize="21600,21600" o:gfxdata="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EwUL0DWAAAACQEAAA8AAAAAAAAAAQAgAAAAIgAAAGRy&#10;cy9kb3ducmV2LnhtbFBLAQIUABQAAAAIAIdO4kAiSdnOBwIAADkEAAAOAAAAAAAAAAEAIAAAACUB&#10;AABkcnMvZTJvRG9jLnhtbFBLBQYAAAAABgAGAFkBAACeBQ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进行工程分析，识别环境影响</w:t>
                      </w:r>
                    </w:p>
                    <w:p>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并筛选评价因子，明确环境影响</w:t>
                      </w:r>
                    </w:p>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评价工作重点和环境保护目标</w:t>
                      </w:r>
                    </w:p>
                  </w:txbxContent>
                </v:textbox>
              </v:rect>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4384" behindDoc="0" locked="0" layoutInCell="1" allowOverlap="1">
                <wp:simplePos x="0" y="0"/>
                <wp:positionH relativeFrom="column">
                  <wp:posOffset>2567940</wp:posOffset>
                </wp:positionH>
                <wp:positionV relativeFrom="paragraph">
                  <wp:posOffset>224155</wp:posOffset>
                </wp:positionV>
                <wp:extent cx="4445" cy="352425"/>
                <wp:effectExtent l="36830" t="0" r="34925" b="9525"/>
                <wp:wrapNone/>
                <wp:docPr id="47" name="直接箭头连接符 47"/>
                <wp:cNvGraphicFramePr/>
                <a:graphic xmlns:a="http://schemas.openxmlformats.org/drawingml/2006/main">
                  <a:graphicData uri="http://schemas.microsoft.com/office/word/2010/wordprocessingShape">
                    <wps:wsp>
                      <wps:cNvCnPr>
                        <a:endCxn id="48" idx="0"/>
                      </wps:cNvCnPr>
                      <wps:spPr>
                        <a:xfrm flipH="1">
                          <a:off x="0" y="0"/>
                          <a:ext cx="4445" cy="35242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2pt;margin-top:17.65pt;height:27.75pt;width:0.35pt;z-index:251664384;mso-width-relative:page;mso-height-relative:page;" filled="f" stroked="t" coordsize="21600,21600" o:gfxdata="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BN&#10;W7TJ2QAAAAkBAAAPAAAAAAAAAAEAIAAAACIAAABkcnMvZG93bnJldi54bWxQSwECFAAUAAAACACH&#10;TuJAUCAXbCMCAAA0BAAADgAAAAAAAAABACAAAAAoAQAAZHJzL2Uyb0RvYy54bWxQSwUGAAAAAAYA&#10;BgBZAQAAvQUAAAAA&#10;">
                <v:fill on="f" focussize="0,0"/>
                <v:stroke color="#000000" joinstyle="round" endarrow="block"/>
                <v:imagedata o:title=""/>
                <o:lock v:ext="edit" aspectratio="f"/>
              </v:shape>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5408" behindDoc="0" locked="0" layoutInCell="1" allowOverlap="1">
                <wp:simplePos x="0" y="0"/>
                <wp:positionH relativeFrom="column">
                  <wp:posOffset>1295400</wp:posOffset>
                </wp:positionH>
                <wp:positionV relativeFrom="paragraph">
                  <wp:posOffset>68580</wp:posOffset>
                </wp:positionV>
                <wp:extent cx="2545080" cy="504825"/>
                <wp:effectExtent l="4445" t="5080" r="22225" b="4445"/>
                <wp:wrapNone/>
                <wp:docPr id="48" name="矩形 48"/>
                <wp:cNvGraphicFramePr/>
                <a:graphic xmlns:a="http://schemas.openxmlformats.org/drawingml/2006/main">
                  <a:graphicData uri="http://schemas.microsoft.com/office/word/2010/wordprocessingShape">
                    <wps:wsp>
                      <wps:cNvSpPr/>
                      <wps:spPr>
                        <a:xfrm>
                          <a:off x="0" y="0"/>
                          <a:ext cx="2545080" cy="50482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确定评价工作等级、</w:t>
                            </w:r>
                          </w:p>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评价范围和评价标准</w:t>
                            </w:r>
                          </w:p>
                        </w:txbxContent>
                      </wps:txbx>
                      <wps:bodyPr upright="1"/>
                    </wps:wsp>
                  </a:graphicData>
                </a:graphic>
              </wp:anchor>
            </w:drawing>
          </mc:Choice>
          <mc:Fallback>
            <w:pict>
              <v:rect id="_x0000_s1026" o:spid="_x0000_s1026" o:spt="1" style="position:absolute;left:0pt;margin-left:102pt;margin-top:5.4pt;height:39.75pt;width:200.4pt;z-index:251665408;mso-width-relative:page;mso-height-relative:page;" fillcolor="#FFFFFF" filled="t" stroked="t" coordsize="21600,21600" o:gfxdata="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Oxc5tcAAAAJAQAADwAAAAAAAAABACAAAAAiAAAAZHJz&#10;L2Rvd25yZXYueG1sUEsBAhQAFAAAAAgAh07iQEQKl9UFAgAAOQQAAA4AAAAAAAAAAQAgAAAAJgEA&#10;AGRycy9lMm9Eb2MueG1sUEsFBgAAAAAGAAYAWQEAAJ0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0"/>
                        <w:jc w:val="center"/>
                        <w:textAlignment w:val="auto"/>
                        <w:rPr>
                          <w:rFonts w:hint="eastAsia"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确定评价工作等级、</w:t>
                      </w:r>
                    </w:p>
                    <w:p>
                      <w:pPr>
                        <w:keepNext w:val="0"/>
                        <w:keepLines w:val="0"/>
                        <w:pageBreakBefore w:val="0"/>
                        <w:widowControl/>
                        <w:kinsoku/>
                        <w:wordWrap/>
                        <w:overflowPunct/>
                        <w:topLinePunct w:val="0"/>
                        <w:autoSpaceDE/>
                        <w:autoSpaceDN/>
                        <w:bidi w:val="0"/>
                        <w:adjustRightInd/>
                        <w:snapToGrid/>
                        <w:ind w:firstLine="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评价范围和评价标准</w:t>
                      </w:r>
                    </w:p>
                  </w:txbxContent>
                </v:textbox>
              </v:rect>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6432" behindDoc="0" locked="0" layoutInCell="1" allowOverlap="1">
                <wp:simplePos x="0" y="0"/>
                <wp:positionH relativeFrom="column">
                  <wp:posOffset>2574290</wp:posOffset>
                </wp:positionH>
                <wp:positionV relativeFrom="paragraph">
                  <wp:posOffset>63500</wp:posOffset>
                </wp:positionV>
                <wp:extent cx="8255" cy="496570"/>
                <wp:effectExtent l="36830" t="0" r="31115" b="17780"/>
                <wp:wrapNone/>
                <wp:docPr id="49" name="直接箭头连接符 49"/>
                <wp:cNvGraphicFramePr/>
                <a:graphic xmlns:a="http://schemas.openxmlformats.org/drawingml/2006/main">
                  <a:graphicData uri="http://schemas.microsoft.com/office/word/2010/wordprocessingShape">
                    <wps:wsp>
                      <wps:cNvCnPr>
                        <a:endCxn id="48" idx="0"/>
                      </wps:cNvCnPr>
                      <wps:spPr>
                        <a:xfrm flipH="1">
                          <a:off x="0" y="0"/>
                          <a:ext cx="8255" cy="49657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2.7pt;margin-top:5pt;height:39.1pt;width:0.65pt;z-index:251666432;mso-width-relative:page;mso-height-relative:page;" filled="f" stroked="t" coordsize="21600,21600" o:gfxdata="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YqCS4dgAAAAJAQAADwAAAAAAAAABACAAAAAiAAAAZHJzL2Rvd25yZXYueG1sUEsBAhQAFAAAAAgA&#10;h07iQAFictklAgAANAQAAA4AAAAAAAAAAQAgAAAAJwEAAGRycy9lMm9Eb2MueG1sUEsFBgAAAAAG&#10;AAYAWQEAAL4FAAAAAA==&#10;">
                <v:fill on="f" focussize="0,0"/>
                <v:stroke color="#000000" joinstyle="round" endarrow="block"/>
                <v:imagedata o:title=""/>
                <o:lock v:ext="edit" aspectratio="f"/>
              </v:shape>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3600" behindDoc="0" locked="0" layoutInCell="1" allowOverlap="1">
                <wp:simplePos x="0" y="0"/>
                <wp:positionH relativeFrom="column">
                  <wp:posOffset>100965</wp:posOffset>
                </wp:positionH>
                <wp:positionV relativeFrom="paragraph">
                  <wp:posOffset>1270</wp:posOffset>
                </wp:positionV>
                <wp:extent cx="5124450" cy="23495"/>
                <wp:effectExtent l="0" t="4445" r="0" b="10160"/>
                <wp:wrapNone/>
                <wp:docPr id="32" name="直接箭头连接符 32"/>
                <wp:cNvGraphicFramePr/>
                <a:graphic xmlns:a="http://schemas.openxmlformats.org/drawingml/2006/main">
                  <a:graphicData uri="http://schemas.microsoft.com/office/word/2010/wordprocessingShape">
                    <wps:wsp>
                      <wps:cNvCnPr>
                        <a:stCxn id="36" idx="2"/>
                        <a:endCxn id="48" idx="0"/>
                      </wps:cNvCnPr>
                      <wps:spPr>
                        <a:xfrm flipV="1">
                          <a:off x="0" y="0"/>
                          <a:ext cx="5124450" cy="23495"/>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7.95pt;margin-top:0.1pt;height:1.85pt;width:403.5pt;z-index:251673600;mso-width-relative:page;mso-height-relative:page;" filled="f" stroked="t" coordsize="21600,21600" o:gfxdata="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Ab4o0G0wAAAAUBAAAPAAAAAAAAAAEAIAAAACIAAABkcnMvZG93bnJldi54bWxQSwECFAAUAAAA&#10;CACHTuJAD0wNFCwCAABLBAAADgAAAAAAAAABACAAAAAiAQAAZHJzL2Uyb0RvYy54bWxQSwUGAAAA&#10;AAYABgBZAQAAwAUAAAAA&#10;">
                <v:fill on="f" focussize="0,0"/>
                <v:stroke color="#000000" joinstyle="round" dashstyle="dash"/>
                <v:imagedata o:title=""/>
                <o:lock v:ext="edit" aspectratio="f"/>
              </v:shape>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9744" behindDoc="0" locked="0" layoutInCell="1" allowOverlap="1">
                <wp:simplePos x="0" y="0"/>
                <wp:positionH relativeFrom="column">
                  <wp:posOffset>1320800</wp:posOffset>
                </wp:positionH>
                <wp:positionV relativeFrom="paragraph">
                  <wp:posOffset>53975</wp:posOffset>
                </wp:positionV>
                <wp:extent cx="2466975" cy="311785"/>
                <wp:effectExtent l="5080" t="5080" r="4445" b="6985"/>
                <wp:wrapNone/>
                <wp:docPr id="43" name="矩形 43"/>
                <wp:cNvGraphicFramePr/>
                <a:graphic xmlns:a="http://schemas.openxmlformats.org/drawingml/2006/main">
                  <a:graphicData uri="http://schemas.microsoft.com/office/word/2010/wordprocessingShape">
                    <wps:wsp>
                      <wps:cNvSpPr/>
                      <wps:spPr>
                        <a:xfrm>
                          <a:off x="0" y="0"/>
                          <a:ext cx="2466975" cy="3117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现状监测并进行调查与评价</w:t>
                            </w:r>
                          </w:p>
                        </w:txbxContent>
                      </wps:txbx>
                      <wps:bodyPr upright="1"/>
                    </wps:wsp>
                  </a:graphicData>
                </a:graphic>
              </wp:anchor>
            </w:drawing>
          </mc:Choice>
          <mc:Fallback>
            <w:pict>
              <v:rect id="_x0000_s1026" o:spid="_x0000_s1026" o:spt="1" style="position:absolute;left:0pt;margin-left:104pt;margin-top:4.25pt;height:24.55pt;width:194.25pt;z-index:251679744;mso-width-relative:page;mso-height-relative:page;" fillcolor="#FFFFFF" filled="t" stroked="t" coordsize="21600,21600" o:gfxdata="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0ImdK1gAAAAgBAAAPAAAAAAAAAAEAIAAAACIAAABk&#10;cnMvZG93bnJldi54bWxQSwECFAAUAAAACACHTuJAHh9y6AgCAAA5BAAADgAAAAAAAAABACAAAAAl&#10;AQAAZHJzL2Uyb0RvYy54bWxQSwUGAAAAAAYABgBZAQAAnwU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现状监测并进行调查与评价</w:t>
                      </w:r>
                    </w:p>
                  </w:txbxContent>
                </v:textbox>
              </v:rect>
            </w:pict>
          </mc:Fallback>
        </mc:AlternateContent>
      </w: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6672" behindDoc="0" locked="0" layoutInCell="1" allowOverlap="1">
                <wp:simplePos x="0" y="0"/>
                <wp:positionH relativeFrom="column">
                  <wp:posOffset>112395</wp:posOffset>
                </wp:positionH>
                <wp:positionV relativeFrom="paragraph">
                  <wp:posOffset>172085</wp:posOffset>
                </wp:positionV>
                <wp:extent cx="266700" cy="1094740"/>
                <wp:effectExtent l="0" t="0" r="0" b="0"/>
                <wp:wrapNone/>
                <wp:docPr id="38" name="矩形 38"/>
                <wp:cNvGraphicFramePr/>
                <a:graphic xmlns:a="http://schemas.openxmlformats.org/drawingml/2006/main">
                  <a:graphicData uri="http://schemas.microsoft.com/office/word/2010/wordprocessingShape">
                    <wps:wsp>
                      <wps:cNvSpPr/>
                      <wps:spPr>
                        <a:xfrm>
                          <a:off x="0" y="0"/>
                          <a:ext cx="266700" cy="1094740"/>
                        </a:xfrm>
                        <a:prstGeom prst="rect">
                          <a:avLst/>
                        </a:prstGeom>
                        <a:noFill/>
                        <a:ln w="9525">
                          <a:noFill/>
                        </a:ln>
                        <a:effectLst/>
                      </wps:spPr>
                      <wps:txbx>
                        <w:txbxContent>
                          <w:p>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第第二阶段</w:t>
                            </w:r>
                          </w:p>
                        </w:txbxContent>
                      </wps:txbx>
                      <wps:bodyPr upright="1"/>
                    </wps:wsp>
                  </a:graphicData>
                </a:graphic>
              </wp:anchor>
            </w:drawing>
          </mc:Choice>
          <mc:Fallback>
            <w:pict>
              <v:rect id="_x0000_s1026" o:spid="_x0000_s1026" o:spt="1" style="position:absolute;left:0pt;margin-left:8.85pt;margin-top:13.55pt;height:86.2pt;width:21pt;z-index:251676672;mso-width-relative:page;mso-height-relative:page;" filled="f" stroked="f" coordsize="21600,21600" o:gfxdata="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">
                <v:fill on="f" focussize="0,0"/>
                <v:stroke on="f"/>
                <v:imagedata o:title=""/>
                <o:lock v:ext="edit" aspectratio="f"/>
                <v:textbox>
                  <w:txbxContent>
                    <w:p>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第第二阶段</w:t>
                      </w:r>
                    </w:p>
                  </w:txbxContent>
                </v:textbox>
              </v:rect>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7456" behindDoc="0" locked="0" layoutInCell="1" allowOverlap="1">
                <wp:simplePos x="0" y="0"/>
                <wp:positionH relativeFrom="column">
                  <wp:posOffset>2558415</wp:posOffset>
                </wp:positionH>
                <wp:positionV relativeFrom="paragraph">
                  <wp:posOffset>99695</wp:posOffset>
                </wp:positionV>
                <wp:extent cx="7620" cy="535940"/>
                <wp:effectExtent l="36830" t="0" r="31750" b="16510"/>
                <wp:wrapNone/>
                <wp:docPr id="3" name="直接箭头连接符 3"/>
                <wp:cNvGraphicFramePr/>
                <a:graphic xmlns:a="http://schemas.openxmlformats.org/drawingml/2006/main">
                  <a:graphicData uri="http://schemas.microsoft.com/office/word/2010/wordprocessingShape">
                    <wps:wsp>
                      <wps:cNvCnPr>
                        <a:endCxn id="48" idx="0"/>
                      </wps:cNvCnPr>
                      <wps:spPr>
                        <a:xfrm flipH="1">
                          <a:off x="0" y="0"/>
                          <a:ext cx="7620" cy="535940"/>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45pt;margin-top:7.85pt;height:42.2pt;width:0.6pt;z-index:251667456;mso-width-relative:page;mso-height-relative:page;" filled="f" stroked="t" coordsize="21600,21600" o:gfxdata="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5B649NgAAAAKAQAADwAAAAAAAAABACAAAAAiAAAAZHJzL2Rvd25yZXYueG1sUEsBAhQAFAAAAAgA&#10;h07iQEdJeGslAgAAMgQAAA4AAAAAAAAAAQAgAAAAJwEAAGRycy9lMm9Eb2MueG1sUEsFBgAAAAAG&#10;AAYAWQEAAL4FAAAAAA==&#10;">
                <v:fill on="f" focussize="0,0"/>
                <v:stroke color="#000000" joinstyle="round" endarrow="block"/>
                <v:imagedata o:title=""/>
                <o:lock v:ext="edit" aspectratio="f"/>
              </v:shape>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8480" behindDoc="0" locked="0" layoutInCell="1" allowOverlap="1">
                <wp:simplePos x="0" y="0"/>
                <wp:positionH relativeFrom="column">
                  <wp:posOffset>1326515</wp:posOffset>
                </wp:positionH>
                <wp:positionV relativeFrom="paragraph">
                  <wp:posOffset>135890</wp:posOffset>
                </wp:positionV>
                <wp:extent cx="2466975" cy="389255"/>
                <wp:effectExtent l="5080" t="4445" r="4445" b="6350"/>
                <wp:wrapNone/>
                <wp:docPr id="36" name="矩形 36"/>
                <wp:cNvGraphicFramePr/>
                <a:graphic xmlns:a="http://schemas.openxmlformats.org/drawingml/2006/main">
                  <a:graphicData uri="http://schemas.microsoft.com/office/word/2010/wordprocessingShape">
                    <wps:wsp>
                      <wps:cNvSpPr/>
                      <wps:spPr>
                        <a:xfrm>
                          <a:off x="0" y="0"/>
                          <a:ext cx="2466975" cy="38925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各环境要素和专题环境影响预测与评价</w:t>
                            </w:r>
                          </w:p>
                        </w:txbxContent>
                      </wps:txbx>
                      <wps:bodyPr upright="1"/>
                    </wps:wsp>
                  </a:graphicData>
                </a:graphic>
              </wp:anchor>
            </w:drawing>
          </mc:Choice>
          <mc:Fallback>
            <w:pict>
              <v:rect id="_x0000_s1026" o:spid="_x0000_s1026" o:spt="1" style="position:absolute;left:0pt;margin-left:104.45pt;margin-top:10.7pt;height:30.65pt;width:194.25pt;z-index:251668480;mso-width-relative:page;mso-height-relative:page;" fillcolor="#FFFFFF" filled="t" stroked="t" coordsize="21600,21600" o:gfxdata="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Ybpqo1wAAAAkBAAAPAAAAAAAAAAEAIAAAACIAAABk&#10;cnMvZG93bnJldi54bWxQSwECFAAUAAAACACHTuJAzE7TTAcCAAA5BAAADgAAAAAAAAABACAAAAAm&#10;AQAAZHJzL2Uyb0RvYy54bWxQSwUGAAAAAAYABgBZAQAAnwUAAAAA&#10;">
                <v:fill on="t" focussize="0,0"/>
                <v:stroke color="#000000" joinstyle="miter"/>
                <v:imagedata o:title=""/>
                <o:lock v:ext="edit" aspectratio="f"/>
                <v:textbox>
                  <w:txbxContent>
                    <w:p>
                      <w:pPr>
                        <w:jc w:val="center"/>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各环境要素和专题环境影响预测与评价</w:t>
                      </w:r>
                    </w:p>
                  </w:txbxContent>
                </v:textbox>
              </v:rect>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69504" behindDoc="0" locked="0" layoutInCell="1" allowOverlap="1">
                <wp:simplePos x="0" y="0"/>
                <wp:positionH relativeFrom="column">
                  <wp:posOffset>2559685</wp:posOffset>
                </wp:positionH>
                <wp:positionV relativeFrom="paragraph">
                  <wp:posOffset>17145</wp:posOffset>
                </wp:positionV>
                <wp:extent cx="635" cy="589915"/>
                <wp:effectExtent l="38100" t="0" r="37465" b="635"/>
                <wp:wrapNone/>
                <wp:docPr id="5" name="直接箭头连接符 5"/>
                <wp:cNvGraphicFramePr/>
                <a:graphic xmlns:a="http://schemas.openxmlformats.org/drawingml/2006/main">
                  <a:graphicData uri="http://schemas.microsoft.com/office/word/2010/wordprocessingShape">
                    <wps:wsp>
                      <wps:cNvCnPr>
                        <a:stCxn id="36" idx="2"/>
                        <a:endCxn id="68" idx="0"/>
                      </wps:cNvCnPr>
                      <wps:spPr>
                        <a:xfrm flipH="1">
                          <a:off x="0" y="0"/>
                          <a:ext cx="635" cy="58991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flip:x;margin-left:201.55pt;margin-top:1.35pt;height:46.45pt;width:0.05pt;z-index:251669504;mso-width-relative:page;mso-height-relative:page;" filled="f" stroked="t" coordsize="21600,21600" o:gfxdata="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M794EbXAAAACAEAAA8AAAAAAAAAAQAgAAAAIgAAAGRycy9kb3ducmV2LnhtbFBL&#10;AQIUABQAAAAIAIdO4kDqo3YzMAIAAEsEAAAOAAAAAAAAAAEAIAAAACYBAABkcnMvZTJvRG9jLnht&#10;bFBLBQYAAAAABgAGAFkBAADIBQAAAAA=&#10;">
                <v:fill on="f" focussize="0,0"/>
                <v:stroke color="#000000" joinstyle="round" endarrow="block"/>
                <v:imagedata o:title=""/>
                <o:lock v:ext="edit" aspectratio="f"/>
              </v:shape>
            </w:pict>
          </mc:Fallback>
        </mc:AlternateContent>
      </w:r>
    </w:p>
    <w:p>
      <w:pPr>
        <w:widowControl w:val="0"/>
        <w:spacing w:line="400" w:lineRule="atLeast"/>
        <w:ind w:firstLine="480"/>
        <w:jc w:val="both"/>
        <w:rPr>
          <w:rFonts w:hint="default" w:ascii="Times New Roman" w:hAnsi="Times New Roman" w:eastAsia="宋体" w:cs="Times New Roman"/>
          <w:color w:val="auto"/>
          <w:kern w:val="2"/>
          <w:sz w:val="15"/>
          <w:szCs w:val="15"/>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4624" behindDoc="0" locked="0" layoutInCell="1" allowOverlap="1">
                <wp:simplePos x="0" y="0"/>
                <wp:positionH relativeFrom="column">
                  <wp:posOffset>66040</wp:posOffset>
                </wp:positionH>
                <wp:positionV relativeFrom="paragraph">
                  <wp:posOffset>109855</wp:posOffset>
                </wp:positionV>
                <wp:extent cx="5206365" cy="2540"/>
                <wp:effectExtent l="0" t="0" r="0" b="0"/>
                <wp:wrapNone/>
                <wp:docPr id="66" name="直接箭头连接符 66"/>
                <wp:cNvGraphicFramePr/>
                <a:graphic xmlns:a="http://schemas.openxmlformats.org/drawingml/2006/main">
                  <a:graphicData uri="http://schemas.microsoft.com/office/word/2010/wordprocessingShape">
                    <wps:wsp>
                      <wps:cNvCnPr>
                        <a:stCxn id="36" idx="2"/>
                        <a:endCxn id="68" idx="0"/>
                      </wps:cNvCnPr>
                      <wps:spPr>
                        <a:xfrm flipV="1">
                          <a:off x="0" y="0"/>
                          <a:ext cx="5206365" cy="2540"/>
                        </a:xfrm>
                        <a:prstGeom prst="straightConnector1">
                          <a:avLst/>
                        </a:prstGeom>
                        <a:ln w="9525" cap="flat" cmpd="sng">
                          <a:solidFill>
                            <a:srgbClr val="000000"/>
                          </a:solidFill>
                          <a:prstDash val="dash"/>
                          <a:headEnd type="none" w="med" len="med"/>
                          <a:tailEnd type="none" w="med" len="med"/>
                        </a:ln>
                        <a:effectLst/>
                      </wps:spPr>
                      <wps:bodyPr/>
                    </wps:wsp>
                  </a:graphicData>
                </a:graphic>
              </wp:anchor>
            </w:drawing>
          </mc:Choice>
          <mc:Fallback>
            <w:pict>
              <v:shape id="_x0000_s1026" o:spid="_x0000_s1026" o:spt="32" type="#_x0000_t32" style="position:absolute;left:0pt;flip:y;margin-left:5.2pt;margin-top:8.65pt;height:0.2pt;width:409.95pt;z-index:251674624;mso-width-relative:page;mso-height-relative:page;" filled="f" stroked="t" coordsize="21600,21600" o:gfxdata="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2a2Lm1QAAAAgBAAAPAAAAAAAAAAEAIAAAACIAAABkcnMvZG93bnJldi54bWxQSwECFAAUAAAA&#10;CACHTuJA6mnJByoCAABKBAAADgAAAAAAAAABACAAAAAkAQAAZHJzL2Uyb0RvYy54bWxQSwUGAAAA&#10;AAYABgBZAQAAwAUAAAAA&#10;">
                <v:fill on="f" focussize="0,0"/>
                <v:stroke color="#000000" joinstyle="round" dashstyle="dash"/>
                <v:imagedata o:title=""/>
                <o:lock v:ext="edit" aspectratio="f"/>
              </v:shape>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0528" behindDoc="0" locked="0" layoutInCell="1" allowOverlap="1">
                <wp:simplePos x="0" y="0"/>
                <wp:positionH relativeFrom="column">
                  <wp:posOffset>1175385</wp:posOffset>
                </wp:positionH>
                <wp:positionV relativeFrom="paragraph">
                  <wp:posOffset>99060</wp:posOffset>
                </wp:positionV>
                <wp:extent cx="2768600" cy="727075"/>
                <wp:effectExtent l="4445" t="4445" r="8255" b="11430"/>
                <wp:wrapNone/>
                <wp:docPr id="68" name="矩形 68"/>
                <wp:cNvGraphicFramePr/>
                <a:graphic xmlns:a="http://schemas.openxmlformats.org/drawingml/2006/main">
                  <a:graphicData uri="http://schemas.microsoft.com/office/word/2010/wordprocessingShape">
                    <wps:wsp>
                      <wps:cNvSpPr/>
                      <wps:spPr>
                        <a:xfrm>
                          <a:off x="0" y="0"/>
                          <a:ext cx="2768600" cy="72707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确定科学合理、可行的工程方案，提出预防或减缓不利影响的对策或措施，制定相应的环境管理要求或环境监测计划</w:t>
                            </w:r>
                          </w:p>
                        </w:txbxContent>
                      </wps:txbx>
                      <wps:bodyPr upright="1"/>
                    </wps:wsp>
                  </a:graphicData>
                </a:graphic>
              </wp:anchor>
            </w:drawing>
          </mc:Choice>
          <mc:Fallback>
            <w:pict>
              <v:rect id="_x0000_s1026" o:spid="_x0000_s1026" o:spt="1" style="position:absolute;left:0pt;margin-left:92.55pt;margin-top:7.8pt;height:57.25pt;width:218pt;z-index:251670528;mso-width-relative:page;mso-height-relative:page;" fillcolor="#FFFFFF" filled="t" stroked="t" coordsize="21600,21600" o:gfxdata="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lxXkE9cAAAAKAQAADwAAAAAAAAABACAAAAAiAAAAZHJz&#10;L2Rvd25yZXYueG1sUEsBAhQAFAAAAAgAh07iQHaMBngFAgAAOQQAAA4AAAAAAAAAAQAgAAAAJgEA&#10;AGRycy9lMm9Eb2MueG1sUEsFBgAAAAAGAAYAWQEAAJ0FAAAAAA==&#10;">
                <v:fill on="t" focussize="0,0"/>
                <v:stroke color="#000000" joinstyle="miter"/>
                <v:imagedata o:title=""/>
                <o:lock v:ext="edit" aspectratio="f"/>
                <v:textbox>
                  <w:txbxContent>
                    <w:p>
                      <w:pPr>
                        <w:keepNext w:val="0"/>
                        <w:keepLines w:val="0"/>
                        <w:pageBreakBefore w:val="0"/>
                        <w:widowControl/>
                        <w:kinsoku/>
                        <w:wordWrap/>
                        <w:overflowPunct/>
                        <w:topLinePunct w:val="0"/>
                        <w:autoSpaceDE/>
                        <w:autoSpaceDN/>
                        <w:bidi w:val="0"/>
                        <w:adjustRightInd/>
                        <w:snapToGrid/>
                        <w:ind w:firstLine="0" w:firstLineChars="0"/>
                        <w:jc w:val="center"/>
                        <w:textAlignment w:val="auto"/>
                        <w:rPr>
                          <w:rFonts w:hint="default" w:ascii="Times New Roman" w:hAnsi="Times New Roman" w:eastAsia="宋体" w:cs="Times New Roman"/>
                          <w:sz w:val="21"/>
                          <w:szCs w:val="21"/>
                          <w:lang w:val="en-US" w:eastAsia="zh-CN" w:bidi="ar-SA"/>
                        </w:rPr>
                      </w:pPr>
                      <w:r>
                        <w:rPr>
                          <w:rFonts w:hint="eastAsia" w:ascii="Times New Roman" w:hAnsi="Times New Roman" w:eastAsia="宋体" w:cs="Times New Roman"/>
                          <w:sz w:val="21"/>
                          <w:szCs w:val="21"/>
                          <w:lang w:val="en-US" w:eastAsia="zh-CN" w:bidi="ar-SA"/>
                        </w:rPr>
                        <w:t>确定科学合理、可行的工程方案，提出预防或减缓不利影响的对策或措施，制定相应的环境管理要求或环境监测计划</w:t>
                      </w:r>
                    </w:p>
                  </w:txbxContent>
                </v:textbox>
              </v:rect>
            </w:pict>
          </mc:Fallback>
        </mc:AlternateContent>
      </w: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7696" behindDoc="0" locked="0" layoutInCell="1" allowOverlap="1">
                <wp:simplePos x="0" y="0"/>
                <wp:positionH relativeFrom="column">
                  <wp:posOffset>92710</wp:posOffset>
                </wp:positionH>
                <wp:positionV relativeFrom="paragraph">
                  <wp:posOffset>59690</wp:posOffset>
                </wp:positionV>
                <wp:extent cx="266700" cy="1260475"/>
                <wp:effectExtent l="0" t="0" r="0" b="0"/>
                <wp:wrapNone/>
                <wp:docPr id="6" name="矩形 6"/>
                <wp:cNvGraphicFramePr/>
                <a:graphic xmlns:a="http://schemas.openxmlformats.org/drawingml/2006/main">
                  <a:graphicData uri="http://schemas.microsoft.com/office/word/2010/wordprocessingShape">
                    <wps:wsp>
                      <wps:cNvSpPr/>
                      <wps:spPr>
                        <a:xfrm>
                          <a:off x="0" y="0"/>
                          <a:ext cx="266700" cy="1260475"/>
                        </a:xfrm>
                        <a:prstGeom prst="rect">
                          <a:avLst/>
                        </a:prstGeom>
                        <a:noFill/>
                        <a:ln w="9525">
                          <a:noFill/>
                        </a:ln>
                        <a:effectLst/>
                      </wps:spPr>
                      <wps:txbx>
                        <w:txbxContent>
                          <w:p>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第第三阶段</w:t>
                            </w:r>
                          </w:p>
                        </w:txbxContent>
                      </wps:txbx>
                      <wps:bodyPr upright="1"/>
                    </wps:wsp>
                  </a:graphicData>
                </a:graphic>
              </wp:anchor>
            </w:drawing>
          </mc:Choice>
          <mc:Fallback>
            <w:pict>
              <v:rect id="_x0000_s1026" o:spid="_x0000_s1026" o:spt="1" style="position:absolute;left:0pt;margin-left:7.3pt;margin-top:4.7pt;height:99.25pt;width:21pt;z-index:251677696;mso-width-relative:page;mso-height-relative:page;" filled="f" stroked="f" coordsize="21600,21600" o:gfxdata="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">
                <v:fill on="f" focussize="0,0"/>
                <v:stroke on="f"/>
                <v:imagedata o:title=""/>
                <o:lock v:ext="edit" aspectratio="f"/>
                <v:textbox>
                  <w:txbxContent>
                    <w:p>
                      <w:pPr>
                        <w:ind w:firstLine="480"/>
                        <w:jc w:val="center"/>
                        <w:rPr>
                          <w:rFonts w:ascii="宋体" w:hAnsi="宋体" w:eastAsia="宋体" w:cs="宋体"/>
                          <w:sz w:val="21"/>
                          <w:szCs w:val="24"/>
                          <w:lang w:val="en-US" w:eastAsia="zh-CN" w:bidi="ar-SA"/>
                        </w:rPr>
                      </w:pPr>
                      <w:r>
                        <w:rPr>
                          <w:rFonts w:hint="eastAsia" w:ascii="宋体" w:hAnsi="宋体" w:eastAsia="宋体" w:cs="宋体"/>
                          <w:sz w:val="21"/>
                          <w:szCs w:val="24"/>
                          <w:lang w:val="en-US" w:eastAsia="zh-CN" w:bidi="ar-SA"/>
                        </w:rPr>
                        <w:t>第第三阶段</w:t>
                      </w:r>
                    </w:p>
                  </w:txbxContent>
                </v:textbox>
              </v:rect>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1552" behindDoc="0" locked="0" layoutInCell="1" allowOverlap="1">
                <wp:simplePos x="0" y="0"/>
                <wp:positionH relativeFrom="column">
                  <wp:posOffset>2546350</wp:posOffset>
                </wp:positionH>
                <wp:positionV relativeFrom="paragraph">
                  <wp:posOffset>59690</wp:posOffset>
                </wp:positionV>
                <wp:extent cx="635" cy="230505"/>
                <wp:effectExtent l="37465" t="0" r="38100" b="17145"/>
                <wp:wrapNone/>
                <wp:docPr id="33" name="直接箭头连接符 33"/>
                <wp:cNvGraphicFramePr/>
                <a:graphic xmlns:a="http://schemas.openxmlformats.org/drawingml/2006/main">
                  <a:graphicData uri="http://schemas.microsoft.com/office/word/2010/wordprocessingShape">
                    <wps:wsp>
                      <wps:cNvCnPr>
                        <a:stCxn id="36" idx="2"/>
                        <a:endCxn id="68" idx="0"/>
                      </wps:cNvCnPr>
                      <wps:spPr>
                        <a:xfrm>
                          <a:off x="0" y="0"/>
                          <a:ext cx="635" cy="230505"/>
                        </a:xfrm>
                        <a:prstGeom prst="straightConnector1">
                          <a:avLst/>
                        </a:prstGeom>
                        <a:ln w="9525" cap="flat" cmpd="sng">
                          <a:solidFill>
                            <a:srgbClr val="000000"/>
                          </a:solidFill>
                          <a:prstDash val="solid"/>
                          <a:headEnd type="none" w="med" len="med"/>
                          <a:tailEnd type="triangle" w="med" len="med"/>
                        </a:ln>
                        <a:effectLst/>
                      </wps:spPr>
                      <wps:bodyPr/>
                    </wps:wsp>
                  </a:graphicData>
                </a:graphic>
              </wp:anchor>
            </w:drawing>
          </mc:Choice>
          <mc:Fallback>
            <w:pict>
              <v:shape id="_x0000_s1026" o:spid="_x0000_s1026" o:spt="32" type="#_x0000_t32" style="position:absolute;left:0pt;margin-left:200.5pt;margin-top:4.7pt;height:18.15pt;width:0.05pt;z-index:251671552;mso-width-relative:page;mso-height-relative:page;" filled="f" stroked="t" coordsize="21600,21600" o:gfxdata="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">
                <v:fill on="f" focussize="0,0"/>
                <v:stroke color="#000000" joinstyle="round" endarrow="block"/>
                <v:imagedata o:title=""/>
                <o:lock v:ext="edit" aspectratio="f"/>
              </v:shape>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r>
        <w:rPr>
          <w:rFonts w:hint="default" w:ascii="Times New Roman" w:hAnsi="Times New Roman" w:eastAsia="宋体" w:cs="Times New Roman"/>
          <w:color w:val="auto"/>
          <w:kern w:val="2"/>
          <w:sz w:val="21"/>
          <w:highlight w:val="none"/>
        </w:rPr>
        <mc:AlternateContent>
          <mc:Choice Requires="wps">
            <w:drawing>
              <wp:anchor distT="0" distB="0" distL="114300" distR="114300" simplePos="0" relativeHeight="251672576" behindDoc="0" locked="0" layoutInCell="1" allowOverlap="1">
                <wp:simplePos x="0" y="0"/>
                <wp:positionH relativeFrom="column">
                  <wp:posOffset>1172845</wp:posOffset>
                </wp:positionH>
                <wp:positionV relativeFrom="paragraph">
                  <wp:posOffset>46355</wp:posOffset>
                </wp:positionV>
                <wp:extent cx="2764155" cy="527685"/>
                <wp:effectExtent l="4445" t="4445" r="12700" b="20320"/>
                <wp:wrapNone/>
                <wp:docPr id="44" name="矩形 44"/>
                <wp:cNvGraphicFramePr/>
                <a:graphic xmlns:a="http://schemas.openxmlformats.org/drawingml/2006/main">
                  <a:graphicData uri="http://schemas.microsoft.com/office/word/2010/wordprocessingShape">
                    <wps:wsp>
                      <wps:cNvSpPr/>
                      <wps:spPr>
                        <a:xfrm>
                          <a:off x="0" y="0"/>
                          <a:ext cx="2764155" cy="52768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pPr>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从生态环境影响的角度给出</w:t>
                            </w:r>
                          </w:p>
                          <w:p>
                            <w:pPr>
                              <w:jc w:val="center"/>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工程建设项目是否可行的结论</w:t>
                            </w:r>
                          </w:p>
                        </w:txbxContent>
                      </wps:txbx>
                      <wps:bodyPr upright="1"/>
                    </wps:wsp>
                  </a:graphicData>
                </a:graphic>
              </wp:anchor>
            </w:drawing>
          </mc:Choice>
          <mc:Fallback>
            <w:pict>
              <v:rect id="_x0000_s1026" o:spid="_x0000_s1026" o:spt="1" style="position:absolute;left:0pt;margin-left:92.35pt;margin-top:3.65pt;height:41.55pt;width:217.65pt;z-index:251672576;mso-width-relative:page;mso-height-relative:page;" fillcolor="#FFFFFF" filled="t" stroked="t" coordsize="21600,21600" o:gfxdata="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xVuo81gAAAAgBAAAPAAAAAAAAAAEAIAAAACIAAABkcnMv&#10;ZG93bnJldi54bWxQSwECFAAUAAAACACHTuJAGc+yqQUCAAA5BAAADgAAAAAAAAABACAAAAAlAQAA&#10;ZHJzL2Uyb0RvYy54bWxQSwUGAAAAAAYABgBZAQAAnAUAAAAA&#10;">
                <v:fill on="t" focussize="0,0"/>
                <v:stroke color="#000000" joinstyle="miter"/>
                <v:imagedata o:title=""/>
                <o:lock v:ext="edit" aspectratio="f"/>
                <v:textbox>
                  <w:txbxContent>
                    <w:p>
                      <w:pPr>
                        <w:jc w:val="center"/>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从生态环境影响的角度给出</w:t>
                      </w:r>
                    </w:p>
                    <w:p>
                      <w:pPr>
                        <w:jc w:val="center"/>
                        <w:rPr>
                          <w:rFonts w:hint="default" w:ascii="宋体" w:hAnsi="宋体" w:eastAsia="宋体" w:cs="宋体"/>
                          <w:sz w:val="21"/>
                          <w:szCs w:val="21"/>
                          <w:lang w:val="en-US" w:eastAsia="zh-CN" w:bidi="ar-SA"/>
                        </w:rPr>
                      </w:pPr>
                      <w:r>
                        <w:rPr>
                          <w:rFonts w:hint="eastAsia" w:ascii="宋体" w:hAnsi="宋体" w:eastAsia="宋体" w:cs="宋体"/>
                          <w:sz w:val="21"/>
                          <w:szCs w:val="21"/>
                          <w:lang w:val="en-US" w:eastAsia="zh-CN" w:bidi="ar-SA"/>
                        </w:rPr>
                        <w:t>工程建设项目是否可行的结论</w:t>
                      </w:r>
                    </w:p>
                  </w:txbxContent>
                </v:textbox>
              </v:rect>
            </w:pict>
          </mc:Fallback>
        </mc:AlternateContent>
      </w:r>
    </w:p>
    <w:p>
      <w:pPr>
        <w:widowControl w:val="0"/>
        <w:spacing w:line="400" w:lineRule="atLeast"/>
        <w:ind w:firstLine="480"/>
        <w:jc w:val="both"/>
        <w:rPr>
          <w:rFonts w:hint="default" w:ascii="Times New Roman" w:hAnsi="Times New Roman" w:eastAsia="宋体" w:cs="Times New Roman"/>
          <w:color w:val="auto"/>
          <w:kern w:val="2"/>
          <w:sz w:val="21"/>
          <w:highlight w:val="none"/>
        </w:rPr>
      </w:pPr>
    </w:p>
    <w:p>
      <w:pPr>
        <w:widowControl w:val="0"/>
        <w:ind w:firstLine="480"/>
        <w:jc w:val="both"/>
        <w:rPr>
          <w:rFonts w:hint="default" w:ascii="Times New Roman" w:hAnsi="Times New Roman" w:eastAsia="宋体" w:cs="Times New Roman"/>
          <w:color w:val="auto"/>
          <w:kern w:val="2"/>
          <w:sz w:val="21"/>
          <w:highlight w:val="none"/>
        </w:rPr>
      </w:pPr>
    </w:p>
    <w:p>
      <w:pPr>
        <w:pStyle w:val="64"/>
        <w:ind w:left="0" w:leftChars="0" w:firstLine="0" w:firstLineChars="0"/>
        <w:jc w:val="both"/>
        <w:rPr>
          <w:rFonts w:hint="default" w:ascii="Times New Roman" w:hAnsi="Times New Roman" w:cs="Times New Roman"/>
          <w:b/>
          <w:color w:val="auto"/>
          <w:sz w:val="21"/>
          <w:szCs w:val="21"/>
          <w:highlight w:val="none"/>
        </w:rPr>
      </w:pPr>
    </w:p>
    <w:p>
      <w:pPr>
        <w:jc w:val="center"/>
        <w:rPr>
          <w:rFonts w:ascii="黑体" w:hAnsi="黑体" w:eastAsia="黑体" w:cs="Times New Roman"/>
          <w:b/>
          <w:color w:val="auto"/>
          <w:kern w:val="2"/>
          <w:sz w:val="24"/>
          <w:szCs w:val="20"/>
          <w:highlight w:val="none"/>
          <w:lang w:val="en-US" w:eastAsia="zh-CN" w:bidi="ar-SA"/>
        </w:rPr>
        <w:sectPr>
          <w:footerReference r:id="rId7" w:type="default"/>
          <w:pgSz w:w="11905" w:h="16838"/>
          <w:pgMar w:top="1474" w:right="1474" w:bottom="1474" w:left="1814" w:header="850" w:footer="992" w:gutter="0"/>
          <w:pgBorders>
            <w:top w:val="none" w:sz="0" w:space="0"/>
            <w:left w:val="none" w:sz="0" w:space="0"/>
            <w:bottom w:val="none" w:sz="0" w:space="0"/>
            <w:right w:val="none" w:sz="0" w:space="0"/>
          </w:pgBorders>
          <w:pgNumType w:fmt="decimal" w:start="1"/>
          <w:cols w:space="0" w:num="1"/>
          <w:rtlGutter w:val="0"/>
          <w:docGrid w:type="lines" w:linePitch="331" w:charSpace="0"/>
        </w:sectPr>
      </w:pPr>
      <w:r>
        <w:rPr>
          <w:rFonts w:ascii="黑体" w:hAnsi="黑体" w:eastAsia="黑体" w:cs="Times New Roman"/>
          <w:b/>
          <w:color w:val="auto"/>
          <w:kern w:val="2"/>
          <w:sz w:val="24"/>
          <w:szCs w:val="20"/>
          <w:highlight w:val="none"/>
          <w:lang w:val="en-US" w:eastAsia="zh-CN" w:bidi="ar-SA"/>
        </w:rPr>
        <w:t>图1.2-1      评价工作程序图</w:t>
      </w:r>
      <w:r>
        <w:rPr>
          <w:rFonts w:hint="eastAsia" w:ascii="黑体" w:hAnsi="黑体" w:eastAsia="黑体" w:cs="Times New Roman"/>
          <w:b/>
          <w:color w:val="auto"/>
          <w:kern w:val="2"/>
          <w:sz w:val="24"/>
          <w:szCs w:val="20"/>
          <w:highlight w:val="none"/>
          <w:lang w:val="en-US" w:eastAsia="zh-CN" w:bidi="ar-SA"/>
        </w:rPr>
        <w:t>（HJ349-2023）</w:t>
      </w:r>
    </w:p>
    <w:p>
      <w:pPr>
        <w:pStyle w:val="49"/>
        <w:pageBreakBefore w:val="0"/>
        <w:widowControl/>
        <w:kinsoku/>
        <w:wordWrap/>
        <w:overflowPunct/>
        <w:topLinePunct w:val="0"/>
        <w:autoSpaceDE/>
        <w:autoSpaceDN/>
        <w:bidi w:val="0"/>
        <w:adjustRightInd/>
        <w:snapToGrid/>
        <w:spacing w:line="480" w:lineRule="exact"/>
        <w:textAlignment w:val="auto"/>
        <w:rPr>
          <w:color w:val="auto"/>
          <w:highlight w:val="none"/>
        </w:rPr>
      </w:pPr>
      <w:bookmarkStart w:id="29" w:name="_Toc476736276"/>
      <w:bookmarkStart w:id="30" w:name="_Toc479866255"/>
      <w:bookmarkStart w:id="31" w:name="_Toc173941779"/>
      <w:bookmarkStart w:id="32" w:name="_Toc173942660"/>
      <w:bookmarkStart w:id="33" w:name="_Toc173941706"/>
      <w:bookmarkStart w:id="34" w:name="_Toc508291869"/>
      <w:bookmarkStart w:id="35" w:name="_Toc22774"/>
      <w:bookmarkStart w:id="36" w:name="_Toc489976884"/>
      <w:bookmarkStart w:id="37" w:name="_Toc24390"/>
      <w:bookmarkStart w:id="38" w:name="_Toc21938"/>
      <w:r>
        <w:rPr>
          <w:color w:val="auto"/>
          <w:highlight w:val="none"/>
        </w:rPr>
        <w:t>1.3</w:t>
      </w:r>
      <w:bookmarkEnd w:id="29"/>
      <w:bookmarkEnd w:id="30"/>
      <w:r>
        <w:rPr>
          <w:color w:val="auto"/>
          <w:highlight w:val="none"/>
        </w:rPr>
        <w:t>分析判定相关情况</w:t>
      </w:r>
      <w:bookmarkEnd w:id="31"/>
      <w:bookmarkEnd w:id="32"/>
      <w:bookmarkEnd w:id="33"/>
      <w:bookmarkEnd w:id="34"/>
      <w:bookmarkEnd w:id="35"/>
      <w:bookmarkEnd w:id="36"/>
      <w:bookmarkEnd w:id="37"/>
      <w:bookmarkEnd w:id="38"/>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color w:val="auto"/>
          <w:highlight w:val="none"/>
        </w:rPr>
        <w:t>（1）产业政策符合性判定结论</w:t>
      </w:r>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rFonts w:hint="eastAsia"/>
          <w:color w:val="auto"/>
          <w:highlight w:val="none"/>
          <w:lang w:val="zh-CN"/>
        </w:rPr>
        <w:t>本工程属于</w:t>
      </w:r>
      <w:r>
        <w:rPr>
          <w:rFonts w:hint="eastAsia"/>
          <w:color w:val="auto"/>
          <w:highlight w:val="none"/>
          <w:lang w:val="en-US" w:eastAsia="zh-CN"/>
        </w:rPr>
        <w:t>页岩油</w:t>
      </w:r>
      <w:r>
        <w:rPr>
          <w:rFonts w:hint="eastAsia"/>
          <w:color w:val="auto"/>
          <w:highlight w:val="none"/>
          <w:lang w:val="zh-CN"/>
        </w:rPr>
        <w:t>开采项目，根据《</w:t>
      </w:r>
      <w:bookmarkStart w:id="39" w:name="OLE_LINK1"/>
      <w:r>
        <w:rPr>
          <w:rFonts w:hint="eastAsia"/>
          <w:color w:val="auto"/>
          <w:highlight w:val="none"/>
          <w:lang w:val="zh-CN"/>
        </w:rPr>
        <w:t>产业结构调整指导目录（2024年本）</w:t>
      </w:r>
      <w:bookmarkEnd w:id="39"/>
      <w:r>
        <w:rPr>
          <w:rFonts w:hint="eastAsia"/>
          <w:color w:val="auto"/>
          <w:highlight w:val="none"/>
          <w:lang w:val="zh-CN"/>
        </w:rPr>
        <w:t>》，本工程属于第一类“鼓励类”第七条“石油、天然气”第一款“常规石油、天然气勘探与开采，</w:t>
      </w:r>
      <w:r>
        <w:rPr>
          <w:rFonts w:hint="eastAsia"/>
          <w:color w:val="auto"/>
          <w:highlight w:val="none"/>
          <w:lang w:val="en-US" w:eastAsia="zh-CN"/>
        </w:rPr>
        <w:t>页岩气、页岩油、致密油（气）、油砂、天然气水合物等非常规资源勘探开发</w:t>
      </w:r>
      <w:r>
        <w:rPr>
          <w:rFonts w:hint="eastAsia"/>
          <w:color w:val="auto"/>
          <w:highlight w:val="none"/>
          <w:lang w:val="zh-CN"/>
        </w:rPr>
        <w:t>”，属于鼓励类项目，符合国家当前产业政策要求</w:t>
      </w:r>
      <w:r>
        <w:rPr>
          <w:color w:val="auto"/>
          <w:highlight w:val="none"/>
          <w:lang w:val="zh-CN"/>
        </w:rPr>
        <w:t>。</w:t>
      </w:r>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rFonts w:hint="eastAsia"/>
          <w:color w:val="auto"/>
          <w:highlight w:val="none"/>
          <w:lang w:val="zh-CN"/>
        </w:rPr>
        <w:t>（2）政策、法规符合性分析</w:t>
      </w:r>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rFonts w:hint="eastAsia"/>
          <w:color w:val="auto"/>
          <w:highlight w:val="none"/>
          <w:lang w:val="zh-CN"/>
        </w:rPr>
        <w:t>本工程符合《石油天然气开采业污染防治技术政策》《新疆维吾尔自治区大气污染防治条例》《</w:t>
      </w:r>
      <w:bookmarkStart w:id="40" w:name="OLE_LINK2"/>
      <w:r>
        <w:rPr>
          <w:rFonts w:hint="eastAsia"/>
          <w:color w:val="auto"/>
          <w:highlight w:val="none"/>
          <w:lang w:val="zh-CN"/>
        </w:rPr>
        <w:t>关于进一步加强石油天然气行业环境影响评价管理的通知</w:t>
      </w:r>
      <w:bookmarkEnd w:id="40"/>
      <w:r>
        <w:rPr>
          <w:rFonts w:hint="eastAsia"/>
          <w:color w:val="auto"/>
          <w:highlight w:val="none"/>
          <w:lang w:val="zh-CN"/>
        </w:rPr>
        <w:t>》（环办环评函〔2019〕910号）等相关政策、法律法规相关要求。</w:t>
      </w:r>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bCs/>
          <w:color w:val="auto"/>
          <w:highlight w:val="none"/>
          <w:lang w:val="zh-CN"/>
        </w:rPr>
        <w:t>（</w:t>
      </w:r>
      <w:r>
        <w:rPr>
          <w:rFonts w:hint="eastAsia"/>
          <w:bCs/>
          <w:color w:val="auto"/>
          <w:highlight w:val="none"/>
        </w:rPr>
        <w:t>3</w:t>
      </w:r>
      <w:r>
        <w:rPr>
          <w:bCs/>
          <w:color w:val="auto"/>
          <w:highlight w:val="none"/>
          <w:lang w:val="zh-CN"/>
        </w:rPr>
        <w:t>）</w:t>
      </w:r>
      <w:r>
        <w:rPr>
          <w:color w:val="auto"/>
          <w:highlight w:val="none"/>
        </w:rPr>
        <w:t>规划符合性判定结论</w:t>
      </w:r>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rFonts w:hint="eastAsia"/>
          <w:color w:val="auto"/>
          <w:highlight w:val="none"/>
          <w:lang w:val="zh-CN"/>
        </w:rPr>
        <w:t>本工程</w:t>
      </w:r>
      <w:r>
        <w:rPr>
          <w:rFonts w:hint="eastAsia"/>
          <w:color w:val="auto"/>
          <w:highlight w:val="none"/>
        </w:rPr>
        <w:t>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eastAsia"/>
          <w:color w:val="auto"/>
          <w:highlight w:val="none"/>
        </w:rPr>
        <w:t>，</w:t>
      </w:r>
      <w:r>
        <w:rPr>
          <w:color w:val="auto"/>
          <w:highlight w:val="none"/>
          <w:lang w:val="zh-CN"/>
        </w:rPr>
        <w:t>属于</w:t>
      </w:r>
      <w:r>
        <w:rPr>
          <w:rFonts w:hint="eastAsia"/>
          <w:color w:val="auto"/>
          <w:highlight w:val="none"/>
          <w:lang w:val="zh-CN"/>
        </w:rPr>
        <w:t>中国石油新疆油田分公司玛湖勘探开发项目部</w:t>
      </w:r>
      <w:r>
        <w:rPr>
          <w:color w:val="auto"/>
          <w:highlight w:val="none"/>
          <w:lang w:val="zh-CN"/>
        </w:rPr>
        <w:t>开发项目，符合</w:t>
      </w:r>
      <w:r>
        <w:rPr>
          <w:rFonts w:hint="eastAsia"/>
          <w:color w:val="auto"/>
          <w:highlight w:val="none"/>
          <w:lang w:val="zh-CN"/>
        </w:rPr>
        <w:t>《新疆维吾尔自治区国土空间规划（2021—2035年）》《新疆维吾尔自治区国民经济和社会发展第十四个五年规划和2035年远景目标纲要》《新疆油田公司“十四五”发展规划》《新疆生态环境保护“十四五”规划》等相关要求</w:t>
      </w:r>
      <w:r>
        <w:rPr>
          <w:color w:val="auto"/>
          <w:highlight w:val="none"/>
          <w:lang w:val="zh-CN"/>
        </w:rPr>
        <w:t>。</w:t>
      </w:r>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lang w:val="zh-CN"/>
        </w:rPr>
      </w:pPr>
      <w:r>
        <w:rPr>
          <w:color w:val="auto"/>
          <w:highlight w:val="none"/>
          <w:lang w:val="zh-CN"/>
        </w:rPr>
        <w:t>（</w:t>
      </w:r>
      <w:r>
        <w:rPr>
          <w:rFonts w:hint="eastAsia"/>
          <w:color w:val="auto"/>
          <w:highlight w:val="none"/>
        </w:rPr>
        <w:t>4</w:t>
      </w:r>
      <w:r>
        <w:rPr>
          <w:color w:val="auto"/>
          <w:highlight w:val="none"/>
          <w:lang w:val="zh-CN"/>
        </w:rPr>
        <w:t>）选址合理性分析判定结论</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本工程为</w:t>
      </w:r>
      <w:r>
        <w:rPr>
          <w:rFonts w:hint="eastAsia"/>
          <w:color w:val="auto"/>
          <w:highlight w:val="none"/>
          <w:lang w:val="en-US" w:eastAsia="zh-CN"/>
        </w:rPr>
        <w:t>夏子街油田</w:t>
      </w:r>
      <w:r>
        <w:rPr>
          <w:rFonts w:hint="eastAsia"/>
          <w:color w:val="auto"/>
          <w:szCs w:val="24"/>
        </w:rPr>
        <w:t>丰探1井区</w:t>
      </w:r>
      <w:r>
        <w:rPr>
          <w:rFonts w:hint="eastAsia"/>
          <w:color w:val="auto"/>
          <w:szCs w:val="24"/>
          <w:lang w:val="en-US" w:eastAsia="zh-CN"/>
        </w:rPr>
        <w:t>开发项目</w:t>
      </w:r>
      <w:r>
        <w:rPr>
          <w:rFonts w:hint="eastAsia"/>
          <w:color w:val="auto"/>
          <w:highlight w:val="none"/>
        </w:rPr>
        <w:t>，符合《石油天然气开采业污染防治技术政策》中的相关要求，根据现场调查，本工程</w:t>
      </w:r>
      <w:r>
        <w:rPr>
          <w:rFonts w:hint="eastAsia"/>
          <w:color w:val="auto"/>
          <w:highlight w:val="none"/>
          <w:lang w:val="en-US" w:eastAsia="zh-CN"/>
        </w:rPr>
        <w:t>占地范围</w:t>
      </w:r>
      <w:r>
        <w:rPr>
          <w:rFonts w:hint="eastAsia"/>
          <w:color w:val="auto"/>
          <w:highlight w:val="none"/>
        </w:rPr>
        <w:t>内无水源涵养区、地下水源、饮用水源、自然保护区、风景名胜区、森林公园、重要湿地及人群密集区等生态敏感区域内等重点保护区域内；评价区域内的天山北坡诸小河流域重点治理区，不属于重要生态敏感区，属于一般区域，符合新疆及塔城地区经济发展规划、环保规划。本工程土地利用类型为</w:t>
      </w:r>
      <w:r>
        <w:rPr>
          <w:rFonts w:hint="eastAsia"/>
          <w:color w:val="auto"/>
          <w:highlight w:val="none"/>
          <w:lang w:val="en-US" w:eastAsia="zh-CN"/>
        </w:rPr>
        <w:t>其他草地</w:t>
      </w:r>
      <w:r>
        <w:rPr>
          <w:rFonts w:hint="eastAsia"/>
          <w:color w:val="auto"/>
          <w:highlight w:val="none"/>
        </w:rPr>
        <w:t>、裸</w:t>
      </w:r>
      <w:r>
        <w:rPr>
          <w:rFonts w:hint="eastAsia"/>
          <w:color w:val="auto"/>
          <w:highlight w:val="none"/>
          <w:lang w:val="en-US" w:eastAsia="zh-CN"/>
        </w:rPr>
        <w:t>土</w:t>
      </w:r>
      <w:r>
        <w:rPr>
          <w:rFonts w:hint="eastAsia"/>
          <w:color w:val="auto"/>
          <w:highlight w:val="none"/>
        </w:rPr>
        <w:t>地</w:t>
      </w:r>
      <w:r>
        <w:rPr>
          <w:rFonts w:hint="eastAsia"/>
          <w:color w:val="auto"/>
          <w:highlight w:val="none"/>
          <w:lang w:eastAsia="zh-CN"/>
        </w:rPr>
        <w:t>、</w:t>
      </w:r>
      <w:r>
        <w:rPr>
          <w:rFonts w:hint="eastAsia"/>
          <w:color w:val="auto"/>
          <w:highlight w:val="none"/>
          <w:lang w:val="en-US" w:eastAsia="zh-CN"/>
        </w:rPr>
        <w:t>灌木林地、盐碱地、采矿用地</w:t>
      </w:r>
      <w:r>
        <w:rPr>
          <w:rFonts w:hint="eastAsia"/>
          <w:color w:val="auto"/>
          <w:highlight w:val="none"/>
        </w:rPr>
        <w:t>。项目区周边范围内无常年地表水体分布，无长期居住人群。</w:t>
      </w:r>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rFonts w:hint="eastAsia"/>
          <w:color w:val="auto"/>
          <w:highlight w:val="none"/>
        </w:rPr>
        <w:t>本工程在管线选线、井场、站场占地过程中注意避让项目区植被，尽量减少对植被的生态扰动；本工程运营期废气主要为油井开采</w:t>
      </w:r>
      <w:r>
        <w:rPr>
          <w:rFonts w:hint="eastAsia"/>
          <w:color w:val="auto"/>
          <w:highlight w:val="none"/>
          <w:lang w:eastAsia="zh-CN"/>
        </w:rPr>
        <w:t>、</w:t>
      </w:r>
      <w:r>
        <w:rPr>
          <w:rFonts w:hint="eastAsia"/>
          <w:color w:val="auto"/>
          <w:highlight w:val="none"/>
          <w:lang w:val="en-US" w:eastAsia="zh-CN"/>
        </w:rPr>
        <w:t>拉运</w:t>
      </w:r>
      <w:r>
        <w:rPr>
          <w:rFonts w:hint="eastAsia"/>
          <w:color w:val="auto"/>
          <w:highlight w:val="none"/>
        </w:rPr>
        <w:t>过程中排放的无组织挥发的烃类，产生的废气为持续的长期影响，但废气污染物均可以得到较好扩散，对大气污染物浓度贡献值小，且项目区地域空旷，项目实施后不会对周围环境产生明显影响；废水实现零排放，固体废物能够实现妥善处置，综上所述，本工程建成后所在区域的环境功能不会发生改变，对环境的影响属于可接受的范围，项目的选址从环保角度认为可行</w:t>
      </w:r>
      <w:r>
        <w:rPr>
          <w:color w:val="auto"/>
          <w:highlight w:val="none"/>
        </w:rPr>
        <w:t>。</w:t>
      </w:r>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color w:val="auto"/>
          <w:highlight w:val="none"/>
        </w:rPr>
        <w:t>（</w:t>
      </w:r>
      <w:r>
        <w:rPr>
          <w:rFonts w:hint="eastAsia"/>
          <w:color w:val="auto"/>
          <w:highlight w:val="none"/>
        </w:rPr>
        <w:t>5</w:t>
      </w:r>
      <w:r>
        <w:rPr>
          <w:color w:val="auto"/>
          <w:highlight w:val="none"/>
        </w:rPr>
        <w:t>）</w:t>
      </w:r>
      <w:r>
        <w:rPr>
          <w:rFonts w:hint="eastAsia"/>
          <w:color w:val="auto"/>
          <w:highlight w:val="none"/>
        </w:rPr>
        <w:t>生态环境分区管控符合性判定结论</w:t>
      </w:r>
    </w:p>
    <w:p>
      <w:pPr>
        <w:pStyle w:val="57"/>
        <w:pageBreakBefore w:val="0"/>
        <w:widowControl/>
        <w:kinsoku/>
        <w:wordWrap/>
        <w:overflowPunct/>
        <w:topLinePunct w:val="0"/>
        <w:autoSpaceDE/>
        <w:autoSpaceDN/>
        <w:bidi w:val="0"/>
        <w:adjustRightInd/>
        <w:snapToGrid/>
        <w:spacing w:line="480" w:lineRule="exact"/>
        <w:textAlignment w:val="auto"/>
        <w:rPr>
          <w:rFonts w:hint="eastAsia"/>
          <w:bCs/>
          <w:color w:val="auto"/>
          <w:highlight w:val="none"/>
        </w:rPr>
      </w:pPr>
      <w:r>
        <w:rPr>
          <w:rFonts w:hint="eastAsia"/>
          <w:bCs/>
          <w:color w:val="auto"/>
          <w:highlight w:val="none"/>
        </w:rPr>
        <w:t>本工程位于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eastAsia"/>
          <w:color w:val="auto"/>
          <w:highlight w:val="none"/>
          <w:lang w:val="en-US" w:eastAsia="zh-CN"/>
        </w:rPr>
        <w:t>夏子街油田</w:t>
      </w:r>
      <w:r>
        <w:rPr>
          <w:rFonts w:hint="eastAsia"/>
          <w:color w:val="auto"/>
          <w:szCs w:val="24"/>
        </w:rPr>
        <w:t>丰探1井区</w:t>
      </w:r>
      <w:r>
        <w:rPr>
          <w:rFonts w:hint="eastAsia"/>
          <w:bCs/>
          <w:color w:val="auto"/>
          <w:highlight w:val="none"/>
        </w:rPr>
        <w:t>内，不在拟定的生态红线范围内，项目区环境质量可以达到功能区要求，水耗、电耗较小，不在国家重点生态功能区县（市）产业准入负面清单之列。</w:t>
      </w:r>
    </w:p>
    <w:p>
      <w:pPr>
        <w:pStyle w:val="57"/>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eastAsia="宋体" w:cs="Times New Roman"/>
          <w:bCs/>
          <w:color w:val="auto"/>
          <w:highlight w:val="none"/>
        </w:rPr>
      </w:pPr>
      <w:r>
        <w:rPr>
          <w:rFonts w:hint="default" w:ascii="Times New Roman" w:hAnsi="Times New Roman" w:eastAsia="宋体" w:cs="Times New Roman"/>
          <w:bCs/>
          <w:color w:val="auto"/>
          <w:highlight w:val="none"/>
          <w:lang w:val="en-US" w:eastAsia="zh-CN"/>
        </w:rPr>
        <w:t>根据《关于印发＜新疆维吾尔自治区“三线一单”生态环境分区管控方案＞的通知》（新政发〔2021〕18号）</w:t>
      </w:r>
      <w:r>
        <w:rPr>
          <w:rFonts w:hint="eastAsia" w:ascii="Times New Roman" w:hAnsi="Times New Roman" w:eastAsia="宋体" w:cs="Times New Roman"/>
          <w:bCs/>
          <w:color w:val="auto"/>
          <w:highlight w:val="none"/>
          <w:lang w:val="en-US" w:eastAsia="zh-CN"/>
        </w:rPr>
        <w:t>、《</w:t>
      </w:r>
      <w:r>
        <w:rPr>
          <w:rFonts w:hint="eastAsia" w:ascii="Times New Roman" w:hAnsi="Times New Roman" w:eastAsia="宋体" w:cs="Times New Roman"/>
          <w:bCs/>
          <w:color w:val="auto"/>
          <w:highlight w:val="none"/>
        </w:rPr>
        <w:t>关于印发</w:t>
      </w:r>
      <w:r>
        <w:rPr>
          <w:rFonts w:hint="eastAsia" w:cs="Times New Roman"/>
          <w:bCs/>
          <w:color w:val="auto"/>
          <w:highlight w:val="none"/>
          <w:lang w:eastAsia="zh-CN"/>
        </w:rPr>
        <w:t>〈</w:t>
      </w:r>
      <w:r>
        <w:rPr>
          <w:rFonts w:hint="eastAsia" w:ascii="Times New Roman" w:hAnsi="Times New Roman" w:eastAsia="宋体" w:cs="Times New Roman"/>
          <w:bCs/>
          <w:color w:val="auto"/>
          <w:highlight w:val="none"/>
        </w:rPr>
        <w:t>塔城地区“三线一单”生态环境分区管控方案（2023版）</w:t>
      </w:r>
      <w:r>
        <w:rPr>
          <w:rFonts w:hint="eastAsia" w:cs="Times New Roman"/>
          <w:bCs/>
          <w:color w:val="auto"/>
          <w:highlight w:val="none"/>
          <w:lang w:eastAsia="zh-CN"/>
        </w:rPr>
        <w:t>〉</w:t>
      </w:r>
      <w:r>
        <w:rPr>
          <w:rFonts w:hint="eastAsia" w:ascii="Times New Roman" w:hAnsi="Times New Roman" w:eastAsia="宋体" w:cs="Times New Roman"/>
          <w:bCs/>
          <w:color w:val="auto"/>
          <w:highlight w:val="none"/>
        </w:rPr>
        <w:t>的通知》</w:t>
      </w:r>
      <w:r>
        <w:rPr>
          <w:rFonts w:hint="eastAsia" w:ascii="Times New Roman" w:hAnsi="Times New Roman" w:eastAsia="宋体" w:cs="Times New Roman"/>
          <w:bCs/>
          <w:color w:val="auto"/>
          <w:highlight w:val="none"/>
          <w:lang w:val="en-US" w:eastAsia="zh-CN"/>
        </w:rPr>
        <w:t>《</w:t>
      </w:r>
      <w:r>
        <w:rPr>
          <w:rFonts w:hint="eastAsia" w:ascii="Times New Roman" w:hAnsi="Times New Roman" w:eastAsia="宋体" w:cs="Times New Roman"/>
          <w:bCs/>
          <w:color w:val="auto"/>
          <w:highlight w:val="none"/>
        </w:rPr>
        <w:t>关于印发</w:t>
      </w:r>
      <w:r>
        <w:rPr>
          <w:rFonts w:hint="eastAsia" w:cs="Times New Roman"/>
          <w:bCs/>
          <w:color w:val="auto"/>
          <w:highlight w:val="none"/>
          <w:lang w:eastAsia="zh-CN"/>
        </w:rPr>
        <w:t>〈</w:t>
      </w:r>
      <w:r>
        <w:rPr>
          <w:rFonts w:hint="eastAsia" w:ascii="Times New Roman" w:hAnsi="Times New Roman" w:eastAsia="宋体" w:cs="Times New Roman"/>
          <w:bCs/>
          <w:color w:val="auto"/>
          <w:highlight w:val="none"/>
          <w:lang w:val="en-US" w:eastAsia="zh-CN"/>
        </w:rPr>
        <w:t>克拉玛依</w:t>
      </w:r>
      <w:bookmarkStart w:id="41" w:name="OLE_LINK112"/>
      <w:r>
        <w:rPr>
          <w:rFonts w:hint="eastAsia" w:ascii="Times New Roman" w:hAnsi="Times New Roman" w:eastAsia="宋体" w:cs="Times New Roman"/>
          <w:bCs/>
          <w:color w:val="auto"/>
          <w:highlight w:val="none"/>
        </w:rPr>
        <w:t>“三线一单”生态环境分区管控方案（2023版）</w:t>
      </w:r>
      <w:r>
        <w:rPr>
          <w:rFonts w:hint="eastAsia" w:cs="Times New Roman"/>
          <w:bCs/>
          <w:color w:val="auto"/>
          <w:highlight w:val="none"/>
          <w:lang w:eastAsia="zh-CN"/>
        </w:rPr>
        <w:t>〉</w:t>
      </w:r>
      <w:bookmarkEnd w:id="41"/>
      <w:r>
        <w:rPr>
          <w:rFonts w:hint="eastAsia" w:ascii="Times New Roman" w:hAnsi="Times New Roman" w:eastAsia="宋体" w:cs="Times New Roman"/>
          <w:bCs/>
          <w:color w:val="auto"/>
          <w:highlight w:val="none"/>
        </w:rPr>
        <w:t>的通知</w:t>
      </w:r>
      <w:r>
        <w:rPr>
          <w:rFonts w:hint="eastAsia" w:ascii="Times New Roman" w:hAnsi="Times New Roman" w:eastAsia="宋体" w:cs="Times New Roman"/>
          <w:bCs/>
          <w:color w:val="auto"/>
          <w:highlight w:val="none"/>
          <w:lang w:val="en-US" w:eastAsia="zh-CN"/>
        </w:rPr>
        <w:t>》</w:t>
      </w:r>
      <w:r>
        <w:rPr>
          <w:rFonts w:hint="eastAsia" w:cs="Times New Roman"/>
          <w:bCs/>
          <w:color w:val="auto"/>
          <w:highlight w:val="none"/>
          <w:lang w:val="en-US" w:eastAsia="zh-CN"/>
        </w:rPr>
        <w:t>《新疆生产建设兵团2023年度生态环境分区管控动态更新成果公告》</w:t>
      </w:r>
      <w:r>
        <w:rPr>
          <w:rFonts w:hint="default" w:ascii="Times New Roman" w:hAnsi="Times New Roman" w:eastAsia="宋体" w:cs="Times New Roman"/>
          <w:bCs/>
          <w:color w:val="auto"/>
          <w:highlight w:val="none"/>
          <w:lang w:val="en-US" w:eastAsia="zh-CN"/>
        </w:rPr>
        <w:t>，</w:t>
      </w:r>
      <w:r>
        <w:rPr>
          <w:rFonts w:hint="eastAsia" w:ascii="Times New Roman" w:hAnsi="Times New Roman" w:eastAsia="宋体" w:cs="Times New Roman"/>
          <w:bCs/>
          <w:color w:val="auto"/>
          <w:highlight w:val="none"/>
          <w:lang w:val="en-US" w:eastAsia="zh-CN"/>
        </w:rPr>
        <w:t>本工程</w:t>
      </w:r>
      <w:r>
        <w:rPr>
          <w:rFonts w:hint="default" w:ascii="Times New Roman" w:hAnsi="Times New Roman" w:eastAsia="宋体" w:cs="Times New Roman"/>
          <w:bCs/>
          <w:color w:val="auto"/>
          <w:highlight w:val="none"/>
          <w:lang w:val="en-US" w:eastAsia="zh-CN"/>
        </w:rPr>
        <w:t>位于克拉玛依市乌尔禾一般管控单元02（环境管控单元编码为ZH65020530002）、乌尔禾一般管控单元03（环境管控单元编码为ZH65020530003）</w:t>
      </w:r>
      <w:r>
        <w:rPr>
          <w:rFonts w:hint="eastAsia" w:cs="Times New Roman"/>
          <w:bCs/>
          <w:color w:val="auto"/>
          <w:highlight w:val="none"/>
          <w:lang w:val="en-US" w:eastAsia="zh-CN"/>
        </w:rPr>
        <w:t>、</w:t>
      </w:r>
      <w:r>
        <w:rPr>
          <w:rFonts w:hint="default" w:ascii="Times New Roman" w:hAnsi="Times New Roman" w:eastAsia="宋体" w:cs="Times New Roman"/>
          <w:bCs/>
          <w:color w:val="auto"/>
          <w:highlight w:val="none"/>
          <w:lang w:val="en-US" w:eastAsia="zh-CN"/>
        </w:rPr>
        <w:t>和布克赛尔蒙古自治县一般管控单元01（环境管控单元编码为ZH65422630001）</w:t>
      </w:r>
      <w:r>
        <w:rPr>
          <w:rFonts w:hint="eastAsia" w:cs="Times New Roman"/>
          <w:bCs/>
          <w:color w:val="auto"/>
          <w:highlight w:val="none"/>
          <w:lang w:val="en-US" w:eastAsia="zh-CN"/>
        </w:rPr>
        <w:t>以及</w:t>
      </w:r>
      <w:bookmarkStart w:id="42" w:name="OLE_LINK113"/>
      <w:r>
        <w:rPr>
          <w:rFonts w:hint="eastAsia" w:cs="Times New Roman"/>
          <w:bCs/>
          <w:color w:val="auto"/>
          <w:highlight w:val="none"/>
          <w:lang w:val="en-US" w:eastAsia="zh-CN"/>
        </w:rPr>
        <w:t>第七师胡杨河市</w:t>
      </w:r>
      <w:bookmarkEnd w:id="42"/>
      <w:r>
        <w:rPr>
          <w:rFonts w:hint="eastAsia" w:cs="Times New Roman"/>
          <w:bCs/>
          <w:color w:val="auto"/>
          <w:highlight w:val="none"/>
          <w:lang w:val="en-US" w:eastAsia="zh-CN"/>
        </w:rPr>
        <w:t>重点管控单元（</w:t>
      </w:r>
      <w:r>
        <w:rPr>
          <w:rFonts w:hint="eastAsia"/>
          <w:color w:val="auto"/>
          <w:spacing w:val="0"/>
          <w:kern w:val="0"/>
          <w:sz w:val="24"/>
          <w:highlight w:val="none"/>
        </w:rPr>
        <w:t>环境管控单元编码为</w:t>
      </w:r>
      <w:r>
        <w:rPr>
          <w:rFonts w:hint="eastAsia"/>
          <w:color w:val="auto"/>
          <w:spacing w:val="0"/>
          <w:sz w:val="24"/>
          <w:highlight w:val="none"/>
        </w:rPr>
        <w:t>ZH65</w:t>
      </w:r>
      <w:r>
        <w:rPr>
          <w:rFonts w:hint="eastAsia"/>
          <w:color w:val="auto"/>
          <w:spacing w:val="0"/>
          <w:sz w:val="24"/>
          <w:highlight w:val="none"/>
          <w:lang w:val="en-US" w:eastAsia="zh-CN"/>
        </w:rPr>
        <w:t>771020001</w:t>
      </w:r>
      <w:r>
        <w:rPr>
          <w:rFonts w:hint="eastAsia" w:cs="Times New Roman"/>
          <w:bCs/>
          <w:color w:val="auto"/>
          <w:highlight w:val="none"/>
          <w:lang w:val="en-US" w:eastAsia="zh-CN"/>
        </w:rPr>
        <w:t>）</w:t>
      </w:r>
      <w:r>
        <w:rPr>
          <w:rFonts w:hint="eastAsia" w:ascii="Times New Roman" w:hAnsi="Times New Roman" w:eastAsia="宋体" w:cs="Times New Roman"/>
          <w:bCs/>
          <w:color w:val="auto"/>
          <w:highlight w:val="none"/>
        </w:rPr>
        <w:t>。项目区环境质量可以达到功能区要求，可以满足</w:t>
      </w:r>
      <w:r>
        <w:rPr>
          <w:rFonts w:hint="eastAsia" w:ascii="Times New Roman" w:hAnsi="Times New Roman" w:eastAsia="宋体" w:cs="Times New Roman"/>
          <w:bCs/>
          <w:color w:val="auto"/>
          <w:highlight w:val="none"/>
          <w:lang w:val="en-US" w:eastAsia="zh-CN"/>
        </w:rPr>
        <w:t>克拉玛依市</w:t>
      </w:r>
      <w:r>
        <w:rPr>
          <w:rFonts w:hint="eastAsia" w:cs="Times New Roman"/>
          <w:bCs/>
          <w:color w:val="auto"/>
          <w:highlight w:val="none"/>
          <w:lang w:val="en-US" w:eastAsia="zh-CN"/>
        </w:rPr>
        <w:t>、</w:t>
      </w:r>
      <w:r>
        <w:rPr>
          <w:rFonts w:hint="eastAsia" w:ascii="Times New Roman" w:hAnsi="Times New Roman" w:eastAsia="宋体" w:cs="Times New Roman"/>
          <w:bCs/>
          <w:color w:val="auto"/>
          <w:highlight w:val="none"/>
        </w:rPr>
        <w:t>塔城地区</w:t>
      </w:r>
      <w:r>
        <w:rPr>
          <w:rFonts w:hint="eastAsia" w:cs="Times New Roman"/>
          <w:bCs/>
          <w:color w:val="auto"/>
          <w:highlight w:val="none"/>
          <w:lang w:eastAsia="zh-CN"/>
        </w:rPr>
        <w:t>、</w:t>
      </w:r>
      <w:r>
        <w:rPr>
          <w:rFonts w:hint="eastAsia" w:cs="Times New Roman"/>
          <w:bCs/>
          <w:color w:val="auto"/>
          <w:highlight w:val="none"/>
          <w:lang w:val="en-US" w:eastAsia="zh-CN"/>
        </w:rPr>
        <w:t>第七师胡杨河市</w:t>
      </w:r>
      <w:r>
        <w:rPr>
          <w:rFonts w:hint="eastAsia" w:ascii="Times New Roman" w:hAnsi="Times New Roman" w:eastAsia="宋体" w:cs="Times New Roman"/>
          <w:bCs/>
          <w:color w:val="auto"/>
          <w:highlight w:val="none"/>
        </w:rPr>
        <w:t>生态环境准入清单一般管控单元的空间布局约束、污染物排放管控、环境风险防控和资源利用效率的要求，符合生态环境分区管控要求。</w:t>
      </w:r>
    </w:p>
    <w:p>
      <w:pPr>
        <w:pStyle w:val="57"/>
        <w:pageBreakBefore w:val="0"/>
        <w:widowControl/>
        <w:kinsoku/>
        <w:wordWrap/>
        <w:overflowPunct/>
        <w:topLinePunct w:val="0"/>
        <w:autoSpaceDE/>
        <w:autoSpaceDN/>
        <w:bidi w:val="0"/>
        <w:adjustRightInd/>
        <w:snapToGrid/>
        <w:spacing w:line="480" w:lineRule="exact"/>
        <w:textAlignment w:val="auto"/>
        <w:rPr>
          <w:rFonts w:hint="eastAsia" w:eastAsia="宋体"/>
          <w:bCs/>
          <w:color w:val="auto"/>
          <w:highlight w:val="none"/>
          <w:lang w:eastAsia="zh-CN"/>
        </w:rPr>
      </w:pPr>
      <w:r>
        <w:rPr>
          <w:rFonts w:hint="eastAsia"/>
          <w:bCs/>
          <w:color w:val="auto"/>
          <w:highlight w:val="none"/>
        </w:rPr>
        <w:t>本工程符合国家和新疆相关法律法规及产业政策，不涉及生态红线，符合新疆经济发展规划、环保规划等，无重大环境制约因素</w:t>
      </w:r>
      <w:r>
        <w:rPr>
          <w:rFonts w:hint="eastAsia"/>
          <w:bCs/>
          <w:color w:val="auto"/>
          <w:highlight w:val="none"/>
          <w:lang w:eastAsia="zh-CN"/>
        </w:rPr>
        <w:t>。</w:t>
      </w:r>
    </w:p>
    <w:p>
      <w:pPr>
        <w:pStyle w:val="49"/>
        <w:pageBreakBefore w:val="0"/>
        <w:widowControl/>
        <w:kinsoku/>
        <w:wordWrap/>
        <w:overflowPunct/>
        <w:topLinePunct w:val="0"/>
        <w:autoSpaceDE/>
        <w:autoSpaceDN/>
        <w:bidi w:val="0"/>
        <w:adjustRightInd/>
        <w:snapToGrid/>
        <w:spacing w:line="480" w:lineRule="exact"/>
        <w:textAlignment w:val="auto"/>
        <w:rPr>
          <w:color w:val="auto"/>
          <w:highlight w:val="none"/>
        </w:rPr>
      </w:pPr>
      <w:bookmarkStart w:id="43" w:name="_Toc508291870"/>
      <w:bookmarkStart w:id="44" w:name="_Toc173941707"/>
      <w:bookmarkStart w:id="45" w:name="_Toc173942661"/>
      <w:bookmarkStart w:id="46" w:name="_Toc24790"/>
      <w:bookmarkStart w:id="47" w:name="_Toc24996"/>
      <w:bookmarkStart w:id="48" w:name="_Toc173941780"/>
      <w:bookmarkStart w:id="49" w:name="_Toc32740"/>
      <w:r>
        <w:rPr>
          <w:color w:val="auto"/>
          <w:highlight w:val="none"/>
        </w:rPr>
        <w:t>1.4关注的主要环境问题</w:t>
      </w:r>
      <w:bookmarkEnd w:id="43"/>
      <w:r>
        <w:rPr>
          <w:color w:val="auto"/>
          <w:highlight w:val="none"/>
        </w:rPr>
        <w:t>和环境影响</w:t>
      </w:r>
      <w:bookmarkEnd w:id="44"/>
      <w:bookmarkEnd w:id="45"/>
      <w:bookmarkEnd w:id="46"/>
      <w:bookmarkEnd w:id="47"/>
      <w:bookmarkEnd w:id="48"/>
      <w:bookmarkEnd w:id="49"/>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bookmarkStart w:id="50" w:name="_Toc508291871"/>
      <w:r>
        <w:rPr>
          <w:rFonts w:hint="eastAsia"/>
          <w:color w:val="auto"/>
          <w:highlight w:val="none"/>
        </w:rPr>
        <w:t>本工程为</w:t>
      </w:r>
      <w:r>
        <w:rPr>
          <w:rFonts w:hint="eastAsia"/>
          <w:color w:val="auto"/>
          <w:highlight w:val="none"/>
          <w:lang w:val="en-US" w:eastAsia="zh-CN"/>
        </w:rPr>
        <w:t>页岩油</w:t>
      </w:r>
      <w:r>
        <w:rPr>
          <w:rFonts w:hint="eastAsia"/>
          <w:color w:val="auto"/>
          <w:highlight w:val="none"/>
        </w:rPr>
        <w:t>开采项目，环境影响主要来源于施工期的钻井过程、井场和站场建设、集输管线，以及运营期的采油、井下作业、油气集输等各工艺过程。环境影响包括施工期和运营期污染物排放造成的环境污染和占地及施工造成的生态影响。根据现状调查，本工程不占用自然保护区、风景名胜区、水源保护区、基本农田、基本草原等敏感区，主要环境敏感保护目标为天山北坡诸小河流域重点治理区。重点关注施工过</w:t>
      </w:r>
      <w:r>
        <w:rPr>
          <w:rFonts w:hint="eastAsia"/>
          <w:color w:val="auto"/>
          <w:highlight w:val="none"/>
          <w:lang w:eastAsia="zh-CN"/>
        </w:rPr>
        <w:t>程中</w:t>
      </w:r>
      <w:r>
        <w:rPr>
          <w:rFonts w:hint="eastAsia"/>
          <w:color w:val="auto"/>
          <w:highlight w:val="none"/>
        </w:rPr>
        <w:t>的各项污染物产生以及可能发生的风险对区域环境产生的影响、施工过程中产生的生态环境问题以及生态恢复措施；施工过程中产生的扬尘、柴油机燃烧废气、运输车辆尾气、钻井废水、试压废水、生活污水、钻井岩屑、钻井泥浆、施工废料、生活垃圾、废油和含油废弃物等；运营期井场无组织挥发的非甲烷总烃、井下作业废水、采出水、含油污泥、落地油、清管废渣、废润滑油、废防渗膜</w:t>
      </w:r>
      <w:r>
        <w:rPr>
          <w:rFonts w:hint="eastAsia"/>
          <w:color w:val="auto"/>
          <w:highlight w:val="none"/>
          <w:lang w:eastAsia="zh-CN"/>
        </w:rPr>
        <w:t>、清罐底泥</w:t>
      </w:r>
      <w:r>
        <w:rPr>
          <w:rFonts w:hint="eastAsia"/>
          <w:color w:val="auto"/>
          <w:highlight w:val="none"/>
        </w:rPr>
        <w:t>等对环境产生的影响。</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（1）环境空气</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本工程施工期对空气环境的影响主要是施工活动产生的扬尘、柴油发电机燃烧产生的烟气以及运输车辆尾气对环境空气产生的短期影响；运营期对空气环境的影响主要为油井采油</w:t>
      </w:r>
      <w:r>
        <w:rPr>
          <w:rFonts w:hint="eastAsia"/>
          <w:color w:val="auto"/>
          <w:highlight w:val="none"/>
          <w:lang w:eastAsia="zh-CN"/>
        </w:rPr>
        <w:t>、</w:t>
      </w:r>
      <w:r>
        <w:rPr>
          <w:rFonts w:hint="eastAsia"/>
          <w:color w:val="auto"/>
          <w:highlight w:val="none"/>
          <w:lang w:val="en-US" w:eastAsia="zh-CN"/>
        </w:rPr>
        <w:t>拉运</w:t>
      </w:r>
      <w:r>
        <w:rPr>
          <w:rFonts w:hint="eastAsia"/>
          <w:color w:val="auto"/>
          <w:highlight w:val="none"/>
        </w:rPr>
        <w:t>过程中产生的无组织挥发烃类气体排放至大气环境，对其产生的长期影响。</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（2）水环境</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评价区内无地表水体。施工期钻井全部采用钻井废弃物不落地技术，钻井废水与钻井泥浆、岩屑一同进入不落地系统进行分离处理，分离后的液相回用于钻井液配制，不外排；本工程生活营地设置防渗生活污水池，生活污水定期拉运至乌尔禾污水处理厂处理；试压废水用作场地降尘用水，不会对水环境产生影响。</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本工程运营期在正常情况下，井下作业废水拉运至</w:t>
      </w:r>
      <w:r>
        <w:rPr>
          <w:rFonts w:hint="eastAsia"/>
          <w:color w:val="auto"/>
          <w:highlight w:val="none"/>
          <w:lang w:eastAsia="zh-CN"/>
        </w:rPr>
        <w:t>风城二号稠油处理站</w:t>
      </w:r>
      <w:r>
        <w:rPr>
          <w:rFonts w:hint="eastAsia"/>
          <w:color w:val="auto"/>
          <w:highlight w:val="none"/>
        </w:rPr>
        <w:t>处理，不外排；油水分离产生的含油污水依托</w:t>
      </w:r>
      <w:r>
        <w:rPr>
          <w:rFonts w:hint="eastAsia"/>
          <w:color w:val="auto"/>
          <w:highlight w:val="none"/>
          <w:lang w:eastAsia="zh-CN"/>
        </w:rPr>
        <w:t>风城二号稠油处理站</w:t>
      </w:r>
      <w:r>
        <w:rPr>
          <w:rFonts w:hint="eastAsia"/>
          <w:color w:val="auto"/>
          <w:highlight w:val="none"/>
        </w:rPr>
        <w:t>处理达标后回注，不外排，不会对环境产生影响。可能对地下水产生的影响主要为井漏、管线泄漏等事故状况下，含油污水渗漏到含水层，对地下水产生污染影响。</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（3）声环境</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本工程施工期对声环境的影响主要为钻井和地面建设施工机械、车辆运行产生的噪声对周围声环境产生的影响，运营期对声环境的影响主要为井场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生产设备运行产生的噪声对周围声环境产生的影响。</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（4）土壤环境</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施工期钻井、地面工程以及管道建设时对土壤环境的扰动影响。项目建设期和运营期产生的废弃泥浆、落地油、含油污水等污染物在风险事故状况下可能对土壤环境造成污染影响。</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（5）生态环境</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井场、站场施工、管道铺设发生的永久和临时占地，以及因机械设备、车辆的碾压、人员的践踏等活动将会对地表植被造成一定程度的破坏。临时占地暂时改变了土地利用形式，使区域的生产能力受到暂时性影响。</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（6）固体废物</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本工程施工期产生的固体废物（钻井泥浆、岩屑、弃土、施工废料、生活垃圾、废油、含油废弃物和废纯碱、膨润土、水泥等包装袋）及运营期产生的固体废弃物（落地油、含油污泥、清管废渣、废润滑油、废防渗膜</w:t>
      </w:r>
      <w:r>
        <w:rPr>
          <w:rFonts w:hint="eastAsia"/>
          <w:color w:val="auto"/>
          <w:highlight w:val="none"/>
          <w:lang w:eastAsia="zh-CN"/>
        </w:rPr>
        <w:t>、清罐底泥</w:t>
      </w:r>
      <w:r>
        <w:rPr>
          <w:rFonts w:hint="eastAsia"/>
          <w:color w:val="auto"/>
          <w:highlight w:val="none"/>
        </w:rPr>
        <w:t>）对环境的影响。</w:t>
      </w:r>
    </w:p>
    <w:p>
      <w:pPr>
        <w:pStyle w:val="57"/>
        <w:pageBreakBefore w:val="0"/>
        <w:widowControl/>
        <w:kinsoku/>
        <w:wordWrap/>
        <w:overflowPunct/>
        <w:topLinePunct w:val="0"/>
        <w:autoSpaceDE/>
        <w:autoSpaceDN/>
        <w:bidi w:val="0"/>
        <w:adjustRightInd/>
        <w:snapToGrid/>
        <w:spacing w:line="480" w:lineRule="exact"/>
        <w:textAlignment w:val="auto"/>
        <w:rPr>
          <w:rFonts w:hint="eastAsia"/>
          <w:color w:val="auto"/>
          <w:highlight w:val="none"/>
        </w:rPr>
      </w:pPr>
      <w:r>
        <w:rPr>
          <w:rFonts w:hint="eastAsia"/>
          <w:color w:val="auto"/>
          <w:highlight w:val="none"/>
        </w:rPr>
        <w:t>（7）环境风险</w:t>
      </w:r>
    </w:p>
    <w:p>
      <w:pPr>
        <w:pStyle w:val="57"/>
        <w:pageBreakBefore w:val="0"/>
        <w:widowControl/>
        <w:kinsoku/>
        <w:wordWrap/>
        <w:overflowPunct/>
        <w:topLinePunct w:val="0"/>
        <w:autoSpaceDE/>
        <w:autoSpaceDN/>
        <w:bidi w:val="0"/>
        <w:adjustRightInd/>
        <w:snapToGrid/>
        <w:spacing w:line="480" w:lineRule="exact"/>
        <w:textAlignment w:val="auto"/>
        <w:rPr>
          <w:rFonts w:hint="eastAsia" w:eastAsia="宋体"/>
          <w:color w:val="auto"/>
          <w:highlight w:val="none"/>
          <w:lang w:eastAsia="zh-CN"/>
        </w:rPr>
      </w:pPr>
      <w:r>
        <w:rPr>
          <w:rFonts w:hint="eastAsia"/>
          <w:color w:val="auto"/>
          <w:highlight w:val="none"/>
        </w:rPr>
        <w:t>本工程的施工期环境风险</w:t>
      </w:r>
      <w:r>
        <w:rPr>
          <w:rFonts w:hint="eastAsia"/>
          <w:color w:val="auto"/>
          <w:highlight w:val="none"/>
          <w:lang w:val="en-US" w:eastAsia="zh-CN"/>
        </w:rPr>
        <w:t>主要是</w:t>
      </w:r>
      <w:r>
        <w:rPr>
          <w:rFonts w:hint="eastAsia"/>
          <w:color w:val="auto"/>
          <w:highlight w:val="none"/>
        </w:rPr>
        <w:t>柴油储罐泄漏对区域内的大气环境、地下水环境、土壤环境、生态环境具有潜在危害性；运营期主要环境风险是天然气、原油泄漏对区域内的大气环境、地下水环境、土壤环境、生态环境具有潜在危害性</w:t>
      </w:r>
      <w:r>
        <w:rPr>
          <w:rFonts w:hint="eastAsia"/>
          <w:color w:val="auto"/>
          <w:highlight w:val="none"/>
          <w:lang w:eastAsia="zh-CN"/>
        </w:rPr>
        <w:t>。</w:t>
      </w:r>
    </w:p>
    <w:p>
      <w:pPr>
        <w:pStyle w:val="49"/>
        <w:pageBreakBefore w:val="0"/>
        <w:widowControl/>
        <w:kinsoku/>
        <w:wordWrap/>
        <w:overflowPunct/>
        <w:topLinePunct w:val="0"/>
        <w:autoSpaceDE/>
        <w:autoSpaceDN/>
        <w:bidi w:val="0"/>
        <w:adjustRightInd/>
        <w:snapToGrid/>
        <w:spacing w:line="480" w:lineRule="exact"/>
        <w:textAlignment w:val="auto"/>
        <w:rPr>
          <w:color w:val="auto"/>
          <w:highlight w:val="none"/>
        </w:rPr>
      </w:pPr>
      <w:bookmarkStart w:id="51" w:name="_Toc173941708"/>
      <w:bookmarkStart w:id="52" w:name="_Toc17732"/>
      <w:bookmarkStart w:id="53" w:name="_Toc22458"/>
      <w:bookmarkStart w:id="54" w:name="_Toc173941781"/>
      <w:bookmarkStart w:id="55" w:name="_Toc173942662"/>
      <w:bookmarkStart w:id="56" w:name="_Toc13292"/>
      <w:r>
        <w:rPr>
          <w:color w:val="auto"/>
          <w:highlight w:val="none"/>
        </w:rPr>
        <w:t>1.5环境影响评价</w:t>
      </w:r>
      <w:r>
        <w:rPr>
          <w:rFonts w:hint="eastAsia"/>
          <w:color w:val="auto"/>
          <w:highlight w:val="none"/>
        </w:rPr>
        <w:t>的</w:t>
      </w:r>
      <w:r>
        <w:rPr>
          <w:color w:val="auto"/>
          <w:highlight w:val="none"/>
        </w:rPr>
        <w:t>主要结论</w:t>
      </w:r>
      <w:bookmarkEnd w:id="50"/>
      <w:bookmarkEnd w:id="51"/>
      <w:bookmarkEnd w:id="52"/>
      <w:bookmarkEnd w:id="53"/>
      <w:bookmarkEnd w:id="54"/>
      <w:bookmarkEnd w:id="55"/>
      <w:bookmarkEnd w:id="56"/>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pPr>
      <w:r>
        <w:rPr>
          <w:rFonts w:hint="eastAsia"/>
          <w:color w:val="auto"/>
          <w:highlight w:val="none"/>
        </w:rPr>
        <w:t>本工程属于《产业结构调整指导目录（2024年本）》中“鼓励类”项目，符合国家产业政策；符合《新疆维吾尔自治区大气污染防治条例》《石油天然气开采业污染防治技术政策》等法规和政策要求；符合</w:t>
      </w:r>
      <w:r>
        <w:rPr>
          <w:rFonts w:hint="default" w:ascii="Times New Roman" w:hAnsi="Times New Roman" w:cs="Times New Roman"/>
          <w:color w:val="auto"/>
          <w:kern w:val="2"/>
          <w:highlight w:val="none"/>
          <w:shd w:val="clear" w:color="auto" w:fill="auto"/>
        </w:rPr>
        <w:t>《新疆维吾尔自治区国民经济和社会发展第十四个五年规划和2035年远景目标纲要》</w:t>
      </w:r>
      <w:r>
        <w:rPr>
          <w:rFonts w:hint="eastAsia"/>
          <w:color w:val="auto"/>
          <w:highlight w:val="none"/>
        </w:rPr>
        <w:t>《新疆生态环境保护“十四五”规划》《新疆维吾尔自治区国土空间规划（2021</w:t>
      </w:r>
      <w:r>
        <w:rPr>
          <w:rFonts w:hint="eastAsia"/>
          <w:color w:val="auto"/>
          <w:highlight w:val="none"/>
          <w:lang w:eastAsia="zh-CN"/>
        </w:rPr>
        <w:t>—</w:t>
      </w:r>
      <w:r>
        <w:rPr>
          <w:rFonts w:hint="eastAsia"/>
          <w:color w:val="auto"/>
          <w:highlight w:val="none"/>
        </w:rPr>
        <w:t>2035年）》</w:t>
      </w:r>
      <w:r>
        <w:rPr>
          <w:rFonts w:hint="default" w:ascii="Times New Roman" w:hAnsi="Times New Roman" w:cs="Times New Roman"/>
          <w:color w:val="auto"/>
          <w:kern w:val="2"/>
          <w:highlight w:val="none"/>
          <w:shd w:val="clear" w:color="auto" w:fill="auto"/>
        </w:rPr>
        <w:t>《新疆维吾尔自治区主体功能区规划》</w:t>
      </w:r>
      <w:r>
        <w:rPr>
          <w:rFonts w:hint="eastAsia" w:ascii="Times New Roman" w:hAnsi="Times New Roman" w:cs="Times New Roman"/>
          <w:color w:val="auto"/>
          <w:kern w:val="2"/>
          <w:highlight w:val="none"/>
          <w:shd w:val="clear" w:color="auto" w:fill="auto"/>
          <w:lang w:eastAsia="zh-CN"/>
        </w:rPr>
        <w:t>《新疆油田公司“十四五”发展规划》</w:t>
      </w:r>
      <w:r>
        <w:rPr>
          <w:rFonts w:hint="eastAsia"/>
          <w:color w:val="auto"/>
          <w:highlight w:val="none"/>
        </w:rPr>
        <w:t>等相关规划要求；</w:t>
      </w:r>
      <w:r>
        <w:rPr>
          <w:rFonts w:hint="default" w:ascii="Times New Roman" w:hAnsi="Times New Roman" w:cs="Times New Roman"/>
          <w:color w:val="auto"/>
          <w:kern w:val="2"/>
          <w:highlight w:val="none"/>
          <w:shd w:val="clear" w:color="auto" w:fill="auto"/>
        </w:rPr>
        <w:t>项目不涉及依法划定的自然保护区、饮用水源保护区、风景名胜区、森林公园等环境敏感区</w:t>
      </w:r>
      <w:r>
        <w:rPr>
          <w:rFonts w:hint="default" w:ascii="Times New Roman" w:hAnsi="Times New Roman" w:cs="Times New Roman"/>
          <w:color w:val="auto"/>
          <w:kern w:val="2"/>
          <w:highlight w:val="none"/>
          <w:shd w:val="clear" w:color="auto" w:fill="auto"/>
          <w:lang w:eastAsia="zh-CN"/>
        </w:rPr>
        <w:t>，</w:t>
      </w:r>
      <w:r>
        <w:rPr>
          <w:rFonts w:hint="default" w:ascii="Times New Roman" w:hAnsi="Times New Roman" w:cs="Times New Roman"/>
          <w:color w:val="auto"/>
          <w:highlight w:val="none"/>
          <w:shd w:val="clear" w:color="auto" w:fill="auto"/>
        </w:rPr>
        <w:t>不涉及生态保护红线，</w:t>
      </w:r>
      <w:r>
        <w:rPr>
          <w:rFonts w:hint="default" w:ascii="Times New Roman" w:hAnsi="Times New Roman" w:cs="Times New Roman"/>
          <w:color w:val="auto"/>
          <w:kern w:val="2"/>
          <w:highlight w:val="none"/>
          <w:shd w:val="clear" w:color="auto" w:fill="auto"/>
        </w:rPr>
        <w:t>项目符合</w:t>
      </w:r>
      <w:r>
        <w:rPr>
          <w:rFonts w:hint="eastAsia" w:ascii="Times New Roman" w:hAnsi="Times New Roman" w:eastAsia="宋体" w:cs="Times New Roman"/>
          <w:bCs/>
          <w:color w:val="auto"/>
          <w:highlight w:val="none"/>
          <w:lang w:val="en-US" w:eastAsia="zh-CN"/>
        </w:rPr>
        <w:t>克拉玛依市</w:t>
      </w:r>
      <w:r>
        <w:rPr>
          <w:rFonts w:hint="eastAsia" w:cs="Times New Roman"/>
          <w:bCs/>
          <w:color w:val="auto"/>
          <w:highlight w:val="none"/>
          <w:lang w:val="en-US" w:eastAsia="zh-CN"/>
        </w:rPr>
        <w:t>、</w:t>
      </w:r>
      <w:r>
        <w:rPr>
          <w:rFonts w:hint="eastAsia" w:ascii="Times New Roman" w:hAnsi="Times New Roman" w:eastAsia="宋体" w:cs="Times New Roman"/>
          <w:bCs/>
          <w:color w:val="auto"/>
          <w:highlight w:val="none"/>
        </w:rPr>
        <w:t>塔城地区</w:t>
      </w:r>
      <w:r>
        <w:rPr>
          <w:rFonts w:hint="eastAsia" w:cs="Times New Roman"/>
          <w:bCs/>
          <w:color w:val="auto"/>
          <w:highlight w:val="none"/>
          <w:lang w:eastAsia="zh-CN"/>
        </w:rPr>
        <w:t>、</w:t>
      </w:r>
      <w:r>
        <w:rPr>
          <w:rFonts w:hint="eastAsia" w:cs="Times New Roman"/>
          <w:bCs/>
          <w:color w:val="auto"/>
          <w:highlight w:val="none"/>
          <w:lang w:val="en-US" w:eastAsia="zh-CN"/>
        </w:rPr>
        <w:t>第七师胡杨河市</w:t>
      </w:r>
      <w:r>
        <w:rPr>
          <w:rFonts w:hint="eastAsia"/>
          <w:color w:val="auto"/>
          <w:highlight w:val="none"/>
        </w:rPr>
        <w:t>生态环境分区管控</w:t>
      </w:r>
      <w:r>
        <w:rPr>
          <w:rFonts w:hint="default" w:ascii="Times New Roman" w:hAnsi="Times New Roman" w:cs="Times New Roman"/>
          <w:color w:val="auto"/>
          <w:kern w:val="2"/>
          <w:highlight w:val="none"/>
          <w:shd w:val="clear" w:color="auto" w:fill="auto"/>
        </w:rPr>
        <w:t>要求；</w:t>
      </w:r>
      <w:r>
        <w:rPr>
          <w:rFonts w:hint="default" w:ascii="Times New Roman" w:hAnsi="Times New Roman" w:cs="Times New Roman"/>
          <w:color w:val="auto"/>
          <w:highlight w:val="none"/>
          <w:shd w:val="clear" w:color="auto" w:fill="auto"/>
          <w:lang w:eastAsia="zh-CN"/>
        </w:rPr>
        <w:t>本工程</w:t>
      </w:r>
      <w:r>
        <w:rPr>
          <w:rFonts w:hint="default" w:ascii="Times New Roman" w:hAnsi="Times New Roman" w:cs="Times New Roman"/>
          <w:color w:val="auto"/>
          <w:highlight w:val="none"/>
          <w:shd w:val="clear" w:color="auto" w:fill="auto"/>
        </w:rPr>
        <w:t>在切实落实报告书中提出的各项环保措施后，可以做到达标排放</w:t>
      </w:r>
      <w:r>
        <w:rPr>
          <w:rFonts w:hint="eastAsia"/>
          <w:color w:val="auto"/>
          <w:highlight w:val="none"/>
        </w:rPr>
        <w:t>；</w:t>
      </w:r>
      <w:r>
        <w:rPr>
          <w:rFonts w:hint="eastAsia"/>
          <w:color w:val="auto"/>
          <w:highlight w:val="none"/>
          <w:lang w:eastAsia="zh-CN"/>
        </w:rPr>
        <w:t>中国石油新疆油田分公司玛湖勘探开发项目部</w:t>
      </w:r>
      <w:r>
        <w:rPr>
          <w:rFonts w:hint="eastAsia"/>
          <w:color w:val="auto"/>
          <w:highlight w:val="none"/>
        </w:rPr>
        <w:t>按照《环境影响评价公众参与办法》，在本工程环评过程中开展了公众参与调查，至信息公告的截止日期没有收到相关反馈信息。</w:t>
      </w:r>
    </w:p>
    <w:p>
      <w:pPr>
        <w:pStyle w:val="57"/>
        <w:pageBreakBefore w:val="0"/>
        <w:widowControl/>
        <w:kinsoku/>
        <w:wordWrap/>
        <w:overflowPunct/>
        <w:topLinePunct w:val="0"/>
        <w:autoSpaceDE/>
        <w:autoSpaceDN/>
        <w:bidi w:val="0"/>
        <w:adjustRightInd/>
        <w:snapToGrid/>
        <w:spacing w:line="480" w:lineRule="exact"/>
        <w:textAlignment w:val="auto"/>
        <w:rPr>
          <w:color w:val="auto"/>
          <w:highlight w:val="none"/>
        </w:rPr>
        <w:sectPr>
          <w:footerReference r:id="rId8" w:type="default"/>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color w:val="auto"/>
          <w:highlight w:val="none"/>
        </w:rPr>
        <w:t>评价认为：只要在施工期、运营期、退役期认真落实各项污染防治措施、生态修复措施、风险防范措施及应急措施，各项污染物均能够做到达标排放，其生态破坏可有效降低，环境风险可以接受，从环境保护角度看，本工程选址合理，建设从生态环境影响的角度是可行的。</w:t>
      </w:r>
    </w:p>
    <w:p>
      <w:pPr>
        <w:pStyle w:val="47"/>
        <w:rPr>
          <w:color w:val="auto"/>
          <w:highlight w:val="none"/>
        </w:rPr>
      </w:pPr>
      <w:bookmarkStart w:id="57" w:name="_Toc297590765"/>
      <w:bookmarkStart w:id="58" w:name="_Toc280954895"/>
      <w:bookmarkStart w:id="59" w:name="_Toc374724170"/>
      <w:bookmarkStart w:id="60" w:name="_Toc297590918"/>
      <w:bookmarkStart w:id="61" w:name="_Toc280954972"/>
      <w:bookmarkStart w:id="62" w:name="_Toc361761815"/>
      <w:bookmarkStart w:id="63" w:name="_Toc353966723"/>
      <w:bookmarkStart w:id="64" w:name="_Toc31321"/>
      <w:bookmarkStart w:id="65" w:name="_Toc173941709"/>
      <w:bookmarkStart w:id="66" w:name="_Toc508291872"/>
      <w:bookmarkStart w:id="67" w:name="_Toc173942663"/>
      <w:bookmarkStart w:id="68" w:name="_Toc24187"/>
      <w:bookmarkStart w:id="69" w:name="_Toc2535"/>
      <w:bookmarkStart w:id="70" w:name="_Toc173941782"/>
      <w:r>
        <w:rPr>
          <w:color w:val="auto"/>
          <w:highlight w:val="none"/>
        </w:rPr>
        <w:t>2.</w:t>
      </w:r>
      <w:bookmarkEnd w:id="57"/>
      <w:bookmarkEnd w:id="58"/>
      <w:bookmarkEnd w:id="59"/>
      <w:bookmarkEnd w:id="60"/>
      <w:bookmarkEnd w:id="61"/>
      <w:bookmarkEnd w:id="62"/>
      <w:bookmarkEnd w:id="63"/>
      <w:r>
        <w:rPr>
          <w:color w:val="auto"/>
          <w:highlight w:val="none"/>
        </w:rPr>
        <w:t>总则</w:t>
      </w:r>
      <w:bookmarkEnd w:id="64"/>
      <w:bookmarkEnd w:id="65"/>
      <w:bookmarkEnd w:id="66"/>
      <w:bookmarkEnd w:id="67"/>
      <w:bookmarkEnd w:id="68"/>
      <w:bookmarkEnd w:id="69"/>
      <w:bookmarkEnd w:id="70"/>
    </w:p>
    <w:p>
      <w:pPr>
        <w:pStyle w:val="49"/>
        <w:rPr>
          <w:color w:val="auto"/>
          <w:highlight w:val="none"/>
        </w:rPr>
      </w:pPr>
      <w:bookmarkStart w:id="71" w:name="_Toc374724171"/>
      <w:bookmarkStart w:id="72" w:name="_Toc280954975"/>
      <w:bookmarkStart w:id="73" w:name="_Toc173941786"/>
      <w:bookmarkStart w:id="74" w:name="_Toc255293758"/>
      <w:bookmarkStart w:id="75" w:name="_Toc297590921"/>
      <w:bookmarkStart w:id="76" w:name="_Toc361761818"/>
      <w:bookmarkStart w:id="77" w:name="_Toc508291873"/>
      <w:bookmarkStart w:id="78" w:name="_Toc280954898"/>
      <w:bookmarkStart w:id="79" w:name="_Toc227650564"/>
      <w:bookmarkStart w:id="80" w:name="_Toc173941711"/>
      <w:bookmarkStart w:id="81" w:name="_Toc3785"/>
      <w:bookmarkStart w:id="82" w:name="_Toc21237"/>
      <w:bookmarkStart w:id="83" w:name="_Toc173942665"/>
      <w:bookmarkStart w:id="84" w:name="_Toc353966726"/>
      <w:bookmarkStart w:id="85" w:name="_Toc20286"/>
      <w:bookmarkStart w:id="86" w:name="_Toc297590768"/>
      <w:bookmarkStart w:id="87" w:name="_Toc173941783"/>
      <w:bookmarkStart w:id="88" w:name="_Toc508642316"/>
      <w:bookmarkStart w:id="89" w:name="_Toc20352"/>
      <w:bookmarkStart w:id="90" w:name="_Toc173942664"/>
      <w:bookmarkStart w:id="91" w:name="_Toc173941710"/>
      <w:bookmarkStart w:id="92" w:name="_Toc329026107"/>
      <w:bookmarkStart w:id="93" w:name="_Toc465181725"/>
      <w:bookmarkStart w:id="94" w:name="_Toc330418975"/>
      <w:bookmarkStart w:id="95" w:name="_Toc313911247"/>
      <w:bookmarkStart w:id="96" w:name="_Toc332317905"/>
      <w:bookmarkStart w:id="97" w:name="_Toc312148931"/>
      <w:bookmarkStart w:id="98" w:name="_Toc330418760"/>
      <w:r>
        <w:rPr>
          <w:color w:val="auto"/>
          <w:highlight w:val="none"/>
        </w:rPr>
        <w:t>2.</w:t>
      </w:r>
      <w:r>
        <w:rPr>
          <w:rFonts w:hint="eastAsia"/>
          <w:color w:val="auto"/>
          <w:highlight w:val="none"/>
        </w:rPr>
        <w:t>1</w:t>
      </w:r>
      <w:r>
        <w:rPr>
          <w:color w:val="auto"/>
          <w:highlight w:val="none"/>
        </w:rPr>
        <w:t>编制依据</w:t>
      </w:r>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p>
    <w:p>
      <w:pPr>
        <w:pStyle w:val="53"/>
        <w:rPr>
          <w:color w:val="auto"/>
          <w:highlight w:val="none"/>
        </w:rPr>
      </w:pPr>
      <w:bookmarkStart w:id="99" w:name="_Toc173941787"/>
      <w:r>
        <w:rPr>
          <w:color w:val="auto"/>
          <w:highlight w:val="none"/>
        </w:rPr>
        <w:t>2.</w:t>
      </w:r>
      <w:r>
        <w:rPr>
          <w:rFonts w:hint="eastAsia"/>
          <w:color w:val="auto"/>
          <w:highlight w:val="none"/>
        </w:rPr>
        <w:t>1</w:t>
      </w:r>
      <w:r>
        <w:rPr>
          <w:color w:val="auto"/>
          <w:highlight w:val="none"/>
        </w:rPr>
        <w:t xml:space="preserve">.1 </w:t>
      </w:r>
      <w:r>
        <w:rPr>
          <w:rFonts w:hint="eastAsia"/>
          <w:color w:val="auto"/>
          <w:highlight w:val="none"/>
        </w:rPr>
        <w:t>环境保护法律</w:t>
      </w:r>
      <w:bookmarkEnd w:id="99"/>
    </w:p>
    <w:p>
      <w:pPr>
        <w:pStyle w:val="57"/>
        <w:rPr>
          <w:color w:val="auto"/>
          <w:highlight w:val="none"/>
        </w:rPr>
      </w:pPr>
      <w:r>
        <w:rPr>
          <w:rFonts w:hint="eastAsia"/>
          <w:color w:val="auto"/>
          <w:highlight w:val="none"/>
        </w:rPr>
        <w:t>环境保护法律</w:t>
      </w:r>
      <w:r>
        <w:rPr>
          <w:color w:val="auto"/>
          <w:highlight w:val="none"/>
        </w:rPr>
        <w:t>一览表见表2.</w:t>
      </w:r>
      <w:r>
        <w:rPr>
          <w:rFonts w:hint="eastAsia"/>
          <w:color w:val="auto"/>
          <w:highlight w:val="none"/>
        </w:rPr>
        <w:t>1</w:t>
      </w:r>
      <w:r>
        <w:rPr>
          <w:color w:val="auto"/>
          <w:highlight w:val="none"/>
        </w:rPr>
        <w:t>-1。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表2.</w:t>
      </w:r>
      <w:r>
        <w:rPr>
          <w:rFonts w:hint="eastAsia"/>
          <w:color w:val="auto"/>
          <w:highlight w:val="none"/>
        </w:rPr>
        <w:t>1</w:t>
      </w:r>
      <w:r>
        <w:rPr>
          <w:color w:val="auto"/>
          <w:highlight w:val="none"/>
        </w:rPr>
        <w:t xml:space="preserve">-1            </w:t>
      </w:r>
      <w:r>
        <w:rPr>
          <w:rFonts w:hint="eastAsia"/>
          <w:color w:val="auto"/>
          <w:highlight w:val="none"/>
        </w:rPr>
        <w:t>环境保护法律</w:t>
      </w:r>
      <w:r>
        <w:rPr>
          <w:color w:val="auto"/>
          <w:highlight w:val="none"/>
        </w:rPr>
        <w:t>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33"/>
        <w:gridCol w:w="4872"/>
        <w:gridCol w:w="2241"/>
        <w:gridCol w:w="129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135" w:type="pct"/>
            <w:tcBorders>
              <w:tl2br w:val="nil"/>
              <w:tr2bl w:val="nil"/>
            </w:tcBorders>
            <w:vAlign w:val="center"/>
          </w:tcPr>
          <w:p>
            <w:pPr>
              <w:pStyle w:val="41"/>
              <w:rPr>
                <w:color w:val="auto"/>
                <w:highlight w:val="none"/>
              </w:rPr>
            </w:pPr>
            <w:r>
              <w:rPr>
                <w:color w:val="auto"/>
                <w:highlight w:val="none"/>
              </w:rPr>
              <w:t>序号</w:t>
            </w:r>
          </w:p>
        </w:tc>
        <w:tc>
          <w:tcPr>
            <w:tcW w:w="2817" w:type="pct"/>
            <w:tcBorders>
              <w:tl2br w:val="nil"/>
              <w:tr2bl w:val="nil"/>
            </w:tcBorders>
            <w:vAlign w:val="center"/>
          </w:tcPr>
          <w:p>
            <w:pPr>
              <w:pStyle w:val="41"/>
              <w:rPr>
                <w:color w:val="auto"/>
                <w:highlight w:val="none"/>
              </w:rPr>
            </w:pPr>
            <w:r>
              <w:rPr>
                <w:color w:val="auto"/>
                <w:highlight w:val="none"/>
              </w:rPr>
              <w:t>依据名称</w:t>
            </w:r>
          </w:p>
        </w:tc>
        <w:tc>
          <w:tcPr>
            <w:tcW w:w="1296" w:type="pct"/>
            <w:tcBorders>
              <w:tl2br w:val="nil"/>
              <w:tr2bl w:val="nil"/>
            </w:tcBorders>
            <w:vAlign w:val="center"/>
          </w:tcPr>
          <w:p>
            <w:pPr>
              <w:pStyle w:val="41"/>
              <w:rPr>
                <w:color w:val="auto"/>
                <w:highlight w:val="none"/>
              </w:rPr>
            </w:pPr>
            <w:r>
              <w:rPr>
                <w:color w:val="auto"/>
                <w:highlight w:val="none"/>
              </w:rPr>
              <w:t>会议、主席令、文号</w:t>
            </w:r>
          </w:p>
        </w:tc>
        <w:tc>
          <w:tcPr>
            <w:tcW w:w="750" w:type="pct"/>
            <w:tcBorders>
              <w:tl2br w:val="nil"/>
              <w:tr2bl w:val="nil"/>
            </w:tcBorders>
            <w:vAlign w:val="center"/>
          </w:tcPr>
          <w:p>
            <w:pPr>
              <w:pStyle w:val="41"/>
              <w:rPr>
                <w:color w:val="auto"/>
                <w:highlight w:val="none"/>
              </w:rPr>
            </w:pPr>
            <w:r>
              <w:rPr>
                <w:color w:val="auto"/>
                <w:highlight w:val="none"/>
              </w:rPr>
              <w:t>实施时间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pPr>
              <w:pStyle w:val="41"/>
              <w:rPr>
                <w:color w:val="auto"/>
                <w:highlight w:val="none"/>
              </w:rPr>
            </w:pPr>
            <w:r>
              <w:rPr>
                <w:color w:val="auto"/>
                <w:highlight w:val="none"/>
              </w:rPr>
              <w:t>1</w:t>
            </w:r>
          </w:p>
        </w:tc>
        <w:tc>
          <w:tcPr>
            <w:tcW w:w="2817" w:type="pct"/>
            <w:tcBorders>
              <w:tl2br w:val="nil"/>
              <w:tr2bl w:val="nil"/>
            </w:tcBorders>
            <w:vAlign w:val="center"/>
          </w:tcPr>
          <w:p>
            <w:pPr>
              <w:pStyle w:val="41"/>
              <w:jc w:val="left"/>
              <w:rPr>
                <w:color w:val="auto"/>
                <w:highlight w:val="none"/>
              </w:rPr>
            </w:pPr>
            <w:r>
              <w:rPr>
                <w:color w:val="auto"/>
                <w:highlight w:val="none"/>
              </w:rPr>
              <w:t>中华人民共和国环境保护法（2014年修</w:t>
            </w:r>
            <w:r>
              <w:rPr>
                <w:rFonts w:hint="eastAsia"/>
                <w:color w:val="auto"/>
                <w:highlight w:val="none"/>
              </w:rPr>
              <w:t>订</w:t>
            </w:r>
            <w:r>
              <w:rPr>
                <w:color w:val="auto"/>
                <w:highlight w:val="none"/>
              </w:rPr>
              <w:t>）</w:t>
            </w:r>
          </w:p>
        </w:tc>
        <w:tc>
          <w:tcPr>
            <w:tcW w:w="1296" w:type="pct"/>
            <w:tcBorders>
              <w:tl2br w:val="nil"/>
              <w:tr2bl w:val="nil"/>
            </w:tcBorders>
            <w:vAlign w:val="center"/>
          </w:tcPr>
          <w:p>
            <w:pPr>
              <w:pStyle w:val="41"/>
              <w:rPr>
                <w:color w:val="auto"/>
                <w:highlight w:val="none"/>
              </w:rPr>
            </w:pPr>
            <w:r>
              <w:rPr>
                <w:color w:val="auto"/>
                <w:highlight w:val="none"/>
              </w:rPr>
              <w:t>12届人大第8次会议</w:t>
            </w:r>
          </w:p>
        </w:tc>
        <w:tc>
          <w:tcPr>
            <w:tcW w:w="750" w:type="pct"/>
            <w:tcBorders>
              <w:tl2br w:val="nil"/>
              <w:tr2bl w:val="nil"/>
            </w:tcBorders>
            <w:vAlign w:val="center"/>
          </w:tcPr>
          <w:p>
            <w:pPr>
              <w:pStyle w:val="41"/>
              <w:rPr>
                <w:color w:val="auto"/>
                <w:highlight w:val="none"/>
              </w:rPr>
            </w:pPr>
            <w:r>
              <w:rPr>
                <w:color w:val="auto"/>
                <w:highlight w:val="none"/>
              </w:rPr>
              <w:t>2015-01-01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pPr>
              <w:pStyle w:val="41"/>
              <w:rPr>
                <w:color w:val="auto"/>
                <w:highlight w:val="none"/>
              </w:rPr>
            </w:pPr>
            <w:r>
              <w:rPr>
                <w:color w:val="auto"/>
                <w:highlight w:val="none"/>
              </w:rPr>
              <w:t>2</w:t>
            </w:r>
          </w:p>
        </w:tc>
        <w:tc>
          <w:tcPr>
            <w:tcW w:w="2817" w:type="pct"/>
            <w:tcBorders>
              <w:tl2br w:val="nil"/>
              <w:tr2bl w:val="nil"/>
            </w:tcBorders>
            <w:vAlign w:val="center"/>
          </w:tcPr>
          <w:p>
            <w:pPr>
              <w:pStyle w:val="41"/>
              <w:jc w:val="left"/>
              <w:rPr>
                <w:color w:val="auto"/>
                <w:highlight w:val="none"/>
              </w:rPr>
            </w:pPr>
            <w:r>
              <w:rPr>
                <w:color w:val="auto"/>
                <w:highlight w:val="none"/>
              </w:rPr>
              <w:t>中华人民共和国环境影响评价法（2018年修正）</w:t>
            </w:r>
          </w:p>
        </w:tc>
        <w:tc>
          <w:tcPr>
            <w:tcW w:w="1296" w:type="pct"/>
            <w:tcBorders>
              <w:tl2br w:val="nil"/>
              <w:tr2bl w:val="nil"/>
            </w:tcBorders>
            <w:vAlign w:val="center"/>
          </w:tcPr>
          <w:p>
            <w:pPr>
              <w:pStyle w:val="41"/>
              <w:rPr>
                <w:color w:val="auto"/>
                <w:highlight w:val="none"/>
              </w:rPr>
            </w:pPr>
            <w:r>
              <w:rPr>
                <w:color w:val="auto"/>
                <w:highlight w:val="none"/>
              </w:rPr>
              <w:t>13届人大第7次会议</w:t>
            </w:r>
          </w:p>
        </w:tc>
        <w:tc>
          <w:tcPr>
            <w:tcW w:w="750" w:type="pct"/>
            <w:tcBorders>
              <w:tl2br w:val="nil"/>
              <w:tr2bl w:val="nil"/>
            </w:tcBorders>
            <w:vAlign w:val="center"/>
          </w:tcPr>
          <w:p>
            <w:pPr>
              <w:pStyle w:val="41"/>
              <w:rPr>
                <w:color w:val="auto"/>
                <w:highlight w:val="none"/>
              </w:rPr>
            </w:pPr>
            <w:r>
              <w:rPr>
                <w:color w:val="auto"/>
                <w:highlight w:val="none"/>
              </w:rPr>
              <w:t>2018-12-29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pPr>
              <w:pStyle w:val="41"/>
              <w:rPr>
                <w:color w:val="auto"/>
                <w:highlight w:val="none"/>
              </w:rPr>
            </w:pPr>
            <w:r>
              <w:rPr>
                <w:color w:val="auto"/>
                <w:highlight w:val="none"/>
              </w:rPr>
              <w:t>3</w:t>
            </w:r>
          </w:p>
        </w:tc>
        <w:tc>
          <w:tcPr>
            <w:tcW w:w="2817" w:type="pct"/>
            <w:tcBorders>
              <w:tl2br w:val="nil"/>
              <w:tr2bl w:val="nil"/>
            </w:tcBorders>
            <w:vAlign w:val="center"/>
          </w:tcPr>
          <w:p>
            <w:pPr>
              <w:pStyle w:val="41"/>
              <w:jc w:val="left"/>
              <w:rPr>
                <w:color w:val="auto"/>
                <w:highlight w:val="none"/>
              </w:rPr>
            </w:pPr>
            <w:r>
              <w:rPr>
                <w:color w:val="auto"/>
                <w:highlight w:val="none"/>
              </w:rPr>
              <w:t>中华人民共和国大气污染防治法（2018年修正）</w:t>
            </w:r>
          </w:p>
        </w:tc>
        <w:tc>
          <w:tcPr>
            <w:tcW w:w="1296" w:type="pct"/>
            <w:tcBorders>
              <w:tl2br w:val="nil"/>
              <w:tr2bl w:val="nil"/>
            </w:tcBorders>
            <w:vAlign w:val="center"/>
          </w:tcPr>
          <w:p>
            <w:pPr>
              <w:pStyle w:val="41"/>
              <w:rPr>
                <w:color w:val="auto"/>
                <w:highlight w:val="none"/>
              </w:rPr>
            </w:pPr>
            <w:r>
              <w:rPr>
                <w:color w:val="auto"/>
                <w:highlight w:val="none"/>
              </w:rPr>
              <w:t>13届人大第6次会议</w:t>
            </w:r>
          </w:p>
        </w:tc>
        <w:tc>
          <w:tcPr>
            <w:tcW w:w="750" w:type="pct"/>
            <w:tcBorders>
              <w:tl2br w:val="nil"/>
              <w:tr2bl w:val="nil"/>
            </w:tcBorders>
            <w:vAlign w:val="center"/>
          </w:tcPr>
          <w:p>
            <w:pPr>
              <w:pStyle w:val="41"/>
              <w:rPr>
                <w:color w:val="auto"/>
                <w:highlight w:val="none"/>
              </w:rPr>
            </w:pPr>
            <w:r>
              <w:rPr>
                <w:color w:val="auto"/>
                <w:highlight w:val="none"/>
              </w:rPr>
              <w:t>2018-10-26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pPr>
              <w:pStyle w:val="41"/>
              <w:rPr>
                <w:color w:val="auto"/>
                <w:highlight w:val="none"/>
              </w:rPr>
            </w:pPr>
            <w:r>
              <w:rPr>
                <w:color w:val="auto"/>
                <w:highlight w:val="none"/>
              </w:rPr>
              <w:t>4</w:t>
            </w:r>
          </w:p>
        </w:tc>
        <w:tc>
          <w:tcPr>
            <w:tcW w:w="2817" w:type="pct"/>
            <w:tcBorders>
              <w:tl2br w:val="nil"/>
              <w:tr2bl w:val="nil"/>
            </w:tcBorders>
            <w:vAlign w:val="center"/>
          </w:tcPr>
          <w:p>
            <w:pPr>
              <w:pStyle w:val="41"/>
              <w:jc w:val="left"/>
              <w:rPr>
                <w:color w:val="auto"/>
                <w:highlight w:val="none"/>
              </w:rPr>
            </w:pPr>
            <w:r>
              <w:rPr>
                <w:color w:val="auto"/>
                <w:highlight w:val="none"/>
              </w:rPr>
              <w:t>中华人民共和国水污染防治法（2017年修正）</w:t>
            </w:r>
          </w:p>
        </w:tc>
        <w:tc>
          <w:tcPr>
            <w:tcW w:w="1296" w:type="pct"/>
            <w:tcBorders>
              <w:tl2br w:val="nil"/>
              <w:tr2bl w:val="nil"/>
            </w:tcBorders>
            <w:vAlign w:val="center"/>
          </w:tcPr>
          <w:p>
            <w:pPr>
              <w:pStyle w:val="41"/>
              <w:rPr>
                <w:color w:val="auto"/>
                <w:highlight w:val="none"/>
              </w:rPr>
            </w:pPr>
            <w:r>
              <w:rPr>
                <w:color w:val="auto"/>
                <w:highlight w:val="none"/>
              </w:rPr>
              <w:t>12届人大第28次会议</w:t>
            </w:r>
          </w:p>
        </w:tc>
        <w:tc>
          <w:tcPr>
            <w:tcW w:w="750" w:type="pct"/>
            <w:tcBorders>
              <w:tl2br w:val="nil"/>
              <w:tr2bl w:val="nil"/>
            </w:tcBorders>
            <w:vAlign w:val="center"/>
          </w:tcPr>
          <w:p>
            <w:pPr>
              <w:pStyle w:val="41"/>
              <w:rPr>
                <w:color w:val="auto"/>
                <w:highlight w:val="none"/>
              </w:rPr>
            </w:pPr>
            <w:r>
              <w:rPr>
                <w:color w:val="auto"/>
                <w:highlight w:val="none"/>
              </w:rPr>
              <w:t>2017-06-27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pPr>
              <w:pStyle w:val="41"/>
              <w:rPr>
                <w:color w:val="auto"/>
                <w:highlight w:val="none"/>
              </w:rPr>
            </w:pPr>
            <w:r>
              <w:rPr>
                <w:color w:val="auto"/>
                <w:highlight w:val="none"/>
              </w:rPr>
              <w:t>5</w:t>
            </w:r>
          </w:p>
        </w:tc>
        <w:tc>
          <w:tcPr>
            <w:tcW w:w="2817" w:type="pct"/>
            <w:tcBorders>
              <w:tl2br w:val="nil"/>
              <w:tr2bl w:val="nil"/>
            </w:tcBorders>
            <w:vAlign w:val="center"/>
          </w:tcPr>
          <w:p>
            <w:pPr>
              <w:pStyle w:val="41"/>
              <w:jc w:val="left"/>
              <w:rPr>
                <w:color w:val="auto"/>
                <w:highlight w:val="none"/>
              </w:rPr>
            </w:pPr>
            <w:r>
              <w:rPr>
                <w:color w:val="auto"/>
                <w:highlight w:val="none"/>
              </w:rPr>
              <w:t>中华人民共和国噪声污染防治法（2021年修正）</w:t>
            </w:r>
          </w:p>
        </w:tc>
        <w:tc>
          <w:tcPr>
            <w:tcW w:w="1296" w:type="pct"/>
            <w:tcBorders>
              <w:tl2br w:val="nil"/>
              <w:tr2bl w:val="nil"/>
            </w:tcBorders>
            <w:vAlign w:val="center"/>
          </w:tcPr>
          <w:p>
            <w:pPr>
              <w:pStyle w:val="41"/>
              <w:rPr>
                <w:color w:val="auto"/>
                <w:highlight w:val="none"/>
              </w:rPr>
            </w:pPr>
            <w:r>
              <w:rPr>
                <w:color w:val="auto"/>
                <w:highlight w:val="none"/>
              </w:rPr>
              <w:t>13届人大第32次会议</w:t>
            </w:r>
          </w:p>
        </w:tc>
        <w:tc>
          <w:tcPr>
            <w:tcW w:w="750" w:type="pct"/>
            <w:tcBorders>
              <w:tl2br w:val="nil"/>
              <w:tr2bl w:val="nil"/>
            </w:tcBorders>
            <w:vAlign w:val="center"/>
          </w:tcPr>
          <w:p>
            <w:pPr>
              <w:pStyle w:val="41"/>
              <w:rPr>
                <w:color w:val="auto"/>
                <w:highlight w:val="none"/>
              </w:rPr>
            </w:pPr>
            <w:r>
              <w:rPr>
                <w:color w:val="auto"/>
                <w:highlight w:val="none"/>
              </w:rPr>
              <w:t>2022-06-05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vAlign w:val="center"/>
          </w:tcPr>
          <w:p>
            <w:pPr>
              <w:pStyle w:val="41"/>
              <w:rPr>
                <w:color w:val="auto"/>
                <w:highlight w:val="none"/>
              </w:rPr>
            </w:pPr>
            <w:r>
              <w:rPr>
                <w:color w:val="auto"/>
                <w:highlight w:val="none"/>
              </w:rPr>
              <w:t>6</w:t>
            </w:r>
          </w:p>
        </w:tc>
        <w:tc>
          <w:tcPr>
            <w:tcW w:w="2817" w:type="pct"/>
            <w:tcBorders>
              <w:tl2br w:val="nil"/>
              <w:tr2bl w:val="nil"/>
            </w:tcBorders>
            <w:vAlign w:val="center"/>
          </w:tcPr>
          <w:p>
            <w:pPr>
              <w:pStyle w:val="41"/>
              <w:jc w:val="left"/>
              <w:rPr>
                <w:color w:val="auto"/>
                <w:highlight w:val="none"/>
              </w:rPr>
            </w:pPr>
            <w:r>
              <w:rPr>
                <w:color w:val="auto"/>
                <w:highlight w:val="none"/>
              </w:rPr>
              <w:t>中华人民共和国固体废物污染环境防治法（2020年修订）</w:t>
            </w:r>
          </w:p>
        </w:tc>
        <w:tc>
          <w:tcPr>
            <w:tcW w:w="1296" w:type="pct"/>
            <w:tcBorders>
              <w:tl2br w:val="nil"/>
              <w:tr2bl w:val="nil"/>
            </w:tcBorders>
            <w:vAlign w:val="center"/>
          </w:tcPr>
          <w:p>
            <w:pPr>
              <w:pStyle w:val="41"/>
              <w:rPr>
                <w:color w:val="auto"/>
                <w:highlight w:val="none"/>
              </w:rPr>
            </w:pPr>
            <w:r>
              <w:rPr>
                <w:color w:val="auto"/>
                <w:highlight w:val="none"/>
              </w:rPr>
              <w:t>13届人大第17次会议</w:t>
            </w:r>
          </w:p>
        </w:tc>
        <w:tc>
          <w:tcPr>
            <w:tcW w:w="750" w:type="pct"/>
            <w:tcBorders>
              <w:tl2br w:val="nil"/>
              <w:tr2bl w:val="nil"/>
            </w:tcBorders>
            <w:vAlign w:val="center"/>
          </w:tcPr>
          <w:p>
            <w:pPr>
              <w:pStyle w:val="41"/>
              <w:rPr>
                <w:color w:val="auto"/>
                <w:highlight w:val="none"/>
              </w:rPr>
            </w:pPr>
            <w:r>
              <w:rPr>
                <w:color w:val="auto"/>
                <w:highlight w:val="none"/>
              </w:rPr>
              <w:t>2020-09-01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7</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中华人民共和国土壤污染防治法</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15届人大第5次会议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2019-01-01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8</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中华人民共和国水法（2016年修正）</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12届人大第21次会议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2016-07-02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9</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中华人民共和国草原法（2021年修正）</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13届人大第28次会议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2021-04-29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10</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中华人民共和国水土保持法（2010年修订）</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11届人大第18次会议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2011-03-01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11</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中华人民共和国清洁生产促进法（2012年修正）</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11届人大第25次会议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2012-07-01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12</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中华人民共和国节约能源法（2016年修正）</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12届人大第21次会议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2016-07-02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13</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中华人民共和国土地管理法（2019年修订）</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13届人大第12次会议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2020-01-01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14</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中华人民共和国防洪法（2016年修正）</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12届人大第21次会议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2016-07-02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15</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中华人民共和国野生动物保护法（2023年修正）</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13届人大第38次会议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2023-05-01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16</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中华人民共和国石油天然气管道保护法</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11届人大15次会议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2010-10-01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17</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中华人民共和国突发事件应对法</w:t>
            </w:r>
            <w:r>
              <w:rPr>
                <w:rFonts w:hint="eastAsia"/>
                <w:color w:val="auto"/>
                <w:highlight w:val="none"/>
              </w:rPr>
              <w:t>（2024年修订）</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w:t>
            </w:r>
            <w:r>
              <w:rPr>
                <w:rFonts w:hint="eastAsia"/>
                <w:color w:val="auto"/>
                <w:highlight w:val="none"/>
              </w:rPr>
              <w:t>4</w:t>
            </w:r>
            <w:r>
              <w:rPr>
                <w:color w:val="auto"/>
                <w:highlight w:val="none"/>
              </w:rPr>
              <w:t>届人大第</w:t>
            </w:r>
            <w:r>
              <w:rPr>
                <w:rFonts w:hint="eastAsia"/>
                <w:color w:val="auto"/>
                <w:highlight w:val="none"/>
              </w:rPr>
              <w:t>10</w:t>
            </w:r>
            <w:r>
              <w:rPr>
                <w:color w:val="auto"/>
                <w:highlight w:val="none"/>
              </w:rPr>
              <w:t>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w:t>
            </w:r>
            <w:r>
              <w:rPr>
                <w:rFonts w:hint="eastAsia"/>
                <w:color w:val="auto"/>
                <w:highlight w:val="none"/>
              </w:rPr>
              <w:t>24</w:t>
            </w:r>
            <w:r>
              <w:rPr>
                <w:color w:val="auto"/>
                <w:highlight w:val="none"/>
              </w:rPr>
              <w:t>-</w:t>
            </w:r>
            <w:r>
              <w:rPr>
                <w:rFonts w:hint="eastAsia"/>
                <w:color w:val="auto"/>
                <w:highlight w:val="none"/>
              </w:rPr>
              <w:t>11</w:t>
            </w:r>
            <w:r>
              <w:rPr>
                <w:color w:val="auto"/>
                <w:highlight w:val="none"/>
              </w:rPr>
              <w:t>-</w:t>
            </w:r>
            <w:r>
              <w:rPr>
                <w:rFonts w:hint="eastAsia"/>
                <w:color w:val="auto"/>
                <w:highlight w:val="non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18</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中华人民共和国防沙治沙法（2018年修正）</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13届人大第6次会议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2018-10-26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color w:val="auto"/>
                <w:highlight w:val="none"/>
              </w:rPr>
              <w:t>19</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中华人民共和国安全生产法（2021年修正）</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13届人大第29次会议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2021-09-01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5" w:type="pct"/>
            <w:tcBorders>
              <w:tl2br w:val="nil"/>
              <w:tr2bl w:val="nil"/>
            </w:tcBorders>
            <w:shd w:val="clear" w:color="auto" w:fill="auto"/>
            <w:vAlign w:val="center"/>
          </w:tcPr>
          <w:p>
            <w:pPr>
              <w:pStyle w:val="41"/>
              <w:rPr>
                <w:color w:val="auto"/>
                <w:highlight w:val="none"/>
              </w:rPr>
            </w:pPr>
            <w:r>
              <w:rPr>
                <w:rFonts w:hint="eastAsia"/>
                <w:color w:val="auto"/>
                <w:highlight w:val="none"/>
              </w:rPr>
              <w:t>20</w:t>
            </w:r>
          </w:p>
        </w:tc>
        <w:tc>
          <w:tcPr>
            <w:tcW w:w="2817" w:type="pct"/>
            <w:tcBorders>
              <w:tl2br w:val="nil"/>
              <w:tr2bl w:val="nil"/>
            </w:tcBorders>
            <w:shd w:val="clear" w:color="auto" w:fill="auto"/>
            <w:vAlign w:val="center"/>
          </w:tcPr>
          <w:p>
            <w:pPr>
              <w:pStyle w:val="41"/>
              <w:jc w:val="left"/>
              <w:rPr>
                <w:color w:val="auto"/>
                <w:highlight w:val="none"/>
              </w:rPr>
            </w:pPr>
            <w:r>
              <w:rPr>
                <w:color w:val="auto"/>
                <w:highlight w:val="none"/>
              </w:rPr>
              <w:t>中华人民共和国</w:t>
            </w:r>
            <w:r>
              <w:rPr>
                <w:rFonts w:hint="eastAsia"/>
                <w:color w:val="auto"/>
                <w:highlight w:val="none"/>
              </w:rPr>
              <w:t>矿产资源</w:t>
            </w:r>
            <w:r>
              <w:rPr>
                <w:color w:val="auto"/>
                <w:highlight w:val="none"/>
              </w:rPr>
              <w:t>法（20</w:t>
            </w:r>
            <w:r>
              <w:rPr>
                <w:rFonts w:hint="eastAsia"/>
                <w:color w:val="auto"/>
                <w:highlight w:val="none"/>
              </w:rPr>
              <w:t>09</w:t>
            </w:r>
            <w:r>
              <w:rPr>
                <w:color w:val="auto"/>
                <w:highlight w:val="none"/>
              </w:rPr>
              <w:t>年修正）</w:t>
            </w:r>
          </w:p>
        </w:tc>
        <w:tc>
          <w:tcPr>
            <w:tcW w:w="1296" w:type="pct"/>
            <w:tcBorders>
              <w:tl2br w:val="nil"/>
              <w:tr2bl w:val="nil"/>
            </w:tcBorders>
            <w:shd w:val="clear" w:color="auto" w:fill="auto"/>
            <w:vAlign w:val="center"/>
          </w:tcPr>
          <w:p>
            <w:pPr>
              <w:pStyle w:val="41"/>
              <w:rPr>
                <w:color w:val="auto"/>
                <w:highlight w:val="none"/>
              </w:rPr>
            </w:pPr>
            <w:r>
              <w:rPr>
                <w:rFonts w:hint="eastAsia"/>
                <w:color w:val="auto"/>
                <w:highlight w:val="none"/>
              </w:rPr>
              <w:t>中华人民共和国主席令第</w:t>
            </w:r>
            <w:r>
              <w:rPr>
                <w:color w:val="auto"/>
                <w:highlight w:val="none"/>
              </w:rPr>
              <w:t>18</w:t>
            </w:r>
            <w:r>
              <w:rPr>
                <w:rFonts w:hint="eastAsia"/>
                <w:color w:val="auto"/>
                <w:highlight w:val="none"/>
              </w:rPr>
              <w:t>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w:t>
            </w:r>
            <w:r>
              <w:rPr>
                <w:rFonts w:hint="eastAsia"/>
                <w:color w:val="auto"/>
                <w:highlight w:val="none"/>
              </w:rPr>
              <w:t>09-</w:t>
            </w:r>
            <w:r>
              <w:rPr>
                <w:color w:val="auto"/>
                <w:highlight w:val="none"/>
              </w:rPr>
              <w:t>0</w:t>
            </w:r>
            <w:r>
              <w:rPr>
                <w:rFonts w:hint="eastAsia"/>
                <w:color w:val="auto"/>
                <w:highlight w:val="none"/>
              </w:rPr>
              <w:t>8</w:t>
            </w:r>
            <w:r>
              <w:rPr>
                <w:color w:val="auto"/>
                <w:highlight w:val="none"/>
              </w:rPr>
              <w:t>-</w:t>
            </w:r>
            <w:r>
              <w:rPr>
                <w:rFonts w:hint="eastAsia"/>
                <w:color w:val="auto"/>
                <w:highlight w:val="none"/>
              </w:rPr>
              <w:t>27</w:t>
            </w:r>
          </w:p>
        </w:tc>
      </w:tr>
    </w:tbl>
    <w:p>
      <w:pPr>
        <w:pStyle w:val="53"/>
        <w:rPr>
          <w:rFonts w:hint="eastAsia"/>
          <w:color w:val="auto"/>
          <w:highlight w:val="none"/>
        </w:rPr>
      </w:pPr>
      <w:bookmarkStart w:id="100" w:name="_Toc173941788"/>
      <w:r>
        <w:rPr>
          <w:color w:val="auto"/>
          <w:highlight w:val="none"/>
        </w:rPr>
        <w:t>2.</w:t>
      </w:r>
      <w:r>
        <w:rPr>
          <w:rFonts w:hint="eastAsia"/>
          <w:color w:val="auto"/>
          <w:highlight w:val="none"/>
        </w:rPr>
        <w:t>1</w:t>
      </w:r>
      <w:r>
        <w:rPr>
          <w:color w:val="auto"/>
          <w:highlight w:val="none"/>
        </w:rPr>
        <w:t xml:space="preserve">.2 </w:t>
      </w:r>
      <w:r>
        <w:rPr>
          <w:rFonts w:hint="eastAsia"/>
          <w:color w:val="auto"/>
          <w:highlight w:val="none"/>
        </w:rPr>
        <w:t>环境保护法规、规章</w:t>
      </w:r>
    </w:p>
    <w:p>
      <w:pPr>
        <w:rPr>
          <w:rFonts w:hint="eastAsia"/>
          <w:color w:val="auto"/>
          <w:highlight w:val="none"/>
        </w:rPr>
      </w:pPr>
      <w:r>
        <w:rPr>
          <w:rFonts w:hint="eastAsia"/>
          <w:color w:val="auto"/>
          <w:highlight w:val="none"/>
        </w:rPr>
        <w:br w:type="page"/>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cs="Times New Roman"/>
          <w:color w:val="auto"/>
          <w:highlight w:val="none"/>
        </w:rPr>
      </w:pPr>
      <w:r>
        <w:rPr>
          <w:rFonts w:hint="eastAsia" w:cs="Times New Roman"/>
          <w:color w:val="auto"/>
          <w:highlight w:val="none"/>
        </w:rPr>
        <w:t>表2.1-2  环境保护法规、规章一览表</w:t>
      </w:r>
    </w:p>
    <w:tbl>
      <w:tblPr>
        <w:tblStyle w:val="34"/>
        <w:tblW w:w="513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31"/>
        <w:gridCol w:w="5014"/>
        <w:gridCol w:w="2302"/>
        <w:gridCol w:w="13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shd w:val="clear" w:color="auto" w:fill="auto"/>
            <w:vAlign w:val="center"/>
          </w:tcPr>
          <w:p>
            <w:pPr>
              <w:pStyle w:val="41"/>
              <w:rPr>
                <w:color w:val="auto"/>
                <w:highlight w:val="none"/>
              </w:rPr>
            </w:pPr>
            <w:r>
              <w:rPr>
                <w:color w:val="auto"/>
                <w:highlight w:val="none"/>
              </w:rPr>
              <w:t>序号</w:t>
            </w:r>
          </w:p>
        </w:tc>
        <w:tc>
          <w:tcPr>
            <w:tcW w:w="2822" w:type="pct"/>
            <w:tcBorders>
              <w:tl2br w:val="nil"/>
              <w:tr2bl w:val="nil"/>
            </w:tcBorders>
            <w:shd w:val="clear" w:color="auto" w:fill="auto"/>
            <w:vAlign w:val="center"/>
          </w:tcPr>
          <w:p>
            <w:pPr>
              <w:pStyle w:val="41"/>
              <w:rPr>
                <w:color w:val="auto"/>
                <w:highlight w:val="none"/>
              </w:rPr>
            </w:pPr>
            <w:r>
              <w:rPr>
                <w:color w:val="auto"/>
                <w:highlight w:val="none"/>
              </w:rPr>
              <w:t>依据名称</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会议、主席令、文号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实施时间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b/>
                <w:bCs/>
                <w:color w:val="auto"/>
                <w:highlight w:val="none"/>
              </w:rPr>
            </w:pPr>
            <w:r>
              <w:rPr>
                <w:rFonts w:hint="eastAsia"/>
                <w:b/>
                <w:bCs/>
                <w:color w:val="auto"/>
                <w:highlight w:val="none"/>
              </w:rPr>
              <w:t>一</w:t>
            </w:r>
          </w:p>
        </w:tc>
        <w:tc>
          <w:tcPr>
            <w:tcW w:w="2822" w:type="pct"/>
            <w:tcBorders>
              <w:tl2br w:val="nil"/>
              <w:tr2bl w:val="nil"/>
            </w:tcBorders>
            <w:vAlign w:val="center"/>
          </w:tcPr>
          <w:p>
            <w:pPr>
              <w:pStyle w:val="41"/>
              <w:jc w:val="left"/>
              <w:rPr>
                <w:b/>
                <w:bCs/>
                <w:color w:val="auto"/>
                <w:highlight w:val="none"/>
              </w:rPr>
            </w:pPr>
            <w:r>
              <w:rPr>
                <w:b/>
                <w:bCs/>
                <w:color w:val="auto"/>
                <w:highlight w:val="none"/>
              </w:rPr>
              <w:t>行政法规与国务院发布的规范性文件</w:t>
            </w:r>
          </w:p>
        </w:tc>
        <w:tc>
          <w:tcPr>
            <w:tcW w:w="1296" w:type="pct"/>
            <w:tcBorders>
              <w:tl2br w:val="nil"/>
              <w:tr2bl w:val="nil"/>
            </w:tcBorders>
            <w:vAlign w:val="center"/>
          </w:tcPr>
          <w:p>
            <w:pPr>
              <w:pStyle w:val="41"/>
              <w:rPr>
                <w:color w:val="auto"/>
                <w:highlight w:val="none"/>
              </w:rPr>
            </w:pPr>
          </w:p>
        </w:tc>
        <w:tc>
          <w:tcPr>
            <w:tcW w:w="750" w:type="pct"/>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rPr>
                <w:color w:val="auto"/>
                <w:highlight w:val="none"/>
              </w:rPr>
            </w:pPr>
            <w:r>
              <w:rPr>
                <w:color w:val="auto"/>
                <w:highlight w:val="none"/>
              </w:rPr>
              <w:t>1</w:t>
            </w:r>
          </w:p>
        </w:tc>
        <w:tc>
          <w:tcPr>
            <w:tcW w:w="2822" w:type="pct"/>
            <w:tcBorders>
              <w:tl2br w:val="nil"/>
              <w:tr2bl w:val="nil"/>
            </w:tcBorders>
            <w:vAlign w:val="center"/>
          </w:tcPr>
          <w:p>
            <w:pPr>
              <w:pStyle w:val="41"/>
              <w:jc w:val="left"/>
              <w:rPr>
                <w:color w:val="auto"/>
                <w:highlight w:val="none"/>
              </w:rPr>
            </w:pPr>
            <w:r>
              <w:rPr>
                <w:color w:val="auto"/>
                <w:highlight w:val="none"/>
              </w:rPr>
              <w:t>建设项目环境保护管理条例（2017年修正）</w:t>
            </w:r>
          </w:p>
        </w:tc>
        <w:tc>
          <w:tcPr>
            <w:tcW w:w="1296" w:type="pct"/>
            <w:tcBorders>
              <w:tl2br w:val="nil"/>
              <w:tr2bl w:val="nil"/>
            </w:tcBorders>
            <w:vAlign w:val="center"/>
          </w:tcPr>
          <w:p>
            <w:pPr>
              <w:pStyle w:val="41"/>
              <w:rPr>
                <w:color w:val="auto"/>
                <w:highlight w:val="none"/>
              </w:rPr>
            </w:pPr>
            <w:r>
              <w:rPr>
                <w:color w:val="auto"/>
                <w:highlight w:val="none"/>
              </w:rPr>
              <w:t>国务院令682号</w:t>
            </w:r>
          </w:p>
        </w:tc>
        <w:tc>
          <w:tcPr>
            <w:tcW w:w="750" w:type="pct"/>
            <w:tcBorders>
              <w:tl2br w:val="nil"/>
              <w:tr2bl w:val="nil"/>
            </w:tcBorders>
            <w:vAlign w:val="center"/>
          </w:tcPr>
          <w:p>
            <w:pPr>
              <w:pStyle w:val="41"/>
              <w:rPr>
                <w:color w:val="auto"/>
                <w:highlight w:val="none"/>
              </w:rPr>
            </w:pPr>
            <w:r>
              <w:rPr>
                <w:color w:val="auto"/>
                <w:highlight w:val="none"/>
              </w:rPr>
              <w:t>2017-10-01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rPr>
                <w:color w:val="auto"/>
                <w:highlight w:val="none"/>
              </w:rPr>
            </w:pPr>
            <w:r>
              <w:rPr>
                <w:color w:val="auto"/>
                <w:highlight w:val="none"/>
              </w:rPr>
              <w:t>2</w:t>
            </w:r>
          </w:p>
        </w:tc>
        <w:tc>
          <w:tcPr>
            <w:tcW w:w="2822" w:type="pct"/>
            <w:tcBorders>
              <w:tl2br w:val="nil"/>
              <w:tr2bl w:val="nil"/>
            </w:tcBorders>
            <w:vAlign w:val="center"/>
          </w:tcPr>
          <w:p>
            <w:pPr>
              <w:pStyle w:val="41"/>
              <w:jc w:val="left"/>
              <w:rPr>
                <w:color w:val="auto"/>
                <w:highlight w:val="none"/>
              </w:rPr>
            </w:pPr>
            <w:r>
              <w:rPr>
                <w:color w:val="auto"/>
                <w:highlight w:val="none"/>
              </w:rPr>
              <w:t>中华人民共和国野生植物保护条例（2017年修正）</w:t>
            </w:r>
          </w:p>
        </w:tc>
        <w:tc>
          <w:tcPr>
            <w:tcW w:w="1296" w:type="pct"/>
            <w:tcBorders>
              <w:tl2br w:val="nil"/>
              <w:tr2bl w:val="nil"/>
            </w:tcBorders>
            <w:vAlign w:val="center"/>
          </w:tcPr>
          <w:p>
            <w:pPr>
              <w:pStyle w:val="41"/>
              <w:rPr>
                <w:color w:val="auto"/>
                <w:highlight w:val="none"/>
              </w:rPr>
            </w:pPr>
            <w:r>
              <w:rPr>
                <w:color w:val="auto"/>
                <w:highlight w:val="none"/>
              </w:rPr>
              <w:t>国务院令687号</w:t>
            </w:r>
          </w:p>
        </w:tc>
        <w:tc>
          <w:tcPr>
            <w:tcW w:w="750" w:type="pct"/>
            <w:tcBorders>
              <w:tl2br w:val="nil"/>
              <w:tr2bl w:val="nil"/>
            </w:tcBorders>
            <w:vAlign w:val="center"/>
          </w:tcPr>
          <w:p>
            <w:pPr>
              <w:pStyle w:val="41"/>
              <w:rPr>
                <w:color w:val="auto"/>
                <w:highlight w:val="none"/>
              </w:rPr>
            </w:pPr>
            <w:r>
              <w:rPr>
                <w:color w:val="auto"/>
                <w:highlight w:val="none"/>
              </w:rPr>
              <w:t>2017-10-07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rPr>
                <w:color w:val="auto"/>
                <w:highlight w:val="none"/>
              </w:rPr>
            </w:pPr>
            <w:r>
              <w:rPr>
                <w:color w:val="auto"/>
                <w:highlight w:val="none"/>
              </w:rPr>
              <w:t>3</w:t>
            </w:r>
          </w:p>
        </w:tc>
        <w:tc>
          <w:tcPr>
            <w:tcW w:w="2822" w:type="pct"/>
            <w:tcBorders>
              <w:tl2br w:val="nil"/>
              <w:tr2bl w:val="nil"/>
            </w:tcBorders>
            <w:vAlign w:val="center"/>
          </w:tcPr>
          <w:p>
            <w:pPr>
              <w:pStyle w:val="41"/>
              <w:jc w:val="left"/>
              <w:rPr>
                <w:color w:val="auto"/>
                <w:highlight w:val="none"/>
              </w:rPr>
            </w:pPr>
            <w:r>
              <w:rPr>
                <w:color w:val="auto"/>
                <w:highlight w:val="none"/>
              </w:rPr>
              <w:fldChar w:fldCharType="begin"/>
            </w:r>
            <w:r>
              <w:rPr>
                <w:color w:val="auto"/>
                <w:highlight w:val="none"/>
              </w:rPr>
              <w:instrText xml:space="preserve"> HYPERLINK "javascript:SLC(38905,0)" </w:instrText>
            </w:r>
            <w:r>
              <w:rPr>
                <w:color w:val="auto"/>
                <w:highlight w:val="none"/>
              </w:rPr>
              <w:fldChar w:fldCharType="separate"/>
            </w:r>
            <w:r>
              <w:rPr>
                <w:color w:val="auto"/>
                <w:highlight w:val="none"/>
              </w:rPr>
              <w:t>危险化学品安全管理条例</w:t>
            </w:r>
            <w:r>
              <w:rPr>
                <w:color w:val="auto"/>
                <w:highlight w:val="none"/>
              </w:rPr>
              <w:fldChar w:fldCharType="end"/>
            </w:r>
            <w:r>
              <w:rPr>
                <w:color w:val="auto"/>
                <w:highlight w:val="none"/>
              </w:rPr>
              <w:t>（2013年修正）</w:t>
            </w:r>
          </w:p>
        </w:tc>
        <w:tc>
          <w:tcPr>
            <w:tcW w:w="1296" w:type="pct"/>
            <w:tcBorders>
              <w:tl2br w:val="nil"/>
              <w:tr2bl w:val="nil"/>
            </w:tcBorders>
            <w:vAlign w:val="center"/>
          </w:tcPr>
          <w:p>
            <w:pPr>
              <w:pStyle w:val="41"/>
              <w:rPr>
                <w:color w:val="auto"/>
                <w:highlight w:val="none"/>
              </w:rPr>
            </w:pPr>
            <w:r>
              <w:rPr>
                <w:color w:val="auto"/>
                <w:highlight w:val="none"/>
              </w:rPr>
              <w:t>国务院令645号</w:t>
            </w:r>
          </w:p>
        </w:tc>
        <w:tc>
          <w:tcPr>
            <w:tcW w:w="750" w:type="pct"/>
            <w:tcBorders>
              <w:tl2br w:val="nil"/>
              <w:tr2bl w:val="nil"/>
            </w:tcBorders>
            <w:vAlign w:val="center"/>
          </w:tcPr>
          <w:p>
            <w:pPr>
              <w:pStyle w:val="41"/>
              <w:rPr>
                <w:color w:val="auto"/>
                <w:highlight w:val="none"/>
              </w:rPr>
            </w:pPr>
            <w:r>
              <w:rPr>
                <w:color w:val="auto"/>
                <w:highlight w:val="none"/>
              </w:rPr>
              <w:t>2013-12-07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rPr>
                <w:color w:val="auto"/>
                <w:highlight w:val="none"/>
              </w:rPr>
            </w:pPr>
            <w:r>
              <w:rPr>
                <w:color w:val="auto"/>
                <w:highlight w:val="none"/>
              </w:rPr>
              <w:t>4</w:t>
            </w:r>
          </w:p>
        </w:tc>
        <w:tc>
          <w:tcPr>
            <w:tcW w:w="2822" w:type="pct"/>
            <w:tcBorders>
              <w:tl2br w:val="nil"/>
              <w:tr2bl w:val="nil"/>
            </w:tcBorders>
            <w:vAlign w:val="center"/>
          </w:tcPr>
          <w:p>
            <w:pPr>
              <w:pStyle w:val="41"/>
              <w:jc w:val="left"/>
              <w:rPr>
                <w:color w:val="auto"/>
                <w:highlight w:val="none"/>
              </w:rPr>
            </w:pPr>
            <w:r>
              <w:rPr>
                <w:color w:val="auto"/>
                <w:highlight w:val="none"/>
              </w:rPr>
              <w:t>中华人民共和国土地管理法实施条例（2021年修订）</w:t>
            </w:r>
          </w:p>
        </w:tc>
        <w:tc>
          <w:tcPr>
            <w:tcW w:w="1296" w:type="pct"/>
            <w:tcBorders>
              <w:tl2br w:val="nil"/>
              <w:tr2bl w:val="nil"/>
            </w:tcBorders>
            <w:vAlign w:val="center"/>
          </w:tcPr>
          <w:p>
            <w:pPr>
              <w:pStyle w:val="41"/>
              <w:jc w:val="center"/>
              <w:rPr>
                <w:color w:val="auto"/>
                <w:highlight w:val="none"/>
              </w:rPr>
            </w:pPr>
            <w:r>
              <w:rPr>
                <w:color w:val="auto"/>
                <w:highlight w:val="none"/>
              </w:rPr>
              <w:t>国务院令第743号</w:t>
            </w:r>
          </w:p>
        </w:tc>
        <w:tc>
          <w:tcPr>
            <w:tcW w:w="750" w:type="pct"/>
            <w:tcBorders>
              <w:tl2br w:val="nil"/>
              <w:tr2bl w:val="nil"/>
            </w:tcBorders>
            <w:vAlign w:val="center"/>
          </w:tcPr>
          <w:p>
            <w:pPr>
              <w:pStyle w:val="41"/>
              <w:jc w:val="center"/>
              <w:rPr>
                <w:color w:val="auto"/>
                <w:highlight w:val="none"/>
              </w:rPr>
            </w:pPr>
            <w:r>
              <w:rPr>
                <w:color w:val="auto"/>
                <w:highlight w:val="none"/>
              </w:rPr>
              <w:t>2021-09-01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rPr>
                <w:color w:val="auto"/>
                <w:highlight w:val="none"/>
              </w:rPr>
            </w:pPr>
            <w:r>
              <w:rPr>
                <w:color w:val="auto"/>
                <w:highlight w:val="none"/>
              </w:rPr>
              <w:t>5</w:t>
            </w:r>
          </w:p>
        </w:tc>
        <w:tc>
          <w:tcPr>
            <w:tcW w:w="2822" w:type="pct"/>
            <w:tcBorders>
              <w:tl2br w:val="nil"/>
              <w:tr2bl w:val="nil"/>
            </w:tcBorders>
            <w:vAlign w:val="center"/>
          </w:tcPr>
          <w:p>
            <w:pPr>
              <w:pStyle w:val="41"/>
              <w:jc w:val="left"/>
              <w:rPr>
                <w:rFonts w:ascii="Times New Roman" w:hAnsi="Times New Roman" w:eastAsia="宋体" w:cs="Times New Roman"/>
                <w:color w:val="auto"/>
                <w:highlight w:val="none"/>
              </w:rPr>
            </w:pPr>
            <w:r>
              <w:rPr>
                <w:rFonts w:ascii="Times New Roman" w:hAnsi="Times New Roman" w:eastAsia="宋体" w:cs="Times New Roman"/>
                <w:color w:val="auto"/>
                <w:highlight w:val="none"/>
              </w:rPr>
              <w:t>关于印发《“十四五”噪声污染防治行动计划》的通知</w:t>
            </w:r>
          </w:p>
        </w:tc>
        <w:tc>
          <w:tcPr>
            <w:tcW w:w="1296" w:type="pct"/>
            <w:tcBorders>
              <w:tl2br w:val="nil"/>
              <w:tr2bl w:val="nil"/>
            </w:tcBorders>
            <w:vAlign w:val="center"/>
          </w:tcPr>
          <w:p>
            <w:pPr>
              <w:pStyle w:val="41"/>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环大气〔2023〕1号</w:t>
            </w:r>
          </w:p>
        </w:tc>
        <w:tc>
          <w:tcPr>
            <w:tcW w:w="750" w:type="pct"/>
            <w:tcBorders>
              <w:tl2br w:val="nil"/>
              <w:tr2bl w:val="nil"/>
            </w:tcBorders>
            <w:vAlign w:val="center"/>
          </w:tcPr>
          <w:p>
            <w:pPr>
              <w:pStyle w:val="41"/>
              <w:jc w:val="center"/>
              <w:rPr>
                <w:rFonts w:ascii="Times New Roman" w:hAnsi="Times New Roman" w:eastAsia="宋体" w:cs="Times New Roman"/>
                <w:color w:val="auto"/>
                <w:highlight w:val="none"/>
              </w:rPr>
            </w:pPr>
            <w:r>
              <w:rPr>
                <w:rFonts w:ascii="Times New Roman" w:hAnsi="Times New Roman" w:eastAsia="宋体" w:cs="Times New Roman"/>
                <w:color w:val="auto"/>
                <w:highlight w:val="none"/>
              </w:rPr>
              <w:t>2023-01-03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rPr>
                <w:rFonts w:hint="eastAsia" w:eastAsia="宋体"/>
                <w:color w:val="auto"/>
                <w:highlight w:val="none"/>
                <w:lang w:val="en-US" w:eastAsia="zh-CN"/>
              </w:rPr>
            </w:pPr>
            <w:r>
              <w:rPr>
                <w:rFonts w:hint="eastAsia"/>
                <w:color w:val="auto"/>
                <w:highlight w:val="none"/>
                <w:lang w:val="en-US" w:eastAsia="zh-CN"/>
              </w:rPr>
              <w:t>6</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rFonts w:hint="eastAsia"/>
                <w:color w:val="auto"/>
                <w:highlight w:val="none"/>
              </w:rPr>
              <w:t>中共中央、国务院</w:t>
            </w:r>
            <w:r>
              <w:rPr>
                <w:color w:val="auto"/>
                <w:highlight w:val="none"/>
              </w:rPr>
              <w:t>关于全面加强生态环境保护坚决打好污染防治攻坚战的意见</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中发〔2018〕17号</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2018-06-16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7</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中华人民共和国森林法实施条例</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国务院令第278号</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2018-03-19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8</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国务院关于加强环境保护重点工作的意见</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国发〔2012〕35号</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2011-10-17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9</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排污许可管理条例</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国务院令第736号</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2021-03-01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10</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中共中央 国务院关于深入打好污染防治攻坚战的意见</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国务院〔2021〕32号</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2021-11-02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11</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rFonts w:hint="eastAsia"/>
                <w:color w:val="auto"/>
                <w:highlight w:val="none"/>
              </w:rPr>
              <w:t>地下水管理条例</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中华人民共和国国务院令第748号公布</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2021-12-01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12</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中华人民共和国土地管理法实施条例（2021年修订）</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国务院令第743号</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2021-09-01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rFonts w:hint="eastAsia"/>
                <w:color w:val="auto"/>
                <w:highlight w:val="none"/>
              </w:rPr>
              <w:t>13</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中华人民共和国陆生野生动物保护实施条例（2016年修正）</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国务院令第666号</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2016-02-06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14</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突发事件应急预案管理办法</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国办发〔20</w:t>
            </w:r>
            <w:r>
              <w:rPr>
                <w:rFonts w:hint="eastAsia"/>
                <w:color w:val="auto"/>
                <w:highlight w:val="none"/>
              </w:rPr>
              <w:t>24</w:t>
            </w:r>
            <w:r>
              <w:rPr>
                <w:color w:val="auto"/>
                <w:highlight w:val="none"/>
              </w:rPr>
              <w:t>〕5号</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2024-01-31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15</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国务院关于印发</w:t>
            </w:r>
            <w:r>
              <w:rPr>
                <w:rFonts w:hint="eastAsia"/>
                <w:color w:val="auto"/>
                <w:highlight w:val="none"/>
              </w:rPr>
              <w:t>〈</w:t>
            </w:r>
            <w:r>
              <w:rPr>
                <w:color w:val="auto"/>
                <w:highlight w:val="none"/>
              </w:rPr>
              <w:t>空气质量持续改善行动计划</w:t>
            </w:r>
            <w:r>
              <w:rPr>
                <w:rFonts w:hint="eastAsia"/>
                <w:color w:val="auto"/>
                <w:highlight w:val="none"/>
              </w:rPr>
              <w:t>〉</w:t>
            </w:r>
            <w:r>
              <w:rPr>
                <w:color w:val="auto"/>
                <w:highlight w:val="none"/>
              </w:rPr>
              <w:t>的通知</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国发〔2023〕24号</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2023</w:t>
            </w:r>
            <w:r>
              <w:rPr>
                <w:rFonts w:hint="eastAsia"/>
                <w:color w:val="auto"/>
                <w:highlight w:val="none"/>
              </w:rPr>
              <w:t>-</w:t>
            </w:r>
            <w:r>
              <w:rPr>
                <w:color w:val="auto"/>
                <w:highlight w:val="none"/>
              </w:rPr>
              <w:t>12</w:t>
            </w:r>
            <w:r>
              <w:rPr>
                <w:rFonts w:hint="eastAsia"/>
                <w:color w:val="auto"/>
                <w:highlight w:val="none"/>
              </w:rPr>
              <w:t>-</w:t>
            </w:r>
            <w:r>
              <w:rPr>
                <w:color w:val="auto"/>
                <w:highlight w:val="none"/>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rFonts w:hint="eastAsia"/>
                <w:color w:val="auto"/>
                <w:highlight w:val="none"/>
              </w:rPr>
              <w:t>16</w:t>
            </w:r>
          </w:p>
        </w:tc>
        <w:tc>
          <w:tcPr>
            <w:tcW w:w="2822" w:type="pct"/>
            <w:tcBorders>
              <w:tl2br w:val="nil"/>
              <w:tr2bl w:val="nil"/>
            </w:tcBorders>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中共中央办公厅 国务院办公厅关于加强生态环境分区管控的意见</w:t>
            </w:r>
          </w:p>
        </w:tc>
        <w:tc>
          <w:tcPr>
            <w:tcW w:w="1296"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rFonts w:hint="eastAsia"/>
                <w:color w:val="auto"/>
                <w:highlight w:val="none"/>
              </w:rPr>
              <w:t>——</w:t>
            </w:r>
          </w:p>
        </w:tc>
        <w:tc>
          <w:tcPr>
            <w:tcW w:w="750" w:type="pct"/>
            <w:tcBorders>
              <w:tl2br w:val="nil"/>
              <w:tr2bl w:val="nil"/>
            </w:tcBorders>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2024-03-06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b/>
                <w:bCs/>
                <w:color w:val="auto"/>
                <w:highlight w:val="none"/>
              </w:rPr>
            </w:pPr>
            <w:r>
              <w:rPr>
                <w:rFonts w:hint="eastAsia"/>
                <w:b/>
                <w:bCs/>
                <w:color w:val="auto"/>
                <w:highlight w:val="none"/>
              </w:rPr>
              <w:t>二</w:t>
            </w:r>
          </w:p>
        </w:tc>
        <w:tc>
          <w:tcPr>
            <w:tcW w:w="2822" w:type="pct"/>
            <w:tcBorders>
              <w:tl2br w:val="nil"/>
              <w:tr2bl w:val="nil"/>
            </w:tcBorders>
            <w:vAlign w:val="center"/>
          </w:tcPr>
          <w:p>
            <w:pPr>
              <w:pStyle w:val="41"/>
              <w:jc w:val="left"/>
              <w:rPr>
                <w:b/>
                <w:bCs/>
                <w:color w:val="auto"/>
                <w:highlight w:val="none"/>
              </w:rPr>
            </w:pPr>
            <w:r>
              <w:rPr>
                <w:b/>
                <w:bCs/>
                <w:color w:val="auto"/>
                <w:highlight w:val="none"/>
              </w:rPr>
              <w:t>部门规章与部门发布的规范性文件</w:t>
            </w:r>
          </w:p>
        </w:tc>
        <w:tc>
          <w:tcPr>
            <w:tcW w:w="1296" w:type="pct"/>
            <w:tcBorders>
              <w:tl2br w:val="nil"/>
              <w:tr2bl w:val="nil"/>
            </w:tcBorders>
            <w:vAlign w:val="center"/>
          </w:tcPr>
          <w:p>
            <w:pPr>
              <w:pStyle w:val="41"/>
              <w:rPr>
                <w:color w:val="auto"/>
                <w:highlight w:val="none"/>
              </w:rPr>
            </w:pPr>
          </w:p>
        </w:tc>
        <w:tc>
          <w:tcPr>
            <w:tcW w:w="750" w:type="pct"/>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w:t>
            </w:r>
          </w:p>
        </w:tc>
        <w:tc>
          <w:tcPr>
            <w:tcW w:w="2822" w:type="pct"/>
            <w:tcBorders>
              <w:tl2br w:val="nil"/>
              <w:tr2bl w:val="nil"/>
            </w:tcBorders>
            <w:vAlign w:val="center"/>
          </w:tcPr>
          <w:p>
            <w:pPr>
              <w:pStyle w:val="41"/>
              <w:jc w:val="left"/>
              <w:rPr>
                <w:color w:val="auto"/>
                <w:highlight w:val="none"/>
              </w:rPr>
            </w:pPr>
            <w:r>
              <w:rPr>
                <w:color w:val="auto"/>
                <w:highlight w:val="none"/>
              </w:rPr>
              <w:t>建设项目环境影响评价分类管理名录（2021年版）</w:t>
            </w:r>
          </w:p>
        </w:tc>
        <w:tc>
          <w:tcPr>
            <w:tcW w:w="1296" w:type="pct"/>
            <w:tcBorders>
              <w:tl2br w:val="nil"/>
              <w:tr2bl w:val="nil"/>
            </w:tcBorders>
            <w:vAlign w:val="center"/>
          </w:tcPr>
          <w:p>
            <w:pPr>
              <w:pStyle w:val="41"/>
              <w:rPr>
                <w:color w:val="auto"/>
                <w:highlight w:val="none"/>
              </w:rPr>
            </w:pPr>
            <w:r>
              <w:rPr>
                <w:color w:val="auto"/>
                <w:highlight w:val="none"/>
              </w:rPr>
              <w:t>生态环境部令第16号</w:t>
            </w:r>
          </w:p>
        </w:tc>
        <w:tc>
          <w:tcPr>
            <w:tcW w:w="750" w:type="pct"/>
            <w:tcBorders>
              <w:tl2br w:val="nil"/>
              <w:tr2bl w:val="nil"/>
            </w:tcBorders>
            <w:vAlign w:val="center"/>
          </w:tcPr>
          <w:p>
            <w:pPr>
              <w:pStyle w:val="41"/>
              <w:rPr>
                <w:color w:val="auto"/>
                <w:highlight w:val="none"/>
              </w:rPr>
            </w:pPr>
            <w:r>
              <w:rPr>
                <w:color w:val="auto"/>
                <w:highlight w:val="none"/>
              </w:rPr>
              <w:t>2021-01-01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w:t>
            </w:r>
          </w:p>
        </w:tc>
        <w:tc>
          <w:tcPr>
            <w:tcW w:w="2822" w:type="pct"/>
            <w:tcBorders>
              <w:tl2br w:val="nil"/>
              <w:tr2bl w:val="nil"/>
            </w:tcBorders>
            <w:vAlign w:val="center"/>
          </w:tcPr>
          <w:p>
            <w:pPr>
              <w:pStyle w:val="41"/>
              <w:jc w:val="left"/>
              <w:rPr>
                <w:color w:val="auto"/>
                <w:highlight w:val="none"/>
              </w:rPr>
            </w:pPr>
            <w:r>
              <w:rPr>
                <w:color w:val="auto"/>
                <w:highlight w:val="none"/>
              </w:rPr>
              <w:t>环境影响评价公众参与办法</w:t>
            </w:r>
          </w:p>
        </w:tc>
        <w:tc>
          <w:tcPr>
            <w:tcW w:w="1296" w:type="pct"/>
            <w:tcBorders>
              <w:tl2br w:val="nil"/>
              <w:tr2bl w:val="nil"/>
            </w:tcBorders>
            <w:vAlign w:val="center"/>
          </w:tcPr>
          <w:p>
            <w:pPr>
              <w:pStyle w:val="41"/>
              <w:rPr>
                <w:color w:val="auto"/>
                <w:highlight w:val="none"/>
              </w:rPr>
            </w:pPr>
            <w:r>
              <w:rPr>
                <w:color w:val="auto"/>
                <w:highlight w:val="none"/>
              </w:rPr>
              <w:t>生态环境部令第4号</w:t>
            </w:r>
          </w:p>
        </w:tc>
        <w:tc>
          <w:tcPr>
            <w:tcW w:w="750" w:type="pct"/>
            <w:tcBorders>
              <w:tl2br w:val="nil"/>
              <w:tr2bl w:val="nil"/>
            </w:tcBorders>
            <w:vAlign w:val="center"/>
          </w:tcPr>
          <w:p>
            <w:pPr>
              <w:pStyle w:val="41"/>
              <w:rPr>
                <w:color w:val="auto"/>
                <w:highlight w:val="none"/>
              </w:rPr>
            </w:pPr>
            <w:r>
              <w:rPr>
                <w:color w:val="auto"/>
                <w:highlight w:val="none"/>
              </w:rPr>
              <w:t>2019-01-01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3</w:t>
            </w:r>
          </w:p>
        </w:tc>
        <w:tc>
          <w:tcPr>
            <w:tcW w:w="2822" w:type="pct"/>
            <w:tcBorders>
              <w:tl2br w:val="nil"/>
              <w:tr2bl w:val="nil"/>
            </w:tcBorders>
            <w:vAlign w:val="center"/>
          </w:tcPr>
          <w:p>
            <w:pPr>
              <w:pStyle w:val="41"/>
              <w:jc w:val="left"/>
              <w:rPr>
                <w:color w:val="auto"/>
                <w:highlight w:val="none"/>
              </w:rPr>
            </w:pPr>
            <w:r>
              <w:rPr>
                <w:color w:val="auto"/>
                <w:highlight w:val="none"/>
              </w:rPr>
              <w:t>关于印发《企业事业单位突发环境事件应急预案备案管理办法（试行）》的通知</w:t>
            </w:r>
          </w:p>
        </w:tc>
        <w:tc>
          <w:tcPr>
            <w:tcW w:w="1296" w:type="pct"/>
            <w:tcBorders>
              <w:tl2br w:val="nil"/>
              <w:tr2bl w:val="nil"/>
            </w:tcBorders>
            <w:vAlign w:val="center"/>
          </w:tcPr>
          <w:p>
            <w:pPr>
              <w:pStyle w:val="41"/>
              <w:rPr>
                <w:color w:val="auto"/>
                <w:highlight w:val="none"/>
              </w:rPr>
            </w:pPr>
            <w:r>
              <w:rPr>
                <w:color w:val="auto"/>
                <w:highlight w:val="none"/>
              </w:rPr>
              <w:t>环发〔2015〕4号</w:t>
            </w:r>
          </w:p>
        </w:tc>
        <w:tc>
          <w:tcPr>
            <w:tcW w:w="750" w:type="pct"/>
            <w:tcBorders>
              <w:tl2br w:val="nil"/>
              <w:tr2bl w:val="nil"/>
            </w:tcBorders>
            <w:vAlign w:val="center"/>
          </w:tcPr>
          <w:p>
            <w:pPr>
              <w:pStyle w:val="41"/>
              <w:rPr>
                <w:color w:val="auto"/>
                <w:highlight w:val="none"/>
              </w:rPr>
            </w:pPr>
            <w:r>
              <w:rPr>
                <w:color w:val="auto"/>
                <w:highlight w:val="none"/>
              </w:rPr>
              <w:t>2015-01-08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4</w:t>
            </w:r>
          </w:p>
        </w:tc>
        <w:tc>
          <w:tcPr>
            <w:tcW w:w="2822" w:type="pct"/>
            <w:tcBorders>
              <w:tl2br w:val="nil"/>
              <w:tr2bl w:val="nil"/>
            </w:tcBorders>
            <w:vAlign w:val="center"/>
          </w:tcPr>
          <w:p>
            <w:pPr>
              <w:pStyle w:val="41"/>
              <w:jc w:val="left"/>
              <w:rPr>
                <w:color w:val="auto"/>
                <w:highlight w:val="none"/>
              </w:rPr>
            </w:pPr>
            <w:r>
              <w:rPr>
                <w:color w:val="auto"/>
                <w:highlight w:val="none"/>
              </w:rPr>
              <w:t>国家危险废物名录（202</w:t>
            </w:r>
            <w:r>
              <w:rPr>
                <w:rFonts w:hint="eastAsia"/>
                <w:color w:val="auto"/>
                <w:highlight w:val="none"/>
              </w:rPr>
              <w:t>5</w:t>
            </w:r>
            <w:r>
              <w:rPr>
                <w:color w:val="auto"/>
                <w:highlight w:val="none"/>
              </w:rPr>
              <w:t>年版）</w:t>
            </w:r>
          </w:p>
        </w:tc>
        <w:tc>
          <w:tcPr>
            <w:tcW w:w="1296" w:type="pct"/>
            <w:tcBorders>
              <w:tl2br w:val="nil"/>
              <w:tr2bl w:val="nil"/>
            </w:tcBorders>
            <w:vAlign w:val="center"/>
          </w:tcPr>
          <w:p>
            <w:pPr>
              <w:widowControl w:val="0"/>
              <w:jc w:val="left"/>
              <w:rPr>
                <w:color w:val="auto"/>
                <w:highlight w:val="none"/>
              </w:rPr>
            </w:pPr>
            <w:r>
              <w:rPr>
                <w:rFonts w:hint="eastAsia"/>
                <w:color w:val="auto"/>
                <w:highlight w:val="none"/>
              </w:rPr>
              <w:t>生态环境部、国家发展和改革委员会、公安部、交通运输部、国家卫生健康委员会令第36号公布</w:t>
            </w:r>
          </w:p>
        </w:tc>
        <w:tc>
          <w:tcPr>
            <w:tcW w:w="750" w:type="pct"/>
            <w:tcBorders>
              <w:tl2br w:val="nil"/>
              <w:tr2bl w:val="nil"/>
            </w:tcBorders>
            <w:vAlign w:val="center"/>
          </w:tcPr>
          <w:p>
            <w:pPr>
              <w:widowControl w:val="0"/>
              <w:rPr>
                <w:color w:val="auto"/>
                <w:highlight w:val="none"/>
              </w:rPr>
            </w:pPr>
            <w:r>
              <w:rPr>
                <w:rFonts w:hint="eastAsia"/>
                <w:color w:val="auto"/>
                <w:highlight w:val="none"/>
              </w:rPr>
              <w:t>2025-01-01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5</w:t>
            </w:r>
          </w:p>
        </w:tc>
        <w:tc>
          <w:tcPr>
            <w:tcW w:w="2822" w:type="pct"/>
            <w:tcBorders>
              <w:tl2br w:val="nil"/>
              <w:tr2bl w:val="nil"/>
            </w:tcBorders>
            <w:vAlign w:val="center"/>
          </w:tcPr>
          <w:p>
            <w:pPr>
              <w:pStyle w:val="41"/>
              <w:jc w:val="left"/>
              <w:rPr>
                <w:color w:val="auto"/>
                <w:highlight w:val="none"/>
              </w:rPr>
            </w:pPr>
            <w:r>
              <w:rPr>
                <w:color w:val="auto"/>
                <w:highlight w:val="none"/>
              </w:rPr>
              <w:t>产业结构调整指导目录（2024年本）</w:t>
            </w:r>
          </w:p>
        </w:tc>
        <w:tc>
          <w:tcPr>
            <w:tcW w:w="1296" w:type="pct"/>
            <w:tcBorders>
              <w:tl2br w:val="nil"/>
              <w:tr2bl w:val="nil"/>
            </w:tcBorders>
            <w:vAlign w:val="center"/>
          </w:tcPr>
          <w:p>
            <w:pPr>
              <w:pStyle w:val="41"/>
              <w:rPr>
                <w:color w:val="auto"/>
                <w:highlight w:val="none"/>
              </w:rPr>
            </w:pPr>
            <w:r>
              <w:rPr>
                <w:color w:val="auto"/>
                <w:highlight w:val="none"/>
              </w:rPr>
              <w:t>国家发展和改革委员会令第7号</w:t>
            </w:r>
          </w:p>
        </w:tc>
        <w:tc>
          <w:tcPr>
            <w:tcW w:w="750" w:type="pct"/>
            <w:tcBorders>
              <w:tl2br w:val="nil"/>
              <w:tr2bl w:val="nil"/>
            </w:tcBorders>
            <w:vAlign w:val="center"/>
          </w:tcPr>
          <w:p>
            <w:pPr>
              <w:pStyle w:val="41"/>
              <w:rPr>
                <w:color w:val="auto"/>
                <w:highlight w:val="none"/>
              </w:rPr>
            </w:pPr>
            <w:r>
              <w:rPr>
                <w:color w:val="auto"/>
                <w:highlight w:val="none"/>
              </w:rPr>
              <w:t>202</w:t>
            </w:r>
            <w:r>
              <w:rPr>
                <w:rFonts w:hint="eastAsia"/>
                <w:color w:val="auto"/>
                <w:highlight w:val="none"/>
              </w:rPr>
              <w:t>4</w:t>
            </w:r>
            <w:r>
              <w:rPr>
                <w:color w:val="auto"/>
                <w:highlight w:val="none"/>
              </w:rPr>
              <w:t>-</w:t>
            </w:r>
            <w:r>
              <w:rPr>
                <w:rFonts w:hint="eastAsia"/>
                <w:color w:val="auto"/>
                <w:highlight w:val="none"/>
              </w:rPr>
              <w:t>02</w:t>
            </w:r>
            <w:r>
              <w:rPr>
                <w:color w:val="auto"/>
                <w:highlight w:val="none"/>
              </w:rPr>
              <w:t>-</w:t>
            </w:r>
            <w:r>
              <w:rPr>
                <w:rFonts w:hint="eastAsia"/>
                <w:color w:val="auto"/>
                <w:highlight w:val="non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6</w:t>
            </w:r>
          </w:p>
        </w:tc>
        <w:tc>
          <w:tcPr>
            <w:tcW w:w="2822" w:type="pct"/>
            <w:tcBorders>
              <w:tl2br w:val="nil"/>
              <w:tr2bl w:val="nil"/>
            </w:tcBorders>
            <w:vAlign w:val="center"/>
          </w:tcPr>
          <w:p>
            <w:pPr>
              <w:pStyle w:val="41"/>
              <w:jc w:val="left"/>
              <w:rPr>
                <w:color w:val="auto"/>
                <w:highlight w:val="none"/>
              </w:rPr>
            </w:pPr>
            <w:r>
              <w:rPr>
                <w:color w:val="auto"/>
                <w:highlight w:val="none"/>
              </w:rPr>
              <w:t>关于进一步加强环境影响评价管理防范环境风险的通知</w:t>
            </w:r>
          </w:p>
        </w:tc>
        <w:tc>
          <w:tcPr>
            <w:tcW w:w="1296" w:type="pct"/>
            <w:tcBorders>
              <w:tl2br w:val="nil"/>
              <w:tr2bl w:val="nil"/>
            </w:tcBorders>
            <w:vAlign w:val="center"/>
          </w:tcPr>
          <w:p>
            <w:pPr>
              <w:pStyle w:val="41"/>
              <w:rPr>
                <w:color w:val="auto"/>
                <w:highlight w:val="none"/>
              </w:rPr>
            </w:pPr>
            <w:r>
              <w:rPr>
                <w:color w:val="auto"/>
                <w:highlight w:val="none"/>
              </w:rPr>
              <w:t>环发〔2012〕77号</w:t>
            </w:r>
          </w:p>
        </w:tc>
        <w:tc>
          <w:tcPr>
            <w:tcW w:w="750" w:type="pct"/>
            <w:tcBorders>
              <w:tl2br w:val="nil"/>
              <w:tr2bl w:val="nil"/>
            </w:tcBorders>
            <w:vAlign w:val="center"/>
          </w:tcPr>
          <w:p>
            <w:pPr>
              <w:pStyle w:val="41"/>
              <w:rPr>
                <w:color w:val="auto"/>
                <w:highlight w:val="none"/>
              </w:rPr>
            </w:pPr>
            <w:r>
              <w:rPr>
                <w:color w:val="auto"/>
                <w:highlight w:val="none"/>
              </w:rPr>
              <w:t>2012-07-03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7</w:t>
            </w:r>
          </w:p>
        </w:tc>
        <w:tc>
          <w:tcPr>
            <w:tcW w:w="2822" w:type="pct"/>
            <w:tcBorders>
              <w:tl2br w:val="nil"/>
              <w:tr2bl w:val="nil"/>
            </w:tcBorders>
            <w:vAlign w:val="center"/>
          </w:tcPr>
          <w:p>
            <w:pPr>
              <w:pStyle w:val="41"/>
              <w:jc w:val="left"/>
              <w:rPr>
                <w:color w:val="auto"/>
                <w:highlight w:val="none"/>
              </w:rPr>
            </w:pPr>
            <w:r>
              <w:rPr>
                <w:color w:val="auto"/>
                <w:highlight w:val="none"/>
              </w:rPr>
              <w:t>关于加强西部地区环境影响评价工作的通知</w:t>
            </w:r>
          </w:p>
        </w:tc>
        <w:tc>
          <w:tcPr>
            <w:tcW w:w="1296" w:type="pct"/>
            <w:tcBorders>
              <w:tl2br w:val="nil"/>
              <w:tr2bl w:val="nil"/>
            </w:tcBorders>
            <w:vAlign w:val="center"/>
          </w:tcPr>
          <w:p>
            <w:pPr>
              <w:pStyle w:val="41"/>
              <w:rPr>
                <w:color w:val="auto"/>
                <w:highlight w:val="none"/>
              </w:rPr>
            </w:pPr>
            <w:r>
              <w:rPr>
                <w:color w:val="auto"/>
                <w:highlight w:val="none"/>
              </w:rPr>
              <w:t>环发〔2011〕150号</w:t>
            </w:r>
          </w:p>
        </w:tc>
        <w:tc>
          <w:tcPr>
            <w:tcW w:w="750" w:type="pct"/>
            <w:tcBorders>
              <w:tl2br w:val="nil"/>
              <w:tr2bl w:val="nil"/>
            </w:tcBorders>
            <w:vAlign w:val="center"/>
          </w:tcPr>
          <w:p>
            <w:pPr>
              <w:pStyle w:val="41"/>
              <w:rPr>
                <w:color w:val="auto"/>
                <w:highlight w:val="none"/>
              </w:rPr>
            </w:pPr>
            <w:r>
              <w:rPr>
                <w:color w:val="auto"/>
                <w:highlight w:val="none"/>
              </w:rPr>
              <w:t>2011-12-29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8</w:t>
            </w:r>
          </w:p>
        </w:tc>
        <w:tc>
          <w:tcPr>
            <w:tcW w:w="2822" w:type="pct"/>
            <w:tcBorders>
              <w:tl2br w:val="nil"/>
              <w:tr2bl w:val="nil"/>
            </w:tcBorders>
            <w:vAlign w:val="center"/>
          </w:tcPr>
          <w:p>
            <w:pPr>
              <w:pStyle w:val="41"/>
              <w:jc w:val="left"/>
              <w:rPr>
                <w:color w:val="auto"/>
                <w:highlight w:val="none"/>
              </w:rPr>
            </w:pPr>
            <w:r>
              <w:rPr>
                <w:color w:val="auto"/>
                <w:highlight w:val="none"/>
              </w:rPr>
              <w:t>关于切实加强风险防范严格环境影响评价管理的通知</w:t>
            </w:r>
          </w:p>
        </w:tc>
        <w:tc>
          <w:tcPr>
            <w:tcW w:w="1296" w:type="pct"/>
            <w:tcBorders>
              <w:tl2br w:val="nil"/>
              <w:tr2bl w:val="nil"/>
            </w:tcBorders>
            <w:vAlign w:val="center"/>
          </w:tcPr>
          <w:p>
            <w:pPr>
              <w:pStyle w:val="41"/>
              <w:rPr>
                <w:color w:val="auto"/>
                <w:highlight w:val="none"/>
              </w:rPr>
            </w:pPr>
            <w:r>
              <w:rPr>
                <w:color w:val="auto"/>
                <w:highlight w:val="none"/>
              </w:rPr>
              <w:t>环发〔2012〕98号</w:t>
            </w:r>
          </w:p>
        </w:tc>
        <w:tc>
          <w:tcPr>
            <w:tcW w:w="750" w:type="pct"/>
            <w:tcBorders>
              <w:tl2br w:val="nil"/>
              <w:tr2bl w:val="nil"/>
            </w:tcBorders>
            <w:vAlign w:val="center"/>
          </w:tcPr>
          <w:p>
            <w:pPr>
              <w:pStyle w:val="41"/>
              <w:rPr>
                <w:color w:val="auto"/>
                <w:highlight w:val="none"/>
              </w:rPr>
            </w:pPr>
            <w:r>
              <w:rPr>
                <w:color w:val="auto"/>
                <w:highlight w:val="none"/>
              </w:rPr>
              <w:t>2012-08-07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9</w:t>
            </w:r>
          </w:p>
        </w:tc>
        <w:tc>
          <w:tcPr>
            <w:tcW w:w="2822" w:type="pct"/>
            <w:tcBorders>
              <w:tl2br w:val="nil"/>
              <w:tr2bl w:val="nil"/>
            </w:tcBorders>
            <w:vAlign w:val="center"/>
          </w:tcPr>
          <w:p>
            <w:pPr>
              <w:pStyle w:val="41"/>
              <w:jc w:val="left"/>
              <w:rPr>
                <w:color w:val="auto"/>
                <w:highlight w:val="none"/>
              </w:rPr>
            </w:pPr>
            <w:r>
              <w:rPr>
                <w:color w:val="auto"/>
                <w:highlight w:val="none"/>
              </w:rPr>
              <w:t>关于加强国家重点生态功能区环境保护和管理的意见</w:t>
            </w:r>
          </w:p>
        </w:tc>
        <w:tc>
          <w:tcPr>
            <w:tcW w:w="1296" w:type="pct"/>
            <w:tcBorders>
              <w:tl2br w:val="nil"/>
              <w:tr2bl w:val="nil"/>
            </w:tcBorders>
            <w:vAlign w:val="center"/>
          </w:tcPr>
          <w:p>
            <w:pPr>
              <w:pStyle w:val="41"/>
              <w:rPr>
                <w:color w:val="auto"/>
                <w:highlight w:val="none"/>
              </w:rPr>
            </w:pPr>
            <w:r>
              <w:rPr>
                <w:color w:val="auto"/>
                <w:highlight w:val="none"/>
              </w:rPr>
              <w:t>环发〔2013〕16号</w:t>
            </w:r>
          </w:p>
        </w:tc>
        <w:tc>
          <w:tcPr>
            <w:tcW w:w="750" w:type="pct"/>
            <w:tcBorders>
              <w:tl2br w:val="nil"/>
              <w:tr2bl w:val="nil"/>
            </w:tcBorders>
            <w:vAlign w:val="center"/>
          </w:tcPr>
          <w:p>
            <w:pPr>
              <w:pStyle w:val="41"/>
              <w:rPr>
                <w:color w:val="auto"/>
                <w:highlight w:val="none"/>
              </w:rPr>
            </w:pPr>
            <w:r>
              <w:rPr>
                <w:color w:val="auto"/>
                <w:highlight w:val="none"/>
              </w:rPr>
              <w:t>2013-01-22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10</w:t>
            </w:r>
          </w:p>
        </w:tc>
        <w:tc>
          <w:tcPr>
            <w:tcW w:w="2822" w:type="pct"/>
            <w:tcBorders>
              <w:tl2br w:val="nil"/>
              <w:tr2bl w:val="nil"/>
            </w:tcBorders>
            <w:vAlign w:val="center"/>
          </w:tcPr>
          <w:p>
            <w:pPr>
              <w:pStyle w:val="41"/>
              <w:jc w:val="left"/>
              <w:rPr>
                <w:color w:val="auto"/>
                <w:highlight w:val="none"/>
              </w:rPr>
            </w:pPr>
            <w:r>
              <w:rPr>
                <w:color w:val="auto"/>
                <w:highlight w:val="none"/>
              </w:rPr>
              <w:t>关于强化建设项目环境影响评价事中事后监管的实施意见</w:t>
            </w:r>
          </w:p>
        </w:tc>
        <w:tc>
          <w:tcPr>
            <w:tcW w:w="1296" w:type="pct"/>
            <w:tcBorders>
              <w:tl2br w:val="nil"/>
              <w:tr2bl w:val="nil"/>
            </w:tcBorders>
            <w:vAlign w:val="center"/>
          </w:tcPr>
          <w:p>
            <w:pPr>
              <w:pStyle w:val="41"/>
              <w:rPr>
                <w:color w:val="auto"/>
                <w:highlight w:val="none"/>
              </w:rPr>
            </w:pPr>
            <w:r>
              <w:rPr>
                <w:color w:val="auto"/>
                <w:highlight w:val="none"/>
              </w:rPr>
              <w:t>环环评〔2018〕11号</w:t>
            </w:r>
          </w:p>
        </w:tc>
        <w:tc>
          <w:tcPr>
            <w:tcW w:w="750" w:type="pct"/>
            <w:tcBorders>
              <w:tl2br w:val="nil"/>
              <w:tr2bl w:val="nil"/>
            </w:tcBorders>
            <w:vAlign w:val="center"/>
          </w:tcPr>
          <w:p>
            <w:pPr>
              <w:pStyle w:val="41"/>
              <w:rPr>
                <w:color w:val="auto"/>
                <w:highlight w:val="none"/>
              </w:rPr>
            </w:pPr>
            <w:r>
              <w:rPr>
                <w:color w:val="auto"/>
                <w:highlight w:val="none"/>
              </w:rPr>
              <w:t>2018-01-25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11</w:t>
            </w:r>
          </w:p>
        </w:tc>
        <w:tc>
          <w:tcPr>
            <w:tcW w:w="2822" w:type="pct"/>
            <w:tcBorders>
              <w:tl2br w:val="nil"/>
              <w:tr2bl w:val="nil"/>
            </w:tcBorders>
            <w:vAlign w:val="center"/>
          </w:tcPr>
          <w:p>
            <w:pPr>
              <w:pStyle w:val="41"/>
              <w:jc w:val="left"/>
              <w:rPr>
                <w:color w:val="auto"/>
                <w:highlight w:val="none"/>
              </w:rPr>
            </w:pPr>
            <w:r>
              <w:rPr>
                <w:color w:val="auto"/>
                <w:highlight w:val="none"/>
              </w:rPr>
              <w:t>关于印发地下水污染防治实施方案的通知</w:t>
            </w:r>
          </w:p>
        </w:tc>
        <w:tc>
          <w:tcPr>
            <w:tcW w:w="1296" w:type="pct"/>
            <w:tcBorders>
              <w:tl2br w:val="nil"/>
              <w:tr2bl w:val="nil"/>
            </w:tcBorders>
            <w:vAlign w:val="center"/>
          </w:tcPr>
          <w:p>
            <w:pPr>
              <w:pStyle w:val="41"/>
              <w:rPr>
                <w:color w:val="auto"/>
                <w:highlight w:val="none"/>
              </w:rPr>
            </w:pPr>
            <w:r>
              <w:rPr>
                <w:color w:val="auto"/>
                <w:highlight w:val="none"/>
              </w:rPr>
              <w:t>环土壤〔2019〕25号</w:t>
            </w:r>
          </w:p>
        </w:tc>
        <w:tc>
          <w:tcPr>
            <w:tcW w:w="750" w:type="pct"/>
            <w:tcBorders>
              <w:tl2br w:val="nil"/>
              <w:tr2bl w:val="nil"/>
            </w:tcBorders>
            <w:vAlign w:val="center"/>
          </w:tcPr>
          <w:p>
            <w:pPr>
              <w:pStyle w:val="41"/>
              <w:rPr>
                <w:color w:val="auto"/>
                <w:highlight w:val="none"/>
              </w:rPr>
            </w:pPr>
            <w:r>
              <w:rPr>
                <w:color w:val="auto"/>
                <w:highlight w:val="none"/>
              </w:rPr>
              <w:t>2019-03-28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12</w:t>
            </w:r>
          </w:p>
        </w:tc>
        <w:tc>
          <w:tcPr>
            <w:tcW w:w="2822" w:type="pct"/>
            <w:tcBorders>
              <w:tl2br w:val="nil"/>
              <w:tr2bl w:val="nil"/>
            </w:tcBorders>
            <w:vAlign w:val="center"/>
          </w:tcPr>
          <w:p>
            <w:pPr>
              <w:pStyle w:val="41"/>
              <w:jc w:val="left"/>
              <w:rPr>
                <w:color w:val="auto"/>
                <w:highlight w:val="none"/>
              </w:rPr>
            </w:pPr>
            <w:r>
              <w:rPr>
                <w:color w:val="auto"/>
                <w:highlight w:val="none"/>
                <w:lang w:val="en"/>
              </w:rPr>
              <w:t>关于进一步加强石油天然气行业环境影响评价管理的通知</w:t>
            </w:r>
          </w:p>
        </w:tc>
        <w:tc>
          <w:tcPr>
            <w:tcW w:w="1296" w:type="pct"/>
            <w:tcBorders>
              <w:tl2br w:val="nil"/>
              <w:tr2bl w:val="nil"/>
            </w:tcBorders>
            <w:vAlign w:val="center"/>
          </w:tcPr>
          <w:p>
            <w:pPr>
              <w:pStyle w:val="41"/>
              <w:rPr>
                <w:color w:val="auto"/>
                <w:highlight w:val="none"/>
              </w:rPr>
            </w:pPr>
            <w:r>
              <w:rPr>
                <w:color w:val="auto"/>
                <w:highlight w:val="none"/>
                <w:lang w:val="en"/>
              </w:rPr>
              <w:t>环办环评函〔2019〕910号</w:t>
            </w:r>
          </w:p>
        </w:tc>
        <w:tc>
          <w:tcPr>
            <w:tcW w:w="750" w:type="pct"/>
            <w:tcBorders>
              <w:tl2br w:val="nil"/>
              <w:tr2bl w:val="nil"/>
            </w:tcBorders>
            <w:vAlign w:val="center"/>
          </w:tcPr>
          <w:p>
            <w:pPr>
              <w:pStyle w:val="41"/>
              <w:rPr>
                <w:color w:val="auto"/>
                <w:highlight w:val="none"/>
              </w:rPr>
            </w:pPr>
            <w:r>
              <w:rPr>
                <w:color w:val="auto"/>
                <w:highlight w:val="none"/>
                <w:lang w:val="en"/>
              </w:rPr>
              <w:t>2019-12-13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13</w:t>
            </w:r>
          </w:p>
        </w:tc>
        <w:tc>
          <w:tcPr>
            <w:tcW w:w="2822" w:type="pct"/>
            <w:tcBorders>
              <w:tl2br w:val="nil"/>
              <w:tr2bl w:val="nil"/>
            </w:tcBorders>
            <w:vAlign w:val="center"/>
          </w:tcPr>
          <w:p>
            <w:pPr>
              <w:pStyle w:val="41"/>
              <w:jc w:val="left"/>
              <w:rPr>
                <w:color w:val="auto"/>
                <w:highlight w:val="none"/>
                <w:lang w:val="en"/>
              </w:rPr>
            </w:pPr>
            <w:r>
              <w:rPr>
                <w:color w:val="auto"/>
                <w:highlight w:val="none"/>
                <w:lang w:val="en"/>
              </w:rPr>
              <w:t>关于印发</w:t>
            </w:r>
            <w:r>
              <w:rPr>
                <w:rFonts w:hint="eastAsia"/>
                <w:color w:val="auto"/>
                <w:highlight w:val="none"/>
                <w:lang w:val="en"/>
              </w:rPr>
              <w:t>〈</w:t>
            </w:r>
            <w:r>
              <w:rPr>
                <w:color w:val="auto"/>
                <w:highlight w:val="none"/>
                <w:lang w:val="en"/>
              </w:rPr>
              <w:t>生态保护红线划定指南</w:t>
            </w:r>
            <w:r>
              <w:rPr>
                <w:rFonts w:hint="eastAsia"/>
                <w:color w:val="auto"/>
                <w:highlight w:val="none"/>
                <w:lang w:val="en"/>
              </w:rPr>
              <w:t>〉</w:t>
            </w:r>
            <w:r>
              <w:rPr>
                <w:color w:val="auto"/>
                <w:highlight w:val="none"/>
                <w:lang w:val="en"/>
              </w:rPr>
              <w:t>的通知</w:t>
            </w:r>
          </w:p>
        </w:tc>
        <w:tc>
          <w:tcPr>
            <w:tcW w:w="1296" w:type="pct"/>
            <w:tcBorders>
              <w:tl2br w:val="nil"/>
              <w:tr2bl w:val="nil"/>
            </w:tcBorders>
            <w:vAlign w:val="center"/>
          </w:tcPr>
          <w:p>
            <w:pPr>
              <w:pStyle w:val="41"/>
              <w:rPr>
                <w:color w:val="auto"/>
                <w:highlight w:val="none"/>
                <w:lang w:val="en"/>
              </w:rPr>
            </w:pPr>
            <w:r>
              <w:rPr>
                <w:color w:val="auto"/>
                <w:highlight w:val="none"/>
                <w:lang w:val="en"/>
              </w:rPr>
              <w:t>环办生态〔2017〕48 号</w:t>
            </w:r>
          </w:p>
        </w:tc>
        <w:tc>
          <w:tcPr>
            <w:tcW w:w="750" w:type="pct"/>
            <w:tcBorders>
              <w:tl2br w:val="nil"/>
              <w:tr2bl w:val="nil"/>
            </w:tcBorders>
            <w:vAlign w:val="center"/>
          </w:tcPr>
          <w:p>
            <w:pPr>
              <w:pStyle w:val="41"/>
              <w:rPr>
                <w:color w:val="auto"/>
                <w:highlight w:val="none"/>
                <w:lang w:val="en"/>
              </w:rPr>
            </w:pPr>
            <w:r>
              <w:rPr>
                <w:color w:val="auto"/>
                <w:highlight w:val="none"/>
                <w:lang w:val="en"/>
              </w:rPr>
              <w:t>2017-05-27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14</w:t>
            </w:r>
          </w:p>
        </w:tc>
        <w:tc>
          <w:tcPr>
            <w:tcW w:w="2822" w:type="pct"/>
            <w:tcBorders>
              <w:tl2br w:val="nil"/>
              <w:tr2bl w:val="nil"/>
            </w:tcBorders>
            <w:vAlign w:val="center"/>
          </w:tcPr>
          <w:p>
            <w:pPr>
              <w:pStyle w:val="41"/>
              <w:jc w:val="left"/>
              <w:rPr>
                <w:color w:val="auto"/>
                <w:highlight w:val="none"/>
                <w:lang w:val="en"/>
              </w:rPr>
            </w:pPr>
            <w:r>
              <w:rPr>
                <w:color w:val="auto"/>
                <w:highlight w:val="none"/>
              </w:rPr>
              <w:t>石油天然气开采业污染防治技术政策</w:t>
            </w:r>
          </w:p>
        </w:tc>
        <w:tc>
          <w:tcPr>
            <w:tcW w:w="1296" w:type="pct"/>
            <w:tcBorders>
              <w:tl2br w:val="nil"/>
              <w:tr2bl w:val="nil"/>
            </w:tcBorders>
            <w:vAlign w:val="center"/>
          </w:tcPr>
          <w:p>
            <w:pPr>
              <w:pStyle w:val="41"/>
              <w:rPr>
                <w:color w:val="auto"/>
                <w:highlight w:val="none"/>
                <w:lang w:val="en"/>
              </w:rPr>
            </w:pPr>
            <w:r>
              <w:rPr>
                <w:color w:val="auto"/>
                <w:highlight w:val="none"/>
              </w:rPr>
              <w:t>环保部公告2012年第18号</w:t>
            </w:r>
          </w:p>
        </w:tc>
        <w:tc>
          <w:tcPr>
            <w:tcW w:w="750" w:type="pct"/>
            <w:tcBorders>
              <w:tl2br w:val="nil"/>
              <w:tr2bl w:val="nil"/>
            </w:tcBorders>
            <w:vAlign w:val="center"/>
          </w:tcPr>
          <w:p>
            <w:pPr>
              <w:pStyle w:val="41"/>
              <w:rPr>
                <w:color w:val="auto"/>
                <w:highlight w:val="none"/>
                <w:lang w:val="en"/>
              </w:rPr>
            </w:pPr>
            <w:r>
              <w:rPr>
                <w:color w:val="auto"/>
                <w:highlight w:val="none"/>
              </w:rPr>
              <w:t>2012-03-17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15</w:t>
            </w:r>
          </w:p>
        </w:tc>
        <w:tc>
          <w:tcPr>
            <w:tcW w:w="2822" w:type="pct"/>
            <w:tcBorders>
              <w:tl2br w:val="nil"/>
              <w:tr2bl w:val="nil"/>
            </w:tcBorders>
            <w:vAlign w:val="center"/>
          </w:tcPr>
          <w:p>
            <w:pPr>
              <w:pStyle w:val="41"/>
              <w:jc w:val="left"/>
              <w:rPr>
                <w:color w:val="auto"/>
                <w:highlight w:val="none"/>
                <w:lang w:val="en"/>
              </w:rPr>
            </w:pPr>
            <w:r>
              <w:rPr>
                <w:color w:val="auto"/>
                <w:highlight w:val="none"/>
              </w:rPr>
              <w:t>关于做好沙区开发建设项目环评中防沙治沙内容评价工作的意见</w:t>
            </w:r>
          </w:p>
        </w:tc>
        <w:tc>
          <w:tcPr>
            <w:tcW w:w="1296" w:type="pct"/>
            <w:tcBorders>
              <w:tl2br w:val="nil"/>
              <w:tr2bl w:val="nil"/>
            </w:tcBorders>
            <w:vAlign w:val="center"/>
          </w:tcPr>
          <w:p>
            <w:pPr>
              <w:pStyle w:val="41"/>
              <w:rPr>
                <w:color w:val="auto"/>
                <w:highlight w:val="none"/>
                <w:lang w:val="en"/>
              </w:rPr>
            </w:pPr>
            <w:r>
              <w:rPr>
                <w:color w:val="auto"/>
                <w:highlight w:val="none"/>
              </w:rPr>
              <w:t>林沙发〔2013〕136号</w:t>
            </w:r>
          </w:p>
        </w:tc>
        <w:tc>
          <w:tcPr>
            <w:tcW w:w="750" w:type="pct"/>
            <w:tcBorders>
              <w:tl2br w:val="nil"/>
              <w:tr2bl w:val="nil"/>
            </w:tcBorders>
            <w:vAlign w:val="center"/>
          </w:tcPr>
          <w:p>
            <w:pPr>
              <w:pStyle w:val="41"/>
              <w:rPr>
                <w:color w:val="auto"/>
                <w:highlight w:val="none"/>
                <w:lang w:val="en"/>
              </w:rPr>
            </w:pPr>
            <w:r>
              <w:rPr>
                <w:color w:val="auto"/>
                <w:highlight w:val="none"/>
              </w:rPr>
              <w:t>2013-09-01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16</w:t>
            </w:r>
          </w:p>
        </w:tc>
        <w:tc>
          <w:tcPr>
            <w:tcW w:w="2822" w:type="pct"/>
            <w:tcBorders>
              <w:tl2br w:val="nil"/>
              <w:tr2bl w:val="nil"/>
            </w:tcBorders>
            <w:vAlign w:val="center"/>
          </w:tcPr>
          <w:p>
            <w:pPr>
              <w:pStyle w:val="41"/>
              <w:jc w:val="left"/>
              <w:rPr>
                <w:color w:val="auto"/>
                <w:highlight w:val="none"/>
              </w:rPr>
            </w:pPr>
            <w:r>
              <w:rPr>
                <w:color w:val="auto"/>
                <w:highlight w:val="none"/>
              </w:rPr>
              <w:t>危险废物转移管理办法</w:t>
            </w:r>
          </w:p>
        </w:tc>
        <w:tc>
          <w:tcPr>
            <w:tcW w:w="1296" w:type="pct"/>
            <w:tcBorders>
              <w:tl2br w:val="nil"/>
              <w:tr2bl w:val="nil"/>
            </w:tcBorders>
            <w:vAlign w:val="center"/>
          </w:tcPr>
          <w:p>
            <w:pPr>
              <w:pStyle w:val="41"/>
              <w:rPr>
                <w:color w:val="auto"/>
                <w:highlight w:val="none"/>
              </w:rPr>
            </w:pPr>
            <w:r>
              <w:rPr>
                <w:color w:val="auto"/>
                <w:highlight w:val="none"/>
              </w:rPr>
              <w:t>生态环境部 公安部 交通运输部23号令</w:t>
            </w:r>
          </w:p>
        </w:tc>
        <w:tc>
          <w:tcPr>
            <w:tcW w:w="750" w:type="pct"/>
            <w:tcBorders>
              <w:tl2br w:val="nil"/>
              <w:tr2bl w:val="nil"/>
            </w:tcBorders>
            <w:vAlign w:val="center"/>
          </w:tcPr>
          <w:p>
            <w:pPr>
              <w:pStyle w:val="41"/>
              <w:rPr>
                <w:color w:val="auto"/>
                <w:highlight w:val="none"/>
              </w:rPr>
            </w:pPr>
            <w:r>
              <w:rPr>
                <w:color w:val="auto"/>
                <w:highlight w:val="none"/>
              </w:rPr>
              <w:t>2021-11-30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17</w:t>
            </w:r>
          </w:p>
        </w:tc>
        <w:tc>
          <w:tcPr>
            <w:tcW w:w="2822" w:type="pct"/>
            <w:tcBorders>
              <w:tl2br w:val="nil"/>
              <w:tr2bl w:val="nil"/>
            </w:tcBorders>
            <w:vAlign w:val="center"/>
          </w:tcPr>
          <w:p>
            <w:pPr>
              <w:pStyle w:val="41"/>
              <w:jc w:val="left"/>
              <w:rPr>
                <w:color w:val="auto"/>
                <w:highlight w:val="none"/>
              </w:rPr>
            </w:pPr>
            <w:r>
              <w:rPr>
                <w:color w:val="auto"/>
                <w:highlight w:val="none"/>
              </w:rPr>
              <w:t>建设项目危险废物环境影响评价技术指南</w:t>
            </w:r>
          </w:p>
        </w:tc>
        <w:tc>
          <w:tcPr>
            <w:tcW w:w="1296" w:type="pct"/>
            <w:tcBorders>
              <w:tl2br w:val="nil"/>
              <w:tr2bl w:val="nil"/>
            </w:tcBorders>
            <w:vAlign w:val="center"/>
          </w:tcPr>
          <w:p>
            <w:pPr>
              <w:pStyle w:val="41"/>
              <w:rPr>
                <w:color w:val="auto"/>
                <w:highlight w:val="none"/>
              </w:rPr>
            </w:pPr>
            <w:r>
              <w:rPr>
                <w:color w:val="auto"/>
                <w:highlight w:val="none"/>
              </w:rPr>
              <w:t>生态环境部公告</w:t>
            </w:r>
            <w:r>
              <w:rPr>
                <w:rFonts w:hint="eastAsia"/>
                <w:color w:val="auto"/>
                <w:highlight w:val="none"/>
              </w:rPr>
              <w:t xml:space="preserve"> </w:t>
            </w:r>
            <w:r>
              <w:rPr>
                <w:color w:val="auto"/>
                <w:highlight w:val="none"/>
              </w:rPr>
              <w:t>2017年 第43号</w:t>
            </w:r>
          </w:p>
        </w:tc>
        <w:tc>
          <w:tcPr>
            <w:tcW w:w="750" w:type="pct"/>
            <w:tcBorders>
              <w:tl2br w:val="nil"/>
              <w:tr2bl w:val="nil"/>
            </w:tcBorders>
            <w:vAlign w:val="center"/>
          </w:tcPr>
          <w:p>
            <w:pPr>
              <w:pStyle w:val="41"/>
              <w:rPr>
                <w:color w:val="auto"/>
                <w:highlight w:val="none"/>
              </w:rPr>
            </w:pPr>
            <w:r>
              <w:rPr>
                <w:color w:val="auto"/>
                <w:highlight w:val="none"/>
              </w:rPr>
              <w:t>2017-10-01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18</w:t>
            </w:r>
          </w:p>
        </w:tc>
        <w:tc>
          <w:tcPr>
            <w:tcW w:w="2822" w:type="pct"/>
            <w:tcBorders>
              <w:tl2br w:val="nil"/>
              <w:tr2bl w:val="nil"/>
            </w:tcBorders>
            <w:vAlign w:val="center"/>
          </w:tcPr>
          <w:p>
            <w:pPr>
              <w:pStyle w:val="41"/>
              <w:jc w:val="left"/>
              <w:rPr>
                <w:color w:val="auto"/>
                <w:highlight w:val="none"/>
              </w:rPr>
            </w:pPr>
            <w:r>
              <w:rPr>
                <w:color w:val="auto"/>
                <w:highlight w:val="none"/>
              </w:rPr>
              <w:t>危险废物环境管理指南</w:t>
            </w:r>
            <w:r>
              <w:rPr>
                <w:rFonts w:hint="eastAsia"/>
                <w:color w:val="auto"/>
                <w:highlight w:val="none"/>
              </w:rPr>
              <w:t xml:space="preserve"> </w:t>
            </w:r>
            <w:r>
              <w:rPr>
                <w:color w:val="auto"/>
                <w:highlight w:val="none"/>
              </w:rPr>
              <w:t>陆上石油天然气开采</w:t>
            </w:r>
          </w:p>
        </w:tc>
        <w:tc>
          <w:tcPr>
            <w:tcW w:w="1296" w:type="pct"/>
            <w:tcBorders>
              <w:tl2br w:val="nil"/>
              <w:tr2bl w:val="nil"/>
            </w:tcBorders>
            <w:vAlign w:val="center"/>
          </w:tcPr>
          <w:p>
            <w:pPr>
              <w:pStyle w:val="41"/>
              <w:rPr>
                <w:color w:val="auto"/>
                <w:highlight w:val="none"/>
              </w:rPr>
            </w:pPr>
            <w:r>
              <w:rPr>
                <w:color w:val="auto"/>
                <w:highlight w:val="none"/>
              </w:rPr>
              <w:t>生态环境部公告 2021年 第74号</w:t>
            </w:r>
          </w:p>
        </w:tc>
        <w:tc>
          <w:tcPr>
            <w:tcW w:w="750" w:type="pct"/>
            <w:tcBorders>
              <w:tl2br w:val="nil"/>
              <w:tr2bl w:val="nil"/>
            </w:tcBorders>
            <w:vAlign w:val="center"/>
          </w:tcPr>
          <w:p>
            <w:pPr>
              <w:pStyle w:val="41"/>
              <w:rPr>
                <w:color w:val="auto"/>
                <w:highlight w:val="none"/>
              </w:rPr>
            </w:pPr>
            <w:r>
              <w:rPr>
                <w:color w:val="auto"/>
                <w:highlight w:val="none"/>
              </w:rPr>
              <w:t>2021-12-21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19</w:t>
            </w:r>
          </w:p>
        </w:tc>
        <w:tc>
          <w:tcPr>
            <w:tcW w:w="2822" w:type="pct"/>
            <w:tcBorders>
              <w:tl2br w:val="nil"/>
              <w:tr2bl w:val="nil"/>
            </w:tcBorders>
            <w:vAlign w:val="center"/>
          </w:tcPr>
          <w:p>
            <w:pPr>
              <w:pStyle w:val="41"/>
              <w:jc w:val="left"/>
              <w:rPr>
                <w:color w:val="auto"/>
                <w:highlight w:val="none"/>
              </w:rPr>
            </w:pPr>
            <w:r>
              <w:rPr>
                <w:color w:val="auto"/>
                <w:highlight w:val="none"/>
              </w:rPr>
              <w:t>关于在南疆四地州深度贫困地区实施</w:t>
            </w:r>
            <w:r>
              <w:rPr>
                <w:rFonts w:hint="eastAsia"/>
                <w:color w:val="auto"/>
                <w:highlight w:val="none"/>
              </w:rPr>
              <w:t>〈</w:t>
            </w:r>
            <w:r>
              <w:rPr>
                <w:color w:val="auto"/>
                <w:highlight w:val="none"/>
              </w:rPr>
              <w:t>环境影响评价技术导则 大气环境（HJ2.2-2018）</w:t>
            </w:r>
            <w:r>
              <w:rPr>
                <w:rFonts w:hint="eastAsia"/>
                <w:color w:val="auto"/>
                <w:highlight w:val="none"/>
              </w:rPr>
              <w:t>〉</w:t>
            </w:r>
            <w:r>
              <w:rPr>
                <w:color w:val="auto"/>
                <w:highlight w:val="none"/>
              </w:rPr>
              <w:t>差别化政策有关事宜的复函</w:t>
            </w:r>
          </w:p>
        </w:tc>
        <w:tc>
          <w:tcPr>
            <w:tcW w:w="1296" w:type="pct"/>
            <w:tcBorders>
              <w:tl2br w:val="nil"/>
              <w:tr2bl w:val="nil"/>
            </w:tcBorders>
            <w:vAlign w:val="center"/>
          </w:tcPr>
          <w:p>
            <w:pPr>
              <w:pStyle w:val="41"/>
              <w:rPr>
                <w:color w:val="auto"/>
                <w:highlight w:val="none"/>
              </w:rPr>
            </w:pPr>
            <w:r>
              <w:rPr>
                <w:color w:val="auto"/>
                <w:highlight w:val="none"/>
              </w:rPr>
              <w:t>环办环评函〔2019〕590号</w:t>
            </w:r>
          </w:p>
        </w:tc>
        <w:tc>
          <w:tcPr>
            <w:tcW w:w="750" w:type="pct"/>
            <w:tcBorders>
              <w:tl2br w:val="nil"/>
              <w:tr2bl w:val="nil"/>
            </w:tcBorders>
            <w:vAlign w:val="center"/>
          </w:tcPr>
          <w:p>
            <w:pPr>
              <w:pStyle w:val="41"/>
              <w:rPr>
                <w:color w:val="auto"/>
                <w:highlight w:val="none"/>
              </w:rPr>
            </w:pPr>
            <w:r>
              <w:rPr>
                <w:color w:val="auto"/>
                <w:highlight w:val="none"/>
              </w:rPr>
              <w:t>2019-06-30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20</w:t>
            </w:r>
          </w:p>
        </w:tc>
        <w:tc>
          <w:tcPr>
            <w:tcW w:w="2822" w:type="pct"/>
            <w:tcBorders>
              <w:tl2br w:val="nil"/>
              <w:tr2bl w:val="nil"/>
            </w:tcBorders>
            <w:vAlign w:val="center"/>
          </w:tcPr>
          <w:p>
            <w:pPr>
              <w:pStyle w:val="41"/>
              <w:jc w:val="left"/>
              <w:rPr>
                <w:color w:val="auto"/>
                <w:highlight w:val="none"/>
              </w:rPr>
            </w:pPr>
            <w:r>
              <w:rPr>
                <w:color w:val="auto"/>
                <w:highlight w:val="none"/>
              </w:rPr>
              <w:t>危险废物排除管理清单（2021 年版）</w:t>
            </w:r>
          </w:p>
        </w:tc>
        <w:tc>
          <w:tcPr>
            <w:tcW w:w="1296" w:type="pct"/>
            <w:tcBorders>
              <w:tl2br w:val="nil"/>
              <w:tr2bl w:val="nil"/>
            </w:tcBorders>
            <w:vAlign w:val="center"/>
          </w:tcPr>
          <w:p>
            <w:pPr>
              <w:pStyle w:val="41"/>
              <w:rPr>
                <w:color w:val="auto"/>
                <w:highlight w:val="none"/>
              </w:rPr>
            </w:pPr>
            <w:r>
              <w:rPr>
                <w:color w:val="auto"/>
                <w:highlight w:val="none"/>
              </w:rPr>
              <w:t>生态环境部公告2021年第66号</w:t>
            </w:r>
          </w:p>
        </w:tc>
        <w:tc>
          <w:tcPr>
            <w:tcW w:w="750" w:type="pct"/>
            <w:tcBorders>
              <w:tl2br w:val="nil"/>
              <w:tr2bl w:val="nil"/>
            </w:tcBorders>
            <w:vAlign w:val="center"/>
          </w:tcPr>
          <w:p>
            <w:pPr>
              <w:pStyle w:val="41"/>
              <w:rPr>
                <w:color w:val="auto"/>
                <w:highlight w:val="none"/>
              </w:rPr>
            </w:pPr>
            <w:r>
              <w:rPr>
                <w:color w:val="auto"/>
                <w:highlight w:val="none"/>
              </w:rPr>
              <w:t>2021-12-03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21</w:t>
            </w:r>
          </w:p>
        </w:tc>
        <w:tc>
          <w:tcPr>
            <w:tcW w:w="2822" w:type="pct"/>
            <w:tcBorders>
              <w:tl2br w:val="nil"/>
              <w:tr2bl w:val="nil"/>
            </w:tcBorders>
            <w:vAlign w:val="center"/>
          </w:tcPr>
          <w:p>
            <w:pPr>
              <w:pStyle w:val="41"/>
              <w:jc w:val="left"/>
              <w:rPr>
                <w:color w:val="auto"/>
                <w:highlight w:val="none"/>
              </w:rPr>
            </w:pPr>
            <w:r>
              <w:rPr>
                <w:color w:val="auto"/>
                <w:highlight w:val="none"/>
              </w:rPr>
              <w:t>挥发性有机物（VOCs）污染防治技术政策</w:t>
            </w:r>
          </w:p>
        </w:tc>
        <w:tc>
          <w:tcPr>
            <w:tcW w:w="1296" w:type="pct"/>
            <w:tcBorders>
              <w:tl2br w:val="nil"/>
              <w:tr2bl w:val="nil"/>
            </w:tcBorders>
            <w:vAlign w:val="center"/>
          </w:tcPr>
          <w:p>
            <w:pPr>
              <w:pStyle w:val="41"/>
              <w:rPr>
                <w:color w:val="auto"/>
                <w:highlight w:val="none"/>
              </w:rPr>
            </w:pPr>
            <w:r>
              <w:rPr>
                <w:color w:val="auto"/>
                <w:highlight w:val="none"/>
              </w:rPr>
              <w:t>生态环境部公告2013年第31号</w:t>
            </w:r>
          </w:p>
        </w:tc>
        <w:tc>
          <w:tcPr>
            <w:tcW w:w="750" w:type="pct"/>
            <w:tcBorders>
              <w:tl2br w:val="nil"/>
              <w:tr2bl w:val="nil"/>
            </w:tcBorders>
            <w:vAlign w:val="center"/>
          </w:tcPr>
          <w:p>
            <w:pPr>
              <w:pStyle w:val="41"/>
              <w:rPr>
                <w:color w:val="auto"/>
                <w:highlight w:val="none"/>
              </w:rPr>
            </w:pPr>
            <w:r>
              <w:rPr>
                <w:color w:val="auto"/>
                <w:highlight w:val="none"/>
              </w:rPr>
              <w:t>2013-05-24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22</w:t>
            </w:r>
          </w:p>
        </w:tc>
        <w:tc>
          <w:tcPr>
            <w:tcW w:w="2822" w:type="pct"/>
            <w:tcBorders>
              <w:tl2br w:val="nil"/>
              <w:tr2bl w:val="nil"/>
            </w:tcBorders>
            <w:vAlign w:val="center"/>
          </w:tcPr>
          <w:p>
            <w:pPr>
              <w:pStyle w:val="41"/>
              <w:jc w:val="left"/>
              <w:rPr>
                <w:color w:val="auto"/>
                <w:highlight w:val="none"/>
              </w:rPr>
            </w:pPr>
            <w:r>
              <w:rPr>
                <w:color w:val="auto"/>
                <w:highlight w:val="none"/>
              </w:rPr>
              <w:t>关于加快解决当前挥发性有机物治理突出问题的通知</w:t>
            </w:r>
          </w:p>
        </w:tc>
        <w:tc>
          <w:tcPr>
            <w:tcW w:w="1296" w:type="pct"/>
            <w:tcBorders>
              <w:tl2br w:val="nil"/>
              <w:tr2bl w:val="nil"/>
            </w:tcBorders>
            <w:vAlign w:val="center"/>
          </w:tcPr>
          <w:p>
            <w:pPr>
              <w:pStyle w:val="41"/>
              <w:rPr>
                <w:color w:val="auto"/>
                <w:highlight w:val="none"/>
              </w:rPr>
            </w:pPr>
            <w:r>
              <w:rPr>
                <w:color w:val="auto"/>
                <w:highlight w:val="none"/>
              </w:rPr>
              <w:t>环大气〔2021〕65号</w:t>
            </w:r>
          </w:p>
        </w:tc>
        <w:tc>
          <w:tcPr>
            <w:tcW w:w="750" w:type="pct"/>
            <w:tcBorders>
              <w:tl2br w:val="nil"/>
              <w:tr2bl w:val="nil"/>
            </w:tcBorders>
            <w:vAlign w:val="center"/>
          </w:tcPr>
          <w:p>
            <w:pPr>
              <w:pStyle w:val="41"/>
              <w:rPr>
                <w:color w:val="auto"/>
                <w:highlight w:val="none"/>
              </w:rPr>
            </w:pPr>
            <w:r>
              <w:rPr>
                <w:color w:val="auto"/>
                <w:highlight w:val="none"/>
              </w:rPr>
              <w:t>2021-08-04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23</w:t>
            </w:r>
          </w:p>
        </w:tc>
        <w:tc>
          <w:tcPr>
            <w:tcW w:w="2822" w:type="pct"/>
            <w:tcBorders>
              <w:tl2br w:val="nil"/>
              <w:tr2bl w:val="nil"/>
            </w:tcBorders>
            <w:vAlign w:val="center"/>
          </w:tcPr>
          <w:p>
            <w:pPr>
              <w:pStyle w:val="41"/>
              <w:jc w:val="left"/>
              <w:rPr>
                <w:color w:val="auto"/>
                <w:highlight w:val="none"/>
              </w:rPr>
            </w:pPr>
            <w:r>
              <w:rPr>
                <w:color w:val="auto"/>
                <w:highlight w:val="none"/>
              </w:rPr>
              <w:t>石油和天然气开采行业清洁生产评价体系指标（试行）</w:t>
            </w:r>
          </w:p>
        </w:tc>
        <w:tc>
          <w:tcPr>
            <w:tcW w:w="1296" w:type="pct"/>
            <w:tcBorders>
              <w:tl2br w:val="nil"/>
              <w:tr2bl w:val="nil"/>
            </w:tcBorders>
            <w:vAlign w:val="center"/>
          </w:tcPr>
          <w:p>
            <w:pPr>
              <w:pStyle w:val="41"/>
              <w:rPr>
                <w:color w:val="auto"/>
                <w:highlight w:val="none"/>
              </w:rPr>
            </w:pPr>
            <w:r>
              <w:rPr>
                <w:rFonts w:hint="eastAsia"/>
                <w:color w:val="auto"/>
                <w:highlight w:val="none"/>
                <w:lang w:eastAsia="zh-CN"/>
              </w:rPr>
              <w:t>国家发展改革委</w:t>
            </w:r>
            <w:r>
              <w:rPr>
                <w:color w:val="auto"/>
                <w:highlight w:val="none"/>
              </w:rPr>
              <w:t>公告2009第3号</w:t>
            </w:r>
          </w:p>
        </w:tc>
        <w:tc>
          <w:tcPr>
            <w:tcW w:w="750" w:type="pct"/>
            <w:tcBorders>
              <w:tl2br w:val="nil"/>
              <w:tr2bl w:val="nil"/>
            </w:tcBorders>
            <w:vAlign w:val="center"/>
          </w:tcPr>
          <w:p>
            <w:pPr>
              <w:pStyle w:val="41"/>
              <w:rPr>
                <w:color w:val="auto"/>
                <w:highlight w:val="none"/>
              </w:rPr>
            </w:pPr>
            <w:r>
              <w:rPr>
                <w:color w:val="auto"/>
                <w:highlight w:val="none"/>
              </w:rPr>
              <w:t>2009-02-19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24</w:t>
            </w:r>
          </w:p>
        </w:tc>
        <w:tc>
          <w:tcPr>
            <w:tcW w:w="2822" w:type="pct"/>
            <w:tcBorders>
              <w:tl2br w:val="nil"/>
              <w:tr2bl w:val="nil"/>
            </w:tcBorders>
            <w:vAlign w:val="center"/>
          </w:tcPr>
          <w:p>
            <w:pPr>
              <w:pStyle w:val="41"/>
              <w:jc w:val="left"/>
              <w:rPr>
                <w:color w:val="auto"/>
                <w:highlight w:val="none"/>
              </w:rPr>
            </w:pPr>
            <w:r>
              <w:rPr>
                <w:color w:val="auto"/>
                <w:highlight w:val="none"/>
              </w:rPr>
              <w:t>国家重点保护野生植物名录（2021年）</w:t>
            </w:r>
          </w:p>
        </w:tc>
        <w:tc>
          <w:tcPr>
            <w:tcW w:w="1296" w:type="pct"/>
            <w:tcBorders>
              <w:tl2br w:val="nil"/>
              <w:tr2bl w:val="nil"/>
            </w:tcBorders>
            <w:vAlign w:val="center"/>
          </w:tcPr>
          <w:p>
            <w:pPr>
              <w:pStyle w:val="41"/>
              <w:rPr>
                <w:color w:val="auto"/>
                <w:highlight w:val="none"/>
              </w:rPr>
            </w:pPr>
            <w:r>
              <w:rPr>
                <w:color w:val="auto"/>
                <w:highlight w:val="none"/>
              </w:rPr>
              <w:t>国家林业和草原局 农业农村部公告2021年第15号</w:t>
            </w:r>
          </w:p>
        </w:tc>
        <w:tc>
          <w:tcPr>
            <w:tcW w:w="750" w:type="pct"/>
            <w:tcBorders>
              <w:tl2br w:val="nil"/>
              <w:tr2bl w:val="nil"/>
            </w:tcBorders>
            <w:vAlign w:val="center"/>
          </w:tcPr>
          <w:p>
            <w:pPr>
              <w:pStyle w:val="41"/>
              <w:rPr>
                <w:color w:val="auto"/>
                <w:highlight w:val="none"/>
              </w:rPr>
            </w:pPr>
            <w:r>
              <w:rPr>
                <w:color w:val="auto"/>
                <w:highlight w:val="none"/>
              </w:rPr>
              <w:t>2021-09-07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25</w:t>
            </w:r>
          </w:p>
        </w:tc>
        <w:tc>
          <w:tcPr>
            <w:tcW w:w="2822" w:type="pct"/>
            <w:tcBorders>
              <w:tl2br w:val="nil"/>
              <w:tr2bl w:val="nil"/>
            </w:tcBorders>
            <w:vAlign w:val="center"/>
          </w:tcPr>
          <w:p>
            <w:pPr>
              <w:pStyle w:val="41"/>
              <w:jc w:val="left"/>
              <w:rPr>
                <w:color w:val="auto"/>
                <w:highlight w:val="none"/>
              </w:rPr>
            </w:pPr>
            <w:r>
              <w:rPr>
                <w:color w:val="auto"/>
                <w:highlight w:val="none"/>
              </w:rPr>
              <w:t>国家重点保护野生动物名录</w:t>
            </w:r>
          </w:p>
        </w:tc>
        <w:tc>
          <w:tcPr>
            <w:tcW w:w="1296" w:type="pct"/>
            <w:tcBorders>
              <w:tl2br w:val="nil"/>
              <w:tr2bl w:val="nil"/>
            </w:tcBorders>
            <w:vAlign w:val="center"/>
          </w:tcPr>
          <w:p>
            <w:pPr>
              <w:pStyle w:val="41"/>
              <w:rPr>
                <w:color w:val="auto"/>
                <w:highlight w:val="none"/>
              </w:rPr>
            </w:pPr>
            <w:r>
              <w:rPr>
                <w:color w:val="auto"/>
                <w:highlight w:val="none"/>
              </w:rPr>
              <w:t>国家林业和草原局 农业农村部公告2021年第3号</w:t>
            </w:r>
          </w:p>
        </w:tc>
        <w:tc>
          <w:tcPr>
            <w:tcW w:w="750" w:type="pct"/>
            <w:tcBorders>
              <w:tl2br w:val="nil"/>
              <w:tr2bl w:val="nil"/>
            </w:tcBorders>
            <w:vAlign w:val="center"/>
          </w:tcPr>
          <w:p>
            <w:pPr>
              <w:pStyle w:val="41"/>
              <w:rPr>
                <w:color w:val="auto"/>
                <w:highlight w:val="none"/>
              </w:rPr>
            </w:pPr>
            <w:r>
              <w:rPr>
                <w:color w:val="auto"/>
                <w:highlight w:val="none"/>
              </w:rPr>
              <w:t>2021-02-05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26</w:t>
            </w:r>
          </w:p>
        </w:tc>
        <w:tc>
          <w:tcPr>
            <w:tcW w:w="2822" w:type="pct"/>
            <w:tcBorders>
              <w:tl2br w:val="nil"/>
              <w:tr2bl w:val="nil"/>
            </w:tcBorders>
            <w:vAlign w:val="center"/>
          </w:tcPr>
          <w:p>
            <w:pPr>
              <w:pStyle w:val="41"/>
              <w:jc w:val="left"/>
              <w:rPr>
                <w:color w:val="auto"/>
                <w:highlight w:val="none"/>
              </w:rPr>
            </w:pPr>
            <w:r>
              <w:rPr>
                <w:color w:val="auto"/>
                <w:highlight w:val="none"/>
              </w:rPr>
              <w:t>关于印发《建设项目环境影响评价政府信息公开指南（试行）》的通知</w:t>
            </w:r>
          </w:p>
        </w:tc>
        <w:tc>
          <w:tcPr>
            <w:tcW w:w="1296" w:type="pct"/>
            <w:tcBorders>
              <w:tl2br w:val="nil"/>
              <w:tr2bl w:val="nil"/>
            </w:tcBorders>
            <w:vAlign w:val="center"/>
          </w:tcPr>
          <w:p>
            <w:pPr>
              <w:pStyle w:val="41"/>
              <w:rPr>
                <w:color w:val="auto"/>
                <w:highlight w:val="none"/>
              </w:rPr>
            </w:pPr>
            <w:r>
              <w:rPr>
                <w:color w:val="auto"/>
                <w:highlight w:val="none"/>
              </w:rPr>
              <w:t>环办〔2013〕103号</w:t>
            </w:r>
          </w:p>
        </w:tc>
        <w:tc>
          <w:tcPr>
            <w:tcW w:w="750" w:type="pct"/>
            <w:tcBorders>
              <w:tl2br w:val="nil"/>
              <w:tr2bl w:val="nil"/>
            </w:tcBorders>
            <w:vAlign w:val="center"/>
          </w:tcPr>
          <w:p>
            <w:pPr>
              <w:pStyle w:val="41"/>
              <w:rPr>
                <w:color w:val="auto"/>
                <w:highlight w:val="none"/>
              </w:rPr>
            </w:pPr>
            <w:r>
              <w:rPr>
                <w:color w:val="auto"/>
                <w:highlight w:val="none"/>
              </w:rPr>
              <w:t>2014-01-01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27</w:t>
            </w:r>
          </w:p>
        </w:tc>
        <w:tc>
          <w:tcPr>
            <w:tcW w:w="2822" w:type="pct"/>
            <w:tcBorders>
              <w:tl2br w:val="nil"/>
              <w:tr2bl w:val="nil"/>
            </w:tcBorders>
            <w:vAlign w:val="center"/>
          </w:tcPr>
          <w:p>
            <w:pPr>
              <w:pStyle w:val="41"/>
              <w:jc w:val="left"/>
              <w:rPr>
                <w:color w:val="auto"/>
                <w:highlight w:val="none"/>
              </w:rPr>
            </w:pPr>
            <w:r>
              <w:rPr>
                <w:color w:val="auto"/>
                <w:highlight w:val="none"/>
              </w:rPr>
              <w:t>关于发布《建设项目竣工环境保护验收暂行办法》的公告</w:t>
            </w:r>
          </w:p>
        </w:tc>
        <w:tc>
          <w:tcPr>
            <w:tcW w:w="1296" w:type="pct"/>
            <w:tcBorders>
              <w:tl2br w:val="nil"/>
              <w:tr2bl w:val="nil"/>
            </w:tcBorders>
            <w:vAlign w:val="center"/>
          </w:tcPr>
          <w:p>
            <w:pPr>
              <w:pStyle w:val="41"/>
              <w:rPr>
                <w:color w:val="auto"/>
                <w:highlight w:val="none"/>
              </w:rPr>
            </w:pPr>
            <w:r>
              <w:rPr>
                <w:color w:val="auto"/>
                <w:highlight w:val="none"/>
              </w:rPr>
              <w:t>国环规环评〔2017〕4号</w:t>
            </w:r>
          </w:p>
        </w:tc>
        <w:tc>
          <w:tcPr>
            <w:tcW w:w="750" w:type="pct"/>
            <w:tcBorders>
              <w:tl2br w:val="nil"/>
              <w:tr2bl w:val="nil"/>
            </w:tcBorders>
            <w:vAlign w:val="center"/>
          </w:tcPr>
          <w:p>
            <w:pPr>
              <w:pStyle w:val="41"/>
              <w:rPr>
                <w:color w:val="auto"/>
                <w:highlight w:val="none"/>
              </w:rPr>
            </w:pPr>
            <w:r>
              <w:rPr>
                <w:color w:val="auto"/>
                <w:highlight w:val="none"/>
              </w:rPr>
              <w:t>2017-11-20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28</w:t>
            </w:r>
          </w:p>
        </w:tc>
        <w:tc>
          <w:tcPr>
            <w:tcW w:w="2822" w:type="pct"/>
            <w:tcBorders>
              <w:tl2br w:val="nil"/>
              <w:tr2bl w:val="nil"/>
            </w:tcBorders>
            <w:vAlign w:val="center"/>
          </w:tcPr>
          <w:p>
            <w:pPr>
              <w:pStyle w:val="41"/>
              <w:jc w:val="left"/>
              <w:rPr>
                <w:color w:val="auto"/>
                <w:highlight w:val="none"/>
              </w:rPr>
            </w:pPr>
            <w:r>
              <w:rPr>
                <w:color w:val="auto"/>
                <w:highlight w:val="none"/>
              </w:rPr>
              <w:t>突发环境事件应急管理办法</w:t>
            </w:r>
          </w:p>
        </w:tc>
        <w:tc>
          <w:tcPr>
            <w:tcW w:w="1296" w:type="pct"/>
            <w:tcBorders>
              <w:tl2br w:val="nil"/>
              <w:tr2bl w:val="nil"/>
            </w:tcBorders>
            <w:vAlign w:val="center"/>
          </w:tcPr>
          <w:p>
            <w:pPr>
              <w:pStyle w:val="41"/>
              <w:rPr>
                <w:color w:val="auto"/>
                <w:highlight w:val="none"/>
              </w:rPr>
            </w:pPr>
            <w:r>
              <w:rPr>
                <w:color w:val="auto"/>
                <w:highlight w:val="none"/>
              </w:rPr>
              <w:t>环境保护部令第34号</w:t>
            </w:r>
          </w:p>
        </w:tc>
        <w:tc>
          <w:tcPr>
            <w:tcW w:w="750" w:type="pct"/>
            <w:tcBorders>
              <w:tl2br w:val="nil"/>
              <w:tr2bl w:val="nil"/>
            </w:tcBorders>
            <w:vAlign w:val="center"/>
          </w:tcPr>
          <w:p>
            <w:pPr>
              <w:pStyle w:val="41"/>
              <w:rPr>
                <w:color w:val="auto"/>
                <w:highlight w:val="none"/>
              </w:rPr>
            </w:pPr>
            <w:r>
              <w:rPr>
                <w:color w:val="auto"/>
                <w:highlight w:val="none"/>
              </w:rPr>
              <w:t>2015-06-05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29</w:t>
            </w:r>
          </w:p>
        </w:tc>
        <w:tc>
          <w:tcPr>
            <w:tcW w:w="2822" w:type="pct"/>
            <w:tcBorders>
              <w:tl2br w:val="nil"/>
              <w:tr2bl w:val="nil"/>
            </w:tcBorders>
            <w:vAlign w:val="center"/>
          </w:tcPr>
          <w:p>
            <w:pPr>
              <w:pStyle w:val="41"/>
              <w:jc w:val="left"/>
              <w:rPr>
                <w:color w:val="auto"/>
                <w:highlight w:val="none"/>
              </w:rPr>
            </w:pPr>
            <w:r>
              <w:rPr>
                <w:color w:val="auto"/>
                <w:highlight w:val="none"/>
              </w:rPr>
              <w:t>关于规范临时用地管理的通知</w:t>
            </w:r>
          </w:p>
        </w:tc>
        <w:tc>
          <w:tcPr>
            <w:tcW w:w="1296" w:type="pct"/>
            <w:tcBorders>
              <w:tl2br w:val="nil"/>
              <w:tr2bl w:val="nil"/>
            </w:tcBorders>
            <w:vAlign w:val="center"/>
          </w:tcPr>
          <w:p>
            <w:pPr>
              <w:pStyle w:val="41"/>
              <w:rPr>
                <w:color w:val="auto"/>
                <w:highlight w:val="none"/>
              </w:rPr>
            </w:pPr>
            <w:r>
              <w:rPr>
                <w:color w:val="auto"/>
                <w:highlight w:val="none"/>
              </w:rPr>
              <w:t>自然资规〔2021〕2号</w:t>
            </w:r>
          </w:p>
        </w:tc>
        <w:tc>
          <w:tcPr>
            <w:tcW w:w="750" w:type="pct"/>
            <w:tcBorders>
              <w:tl2br w:val="nil"/>
              <w:tr2bl w:val="nil"/>
            </w:tcBorders>
            <w:vAlign w:val="center"/>
          </w:tcPr>
          <w:p>
            <w:pPr>
              <w:pStyle w:val="41"/>
              <w:rPr>
                <w:color w:val="auto"/>
                <w:highlight w:val="none"/>
              </w:rPr>
            </w:pPr>
            <w:r>
              <w:rPr>
                <w:color w:val="auto"/>
                <w:highlight w:val="none"/>
              </w:rPr>
              <w:t>2021-11-04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b/>
                <w:bCs/>
                <w:color w:val="auto"/>
                <w:highlight w:val="none"/>
              </w:rPr>
            </w:pPr>
            <w:r>
              <w:rPr>
                <w:rFonts w:hint="eastAsia"/>
                <w:b/>
                <w:bCs/>
                <w:color w:val="auto"/>
                <w:highlight w:val="none"/>
              </w:rPr>
              <w:t>三</w:t>
            </w:r>
          </w:p>
        </w:tc>
        <w:tc>
          <w:tcPr>
            <w:tcW w:w="2822" w:type="pct"/>
            <w:tcBorders>
              <w:tl2br w:val="nil"/>
              <w:tr2bl w:val="nil"/>
            </w:tcBorders>
            <w:vAlign w:val="center"/>
          </w:tcPr>
          <w:p>
            <w:pPr>
              <w:pStyle w:val="41"/>
              <w:jc w:val="left"/>
              <w:rPr>
                <w:b/>
                <w:bCs/>
                <w:color w:val="auto"/>
                <w:highlight w:val="none"/>
              </w:rPr>
            </w:pPr>
            <w:r>
              <w:rPr>
                <w:rFonts w:hint="eastAsia"/>
                <w:b/>
                <w:bCs/>
                <w:color w:val="auto"/>
                <w:highlight w:val="none"/>
              </w:rPr>
              <w:t>地方性法规</w:t>
            </w:r>
            <w:r>
              <w:rPr>
                <w:b/>
                <w:bCs/>
                <w:color w:val="auto"/>
                <w:highlight w:val="none"/>
              </w:rPr>
              <w:t>及通知</w:t>
            </w:r>
          </w:p>
        </w:tc>
        <w:tc>
          <w:tcPr>
            <w:tcW w:w="1296" w:type="pct"/>
            <w:tcBorders>
              <w:tl2br w:val="nil"/>
              <w:tr2bl w:val="nil"/>
            </w:tcBorders>
            <w:vAlign w:val="center"/>
          </w:tcPr>
          <w:p>
            <w:pPr>
              <w:pStyle w:val="41"/>
              <w:rPr>
                <w:color w:val="auto"/>
                <w:highlight w:val="none"/>
              </w:rPr>
            </w:pPr>
          </w:p>
        </w:tc>
        <w:tc>
          <w:tcPr>
            <w:tcW w:w="750" w:type="pct"/>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w:t>
            </w:r>
          </w:p>
        </w:tc>
        <w:tc>
          <w:tcPr>
            <w:tcW w:w="2822" w:type="pct"/>
            <w:tcBorders>
              <w:tl2br w:val="nil"/>
              <w:tr2bl w:val="nil"/>
            </w:tcBorders>
            <w:vAlign w:val="center"/>
          </w:tcPr>
          <w:p>
            <w:pPr>
              <w:pStyle w:val="41"/>
              <w:jc w:val="left"/>
              <w:rPr>
                <w:color w:val="auto"/>
                <w:highlight w:val="none"/>
              </w:rPr>
            </w:pPr>
            <w:r>
              <w:rPr>
                <w:color w:val="auto"/>
                <w:highlight w:val="none"/>
              </w:rPr>
              <w:t>新疆维吾尔自治区环境保护条例（2018年修正）</w:t>
            </w:r>
          </w:p>
        </w:tc>
        <w:tc>
          <w:tcPr>
            <w:tcW w:w="1296" w:type="pct"/>
            <w:tcBorders>
              <w:tl2br w:val="nil"/>
              <w:tr2bl w:val="nil"/>
            </w:tcBorders>
            <w:vAlign w:val="center"/>
          </w:tcPr>
          <w:p>
            <w:pPr>
              <w:pStyle w:val="41"/>
              <w:rPr>
                <w:color w:val="auto"/>
                <w:highlight w:val="none"/>
              </w:rPr>
            </w:pPr>
            <w:r>
              <w:rPr>
                <w:color w:val="auto"/>
                <w:highlight w:val="none"/>
              </w:rPr>
              <w:t>自治区13届人大第6次会议</w:t>
            </w:r>
          </w:p>
        </w:tc>
        <w:tc>
          <w:tcPr>
            <w:tcW w:w="750" w:type="pct"/>
            <w:tcBorders>
              <w:tl2br w:val="nil"/>
              <w:tr2bl w:val="nil"/>
            </w:tcBorders>
            <w:vAlign w:val="center"/>
          </w:tcPr>
          <w:p>
            <w:pPr>
              <w:pStyle w:val="41"/>
              <w:rPr>
                <w:color w:val="auto"/>
                <w:highlight w:val="none"/>
              </w:rPr>
            </w:pPr>
            <w:r>
              <w:rPr>
                <w:color w:val="auto"/>
                <w:highlight w:val="none"/>
              </w:rPr>
              <w:t>2018-09-21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w:t>
            </w:r>
          </w:p>
        </w:tc>
        <w:tc>
          <w:tcPr>
            <w:tcW w:w="2822" w:type="pct"/>
            <w:tcBorders>
              <w:tl2br w:val="nil"/>
              <w:tr2bl w:val="nil"/>
            </w:tcBorders>
            <w:vAlign w:val="center"/>
          </w:tcPr>
          <w:p>
            <w:pPr>
              <w:pStyle w:val="41"/>
              <w:jc w:val="left"/>
              <w:rPr>
                <w:color w:val="auto"/>
                <w:highlight w:val="none"/>
              </w:rPr>
            </w:pPr>
            <w:r>
              <w:rPr>
                <w:color w:val="auto"/>
                <w:highlight w:val="none"/>
              </w:rPr>
              <w:t>新疆维吾尔自治区野生植物保护条例（2018年修正）</w:t>
            </w:r>
          </w:p>
        </w:tc>
        <w:tc>
          <w:tcPr>
            <w:tcW w:w="1296" w:type="pct"/>
            <w:tcBorders>
              <w:tl2br w:val="nil"/>
              <w:tr2bl w:val="nil"/>
            </w:tcBorders>
            <w:vAlign w:val="center"/>
          </w:tcPr>
          <w:p>
            <w:pPr>
              <w:pStyle w:val="41"/>
              <w:rPr>
                <w:color w:val="auto"/>
                <w:highlight w:val="none"/>
              </w:rPr>
            </w:pPr>
            <w:r>
              <w:rPr>
                <w:color w:val="auto"/>
                <w:highlight w:val="none"/>
              </w:rPr>
              <w:t>自治区13届人大第6次会议</w:t>
            </w:r>
          </w:p>
        </w:tc>
        <w:tc>
          <w:tcPr>
            <w:tcW w:w="750" w:type="pct"/>
            <w:tcBorders>
              <w:tl2br w:val="nil"/>
              <w:tr2bl w:val="nil"/>
            </w:tcBorders>
            <w:vAlign w:val="center"/>
          </w:tcPr>
          <w:p>
            <w:pPr>
              <w:pStyle w:val="41"/>
              <w:rPr>
                <w:color w:val="auto"/>
                <w:highlight w:val="none"/>
              </w:rPr>
            </w:pPr>
            <w:r>
              <w:rPr>
                <w:color w:val="auto"/>
                <w:highlight w:val="none"/>
              </w:rPr>
              <w:t>2018-09-21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3</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关于以改善环境质量为核心加强环境影响评价管理的通知</w:t>
            </w:r>
          </w:p>
        </w:tc>
        <w:tc>
          <w:tcPr>
            <w:tcW w:w="1296" w:type="pct"/>
            <w:tcBorders>
              <w:tl2br w:val="nil"/>
              <w:tr2bl w:val="nil"/>
            </w:tcBorders>
            <w:shd w:val="clear" w:color="auto" w:fill="auto"/>
            <w:vAlign w:val="center"/>
          </w:tcPr>
          <w:p>
            <w:pPr>
              <w:pStyle w:val="41"/>
              <w:rPr>
                <w:bCs/>
                <w:color w:val="auto"/>
                <w:highlight w:val="none"/>
              </w:rPr>
            </w:pPr>
            <w:r>
              <w:rPr>
                <w:color w:val="auto"/>
                <w:highlight w:val="none"/>
                <w:shd w:val="clear" w:color="auto" w:fill="FFFFFF"/>
              </w:rPr>
              <w:t>环环评〔2016〕150号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2016-10-27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4</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新疆维吾尔自治区大气污染防治条例</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自治区13届人大第7次会议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2019-01-01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5</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新疆维吾尔自治区地下水资源管理条例（2017年修订）</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自治区12届人大第29次会议</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2017-07-01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6</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关于《排放源统计调查产排污核算方法和系数手册》</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生态环境部公告2021年第24号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2021-06-11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7</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新疆维吾尔自治区重点保护野生植物名录</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新政发〔2023〕63号</w:t>
            </w:r>
          </w:p>
        </w:tc>
        <w:tc>
          <w:tcPr>
            <w:tcW w:w="750" w:type="pct"/>
            <w:tcBorders>
              <w:tl2br w:val="nil"/>
              <w:tr2bl w:val="nil"/>
            </w:tcBorders>
            <w:shd w:val="clear" w:color="auto" w:fill="auto"/>
            <w:vAlign w:val="center"/>
          </w:tcPr>
          <w:p>
            <w:pPr>
              <w:pStyle w:val="41"/>
              <w:rPr>
                <w:color w:val="auto"/>
                <w:highlight w:val="none"/>
              </w:rPr>
            </w:pPr>
            <w:r>
              <w:rPr>
                <w:rFonts w:hint="eastAsia"/>
                <w:color w:val="auto"/>
                <w:highlight w:val="none"/>
              </w:rPr>
              <w:t>2</w:t>
            </w:r>
            <w:r>
              <w:rPr>
                <w:color w:val="auto"/>
                <w:highlight w:val="none"/>
              </w:rPr>
              <w:t>023-12-29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8</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新疆维吾尔自治区重点保护野生动物名录（修订）</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新政发〔2022〕75号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2022-09-18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9</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新疆生态功能区划</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新政函〔2005〕96号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2005-07-14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10</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关于印发新疆维吾尔自治区大气污染防治行动计划实施方案的通知</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新政发〔2014〕35号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2014-04-17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11</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关于印发新疆维吾尔自治区水污染防治工作方案的通知</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新政发〔2016〕21号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2016-01-29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12</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关于印发新疆维吾尔自治区土壤污染防治工作方案的通知</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新政发〔2017〕25号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2017-03-01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13</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新疆维吾尔自治区重点行业生态环境准入条件（2024年）</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新环发〔2024〕93号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2024-06-09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14</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转发《关于强化建设项目环境影响评价事中事后监管的实施意见》</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新环办发〔2018〕80号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2018-03-27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15</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关于进一步加强和规范油气田开发项目环境保护管理工作的通知</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新环发〔2018〕133号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2018-09-06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16</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关于含油污泥处置有关事宜的通知</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新环办发〔2018〕20号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2018-12-20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17</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自治区党委、自治区人民政府印发《关于全面加强生态环境保护坚决打好污染防治攻坚战实施方案》的通知</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新党发〔2018〕23号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2018-09-04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18</w:t>
            </w:r>
          </w:p>
        </w:tc>
        <w:tc>
          <w:tcPr>
            <w:tcW w:w="2822" w:type="pct"/>
            <w:tcBorders>
              <w:tl2br w:val="nil"/>
              <w:tr2bl w:val="nil"/>
            </w:tcBorders>
            <w:shd w:val="clear" w:color="auto" w:fill="auto"/>
            <w:vAlign w:val="center"/>
          </w:tcPr>
          <w:p>
            <w:pPr>
              <w:pStyle w:val="41"/>
              <w:jc w:val="left"/>
              <w:rPr>
                <w:color w:val="auto"/>
                <w:kern w:val="24"/>
                <w:highlight w:val="none"/>
              </w:rPr>
            </w:pPr>
            <w:r>
              <w:rPr>
                <w:color w:val="auto"/>
                <w:highlight w:val="none"/>
              </w:rPr>
              <w:t>转发《关于进一步加强石油天然气行业环境影响评价管理的通知》的通知</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新环评价发〔2020〕142号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2020-07-29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19</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关于加强建设项目环境影响后评价管理的通知</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新环环评发〔2020〕162号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2020-09-11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20</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关于加强沙区建设项目环境影响评价工作的通知</w:t>
            </w:r>
          </w:p>
        </w:tc>
        <w:tc>
          <w:tcPr>
            <w:tcW w:w="1296" w:type="pct"/>
            <w:tcBorders>
              <w:tl2br w:val="nil"/>
              <w:tr2bl w:val="nil"/>
            </w:tcBorders>
            <w:shd w:val="clear" w:color="auto" w:fill="auto"/>
            <w:vAlign w:val="center"/>
          </w:tcPr>
          <w:p>
            <w:pPr>
              <w:pStyle w:val="41"/>
              <w:rPr>
                <w:color w:val="auto"/>
                <w:spacing w:val="-8"/>
                <w:highlight w:val="none"/>
              </w:rPr>
            </w:pPr>
            <w:r>
              <w:rPr>
                <w:color w:val="auto"/>
                <w:highlight w:val="none"/>
              </w:rPr>
              <w:t>新环环评发〔2020〕138号</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2020-09-04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21</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新疆维吾尔自治区实施</w:t>
            </w:r>
            <w:r>
              <w:rPr>
                <w:rFonts w:hint="eastAsia"/>
                <w:color w:val="auto"/>
                <w:highlight w:val="none"/>
              </w:rPr>
              <w:t>〈</w:t>
            </w:r>
            <w:r>
              <w:rPr>
                <w:color w:val="auto"/>
                <w:highlight w:val="none"/>
              </w:rPr>
              <w:t>中华人民共和国水土保持法</w:t>
            </w:r>
            <w:r>
              <w:rPr>
                <w:rFonts w:hint="eastAsia"/>
                <w:color w:val="auto"/>
                <w:highlight w:val="none"/>
              </w:rPr>
              <w:t>〉</w:t>
            </w:r>
            <w:r>
              <w:rPr>
                <w:color w:val="auto"/>
                <w:highlight w:val="none"/>
              </w:rPr>
              <w:t>办法</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2013年7月31日修订</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2013-10-01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22</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新疆维吾尔自治区主体功能区规划</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自治区发展和改革委员会</w:t>
            </w:r>
          </w:p>
        </w:tc>
        <w:tc>
          <w:tcPr>
            <w:tcW w:w="750" w:type="pct"/>
            <w:tcBorders>
              <w:tl2br w:val="nil"/>
              <w:tr2bl w:val="nil"/>
            </w:tcBorders>
            <w:shd w:val="clear" w:color="auto" w:fill="auto"/>
            <w:vAlign w:val="center"/>
          </w:tcPr>
          <w:p>
            <w:pPr>
              <w:pStyle w:val="41"/>
              <w:rPr>
                <w:color w:val="auto"/>
                <w:highlight w:val="none"/>
              </w:rPr>
            </w:pPr>
            <w:r>
              <w:rPr>
                <w:color w:val="auto"/>
                <w:highlight w:val="none"/>
              </w:rPr>
              <w:t>2012-10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23</w:t>
            </w:r>
          </w:p>
        </w:tc>
        <w:tc>
          <w:tcPr>
            <w:tcW w:w="2822" w:type="pct"/>
            <w:tcBorders>
              <w:tl2br w:val="nil"/>
              <w:tr2bl w:val="nil"/>
            </w:tcBorders>
            <w:shd w:val="clear" w:color="auto" w:fill="auto"/>
            <w:vAlign w:val="center"/>
          </w:tcPr>
          <w:p>
            <w:pPr>
              <w:pStyle w:val="41"/>
              <w:jc w:val="left"/>
              <w:rPr>
                <w:color w:val="auto"/>
                <w:highlight w:val="none"/>
              </w:rPr>
            </w:pPr>
            <w:r>
              <w:rPr>
                <w:color w:val="auto"/>
                <w:highlight w:val="none"/>
              </w:rPr>
              <w:t>新疆维吾尔自治区国土空间规划（2021</w:t>
            </w:r>
            <w:r>
              <w:rPr>
                <w:rFonts w:hint="eastAsia"/>
                <w:color w:val="auto"/>
                <w:highlight w:val="none"/>
                <w:lang w:eastAsia="zh-CN"/>
              </w:rPr>
              <w:t>—</w:t>
            </w:r>
            <w:r>
              <w:rPr>
                <w:color w:val="auto"/>
                <w:highlight w:val="none"/>
              </w:rPr>
              <w:t>2035年）</w:t>
            </w:r>
          </w:p>
        </w:tc>
        <w:tc>
          <w:tcPr>
            <w:tcW w:w="1296" w:type="pct"/>
            <w:tcBorders>
              <w:tl2br w:val="nil"/>
              <w:tr2bl w:val="nil"/>
            </w:tcBorders>
            <w:shd w:val="clear" w:color="auto" w:fill="auto"/>
            <w:vAlign w:val="center"/>
          </w:tcPr>
          <w:p>
            <w:pPr>
              <w:pStyle w:val="41"/>
              <w:rPr>
                <w:color w:val="auto"/>
                <w:highlight w:val="none"/>
              </w:rPr>
            </w:pPr>
            <w:r>
              <w:rPr>
                <w:color w:val="auto"/>
                <w:highlight w:val="none"/>
              </w:rPr>
              <w:t>国函〔2024〕70号</w:t>
            </w:r>
          </w:p>
        </w:tc>
        <w:tc>
          <w:tcPr>
            <w:tcW w:w="750" w:type="pct"/>
            <w:tcBorders>
              <w:tl2br w:val="nil"/>
              <w:tr2bl w:val="nil"/>
            </w:tcBorders>
            <w:shd w:val="clear" w:color="auto" w:fill="auto"/>
            <w:vAlign w:val="center"/>
          </w:tcPr>
          <w:p>
            <w:pPr>
              <w:pStyle w:val="41"/>
              <w:rPr>
                <w:color w:val="auto"/>
                <w:highlight w:val="none"/>
              </w:rPr>
            </w:pPr>
            <w:r>
              <w:rPr>
                <w:rFonts w:hint="eastAsia"/>
                <w:color w:val="auto"/>
                <w:highlight w:val="none"/>
              </w:rPr>
              <w:t>2024-05-17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24</w:t>
            </w:r>
          </w:p>
        </w:tc>
        <w:tc>
          <w:tcPr>
            <w:tcW w:w="2822" w:type="pct"/>
            <w:tcBorders>
              <w:tl2br w:val="nil"/>
              <w:tr2bl w:val="nil"/>
            </w:tcBorders>
            <w:shd w:val="clear" w:color="auto" w:fill="auto"/>
            <w:vAlign w:val="center"/>
          </w:tcPr>
          <w:p>
            <w:pPr>
              <w:pStyle w:val="41"/>
              <w:jc w:val="left"/>
              <w:rPr>
                <w:bCs/>
                <w:color w:val="auto"/>
                <w:highlight w:val="none"/>
              </w:rPr>
            </w:pPr>
            <w:r>
              <w:rPr>
                <w:rFonts w:hint="eastAsia"/>
                <w:color w:val="auto"/>
                <w:highlight w:val="none"/>
              </w:rPr>
              <w:t>新疆维吾尔自治区生态环境分区管控动态更新成果</w:t>
            </w:r>
          </w:p>
        </w:tc>
        <w:tc>
          <w:tcPr>
            <w:tcW w:w="1296" w:type="pct"/>
            <w:tcBorders>
              <w:tl2br w:val="nil"/>
              <w:tr2bl w:val="nil"/>
            </w:tcBorders>
            <w:shd w:val="clear" w:color="auto" w:fill="auto"/>
            <w:vAlign w:val="center"/>
          </w:tcPr>
          <w:p>
            <w:pPr>
              <w:pStyle w:val="41"/>
              <w:rPr>
                <w:bCs/>
                <w:color w:val="auto"/>
                <w:highlight w:val="none"/>
              </w:rPr>
            </w:pPr>
            <w:r>
              <w:rPr>
                <w:rFonts w:hint="eastAsia"/>
                <w:bCs/>
                <w:color w:val="auto"/>
                <w:highlight w:val="none"/>
              </w:rPr>
              <w:t>新环环评发</w:t>
            </w:r>
            <w:r>
              <w:rPr>
                <w:rFonts w:hint="eastAsia"/>
                <w:bCs/>
                <w:color w:val="auto"/>
                <w:highlight w:val="none"/>
                <w:lang w:val="en-US" w:eastAsia="zh-CN"/>
              </w:rPr>
              <w:t>〔</w:t>
            </w:r>
            <w:r>
              <w:rPr>
                <w:rFonts w:hint="eastAsia"/>
                <w:bCs/>
                <w:color w:val="auto"/>
                <w:highlight w:val="none"/>
              </w:rPr>
              <w:t>2024</w:t>
            </w:r>
            <w:r>
              <w:rPr>
                <w:rFonts w:hint="eastAsia"/>
                <w:bCs/>
                <w:color w:val="auto"/>
                <w:highlight w:val="none"/>
                <w:lang w:eastAsia="zh-CN"/>
              </w:rPr>
              <w:t>〕</w:t>
            </w:r>
            <w:r>
              <w:rPr>
                <w:rFonts w:hint="eastAsia"/>
                <w:bCs/>
                <w:color w:val="auto"/>
                <w:highlight w:val="none"/>
              </w:rPr>
              <w:t>157号</w:t>
            </w:r>
          </w:p>
        </w:tc>
        <w:tc>
          <w:tcPr>
            <w:tcW w:w="750" w:type="pct"/>
            <w:tcBorders>
              <w:tl2br w:val="nil"/>
              <w:tr2bl w:val="nil"/>
            </w:tcBorders>
            <w:shd w:val="clear" w:color="auto" w:fill="auto"/>
            <w:vAlign w:val="center"/>
          </w:tcPr>
          <w:p>
            <w:pPr>
              <w:pStyle w:val="41"/>
              <w:rPr>
                <w:rFonts w:hint="default" w:eastAsia="宋体"/>
                <w:bCs/>
                <w:color w:val="auto"/>
                <w:highlight w:val="none"/>
                <w:lang w:val="en-US" w:eastAsia="zh-CN"/>
              </w:rPr>
            </w:pPr>
            <w:r>
              <w:rPr>
                <w:color w:val="auto"/>
                <w:highlight w:val="none"/>
              </w:rPr>
              <w:t>202</w:t>
            </w:r>
            <w:r>
              <w:rPr>
                <w:rFonts w:hint="eastAsia"/>
                <w:color w:val="auto"/>
                <w:highlight w:val="none"/>
                <w:lang w:val="en-US" w:eastAsia="zh-CN"/>
              </w:rPr>
              <w:t>4-11-15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25</w:t>
            </w:r>
          </w:p>
        </w:tc>
        <w:tc>
          <w:tcPr>
            <w:tcW w:w="2822" w:type="pct"/>
            <w:tcBorders>
              <w:tl2br w:val="nil"/>
              <w:tr2bl w:val="nil"/>
            </w:tcBorders>
            <w:shd w:val="clear" w:color="auto" w:fill="auto"/>
            <w:vAlign w:val="center"/>
          </w:tcPr>
          <w:p>
            <w:pPr>
              <w:pStyle w:val="41"/>
              <w:jc w:val="left"/>
              <w:rPr>
                <w:bCs/>
                <w:color w:val="auto"/>
                <w:highlight w:val="none"/>
              </w:rPr>
            </w:pPr>
            <w:r>
              <w:rPr>
                <w:color w:val="auto"/>
                <w:highlight w:val="none"/>
              </w:rPr>
              <w:t>关于印发《新疆维吾尔自治区七大片区“三线一单”生态环境分区管控要求》（2021年版）的通知</w:t>
            </w:r>
          </w:p>
        </w:tc>
        <w:tc>
          <w:tcPr>
            <w:tcW w:w="1296" w:type="pct"/>
            <w:tcBorders>
              <w:tl2br w:val="nil"/>
              <w:tr2bl w:val="nil"/>
            </w:tcBorders>
            <w:shd w:val="clear" w:color="auto" w:fill="auto"/>
            <w:vAlign w:val="center"/>
          </w:tcPr>
          <w:p>
            <w:pPr>
              <w:pStyle w:val="41"/>
              <w:rPr>
                <w:bCs/>
                <w:color w:val="auto"/>
                <w:highlight w:val="none"/>
              </w:rPr>
            </w:pPr>
            <w:r>
              <w:rPr>
                <w:color w:val="auto"/>
                <w:highlight w:val="none"/>
              </w:rPr>
              <w:t>新环环评发〔2021〕162号</w:t>
            </w:r>
          </w:p>
        </w:tc>
        <w:tc>
          <w:tcPr>
            <w:tcW w:w="750" w:type="pct"/>
            <w:tcBorders>
              <w:tl2br w:val="nil"/>
              <w:tr2bl w:val="nil"/>
            </w:tcBorders>
            <w:shd w:val="clear" w:color="auto" w:fill="auto"/>
            <w:vAlign w:val="center"/>
          </w:tcPr>
          <w:p>
            <w:pPr>
              <w:pStyle w:val="41"/>
              <w:rPr>
                <w:bCs/>
                <w:color w:val="auto"/>
                <w:highlight w:val="none"/>
              </w:rPr>
            </w:pPr>
            <w:r>
              <w:rPr>
                <w:color w:val="auto"/>
                <w:highlight w:val="none"/>
              </w:rPr>
              <w:t>2021-07-26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color w:val="auto"/>
                <w:highlight w:val="none"/>
              </w:rPr>
            </w:pPr>
            <w:r>
              <w:rPr>
                <w:color w:val="auto"/>
                <w:highlight w:val="none"/>
              </w:rPr>
              <w:t>26</w:t>
            </w:r>
          </w:p>
        </w:tc>
        <w:tc>
          <w:tcPr>
            <w:tcW w:w="2822" w:type="pct"/>
            <w:tcBorders>
              <w:tl2br w:val="nil"/>
              <w:tr2bl w:val="nil"/>
            </w:tcBorders>
            <w:shd w:val="clear" w:color="auto" w:fill="auto"/>
            <w:vAlign w:val="center"/>
          </w:tcPr>
          <w:p>
            <w:pPr>
              <w:pStyle w:val="41"/>
              <w:jc w:val="left"/>
              <w:rPr>
                <w:bCs/>
                <w:color w:val="auto"/>
                <w:highlight w:val="none"/>
              </w:rPr>
            </w:pPr>
            <w:r>
              <w:rPr>
                <w:rFonts w:hint="eastAsia"/>
                <w:color w:val="auto"/>
                <w:highlight w:val="none"/>
              </w:rPr>
              <w:t>关于印发《塔城地区“三线一单”</w:t>
            </w:r>
            <w:bookmarkStart w:id="101" w:name="OLE_LINK8"/>
            <w:r>
              <w:rPr>
                <w:rFonts w:hint="eastAsia"/>
                <w:color w:val="auto"/>
                <w:highlight w:val="none"/>
              </w:rPr>
              <w:t>生态环境分区管控方案（2023版）</w:t>
            </w:r>
            <w:bookmarkEnd w:id="101"/>
            <w:r>
              <w:rPr>
                <w:rFonts w:hint="eastAsia"/>
                <w:color w:val="auto"/>
                <w:highlight w:val="none"/>
              </w:rPr>
              <w:t>》的通知</w:t>
            </w:r>
          </w:p>
        </w:tc>
        <w:tc>
          <w:tcPr>
            <w:tcW w:w="1296" w:type="pct"/>
            <w:tcBorders>
              <w:tl2br w:val="nil"/>
              <w:tr2bl w:val="nil"/>
            </w:tcBorders>
            <w:shd w:val="clear" w:color="auto" w:fill="auto"/>
            <w:vAlign w:val="center"/>
          </w:tcPr>
          <w:p>
            <w:pPr>
              <w:pStyle w:val="41"/>
              <w:rPr>
                <w:bCs/>
                <w:color w:val="auto"/>
                <w:highlight w:val="none"/>
              </w:rPr>
            </w:pPr>
            <w:r>
              <w:rPr>
                <w:rFonts w:hint="eastAsia"/>
                <w:color w:val="auto"/>
                <w:highlight w:val="none"/>
              </w:rPr>
              <w:t>塔行办发〔2024〕38号</w:t>
            </w:r>
          </w:p>
        </w:tc>
        <w:tc>
          <w:tcPr>
            <w:tcW w:w="750" w:type="pct"/>
            <w:tcBorders>
              <w:tl2br w:val="nil"/>
              <w:tr2bl w:val="nil"/>
            </w:tcBorders>
            <w:shd w:val="clear" w:color="auto" w:fill="auto"/>
            <w:vAlign w:val="center"/>
          </w:tcPr>
          <w:p>
            <w:pPr>
              <w:pStyle w:val="41"/>
              <w:jc w:val="center"/>
              <w:rPr>
                <w:rFonts w:hint="default" w:eastAsia="宋体"/>
                <w:bCs/>
                <w:color w:val="auto"/>
                <w:highlight w:val="none"/>
                <w:lang w:val="en-US" w:eastAsia="zh-CN"/>
              </w:rPr>
            </w:pPr>
            <w:bookmarkStart w:id="102" w:name="OLE_LINK10"/>
            <w:r>
              <w:rPr>
                <w:color w:val="auto"/>
                <w:highlight w:val="none"/>
              </w:rPr>
              <w:t>202</w:t>
            </w:r>
            <w:r>
              <w:rPr>
                <w:rFonts w:hint="eastAsia"/>
                <w:color w:val="auto"/>
                <w:highlight w:val="none"/>
                <w:lang w:val="en-US" w:eastAsia="zh-CN"/>
              </w:rPr>
              <w:t>4</w:t>
            </w:r>
            <w:r>
              <w:rPr>
                <w:color w:val="auto"/>
                <w:highlight w:val="none"/>
              </w:rPr>
              <w:t>-</w:t>
            </w:r>
            <w:r>
              <w:rPr>
                <w:rFonts w:hint="eastAsia"/>
                <w:color w:val="auto"/>
                <w:highlight w:val="none"/>
                <w:lang w:val="en-US" w:eastAsia="zh-CN"/>
              </w:rPr>
              <w:t>11</w:t>
            </w:r>
            <w:r>
              <w:rPr>
                <w:color w:val="auto"/>
                <w:highlight w:val="none"/>
              </w:rPr>
              <w:t>-</w:t>
            </w:r>
            <w:r>
              <w:rPr>
                <w:rFonts w:hint="eastAsia"/>
                <w:color w:val="auto"/>
                <w:highlight w:val="none"/>
                <w:lang w:val="en-US" w:eastAsia="zh-CN"/>
              </w:rPr>
              <w:t>12</w:t>
            </w:r>
            <w:bookmarkEnd w:id="102"/>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jc w:val="left"/>
              <w:rPr>
                <w:rFonts w:hint="eastAsia" w:ascii="Times New Roman" w:hAnsi="Times New Roman" w:eastAsia="宋体" w:cs="Times New Roman"/>
                <w:color w:val="auto"/>
                <w:sz w:val="21"/>
                <w:highlight w:val="none"/>
              </w:rPr>
            </w:pPr>
            <w:r>
              <w:rPr>
                <w:rFonts w:hint="eastAsia" w:ascii="Times New Roman" w:hAnsi="Times New Roman" w:eastAsia="宋体" w:cs="Times New Roman"/>
                <w:color w:val="auto"/>
                <w:highlight w:val="none"/>
              </w:rPr>
              <w:t>27</w:t>
            </w:r>
          </w:p>
        </w:tc>
        <w:tc>
          <w:tcPr>
            <w:tcW w:w="2822" w:type="pct"/>
            <w:tcBorders>
              <w:tl2br w:val="nil"/>
              <w:tr2bl w:val="nil"/>
            </w:tcBorders>
            <w:shd w:val="clear" w:color="auto" w:fill="auto"/>
            <w:vAlign w:val="center"/>
          </w:tcPr>
          <w:p>
            <w:pPr>
              <w:pStyle w:val="41"/>
              <w:jc w:val="left"/>
              <w:rPr>
                <w:rFonts w:hint="eastAsia"/>
                <w:color w:val="auto"/>
                <w:highlight w:val="none"/>
              </w:rPr>
            </w:pPr>
            <w:r>
              <w:rPr>
                <w:rFonts w:hint="eastAsia"/>
                <w:color w:val="auto"/>
                <w:highlight w:val="none"/>
              </w:rPr>
              <w:t>关于印发《</w:t>
            </w:r>
            <w:r>
              <w:rPr>
                <w:rFonts w:hint="eastAsia"/>
                <w:color w:val="auto"/>
                <w:highlight w:val="none"/>
                <w:lang w:val="en-US" w:eastAsia="zh-CN"/>
              </w:rPr>
              <w:t>克拉玛依</w:t>
            </w:r>
            <w:r>
              <w:rPr>
                <w:rFonts w:hint="eastAsia"/>
                <w:color w:val="auto"/>
                <w:highlight w:val="none"/>
              </w:rPr>
              <w:t>“三线一单”生态环境分区管控方案（2023版）》的通知</w:t>
            </w:r>
          </w:p>
        </w:tc>
        <w:tc>
          <w:tcPr>
            <w:tcW w:w="1296" w:type="pct"/>
            <w:tcBorders>
              <w:tl2br w:val="nil"/>
              <w:tr2bl w:val="nil"/>
            </w:tcBorders>
            <w:shd w:val="clear" w:color="auto" w:fill="auto"/>
            <w:vAlign w:val="center"/>
          </w:tcPr>
          <w:p>
            <w:pPr>
              <w:pStyle w:val="41"/>
              <w:rPr>
                <w:rFonts w:hint="eastAsia"/>
                <w:color w:val="auto"/>
                <w:highlight w:val="none"/>
              </w:rPr>
            </w:pPr>
            <w:r>
              <w:rPr>
                <w:rFonts w:hint="eastAsia"/>
                <w:color w:val="auto"/>
                <w:highlight w:val="none"/>
              </w:rPr>
              <w:t>新克政发〔2024〕22号</w:t>
            </w:r>
          </w:p>
        </w:tc>
        <w:tc>
          <w:tcPr>
            <w:tcW w:w="750" w:type="pct"/>
            <w:tcBorders>
              <w:tl2br w:val="nil"/>
              <w:tr2bl w:val="nil"/>
            </w:tcBorders>
            <w:shd w:val="clear" w:color="auto" w:fill="auto"/>
            <w:vAlign w:val="center"/>
          </w:tcPr>
          <w:p>
            <w:pPr>
              <w:pStyle w:val="41"/>
              <w:jc w:val="center"/>
              <w:rPr>
                <w:color w:val="auto"/>
                <w:highlight w:val="none"/>
              </w:rPr>
            </w:pPr>
            <w:r>
              <w:rPr>
                <w:color w:val="auto"/>
                <w:highlight w:val="none"/>
              </w:rPr>
              <w:t>202</w:t>
            </w:r>
            <w:r>
              <w:rPr>
                <w:rFonts w:hint="eastAsia"/>
                <w:color w:val="auto"/>
                <w:highlight w:val="none"/>
                <w:lang w:val="en-US" w:eastAsia="zh-CN"/>
              </w:rPr>
              <w:t>4</w:t>
            </w:r>
            <w:r>
              <w:rPr>
                <w:color w:val="auto"/>
                <w:highlight w:val="none"/>
              </w:rPr>
              <w:t>-</w:t>
            </w:r>
            <w:r>
              <w:rPr>
                <w:rFonts w:hint="eastAsia"/>
                <w:color w:val="auto"/>
                <w:highlight w:val="none"/>
                <w:lang w:val="en-US" w:eastAsia="zh-CN"/>
              </w:rPr>
              <w:t>3</w:t>
            </w:r>
            <w:r>
              <w:rPr>
                <w:color w:val="auto"/>
                <w:highlight w:val="none"/>
              </w:rPr>
              <w:t>-</w:t>
            </w:r>
            <w:r>
              <w:rPr>
                <w:rFonts w:hint="eastAsia"/>
                <w:color w:val="auto"/>
                <w:highlight w:val="none"/>
                <w:lang w:val="en-US" w:eastAsia="zh-CN"/>
              </w:rPr>
              <w:t>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jc w:val="left"/>
              <w:rPr>
                <w:rFonts w:hint="eastAsia" w:ascii="Times New Roman" w:hAnsi="Times New Roman" w:eastAsia="宋体" w:cs="Times New Roman"/>
                <w:color w:val="auto"/>
                <w:sz w:val="21"/>
                <w:highlight w:val="none"/>
              </w:rPr>
            </w:pPr>
            <w:r>
              <w:rPr>
                <w:color w:val="auto"/>
                <w:highlight w:val="none"/>
              </w:rPr>
              <w:t>28</w:t>
            </w:r>
          </w:p>
        </w:tc>
        <w:tc>
          <w:tcPr>
            <w:tcW w:w="2822" w:type="pct"/>
            <w:tcBorders>
              <w:tl2br w:val="nil"/>
              <w:tr2bl w:val="nil"/>
            </w:tcBorders>
            <w:shd w:val="clear" w:color="auto" w:fill="auto"/>
            <w:vAlign w:val="center"/>
          </w:tcPr>
          <w:p>
            <w:pPr>
              <w:pStyle w:val="41"/>
              <w:jc w:val="lef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关于印发《新疆生产建设兵团“三线一单”生态环境分区管控方案》的通知</w:t>
            </w:r>
          </w:p>
        </w:tc>
        <w:tc>
          <w:tcPr>
            <w:tcW w:w="1296" w:type="pct"/>
            <w:tcBorders>
              <w:tl2br w:val="nil"/>
              <w:tr2bl w:val="nil"/>
            </w:tcBorders>
            <w:shd w:val="clear" w:color="auto" w:fill="auto"/>
            <w:vAlign w:val="center"/>
          </w:tcPr>
          <w:p>
            <w:pPr>
              <w:pStyle w:val="41"/>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新兵发〔2021〕16号</w:t>
            </w:r>
          </w:p>
        </w:tc>
        <w:tc>
          <w:tcPr>
            <w:tcW w:w="750" w:type="pct"/>
            <w:tcBorders>
              <w:tl2br w:val="nil"/>
              <w:tr2bl w:val="nil"/>
            </w:tcBorders>
            <w:shd w:val="clear" w:color="auto" w:fill="auto"/>
            <w:vAlign w:val="center"/>
          </w:tcPr>
          <w:p>
            <w:pPr>
              <w:pStyle w:val="41"/>
              <w:jc w:val="center"/>
              <w:rPr>
                <w:rFonts w:hint="default" w:ascii="Times New Roman" w:hAnsi="Times New Roman" w:eastAsia="宋体" w:cs="Times New Roman"/>
                <w:color w:val="auto"/>
                <w:highlight w:val="none"/>
                <w:lang w:val="en-US" w:eastAsia="zh-CN"/>
              </w:rPr>
            </w:pPr>
            <w:r>
              <w:rPr>
                <w:rFonts w:hint="eastAsia" w:cs="Times New Roman"/>
                <w:color w:val="auto"/>
                <w:highlight w:val="none"/>
                <w:lang w:val="en-US" w:eastAsia="zh-CN"/>
              </w:rPr>
              <w:t>2021-4-14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ind w:firstLine="0" w:firstLineChars="0"/>
              <w:jc w:val="left"/>
              <w:rPr>
                <w:rFonts w:ascii="Times New Roman" w:hAnsi="Times New Roman" w:eastAsia="宋体" w:cs="Times New Roman"/>
                <w:color w:val="auto"/>
                <w:sz w:val="21"/>
                <w:highlight w:val="none"/>
              </w:rPr>
            </w:pPr>
            <w:r>
              <w:rPr>
                <w:rFonts w:hint="eastAsia"/>
                <w:color w:val="auto"/>
                <w:highlight w:val="none"/>
              </w:rPr>
              <w:t>29</w:t>
            </w:r>
          </w:p>
        </w:tc>
        <w:tc>
          <w:tcPr>
            <w:tcW w:w="2822" w:type="pct"/>
            <w:tcBorders>
              <w:tl2br w:val="nil"/>
              <w:tr2bl w:val="nil"/>
            </w:tcBorders>
            <w:shd w:val="clear" w:color="auto" w:fill="auto"/>
            <w:vAlign w:val="center"/>
          </w:tcPr>
          <w:p>
            <w:pPr>
              <w:pStyle w:val="41"/>
              <w:ind w:firstLine="0" w:firstLineChars="0"/>
              <w:jc w:val="left"/>
              <w:rPr>
                <w:rFonts w:hint="eastAsia"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highlight w:val="none"/>
                <w:lang w:val="en-US" w:eastAsia="zh-CN"/>
              </w:rPr>
              <w:t>关于《新疆油田公司“十四五”发展规划环境影响报告书》的审查意见</w:t>
            </w:r>
          </w:p>
        </w:tc>
        <w:tc>
          <w:tcPr>
            <w:tcW w:w="1296" w:type="pct"/>
            <w:tcBorders>
              <w:tl2br w:val="nil"/>
              <w:tr2bl w:val="nil"/>
            </w:tcBorders>
            <w:shd w:val="clear" w:color="auto" w:fill="auto"/>
            <w:vAlign w:val="center"/>
          </w:tcPr>
          <w:p>
            <w:pPr>
              <w:pStyle w:val="41"/>
              <w:ind w:firstLine="0" w:firstLineChars="0"/>
              <w:jc w:val="left"/>
              <w:rPr>
                <w:rFonts w:hint="eastAsia"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highlight w:val="none"/>
                <w:lang w:val="en-US" w:eastAsia="zh-CN"/>
              </w:rPr>
              <w:t>新环审〔2022〕252号</w:t>
            </w:r>
          </w:p>
        </w:tc>
        <w:tc>
          <w:tcPr>
            <w:tcW w:w="750" w:type="pct"/>
            <w:tcBorders>
              <w:tl2br w:val="nil"/>
              <w:tr2bl w:val="nil"/>
            </w:tcBorders>
            <w:shd w:val="clear" w:color="auto" w:fill="auto"/>
            <w:vAlign w:val="center"/>
          </w:tcPr>
          <w:p>
            <w:pPr>
              <w:pStyle w:val="41"/>
              <w:ind w:firstLine="0" w:firstLineChars="0"/>
              <w:jc w:val="center"/>
              <w:rPr>
                <w:rFonts w:hint="eastAsia"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highlight w:val="none"/>
              </w:rPr>
              <w:t>2022-</w:t>
            </w:r>
            <w:r>
              <w:rPr>
                <w:rFonts w:hint="eastAsia" w:ascii="Times New Roman" w:hAnsi="Times New Roman" w:eastAsia="宋体" w:cs="Times New Roman"/>
                <w:color w:val="auto"/>
                <w:highlight w:val="none"/>
                <w:lang w:val="en-US" w:eastAsia="zh-CN"/>
              </w:rPr>
              <w:t>12</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30" w:type="pct"/>
            <w:tcBorders>
              <w:tl2br w:val="nil"/>
              <w:tr2bl w:val="nil"/>
            </w:tcBorders>
            <w:vAlign w:val="center"/>
          </w:tcPr>
          <w:p>
            <w:pPr>
              <w:pStyle w:val="41"/>
              <w:jc w:val="left"/>
              <w:rPr>
                <w:rFonts w:hint="default" w:eastAsia="宋体"/>
                <w:color w:val="auto"/>
                <w:highlight w:val="none"/>
                <w:lang w:val="en-US" w:eastAsia="zh-CN"/>
              </w:rPr>
            </w:pPr>
            <w:r>
              <w:rPr>
                <w:rFonts w:hint="eastAsia"/>
                <w:color w:val="auto"/>
                <w:highlight w:val="none"/>
                <w:lang w:val="en-US" w:eastAsia="zh-CN"/>
              </w:rPr>
              <w:t>30</w:t>
            </w:r>
          </w:p>
        </w:tc>
        <w:tc>
          <w:tcPr>
            <w:tcW w:w="2822" w:type="pct"/>
            <w:tcBorders>
              <w:tl2br w:val="nil"/>
              <w:tr2bl w:val="nil"/>
            </w:tcBorders>
            <w:shd w:val="clear" w:color="auto" w:fill="auto"/>
            <w:vAlign w:val="center"/>
          </w:tcPr>
          <w:p>
            <w:pPr>
              <w:pStyle w:val="41"/>
              <w:ind w:firstLine="0" w:firstLineChars="0"/>
              <w:jc w:val="left"/>
              <w:rPr>
                <w:rFonts w:ascii="Times New Roman" w:hAnsi="Times New Roman" w:eastAsia="宋体" w:cs="Times New Roman"/>
                <w:color w:val="auto"/>
                <w:sz w:val="21"/>
                <w:szCs w:val="20"/>
                <w:highlight w:val="none"/>
                <w:lang w:val="en-US" w:eastAsia="zh-CN" w:bidi="ar-SA"/>
              </w:rPr>
            </w:pPr>
            <w:r>
              <w:rPr>
                <w:color w:val="auto"/>
                <w:highlight w:val="none"/>
              </w:rPr>
              <w:t>新疆维吾尔自治区建设项目使用林地审核审批管理办法</w:t>
            </w:r>
            <w:r>
              <w:rPr>
                <w:rFonts w:hint="eastAsia"/>
                <w:color w:val="auto"/>
                <w:highlight w:val="none"/>
              </w:rPr>
              <w:t>（</w:t>
            </w:r>
            <w:r>
              <w:rPr>
                <w:color w:val="auto"/>
                <w:highlight w:val="none"/>
              </w:rPr>
              <w:t>试行</w:t>
            </w:r>
            <w:r>
              <w:rPr>
                <w:rFonts w:hint="eastAsia"/>
                <w:color w:val="auto"/>
                <w:highlight w:val="none"/>
              </w:rPr>
              <w:t>）</w:t>
            </w:r>
          </w:p>
        </w:tc>
        <w:tc>
          <w:tcPr>
            <w:tcW w:w="1296" w:type="pct"/>
            <w:tcBorders>
              <w:tl2br w:val="nil"/>
              <w:tr2bl w:val="nil"/>
            </w:tcBorders>
            <w:shd w:val="clear" w:color="auto" w:fill="auto"/>
            <w:vAlign w:val="center"/>
          </w:tcPr>
          <w:p>
            <w:pPr>
              <w:pStyle w:val="41"/>
              <w:ind w:firstLine="0" w:firstLineChars="0"/>
              <w:rPr>
                <w:rFonts w:ascii="Times New Roman" w:hAnsi="Times New Roman" w:eastAsia="宋体" w:cs="Times New Roman"/>
                <w:color w:val="auto"/>
                <w:sz w:val="21"/>
                <w:szCs w:val="20"/>
                <w:highlight w:val="none"/>
                <w:lang w:val="en-US" w:eastAsia="zh-CN" w:bidi="ar-SA"/>
              </w:rPr>
            </w:pPr>
            <w:r>
              <w:rPr>
                <w:color w:val="auto"/>
                <w:highlight w:val="none"/>
              </w:rPr>
              <w:t>新林资字</w:t>
            </w:r>
            <w:r>
              <w:rPr>
                <w:rFonts w:hint="eastAsia"/>
                <w:color w:val="auto"/>
                <w:highlight w:val="none"/>
              </w:rPr>
              <w:t>〔</w:t>
            </w:r>
            <w:r>
              <w:rPr>
                <w:color w:val="auto"/>
                <w:highlight w:val="none"/>
              </w:rPr>
              <w:t>2015</w:t>
            </w:r>
            <w:r>
              <w:rPr>
                <w:rFonts w:hint="eastAsia"/>
                <w:color w:val="auto"/>
                <w:highlight w:val="none"/>
              </w:rPr>
              <w:t>〕</w:t>
            </w:r>
            <w:r>
              <w:rPr>
                <w:color w:val="auto"/>
                <w:highlight w:val="none"/>
              </w:rPr>
              <w:t>497号</w:t>
            </w:r>
          </w:p>
        </w:tc>
        <w:tc>
          <w:tcPr>
            <w:tcW w:w="750" w:type="pct"/>
            <w:tcBorders>
              <w:tl2br w:val="nil"/>
              <w:tr2bl w:val="nil"/>
            </w:tcBorders>
            <w:shd w:val="clear" w:color="auto" w:fill="auto"/>
            <w:vAlign w:val="center"/>
          </w:tcPr>
          <w:p>
            <w:pPr>
              <w:pStyle w:val="41"/>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color w:val="auto"/>
                <w:highlight w:val="none"/>
              </w:rPr>
              <w:t>2015-01-01</w:t>
            </w:r>
          </w:p>
        </w:tc>
      </w:tr>
    </w:tbl>
    <w:p>
      <w:pPr>
        <w:pStyle w:val="53"/>
        <w:rPr>
          <w:color w:val="auto"/>
          <w:highlight w:val="none"/>
        </w:rPr>
      </w:pPr>
      <w:r>
        <w:rPr>
          <w:rFonts w:hint="eastAsia"/>
          <w:color w:val="auto"/>
          <w:highlight w:val="none"/>
        </w:rPr>
        <w:t>2.1.3</w:t>
      </w:r>
      <w:bookmarkEnd w:id="100"/>
      <w:r>
        <w:rPr>
          <w:rFonts w:hint="eastAsia"/>
          <w:color w:val="auto"/>
          <w:highlight w:val="none"/>
        </w:rPr>
        <w:t>环境保护技术规范</w:t>
      </w:r>
    </w:p>
    <w:p>
      <w:pPr>
        <w:pStyle w:val="57"/>
        <w:rPr>
          <w:color w:val="auto"/>
          <w:highlight w:val="none"/>
        </w:rPr>
      </w:pPr>
      <w:r>
        <w:rPr>
          <w:rFonts w:hint="eastAsia"/>
          <w:color w:val="auto"/>
          <w:highlight w:val="none"/>
        </w:rPr>
        <w:t>环境保护技术规范</w:t>
      </w:r>
      <w:r>
        <w:rPr>
          <w:color w:val="auto"/>
          <w:highlight w:val="none"/>
        </w:rPr>
        <w:t>见表2.</w:t>
      </w:r>
      <w:r>
        <w:rPr>
          <w:rFonts w:hint="eastAsia"/>
          <w:color w:val="auto"/>
          <w:highlight w:val="none"/>
        </w:rPr>
        <w:t>1-3</w:t>
      </w:r>
      <w:r>
        <w:rPr>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表2.1-3              环境保护技术规范一览表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8"/>
        <w:gridCol w:w="4556"/>
        <w:gridCol w:w="2222"/>
        <w:gridCol w:w="135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序号</w:t>
            </w:r>
          </w:p>
        </w:tc>
        <w:tc>
          <w:tcPr>
            <w:tcW w:w="2579" w:type="pct"/>
            <w:tcBorders>
              <w:tl2br w:val="nil"/>
              <w:tr2bl w:val="nil"/>
            </w:tcBorders>
            <w:vAlign w:val="center"/>
          </w:tcPr>
          <w:p>
            <w:pPr>
              <w:pStyle w:val="41"/>
              <w:rPr>
                <w:color w:val="auto"/>
                <w:highlight w:val="none"/>
              </w:rPr>
            </w:pPr>
            <w:r>
              <w:rPr>
                <w:color w:val="auto"/>
                <w:highlight w:val="none"/>
              </w:rPr>
              <w:t>依据名称</w:t>
            </w:r>
          </w:p>
        </w:tc>
        <w:tc>
          <w:tcPr>
            <w:tcW w:w="1258" w:type="pct"/>
            <w:tcBorders>
              <w:tl2br w:val="nil"/>
              <w:tr2bl w:val="nil"/>
            </w:tcBorders>
            <w:vAlign w:val="center"/>
          </w:tcPr>
          <w:p>
            <w:pPr>
              <w:pStyle w:val="41"/>
              <w:rPr>
                <w:color w:val="auto"/>
                <w:highlight w:val="none"/>
              </w:rPr>
            </w:pPr>
            <w:r>
              <w:rPr>
                <w:color w:val="auto"/>
                <w:highlight w:val="none"/>
              </w:rPr>
              <w:t>标准号</w:t>
            </w:r>
          </w:p>
        </w:tc>
        <w:tc>
          <w:tcPr>
            <w:tcW w:w="766" w:type="pct"/>
            <w:tcBorders>
              <w:tl2br w:val="nil"/>
              <w:tr2bl w:val="nil"/>
            </w:tcBorders>
            <w:vAlign w:val="center"/>
          </w:tcPr>
          <w:p>
            <w:pPr>
              <w:pStyle w:val="41"/>
              <w:rPr>
                <w:color w:val="auto"/>
                <w:highlight w:val="none"/>
              </w:rPr>
            </w:pPr>
            <w:r>
              <w:rPr>
                <w:color w:val="auto"/>
                <w:highlight w:val="none"/>
              </w:rPr>
              <w:t>实施时间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w:t>
            </w:r>
          </w:p>
        </w:tc>
        <w:tc>
          <w:tcPr>
            <w:tcW w:w="2579" w:type="pct"/>
            <w:tcBorders>
              <w:tl2br w:val="nil"/>
              <w:tr2bl w:val="nil"/>
            </w:tcBorders>
            <w:vAlign w:val="center"/>
          </w:tcPr>
          <w:p>
            <w:pPr>
              <w:pStyle w:val="41"/>
              <w:jc w:val="left"/>
              <w:rPr>
                <w:color w:val="auto"/>
                <w:highlight w:val="none"/>
              </w:rPr>
            </w:pPr>
            <w:r>
              <w:rPr>
                <w:color w:val="auto"/>
                <w:highlight w:val="none"/>
              </w:rPr>
              <w:t>建设项目环境影响评价技术导则  总纲</w:t>
            </w:r>
          </w:p>
        </w:tc>
        <w:tc>
          <w:tcPr>
            <w:tcW w:w="1258" w:type="pct"/>
            <w:tcBorders>
              <w:tl2br w:val="nil"/>
              <w:tr2bl w:val="nil"/>
            </w:tcBorders>
            <w:vAlign w:val="center"/>
          </w:tcPr>
          <w:p>
            <w:pPr>
              <w:pStyle w:val="41"/>
              <w:rPr>
                <w:color w:val="auto"/>
                <w:highlight w:val="none"/>
              </w:rPr>
            </w:pPr>
            <w:r>
              <w:rPr>
                <w:color w:val="auto"/>
                <w:highlight w:val="none"/>
              </w:rPr>
              <w:t>HJ2.1-2016</w:t>
            </w:r>
          </w:p>
        </w:tc>
        <w:tc>
          <w:tcPr>
            <w:tcW w:w="766" w:type="pct"/>
            <w:tcBorders>
              <w:tl2br w:val="nil"/>
              <w:tr2bl w:val="nil"/>
            </w:tcBorders>
            <w:vAlign w:val="center"/>
          </w:tcPr>
          <w:p>
            <w:pPr>
              <w:pStyle w:val="41"/>
              <w:rPr>
                <w:color w:val="auto"/>
                <w:highlight w:val="none"/>
              </w:rPr>
            </w:pPr>
            <w:r>
              <w:rPr>
                <w:color w:val="auto"/>
                <w:highlight w:val="none"/>
              </w:rPr>
              <w:t>2017-</w:t>
            </w:r>
            <w:r>
              <w:rPr>
                <w:rFonts w:hint="eastAsia"/>
                <w:color w:val="auto"/>
                <w:highlight w:val="none"/>
              </w:rPr>
              <w:t>0</w:t>
            </w:r>
            <w:r>
              <w:rPr>
                <w:color w:val="auto"/>
                <w:highlight w:val="none"/>
              </w:rPr>
              <w:t>1-</w:t>
            </w:r>
            <w:r>
              <w:rPr>
                <w:rFonts w:hint="eastAsia"/>
                <w:color w:val="auto"/>
                <w:highlight w:val="none"/>
              </w:rPr>
              <w:t>0</w:t>
            </w:r>
            <w:r>
              <w:rPr>
                <w:color w:val="auto"/>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2</w:t>
            </w:r>
          </w:p>
        </w:tc>
        <w:tc>
          <w:tcPr>
            <w:tcW w:w="2579" w:type="pct"/>
            <w:tcBorders>
              <w:tl2br w:val="nil"/>
              <w:tr2bl w:val="nil"/>
            </w:tcBorders>
            <w:vAlign w:val="center"/>
          </w:tcPr>
          <w:p>
            <w:pPr>
              <w:pStyle w:val="41"/>
              <w:jc w:val="left"/>
              <w:rPr>
                <w:color w:val="auto"/>
                <w:highlight w:val="none"/>
              </w:rPr>
            </w:pPr>
            <w:r>
              <w:rPr>
                <w:color w:val="auto"/>
                <w:highlight w:val="none"/>
              </w:rPr>
              <w:t>环境影响评价技术导则  大气环境</w:t>
            </w:r>
          </w:p>
        </w:tc>
        <w:tc>
          <w:tcPr>
            <w:tcW w:w="1258" w:type="pct"/>
            <w:tcBorders>
              <w:tl2br w:val="nil"/>
              <w:tr2bl w:val="nil"/>
            </w:tcBorders>
            <w:vAlign w:val="center"/>
          </w:tcPr>
          <w:p>
            <w:pPr>
              <w:pStyle w:val="41"/>
              <w:rPr>
                <w:color w:val="auto"/>
                <w:highlight w:val="none"/>
              </w:rPr>
            </w:pPr>
            <w:r>
              <w:rPr>
                <w:color w:val="auto"/>
                <w:highlight w:val="none"/>
              </w:rPr>
              <w:t>HJ2.2-2018</w:t>
            </w:r>
          </w:p>
        </w:tc>
        <w:tc>
          <w:tcPr>
            <w:tcW w:w="766" w:type="pct"/>
            <w:tcBorders>
              <w:tl2br w:val="nil"/>
              <w:tr2bl w:val="nil"/>
            </w:tcBorders>
            <w:vAlign w:val="center"/>
          </w:tcPr>
          <w:p>
            <w:pPr>
              <w:pStyle w:val="41"/>
              <w:rPr>
                <w:color w:val="auto"/>
                <w:highlight w:val="none"/>
              </w:rPr>
            </w:pPr>
            <w:r>
              <w:rPr>
                <w:color w:val="auto"/>
                <w:highlight w:val="none"/>
              </w:rPr>
              <w:t>2018-12-01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3</w:t>
            </w:r>
          </w:p>
        </w:tc>
        <w:tc>
          <w:tcPr>
            <w:tcW w:w="2579" w:type="pct"/>
            <w:tcBorders>
              <w:tl2br w:val="nil"/>
              <w:tr2bl w:val="nil"/>
            </w:tcBorders>
            <w:vAlign w:val="center"/>
          </w:tcPr>
          <w:p>
            <w:pPr>
              <w:pStyle w:val="41"/>
              <w:jc w:val="left"/>
              <w:rPr>
                <w:color w:val="auto"/>
                <w:highlight w:val="none"/>
              </w:rPr>
            </w:pPr>
            <w:r>
              <w:rPr>
                <w:color w:val="auto"/>
                <w:highlight w:val="none"/>
              </w:rPr>
              <w:t>环境影响评价技术导则 地表水环境</w:t>
            </w:r>
          </w:p>
        </w:tc>
        <w:tc>
          <w:tcPr>
            <w:tcW w:w="1258" w:type="pct"/>
            <w:tcBorders>
              <w:tl2br w:val="nil"/>
              <w:tr2bl w:val="nil"/>
            </w:tcBorders>
            <w:vAlign w:val="center"/>
          </w:tcPr>
          <w:p>
            <w:pPr>
              <w:pStyle w:val="41"/>
              <w:rPr>
                <w:color w:val="auto"/>
                <w:highlight w:val="none"/>
              </w:rPr>
            </w:pPr>
            <w:r>
              <w:rPr>
                <w:color w:val="auto"/>
                <w:highlight w:val="none"/>
              </w:rPr>
              <w:t>HJ2.3-2018</w:t>
            </w:r>
          </w:p>
        </w:tc>
        <w:tc>
          <w:tcPr>
            <w:tcW w:w="766" w:type="pct"/>
            <w:tcBorders>
              <w:tl2br w:val="nil"/>
              <w:tr2bl w:val="nil"/>
            </w:tcBorders>
            <w:vAlign w:val="center"/>
          </w:tcPr>
          <w:p>
            <w:pPr>
              <w:pStyle w:val="41"/>
              <w:rPr>
                <w:color w:val="auto"/>
                <w:highlight w:val="none"/>
              </w:rPr>
            </w:pPr>
            <w:r>
              <w:rPr>
                <w:color w:val="auto"/>
                <w:highlight w:val="none"/>
              </w:rPr>
              <w:t>2019-03-01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4</w:t>
            </w:r>
          </w:p>
        </w:tc>
        <w:tc>
          <w:tcPr>
            <w:tcW w:w="2579" w:type="pct"/>
            <w:tcBorders>
              <w:tl2br w:val="nil"/>
              <w:tr2bl w:val="nil"/>
            </w:tcBorders>
            <w:vAlign w:val="center"/>
          </w:tcPr>
          <w:p>
            <w:pPr>
              <w:pStyle w:val="41"/>
              <w:jc w:val="left"/>
              <w:rPr>
                <w:color w:val="auto"/>
                <w:highlight w:val="none"/>
              </w:rPr>
            </w:pPr>
            <w:r>
              <w:rPr>
                <w:color w:val="auto"/>
                <w:highlight w:val="none"/>
              </w:rPr>
              <w:fldChar w:fldCharType="begin"/>
            </w:r>
            <w:r>
              <w:rPr>
                <w:color w:val="auto"/>
                <w:highlight w:val="none"/>
              </w:rPr>
              <w:instrText xml:space="preserve"> HYPERLINK "http://kjs.mep.gov.cn/hjbhbz/bzwb/other/pjjsdz/201001/t20100107_183907.htm" </w:instrText>
            </w:r>
            <w:r>
              <w:rPr>
                <w:color w:val="auto"/>
                <w:highlight w:val="none"/>
              </w:rPr>
              <w:fldChar w:fldCharType="separate"/>
            </w:r>
            <w:r>
              <w:rPr>
                <w:color w:val="auto"/>
                <w:highlight w:val="none"/>
              </w:rPr>
              <w:t>环境影响评价技术导则</w:t>
            </w:r>
            <w:r>
              <w:rPr>
                <w:rFonts w:hint="eastAsia"/>
                <w:color w:val="auto"/>
                <w:highlight w:val="none"/>
              </w:rPr>
              <w:t xml:space="preserve">  </w:t>
            </w:r>
            <w:r>
              <w:rPr>
                <w:color w:val="auto"/>
                <w:highlight w:val="none"/>
              </w:rPr>
              <w:t>声环境</w:t>
            </w:r>
            <w:r>
              <w:rPr>
                <w:color w:val="auto"/>
                <w:highlight w:val="none"/>
              </w:rPr>
              <w:fldChar w:fldCharType="end"/>
            </w:r>
          </w:p>
        </w:tc>
        <w:tc>
          <w:tcPr>
            <w:tcW w:w="1258" w:type="pct"/>
            <w:tcBorders>
              <w:tl2br w:val="nil"/>
              <w:tr2bl w:val="nil"/>
            </w:tcBorders>
            <w:vAlign w:val="center"/>
          </w:tcPr>
          <w:p>
            <w:pPr>
              <w:pStyle w:val="41"/>
              <w:rPr>
                <w:color w:val="auto"/>
                <w:highlight w:val="none"/>
              </w:rPr>
            </w:pPr>
            <w:r>
              <w:rPr>
                <w:color w:val="auto"/>
                <w:highlight w:val="none"/>
              </w:rPr>
              <w:t>HJ2.4-2021</w:t>
            </w:r>
          </w:p>
        </w:tc>
        <w:tc>
          <w:tcPr>
            <w:tcW w:w="766" w:type="pct"/>
            <w:tcBorders>
              <w:tl2br w:val="nil"/>
              <w:tr2bl w:val="nil"/>
            </w:tcBorders>
            <w:vAlign w:val="center"/>
          </w:tcPr>
          <w:p>
            <w:pPr>
              <w:pStyle w:val="41"/>
              <w:rPr>
                <w:color w:val="auto"/>
                <w:highlight w:val="none"/>
              </w:rPr>
            </w:pPr>
            <w:r>
              <w:rPr>
                <w:color w:val="auto"/>
                <w:highlight w:val="none"/>
              </w:rPr>
              <w:t>2022-07-01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5</w:t>
            </w:r>
          </w:p>
        </w:tc>
        <w:tc>
          <w:tcPr>
            <w:tcW w:w="2579" w:type="pct"/>
            <w:tcBorders>
              <w:tl2br w:val="nil"/>
              <w:tr2bl w:val="nil"/>
            </w:tcBorders>
            <w:vAlign w:val="center"/>
          </w:tcPr>
          <w:p>
            <w:pPr>
              <w:pStyle w:val="41"/>
              <w:jc w:val="left"/>
              <w:rPr>
                <w:color w:val="auto"/>
                <w:highlight w:val="none"/>
              </w:rPr>
            </w:pPr>
            <w:r>
              <w:rPr>
                <w:color w:val="auto"/>
                <w:highlight w:val="none"/>
              </w:rPr>
              <w:fldChar w:fldCharType="begin"/>
            </w:r>
            <w:r>
              <w:rPr>
                <w:color w:val="auto"/>
                <w:highlight w:val="none"/>
              </w:rPr>
              <w:instrText xml:space="preserve"> HYPERLINK "http://kjs.mep.gov.cn/hjbhbz/bzwb/other/pjjsdz/199806/t19980601_68415.htm" </w:instrText>
            </w:r>
            <w:r>
              <w:rPr>
                <w:color w:val="auto"/>
                <w:highlight w:val="none"/>
              </w:rPr>
              <w:fldChar w:fldCharType="separate"/>
            </w:r>
            <w:r>
              <w:rPr>
                <w:color w:val="auto"/>
                <w:highlight w:val="none"/>
              </w:rPr>
              <w:t>环境影响评价技术导则</w:t>
            </w:r>
            <w:r>
              <w:rPr>
                <w:rFonts w:hint="eastAsia"/>
                <w:color w:val="auto"/>
                <w:highlight w:val="none"/>
              </w:rPr>
              <w:t xml:space="preserve">  </w:t>
            </w:r>
            <w:r>
              <w:rPr>
                <w:color w:val="auto"/>
                <w:highlight w:val="none"/>
              </w:rPr>
              <w:t>生态影响</w:t>
            </w:r>
            <w:r>
              <w:rPr>
                <w:color w:val="auto"/>
                <w:highlight w:val="none"/>
              </w:rPr>
              <w:fldChar w:fldCharType="end"/>
            </w:r>
          </w:p>
        </w:tc>
        <w:tc>
          <w:tcPr>
            <w:tcW w:w="1258" w:type="pct"/>
            <w:tcBorders>
              <w:tl2br w:val="nil"/>
              <w:tr2bl w:val="nil"/>
            </w:tcBorders>
            <w:vAlign w:val="center"/>
          </w:tcPr>
          <w:p>
            <w:pPr>
              <w:pStyle w:val="41"/>
              <w:rPr>
                <w:color w:val="auto"/>
                <w:highlight w:val="none"/>
              </w:rPr>
            </w:pPr>
            <w:r>
              <w:rPr>
                <w:color w:val="auto"/>
                <w:highlight w:val="none"/>
              </w:rPr>
              <w:t>HJ19-2022</w:t>
            </w:r>
          </w:p>
        </w:tc>
        <w:tc>
          <w:tcPr>
            <w:tcW w:w="766" w:type="pct"/>
            <w:tcBorders>
              <w:tl2br w:val="nil"/>
              <w:tr2bl w:val="nil"/>
            </w:tcBorders>
            <w:vAlign w:val="center"/>
          </w:tcPr>
          <w:p>
            <w:pPr>
              <w:pStyle w:val="41"/>
              <w:rPr>
                <w:color w:val="auto"/>
                <w:highlight w:val="none"/>
              </w:rPr>
            </w:pPr>
            <w:r>
              <w:rPr>
                <w:color w:val="auto"/>
                <w:highlight w:val="none"/>
              </w:rPr>
              <w:t>2022-07-01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6</w:t>
            </w:r>
          </w:p>
        </w:tc>
        <w:tc>
          <w:tcPr>
            <w:tcW w:w="2579" w:type="pct"/>
            <w:tcBorders>
              <w:tl2br w:val="nil"/>
              <w:tr2bl w:val="nil"/>
            </w:tcBorders>
            <w:vAlign w:val="center"/>
          </w:tcPr>
          <w:p>
            <w:pPr>
              <w:pStyle w:val="41"/>
              <w:jc w:val="left"/>
              <w:rPr>
                <w:color w:val="auto"/>
                <w:highlight w:val="none"/>
              </w:rPr>
            </w:pPr>
            <w:r>
              <w:rPr>
                <w:color w:val="auto"/>
                <w:highlight w:val="none"/>
              </w:rPr>
              <w:t>环境影响评价技术导则  地下水环境</w:t>
            </w:r>
          </w:p>
        </w:tc>
        <w:tc>
          <w:tcPr>
            <w:tcW w:w="1258" w:type="pct"/>
            <w:tcBorders>
              <w:tl2br w:val="nil"/>
              <w:tr2bl w:val="nil"/>
            </w:tcBorders>
            <w:vAlign w:val="center"/>
          </w:tcPr>
          <w:p>
            <w:pPr>
              <w:pStyle w:val="41"/>
              <w:rPr>
                <w:color w:val="auto"/>
                <w:highlight w:val="none"/>
              </w:rPr>
            </w:pPr>
            <w:r>
              <w:rPr>
                <w:color w:val="auto"/>
                <w:highlight w:val="none"/>
              </w:rPr>
              <w:t>HJ610-2016</w:t>
            </w:r>
          </w:p>
        </w:tc>
        <w:tc>
          <w:tcPr>
            <w:tcW w:w="766" w:type="pct"/>
            <w:tcBorders>
              <w:tl2br w:val="nil"/>
              <w:tr2bl w:val="nil"/>
            </w:tcBorders>
            <w:vAlign w:val="center"/>
          </w:tcPr>
          <w:p>
            <w:pPr>
              <w:pStyle w:val="41"/>
              <w:rPr>
                <w:color w:val="auto"/>
                <w:highlight w:val="none"/>
              </w:rPr>
            </w:pPr>
            <w:r>
              <w:rPr>
                <w:color w:val="auto"/>
                <w:highlight w:val="none"/>
              </w:rPr>
              <w:t>2016-01-07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7</w:t>
            </w:r>
          </w:p>
        </w:tc>
        <w:tc>
          <w:tcPr>
            <w:tcW w:w="2579" w:type="pct"/>
            <w:tcBorders>
              <w:tl2br w:val="nil"/>
              <w:tr2bl w:val="nil"/>
            </w:tcBorders>
            <w:vAlign w:val="center"/>
          </w:tcPr>
          <w:p>
            <w:pPr>
              <w:pStyle w:val="41"/>
              <w:jc w:val="left"/>
              <w:rPr>
                <w:color w:val="auto"/>
                <w:highlight w:val="none"/>
              </w:rPr>
            </w:pPr>
            <w:r>
              <w:rPr>
                <w:color w:val="auto"/>
                <w:highlight w:val="none"/>
              </w:rPr>
              <w:t xml:space="preserve">环境影响评价技术导则 </w:t>
            </w:r>
            <w:r>
              <w:rPr>
                <w:rFonts w:hint="eastAsia"/>
                <w:color w:val="auto"/>
                <w:highlight w:val="none"/>
              </w:rPr>
              <w:t xml:space="preserve"> </w:t>
            </w:r>
            <w:r>
              <w:rPr>
                <w:color w:val="auto"/>
                <w:highlight w:val="none"/>
              </w:rPr>
              <w:t>陆地石油天然气开发建设项目</w:t>
            </w:r>
          </w:p>
        </w:tc>
        <w:tc>
          <w:tcPr>
            <w:tcW w:w="1258" w:type="pct"/>
            <w:tcBorders>
              <w:tl2br w:val="nil"/>
              <w:tr2bl w:val="nil"/>
            </w:tcBorders>
            <w:vAlign w:val="center"/>
          </w:tcPr>
          <w:p>
            <w:pPr>
              <w:pStyle w:val="41"/>
              <w:rPr>
                <w:color w:val="auto"/>
                <w:highlight w:val="none"/>
              </w:rPr>
            </w:pPr>
            <w:r>
              <w:rPr>
                <w:color w:val="auto"/>
                <w:highlight w:val="none"/>
              </w:rPr>
              <w:t>HJ349-2023</w:t>
            </w:r>
          </w:p>
        </w:tc>
        <w:tc>
          <w:tcPr>
            <w:tcW w:w="766" w:type="pct"/>
            <w:tcBorders>
              <w:tl2br w:val="nil"/>
              <w:tr2bl w:val="nil"/>
            </w:tcBorders>
            <w:vAlign w:val="center"/>
          </w:tcPr>
          <w:p>
            <w:pPr>
              <w:pStyle w:val="41"/>
              <w:rPr>
                <w:color w:val="auto"/>
                <w:highlight w:val="none"/>
              </w:rPr>
            </w:pPr>
            <w:r>
              <w:rPr>
                <w:color w:val="auto"/>
                <w:highlight w:val="none"/>
              </w:rPr>
              <w:t>20</w:t>
            </w:r>
            <w:r>
              <w:rPr>
                <w:rFonts w:hint="eastAsia"/>
                <w:color w:val="auto"/>
                <w:highlight w:val="none"/>
              </w:rPr>
              <w:t>24</w:t>
            </w:r>
            <w:r>
              <w:rPr>
                <w:color w:val="auto"/>
                <w:highlight w:val="none"/>
              </w:rPr>
              <w:t>-0</w:t>
            </w:r>
            <w:r>
              <w:rPr>
                <w:rFonts w:hint="eastAsia"/>
                <w:color w:val="auto"/>
                <w:highlight w:val="none"/>
              </w:rPr>
              <w:t>1</w:t>
            </w:r>
            <w:r>
              <w:rPr>
                <w:color w:val="auto"/>
                <w:highlight w:val="non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8</w:t>
            </w:r>
          </w:p>
        </w:tc>
        <w:tc>
          <w:tcPr>
            <w:tcW w:w="2579" w:type="pct"/>
            <w:tcBorders>
              <w:tl2br w:val="nil"/>
              <w:tr2bl w:val="nil"/>
            </w:tcBorders>
            <w:vAlign w:val="center"/>
          </w:tcPr>
          <w:p>
            <w:pPr>
              <w:pStyle w:val="41"/>
              <w:jc w:val="left"/>
              <w:rPr>
                <w:color w:val="auto"/>
                <w:highlight w:val="none"/>
              </w:rPr>
            </w:pPr>
            <w:r>
              <w:rPr>
                <w:color w:val="auto"/>
                <w:highlight w:val="none"/>
              </w:rPr>
              <w:t>建设项目环境风险评价技术导则</w:t>
            </w:r>
          </w:p>
        </w:tc>
        <w:tc>
          <w:tcPr>
            <w:tcW w:w="1258" w:type="pct"/>
            <w:tcBorders>
              <w:tl2br w:val="nil"/>
              <w:tr2bl w:val="nil"/>
            </w:tcBorders>
            <w:vAlign w:val="center"/>
          </w:tcPr>
          <w:p>
            <w:pPr>
              <w:pStyle w:val="41"/>
              <w:rPr>
                <w:color w:val="auto"/>
                <w:highlight w:val="none"/>
              </w:rPr>
            </w:pPr>
            <w:r>
              <w:rPr>
                <w:color w:val="auto"/>
                <w:highlight w:val="none"/>
              </w:rPr>
              <w:t>HJ169-2018</w:t>
            </w:r>
          </w:p>
        </w:tc>
        <w:tc>
          <w:tcPr>
            <w:tcW w:w="766" w:type="pct"/>
            <w:tcBorders>
              <w:tl2br w:val="nil"/>
              <w:tr2bl w:val="nil"/>
            </w:tcBorders>
            <w:vAlign w:val="center"/>
          </w:tcPr>
          <w:p>
            <w:pPr>
              <w:pStyle w:val="41"/>
              <w:rPr>
                <w:color w:val="auto"/>
                <w:highlight w:val="none"/>
              </w:rPr>
            </w:pPr>
            <w:r>
              <w:rPr>
                <w:color w:val="auto"/>
                <w:highlight w:val="none"/>
              </w:rPr>
              <w:t>2019-03-01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9</w:t>
            </w:r>
          </w:p>
        </w:tc>
        <w:tc>
          <w:tcPr>
            <w:tcW w:w="2579" w:type="pct"/>
            <w:tcBorders>
              <w:tl2br w:val="nil"/>
              <w:tr2bl w:val="nil"/>
            </w:tcBorders>
            <w:vAlign w:val="center"/>
          </w:tcPr>
          <w:p>
            <w:pPr>
              <w:pStyle w:val="41"/>
              <w:jc w:val="left"/>
              <w:rPr>
                <w:color w:val="auto"/>
                <w:highlight w:val="none"/>
              </w:rPr>
            </w:pPr>
            <w:r>
              <w:rPr>
                <w:color w:val="auto"/>
                <w:highlight w:val="none"/>
              </w:rPr>
              <w:t xml:space="preserve">环境影响评价技术导则 </w:t>
            </w:r>
            <w:r>
              <w:rPr>
                <w:rFonts w:hint="eastAsia"/>
                <w:color w:val="auto"/>
                <w:highlight w:val="none"/>
                <w:lang w:val="en-US" w:eastAsia="zh-CN"/>
              </w:rPr>
              <w:t xml:space="preserve"> </w:t>
            </w:r>
            <w:r>
              <w:rPr>
                <w:color w:val="auto"/>
                <w:highlight w:val="none"/>
              </w:rPr>
              <w:t>土壤影响（试行）</w:t>
            </w:r>
          </w:p>
        </w:tc>
        <w:tc>
          <w:tcPr>
            <w:tcW w:w="1258" w:type="pct"/>
            <w:tcBorders>
              <w:tl2br w:val="nil"/>
              <w:tr2bl w:val="nil"/>
            </w:tcBorders>
            <w:vAlign w:val="center"/>
          </w:tcPr>
          <w:p>
            <w:pPr>
              <w:pStyle w:val="41"/>
              <w:rPr>
                <w:color w:val="auto"/>
                <w:highlight w:val="none"/>
              </w:rPr>
            </w:pPr>
            <w:r>
              <w:rPr>
                <w:color w:val="auto"/>
                <w:highlight w:val="none"/>
              </w:rPr>
              <w:t>HJ964-2018</w:t>
            </w:r>
          </w:p>
        </w:tc>
        <w:tc>
          <w:tcPr>
            <w:tcW w:w="766" w:type="pct"/>
            <w:tcBorders>
              <w:tl2br w:val="nil"/>
              <w:tr2bl w:val="nil"/>
            </w:tcBorders>
            <w:vAlign w:val="center"/>
          </w:tcPr>
          <w:p>
            <w:pPr>
              <w:pStyle w:val="41"/>
              <w:rPr>
                <w:color w:val="auto"/>
                <w:highlight w:val="none"/>
              </w:rPr>
            </w:pPr>
            <w:r>
              <w:rPr>
                <w:color w:val="auto"/>
                <w:highlight w:val="none"/>
              </w:rPr>
              <w:t>2019-07-01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10</w:t>
            </w:r>
          </w:p>
        </w:tc>
        <w:tc>
          <w:tcPr>
            <w:tcW w:w="2579" w:type="pct"/>
            <w:tcBorders>
              <w:tl2br w:val="nil"/>
              <w:tr2bl w:val="nil"/>
            </w:tcBorders>
            <w:vAlign w:val="center"/>
          </w:tcPr>
          <w:p>
            <w:pPr>
              <w:pStyle w:val="41"/>
              <w:jc w:val="left"/>
              <w:rPr>
                <w:color w:val="auto"/>
                <w:highlight w:val="none"/>
              </w:rPr>
            </w:pPr>
            <w:r>
              <w:rPr>
                <w:color w:val="auto"/>
                <w:highlight w:val="none"/>
              </w:rPr>
              <w:t>水土保持综合治理技术规范</w:t>
            </w:r>
          </w:p>
        </w:tc>
        <w:tc>
          <w:tcPr>
            <w:tcW w:w="1258" w:type="pct"/>
            <w:tcBorders>
              <w:tl2br w:val="nil"/>
              <w:tr2bl w:val="nil"/>
            </w:tcBorders>
            <w:vAlign w:val="center"/>
          </w:tcPr>
          <w:p>
            <w:pPr>
              <w:pStyle w:val="41"/>
              <w:rPr>
                <w:color w:val="auto"/>
                <w:highlight w:val="none"/>
              </w:rPr>
            </w:pPr>
            <w:r>
              <w:rPr>
                <w:color w:val="auto"/>
                <w:highlight w:val="none"/>
              </w:rPr>
              <w:t>GB/T16453.1~6-2008</w:t>
            </w:r>
          </w:p>
        </w:tc>
        <w:tc>
          <w:tcPr>
            <w:tcW w:w="766" w:type="pct"/>
            <w:tcBorders>
              <w:tl2br w:val="nil"/>
              <w:tr2bl w:val="nil"/>
            </w:tcBorders>
            <w:vAlign w:val="center"/>
          </w:tcPr>
          <w:p>
            <w:pPr>
              <w:pStyle w:val="41"/>
              <w:rPr>
                <w:color w:val="auto"/>
                <w:highlight w:val="none"/>
              </w:rPr>
            </w:pPr>
            <w:r>
              <w:rPr>
                <w:color w:val="auto"/>
                <w:highlight w:val="none"/>
              </w:rPr>
              <w:t>2009-02-01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11</w:t>
            </w:r>
          </w:p>
        </w:tc>
        <w:tc>
          <w:tcPr>
            <w:tcW w:w="2579" w:type="pct"/>
            <w:tcBorders>
              <w:tl2br w:val="nil"/>
              <w:tr2bl w:val="nil"/>
            </w:tcBorders>
            <w:vAlign w:val="center"/>
          </w:tcPr>
          <w:p>
            <w:pPr>
              <w:pStyle w:val="41"/>
              <w:jc w:val="left"/>
              <w:rPr>
                <w:color w:val="auto"/>
                <w:highlight w:val="none"/>
              </w:rPr>
            </w:pPr>
            <w:r>
              <w:rPr>
                <w:rFonts w:hint="eastAsia"/>
                <w:color w:val="auto"/>
                <w:highlight w:val="none"/>
              </w:rPr>
              <w:t>生产建设项目水土保持技术标准</w:t>
            </w:r>
          </w:p>
        </w:tc>
        <w:tc>
          <w:tcPr>
            <w:tcW w:w="1258" w:type="pct"/>
            <w:tcBorders>
              <w:tl2br w:val="nil"/>
              <w:tr2bl w:val="nil"/>
            </w:tcBorders>
            <w:vAlign w:val="center"/>
          </w:tcPr>
          <w:p>
            <w:pPr>
              <w:pStyle w:val="41"/>
              <w:rPr>
                <w:color w:val="auto"/>
                <w:highlight w:val="none"/>
              </w:rPr>
            </w:pPr>
            <w:bookmarkStart w:id="103" w:name="OLE_LINK124"/>
            <w:r>
              <w:rPr>
                <w:rFonts w:hint="eastAsia"/>
                <w:color w:val="auto"/>
                <w:highlight w:val="none"/>
                <w:lang w:eastAsia="zh-CN"/>
              </w:rPr>
              <w:t>GB 50433-2018</w:t>
            </w:r>
            <w:bookmarkEnd w:id="103"/>
          </w:p>
        </w:tc>
        <w:tc>
          <w:tcPr>
            <w:tcW w:w="766" w:type="pct"/>
            <w:tcBorders>
              <w:tl2br w:val="nil"/>
              <w:tr2bl w:val="nil"/>
            </w:tcBorders>
            <w:vAlign w:val="center"/>
          </w:tcPr>
          <w:p>
            <w:pPr>
              <w:pStyle w:val="41"/>
              <w:rPr>
                <w:color w:val="auto"/>
                <w:highlight w:val="none"/>
              </w:rPr>
            </w:pPr>
            <w:r>
              <w:rPr>
                <w:rFonts w:hint="eastAsia"/>
                <w:color w:val="auto"/>
                <w:highlight w:val="none"/>
                <w:lang w:val="en-US" w:eastAsia="zh-CN"/>
              </w:rPr>
              <w:t>2019</w:t>
            </w:r>
            <w:r>
              <w:rPr>
                <w:color w:val="auto"/>
                <w:highlight w:val="none"/>
              </w:rPr>
              <w:t>-0</w:t>
            </w:r>
            <w:r>
              <w:rPr>
                <w:rFonts w:hint="eastAsia"/>
                <w:color w:val="auto"/>
                <w:highlight w:val="none"/>
                <w:lang w:val="en-US" w:eastAsia="zh-CN"/>
              </w:rPr>
              <w:t>4</w:t>
            </w:r>
            <w:r>
              <w:rPr>
                <w:color w:val="auto"/>
                <w:highlight w:val="none"/>
              </w:rPr>
              <w:t>-01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12</w:t>
            </w:r>
          </w:p>
        </w:tc>
        <w:tc>
          <w:tcPr>
            <w:tcW w:w="2579" w:type="pct"/>
            <w:tcBorders>
              <w:tl2br w:val="nil"/>
              <w:tr2bl w:val="nil"/>
            </w:tcBorders>
            <w:vAlign w:val="center"/>
          </w:tcPr>
          <w:p>
            <w:pPr>
              <w:pStyle w:val="41"/>
              <w:jc w:val="left"/>
              <w:rPr>
                <w:color w:val="auto"/>
                <w:highlight w:val="none"/>
              </w:rPr>
            </w:pPr>
            <w:r>
              <w:rPr>
                <w:color w:val="auto"/>
                <w:highlight w:val="none"/>
              </w:rPr>
              <w:t>危险化学品重大危险源辨识</w:t>
            </w:r>
          </w:p>
        </w:tc>
        <w:tc>
          <w:tcPr>
            <w:tcW w:w="1258" w:type="pct"/>
            <w:tcBorders>
              <w:tl2br w:val="nil"/>
              <w:tr2bl w:val="nil"/>
            </w:tcBorders>
            <w:vAlign w:val="center"/>
          </w:tcPr>
          <w:p>
            <w:pPr>
              <w:pStyle w:val="41"/>
              <w:rPr>
                <w:color w:val="auto"/>
                <w:highlight w:val="none"/>
              </w:rPr>
            </w:pPr>
            <w:r>
              <w:rPr>
                <w:color w:val="auto"/>
                <w:highlight w:val="none"/>
              </w:rPr>
              <w:t>GB18218-2018</w:t>
            </w:r>
          </w:p>
        </w:tc>
        <w:tc>
          <w:tcPr>
            <w:tcW w:w="766" w:type="pct"/>
            <w:tcBorders>
              <w:tl2br w:val="nil"/>
              <w:tr2bl w:val="nil"/>
            </w:tcBorders>
            <w:vAlign w:val="center"/>
          </w:tcPr>
          <w:p>
            <w:pPr>
              <w:pStyle w:val="41"/>
              <w:rPr>
                <w:color w:val="auto"/>
                <w:highlight w:val="none"/>
              </w:rPr>
            </w:pPr>
            <w:r>
              <w:rPr>
                <w:color w:val="auto"/>
                <w:highlight w:val="none"/>
              </w:rPr>
              <w:t>2018-11-19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13</w:t>
            </w:r>
          </w:p>
        </w:tc>
        <w:tc>
          <w:tcPr>
            <w:tcW w:w="2579" w:type="pct"/>
            <w:tcBorders>
              <w:tl2br w:val="nil"/>
              <w:tr2bl w:val="nil"/>
            </w:tcBorders>
            <w:vAlign w:val="center"/>
          </w:tcPr>
          <w:p>
            <w:pPr>
              <w:pStyle w:val="41"/>
              <w:jc w:val="left"/>
              <w:rPr>
                <w:color w:val="auto"/>
                <w:highlight w:val="none"/>
              </w:rPr>
            </w:pPr>
            <w:r>
              <w:rPr>
                <w:color w:val="auto"/>
                <w:highlight w:val="none"/>
              </w:rPr>
              <w:t>危险废物收集 贮存 运输技术规范</w:t>
            </w:r>
          </w:p>
        </w:tc>
        <w:tc>
          <w:tcPr>
            <w:tcW w:w="1258" w:type="pct"/>
            <w:tcBorders>
              <w:tl2br w:val="nil"/>
              <w:tr2bl w:val="nil"/>
            </w:tcBorders>
            <w:vAlign w:val="center"/>
          </w:tcPr>
          <w:p>
            <w:pPr>
              <w:pStyle w:val="41"/>
              <w:rPr>
                <w:color w:val="auto"/>
                <w:highlight w:val="none"/>
              </w:rPr>
            </w:pPr>
            <w:r>
              <w:rPr>
                <w:color w:val="auto"/>
                <w:highlight w:val="none"/>
              </w:rPr>
              <w:t>HJ 2025-2012</w:t>
            </w:r>
          </w:p>
        </w:tc>
        <w:tc>
          <w:tcPr>
            <w:tcW w:w="766" w:type="pct"/>
            <w:tcBorders>
              <w:tl2br w:val="nil"/>
              <w:tr2bl w:val="nil"/>
            </w:tcBorders>
            <w:vAlign w:val="center"/>
          </w:tcPr>
          <w:p>
            <w:pPr>
              <w:pStyle w:val="41"/>
              <w:rPr>
                <w:color w:val="auto"/>
                <w:highlight w:val="none"/>
              </w:rPr>
            </w:pPr>
            <w:r>
              <w:rPr>
                <w:color w:val="auto"/>
                <w:highlight w:val="none"/>
              </w:rPr>
              <w:t>2013-03-01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14</w:t>
            </w:r>
          </w:p>
        </w:tc>
        <w:tc>
          <w:tcPr>
            <w:tcW w:w="2579" w:type="pct"/>
            <w:tcBorders>
              <w:tl2br w:val="nil"/>
              <w:tr2bl w:val="nil"/>
            </w:tcBorders>
            <w:vAlign w:val="center"/>
          </w:tcPr>
          <w:p>
            <w:pPr>
              <w:pStyle w:val="41"/>
              <w:jc w:val="left"/>
              <w:rPr>
                <w:color w:val="auto"/>
                <w:highlight w:val="none"/>
              </w:rPr>
            </w:pPr>
            <w:r>
              <w:rPr>
                <w:color w:val="auto"/>
                <w:highlight w:val="none"/>
              </w:rPr>
              <w:t>石油天然气工业健康、安全与环境管理体系</w:t>
            </w:r>
          </w:p>
        </w:tc>
        <w:tc>
          <w:tcPr>
            <w:tcW w:w="1258" w:type="pct"/>
            <w:tcBorders>
              <w:tl2br w:val="nil"/>
              <w:tr2bl w:val="nil"/>
            </w:tcBorders>
            <w:vAlign w:val="center"/>
          </w:tcPr>
          <w:p>
            <w:pPr>
              <w:pStyle w:val="41"/>
              <w:rPr>
                <w:color w:val="auto"/>
                <w:highlight w:val="none"/>
              </w:rPr>
            </w:pPr>
            <w:r>
              <w:rPr>
                <w:color w:val="auto"/>
                <w:highlight w:val="none"/>
              </w:rPr>
              <w:t>SY/T6276-2014</w:t>
            </w:r>
          </w:p>
        </w:tc>
        <w:tc>
          <w:tcPr>
            <w:tcW w:w="766" w:type="pct"/>
            <w:tcBorders>
              <w:tl2br w:val="nil"/>
              <w:tr2bl w:val="nil"/>
            </w:tcBorders>
            <w:vAlign w:val="center"/>
          </w:tcPr>
          <w:p>
            <w:pPr>
              <w:pStyle w:val="41"/>
              <w:rPr>
                <w:color w:val="auto"/>
                <w:highlight w:val="none"/>
              </w:rPr>
            </w:pPr>
            <w:r>
              <w:rPr>
                <w:color w:val="auto"/>
                <w:highlight w:val="none"/>
              </w:rPr>
              <w:t>2015-03-01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15</w:t>
            </w:r>
          </w:p>
        </w:tc>
        <w:tc>
          <w:tcPr>
            <w:tcW w:w="2579" w:type="pct"/>
            <w:tcBorders>
              <w:tl2br w:val="nil"/>
              <w:tr2bl w:val="nil"/>
            </w:tcBorders>
            <w:vAlign w:val="center"/>
          </w:tcPr>
          <w:p>
            <w:pPr>
              <w:pStyle w:val="41"/>
              <w:jc w:val="left"/>
              <w:rPr>
                <w:color w:val="auto"/>
                <w:highlight w:val="none"/>
              </w:rPr>
            </w:pPr>
            <w:bookmarkStart w:id="104" w:name="OLE_LINK110"/>
            <w:r>
              <w:rPr>
                <w:color w:val="auto"/>
                <w:highlight w:val="none"/>
              </w:rPr>
              <w:t>石油化工企业环境保护设计规范</w:t>
            </w:r>
            <w:bookmarkEnd w:id="104"/>
          </w:p>
        </w:tc>
        <w:tc>
          <w:tcPr>
            <w:tcW w:w="1258" w:type="pct"/>
            <w:tcBorders>
              <w:tl2br w:val="nil"/>
              <w:tr2bl w:val="nil"/>
            </w:tcBorders>
            <w:vAlign w:val="center"/>
          </w:tcPr>
          <w:p>
            <w:pPr>
              <w:pStyle w:val="41"/>
              <w:rPr>
                <w:color w:val="auto"/>
                <w:highlight w:val="none"/>
              </w:rPr>
            </w:pPr>
            <w:r>
              <w:rPr>
                <w:color w:val="auto"/>
                <w:highlight w:val="none"/>
              </w:rPr>
              <w:t>SH/T3024-2017</w:t>
            </w:r>
          </w:p>
        </w:tc>
        <w:tc>
          <w:tcPr>
            <w:tcW w:w="766" w:type="pct"/>
            <w:tcBorders>
              <w:tl2br w:val="nil"/>
              <w:tr2bl w:val="nil"/>
            </w:tcBorders>
            <w:vAlign w:val="center"/>
          </w:tcPr>
          <w:p>
            <w:pPr>
              <w:pStyle w:val="41"/>
              <w:rPr>
                <w:color w:val="auto"/>
                <w:highlight w:val="none"/>
              </w:rPr>
            </w:pPr>
            <w:r>
              <w:rPr>
                <w:color w:val="auto"/>
                <w:highlight w:val="none"/>
              </w:rPr>
              <w:t>2018-01-01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16</w:t>
            </w:r>
          </w:p>
        </w:tc>
        <w:tc>
          <w:tcPr>
            <w:tcW w:w="2579" w:type="pct"/>
            <w:tcBorders>
              <w:tl2br w:val="nil"/>
              <w:tr2bl w:val="nil"/>
            </w:tcBorders>
            <w:vAlign w:val="center"/>
          </w:tcPr>
          <w:p>
            <w:pPr>
              <w:pStyle w:val="41"/>
              <w:jc w:val="left"/>
              <w:rPr>
                <w:color w:val="auto"/>
                <w:highlight w:val="none"/>
              </w:rPr>
            </w:pPr>
            <w:r>
              <w:rPr>
                <w:color w:val="auto"/>
                <w:highlight w:val="none"/>
              </w:rPr>
              <w:t>危险废物贮存污染控制标准</w:t>
            </w:r>
          </w:p>
        </w:tc>
        <w:tc>
          <w:tcPr>
            <w:tcW w:w="1258" w:type="pct"/>
            <w:tcBorders>
              <w:tl2br w:val="nil"/>
              <w:tr2bl w:val="nil"/>
            </w:tcBorders>
            <w:vAlign w:val="center"/>
          </w:tcPr>
          <w:p>
            <w:pPr>
              <w:pStyle w:val="41"/>
              <w:rPr>
                <w:color w:val="auto"/>
                <w:highlight w:val="none"/>
              </w:rPr>
            </w:pPr>
            <w:r>
              <w:rPr>
                <w:color w:val="auto"/>
                <w:highlight w:val="none"/>
              </w:rPr>
              <w:t>GB18597-2023</w:t>
            </w:r>
          </w:p>
        </w:tc>
        <w:tc>
          <w:tcPr>
            <w:tcW w:w="766" w:type="pct"/>
            <w:tcBorders>
              <w:tl2br w:val="nil"/>
              <w:tr2bl w:val="nil"/>
            </w:tcBorders>
            <w:vAlign w:val="center"/>
          </w:tcPr>
          <w:p>
            <w:pPr>
              <w:pStyle w:val="41"/>
              <w:rPr>
                <w:color w:val="auto"/>
                <w:highlight w:val="none"/>
              </w:rPr>
            </w:pPr>
            <w:r>
              <w:rPr>
                <w:color w:val="auto"/>
                <w:highlight w:val="none"/>
                <w:shd w:val="clear" w:color="auto" w:fill="FFFFFF"/>
              </w:rPr>
              <w:t>2023-02-03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17</w:t>
            </w:r>
          </w:p>
        </w:tc>
        <w:tc>
          <w:tcPr>
            <w:tcW w:w="2579" w:type="pct"/>
            <w:tcBorders>
              <w:tl2br w:val="nil"/>
              <w:tr2bl w:val="nil"/>
            </w:tcBorders>
            <w:vAlign w:val="center"/>
          </w:tcPr>
          <w:p>
            <w:pPr>
              <w:pStyle w:val="41"/>
              <w:jc w:val="left"/>
              <w:rPr>
                <w:color w:val="auto"/>
                <w:highlight w:val="none"/>
              </w:rPr>
            </w:pPr>
            <w:r>
              <w:rPr>
                <w:color w:val="auto"/>
                <w:highlight w:val="none"/>
              </w:rPr>
              <w:t>油气田含油污泥综合利用污染控制要求</w:t>
            </w:r>
          </w:p>
        </w:tc>
        <w:tc>
          <w:tcPr>
            <w:tcW w:w="1258" w:type="pct"/>
            <w:tcBorders>
              <w:tl2br w:val="nil"/>
              <w:tr2bl w:val="nil"/>
            </w:tcBorders>
            <w:vAlign w:val="center"/>
          </w:tcPr>
          <w:p>
            <w:pPr>
              <w:pStyle w:val="41"/>
              <w:rPr>
                <w:color w:val="auto"/>
                <w:highlight w:val="none"/>
              </w:rPr>
            </w:pPr>
            <w:r>
              <w:rPr>
                <w:color w:val="auto"/>
                <w:highlight w:val="none"/>
              </w:rPr>
              <w:t>DB 65/T 3998-2017</w:t>
            </w:r>
          </w:p>
        </w:tc>
        <w:tc>
          <w:tcPr>
            <w:tcW w:w="766" w:type="pct"/>
            <w:tcBorders>
              <w:tl2br w:val="nil"/>
              <w:tr2bl w:val="nil"/>
            </w:tcBorders>
            <w:vAlign w:val="center"/>
          </w:tcPr>
          <w:p>
            <w:pPr>
              <w:pStyle w:val="41"/>
              <w:rPr>
                <w:color w:val="auto"/>
                <w:highlight w:val="none"/>
              </w:rPr>
            </w:pPr>
            <w:r>
              <w:rPr>
                <w:color w:val="auto"/>
                <w:highlight w:val="none"/>
              </w:rPr>
              <w:t>2017-05-30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18</w:t>
            </w:r>
          </w:p>
        </w:tc>
        <w:tc>
          <w:tcPr>
            <w:tcW w:w="2579" w:type="pct"/>
            <w:tcBorders>
              <w:tl2br w:val="nil"/>
              <w:tr2bl w:val="nil"/>
            </w:tcBorders>
            <w:vAlign w:val="center"/>
          </w:tcPr>
          <w:p>
            <w:pPr>
              <w:pStyle w:val="41"/>
              <w:jc w:val="left"/>
              <w:rPr>
                <w:color w:val="auto"/>
                <w:highlight w:val="none"/>
              </w:rPr>
            </w:pPr>
            <w:r>
              <w:rPr>
                <w:rFonts w:hint="eastAsia"/>
                <w:color w:val="auto"/>
                <w:highlight w:val="none"/>
              </w:rPr>
              <w:t>碎屑岩油藏注水水质指标技术要求及分析方法</w:t>
            </w:r>
          </w:p>
        </w:tc>
        <w:tc>
          <w:tcPr>
            <w:tcW w:w="1258" w:type="pct"/>
            <w:tcBorders>
              <w:tl2br w:val="nil"/>
              <w:tr2bl w:val="nil"/>
            </w:tcBorders>
            <w:vAlign w:val="center"/>
          </w:tcPr>
          <w:p>
            <w:pPr>
              <w:pStyle w:val="41"/>
              <w:rPr>
                <w:color w:val="auto"/>
                <w:highlight w:val="none"/>
              </w:rPr>
            </w:pPr>
            <w:r>
              <w:rPr>
                <w:color w:val="auto"/>
                <w:highlight w:val="none"/>
              </w:rPr>
              <w:t>SY/T5329-2022</w:t>
            </w:r>
          </w:p>
        </w:tc>
        <w:tc>
          <w:tcPr>
            <w:tcW w:w="766" w:type="pct"/>
            <w:tcBorders>
              <w:tl2br w:val="nil"/>
              <w:tr2bl w:val="nil"/>
            </w:tcBorders>
            <w:vAlign w:val="center"/>
          </w:tcPr>
          <w:p>
            <w:pPr>
              <w:pStyle w:val="41"/>
              <w:rPr>
                <w:color w:val="auto"/>
                <w:highlight w:val="none"/>
              </w:rPr>
            </w:pPr>
            <w:r>
              <w:rPr>
                <w:rFonts w:hint="eastAsia"/>
                <w:color w:val="auto"/>
                <w:highlight w:val="none"/>
              </w:rPr>
              <w:t>2022-11-04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19</w:t>
            </w:r>
          </w:p>
        </w:tc>
        <w:tc>
          <w:tcPr>
            <w:tcW w:w="2579" w:type="pct"/>
            <w:tcBorders>
              <w:tl2br w:val="nil"/>
              <w:tr2bl w:val="nil"/>
            </w:tcBorders>
            <w:vAlign w:val="center"/>
          </w:tcPr>
          <w:p>
            <w:pPr>
              <w:pStyle w:val="41"/>
              <w:jc w:val="left"/>
              <w:rPr>
                <w:color w:val="auto"/>
                <w:highlight w:val="none"/>
              </w:rPr>
            </w:pPr>
            <w:r>
              <w:rPr>
                <w:color w:val="auto"/>
                <w:highlight w:val="none"/>
              </w:rPr>
              <w:t>陆上石油天然气开采含油污泥资源化综合利用及污染控制技术要求</w:t>
            </w:r>
          </w:p>
        </w:tc>
        <w:tc>
          <w:tcPr>
            <w:tcW w:w="1258" w:type="pct"/>
            <w:tcBorders>
              <w:tl2br w:val="nil"/>
              <w:tr2bl w:val="nil"/>
            </w:tcBorders>
            <w:vAlign w:val="center"/>
          </w:tcPr>
          <w:p>
            <w:pPr>
              <w:pStyle w:val="41"/>
              <w:rPr>
                <w:color w:val="auto"/>
                <w:highlight w:val="none"/>
              </w:rPr>
            </w:pPr>
            <w:r>
              <w:rPr>
                <w:color w:val="auto"/>
                <w:highlight w:val="none"/>
              </w:rPr>
              <w:t>SY/T301-2016</w:t>
            </w:r>
          </w:p>
        </w:tc>
        <w:tc>
          <w:tcPr>
            <w:tcW w:w="766" w:type="pct"/>
            <w:tcBorders>
              <w:tl2br w:val="nil"/>
              <w:tr2bl w:val="nil"/>
            </w:tcBorders>
            <w:vAlign w:val="center"/>
          </w:tcPr>
          <w:p>
            <w:pPr>
              <w:pStyle w:val="41"/>
              <w:rPr>
                <w:color w:val="auto"/>
                <w:highlight w:val="none"/>
              </w:rPr>
            </w:pPr>
            <w:r>
              <w:rPr>
                <w:color w:val="auto"/>
                <w:highlight w:val="none"/>
              </w:rPr>
              <w:t>2017-05-01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color w:val="auto"/>
                <w:highlight w:val="none"/>
              </w:rPr>
              <w:t>20</w:t>
            </w:r>
          </w:p>
        </w:tc>
        <w:tc>
          <w:tcPr>
            <w:tcW w:w="2579" w:type="pct"/>
            <w:tcBorders>
              <w:tl2br w:val="nil"/>
              <w:tr2bl w:val="nil"/>
            </w:tcBorders>
            <w:vAlign w:val="center"/>
          </w:tcPr>
          <w:p>
            <w:pPr>
              <w:pStyle w:val="41"/>
              <w:jc w:val="left"/>
              <w:rPr>
                <w:color w:val="auto"/>
                <w:highlight w:val="none"/>
              </w:rPr>
            </w:pPr>
            <w:r>
              <w:rPr>
                <w:color w:val="auto"/>
                <w:highlight w:val="none"/>
                <w:lang w:val="zh-CN"/>
              </w:rPr>
              <w:t>陆上石油天然气开采业绿色矿山建设规范</w:t>
            </w:r>
          </w:p>
        </w:tc>
        <w:tc>
          <w:tcPr>
            <w:tcW w:w="1258" w:type="pct"/>
            <w:tcBorders>
              <w:tl2br w:val="nil"/>
              <w:tr2bl w:val="nil"/>
            </w:tcBorders>
            <w:vAlign w:val="center"/>
          </w:tcPr>
          <w:p>
            <w:pPr>
              <w:pStyle w:val="41"/>
              <w:rPr>
                <w:color w:val="auto"/>
                <w:highlight w:val="none"/>
              </w:rPr>
            </w:pPr>
            <w:r>
              <w:rPr>
                <w:color w:val="auto"/>
                <w:highlight w:val="none"/>
                <w:lang w:val="zh-CN"/>
              </w:rPr>
              <w:t>DZ/T0317-2018</w:t>
            </w:r>
          </w:p>
        </w:tc>
        <w:tc>
          <w:tcPr>
            <w:tcW w:w="766" w:type="pct"/>
            <w:tcBorders>
              <w:tl2br w:val="nil"/>
              <w:tr2bl w:val="nil"/>
            </w:tcBorders>
            <w:vAlign w:val="center"/>
          </w:tcPr>
          <w:p>
            <w:pPr>
              <w:pStyle w:val="41"/>
              <w:rPr>
                <w:color w:val="auto"/>
                <w:highlight w:val="none"/>
              </w:rPr>
            </w:pPr>
            <w:r>
              <w:rPr>
                <w:color w:val="auto"/>
                <w:highlight w:val="none"/>
              </w:rPr>
              <w:t>2018-10-01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rFonts w:hint="eastAsia"/>
                <w:color w:val="auto"/>
                <w:highlight w:val="none"/>
              </w:rPr>
              <w:t>21</w:t>
            </w:r>
          </w:p>
        </w:tc>
        <w:tc>
          <w:tcPr>
            <w:tcW w:w="2579" w:type="pct"/>
            <w:tcBorders>
              <w:tl2br w:val="nil"/>
              <w:tr2bl w:val="nil"/>
            </w:tcBorders>
            <w:vAlign w:val="center"/>
          </w:tcPr>
          <w:p>
            <w:pPr>
              <w:pStyle w:val="41"/>
              <w:jc w:val="left"/>
              <w:rPr>
                <w:color w:val="auto"/>
                <w:kern w:val="2"/>
                <w:highlight w:val="none"/>
                <w:lang w:val="zh-CN"/>
              </w:rPr>
            </w:pPr>
            <w:r>
              <w:rPr>
                <w:rFonts w:hint="eastAsia"/>
                <w:color w:val="auto"/>
                <w:highlight w:val="none"/>
              </w:rPr>
              <w:t>油田注水工程设计规范</w:t>
            </w:r>
          </w:p>
        </w:tc>
        <w:tc>
          <w:tcPr>
            <w:tcW w:w="1258" w:type="pct"/>
            <w:tcBorders>
              <w:tl2br w:val="nil"/>
              <w:tr2bl w:val="nil"/>
            </w:tcBorders>
            <w:vAlign w:val="center"/>
          </w:tcPr>
          <w:p>
            <w:pPr>
              <w:pStyle w:val="41"/>
              <w:rPr>
                <w:color w:val="auto"/>
                <w:kern w:val="2"/>
                <w:highlight w:val="none"/>
                <w:lang w:val="zh-CN"/>
              </w:rPr>
            </w:pPr>
            <w:r>
              <w:rPr>
                <w:rFonts w:hint="eastAsia"/>
                <w:color w:val="auto"/>
                <w:highlight w:val="none"/>
              </w:rPr>
              <w:t>GB50391-2014</w:t>
            </w:r>
          </w:p>
        </w:tc>
        <w:tc>
          <w:tcPr>
            <w:tcW w:w="766" w:type="pct"/>
            <w:tcBorders>
              <w:tl2br w:val="nil"/>
              <w:tr2bl w:val="nil"/>
            </w:tcBorders>
            <w:vAlign w:val="center"/>
          </w:tcPr>
          <w:p>
            <w:pPr>
              <w:pStyle w:val="41"/>
              <w:rPr>
                <w:color w:val="auto"/>
                <w:kern w:val="2"/>
                <w:highlight w:val="none"/>
              </w:rPr>
            </w:pPr>
            <w:r>
              <w:rPr>
                <w:rFonts w:hint="eastAsia"/>
                <w:color w:val="auto"/>
                <w:highlight w:val="none"/>
              </w:rPr>
              <w:t>2015-05-01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rFonts w:hint="eastAsia"/>
                <w:color w:val="auto"/>
                <w:highlight w:val="none"/>
              </w:rPr>
              <w:t>22</w:t>
            </w:r>
          </w:p>
        </w:tc>
        <w:tc>
          <w:tcPr>
            <w:tcW w:w="2579" w:type="pct"/>
            <w:tcBorders>
              <w:tl2br w:val="nil"/>
              <w:tr2bl w:val="nil"/>
            </w:tcBorders>
            <w:vAlign w:val="center"/>
          </w:tcPr>
          <w:p>
            <w:pPr>
              <w:pStyle w:val="41"/>
              <w:jc w:val="left"/>
              <w:rPr>
                <w:color w:val="auto"/>
                <w:kern w:val="2"/>
                <w:highlight w:val="none"/>
              </w:rPr>
            </w:pPr>
            <w:bookmarkStart w:id="105" w:name="OLE_LINK111"/>
            <w:r>
              <w:rPr>
                <w:rFonts w:hint="eastAsia"/>
                <w:color w:val="auto"/>
                <w:highlight w:val="none"/>
              </w:rPr>
              <w:t>石油天然气工业套管和油管的维护</w:t>
            </w:r>
            <w:r>
              <w:rPr>
                <w:rFonts w:hint="eastAsia"/>
                <w:color w:val="auto"/>
                <w:highlight w:val="none"/>
                <w:lang w:val="en-US" w:eastAsia="zh-CN"/>
              </w:rPr>
              <w:t>与</w:t>
            </w:r>
            <w:r>
              <w:rPr>
                <w:rFonts w:hint="eastAsia"/>
                <w:color w:val="auto"/>
                <w:highlight w:val="none"/>
              </w:rPr>
              <w:t>使用</w:t>
            </w:r>
            <w:bookmarkEnd w:id="105"/>
          </w:p>
        </w:tc>
        <w:tc>
          <w:tcPr>
            <w:tcW w:w="1258" w:type="pct"/>
            <w:tcBorders>
              <w:tl2br w:val="nil"/>
              <w:tr2bl w:val="nil"/>
            </w:tcBorders>
            <w:vAlign w:val="center"/>
          </w:tcPr>
          <w:p>
            <w:pPr>
              <w:pStyle w:val="41"/>
              <w:rPr>
                <w:color w:val="auto"/>
                <w:kern w:val="2"/>
                <w:highlight w:val="none"/>
              </w:rPr>
            </w:pPr>
            <w:r>
              <w:rPr>
                <w:rFonts w:hint="eastAsia"/>
                <w:color w:val="auto"/>
                <w:highlight w:val="none"/>
              </w:rPr>
              <w:t>GB/T 17745-2011</w:t>
            </w:r>
          </w:p>
        </w:tc>
        <w:tc>
          <w:tcPr>
            <w:tcW w:w="766" w:type="pct"/>
            <w:tcBorders>
              <w:tl2br w:val="nil"/>
              <w:tr2bl w:val="nil"/>
            </w:tcBorders>
            <w:vAlign w:val="center"/>
          </w:tcPr>
          <w:p>
            <w:pPr>
              <w:pStyle w:val="41"/>
              <w:rPr>
                <w:color w:val="auto"/>
                <w:kern w:val="2"/>
                <w:highlight w:val="none"/>
              </w:rPr>
            </w:pPr>
            <w:r>
              <w:rPr>
                <w:rFonts w:hint="eastAsia"/>
                <w:color w:val="auto"/>
                <w:highlight w:val="none"/>
              </w:rPr>
              <w:t>2011-10-01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rFonts w:hint="eastAsia"/>
                <w:color w:val="auto"/>
                <w:highlight w:val="none"/>
              </w:rPr>
              <w:t>23</w:t>
            </w:r>
          </w:p>
        </w:tc>
        <w:tc>
          <w:tcPr>
            <w:tcW w:w="2579" w:type="pct"/>
            <w:tcBorders>
              <w:tl2br w:val="nil"/>
              <w:tr2bl w:val="nil"/>
            </w:tcBorders>
            <w:vAlign w:val="center"/>
          </w:tcPr>
          <w:p>
            <w:pPr>
              <w:pStyle w:val="41"/>
              <w:jc w:val="left"/>
              <w:rPr>
                <w:color w:val="auto"/>
                <w:kern w:val="2"/>
                <w:highlight w:val="none"/>
              </w:rPr>
            </w:pPr>
            <w:r>
              <w:rPr>
                <w:rFonts w:hint="eastAsia"/>
                <w:color w:val="auto"/>
                <w:highlight w:val="none"/>
              </w:rPr>
              <w:t>石油化工工程防渗技术规范</w:t>
            </w:r>
          </w:p>
        </w:tc>
        <w:tc>
          <w:tcPr>
            <w:tcW w:w="1258" w:type="pct"/>
            <w:tcBorders>
              <w:tl2br w:val="nil"/>
              <w:tr2bl w:val="nil"/>
            </w:tcBorders>
            <w:vAlign w:val="center"/>
          </w:tcPr>
          <w:p>
            <w:pPr>
              <w:pStyle w:val="41"/>
              <w:rPr>
                <w:color w:val="auto"/>
                <w:kern w:val="2"/>
                <w:highlight w:val="none"/>
              </w:rPr>
            </w:pPr>
            <w:r>
              <w:rPr>
                <w:rFonts w:hint="eastAsia"/>
                <w:color w:val="auto"/>
                <w:highlight w:val="none"/>
              </w:rPr>
              <w:t>GB/T 50934</w:t>
            </w:r>
          </w:p>
        </w:tc>
        <w:tc>
          <w:tcPr>
            <w:tcW w:w="766" w:type="pct"/>
            <w:tcBorders>
              <w:tl2br w:val="nil"/>
              <w:tr2bl w:val="nil"/>
            </w:tcBorders>
            <w:vAlign w:val="center"/>
          </w:tcPr>
          <w:p>
            <w:pPr>
              <w:pStyle w:val="41"/>
              <w:rPr>
                <w:color w:val="auto"/>
                <w:kern w:val="2"/>
                <w:highlight w:val="none"/>
              </w:rPr>
            </w:pPr>
            <w:r>
              <w:rPr>
                <w:rFonts w:hint="eastAsia"/>
                <w:color w:val="auto"/>
                <w:highlight w:val="none"/>
              </w:rPr>
              <w:t>2014-06-01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rFonts w:hint="eastAsia"/>
                <w:color w:val="auto"/>
                <w:highlight w:val="none"/>
              </w:rPr>
              <w:t>24</w:t>
            </w:r>
          </w:p>
        </w:tc>
        <w:tc>
          <w:tcPr>
            <w:tcW w:w="2579" w:type="pct"/>
            <w:tcBorders>
              <w:tl2br w:val="nil"/>
              <w:tr2bl w:val="nil"/>
            </w:tcBorders>
            <w:vAlign w:val="center"/>
          </w:tcPr>
          <w:p>
            <w:pPr>
              <w:pStyle w:val="41"/>
              <w:jc w:val="left"/>
              <w:rPr>
                <w:color w:val="auto"/>
                <w:kern w:val="2"/>
                <w:highlight w:val="none"/>
              </w:rPr>
            </w:pPr>
            <w:r>
              <w:rPr>
                <w:rFonts w:hint="eastAsia"/>
                <w:color w:val="auto"/>
                <w:highlight w:val="none"/>
              </w:rPr>
              <w:t>油田注水工程施工技术规范</w:t>
            </w:r>
          </w:p>
        </w:tc>
        <w:tc>
          <w:tcPr>
            <w:tcW w:w="1258" w:type="pct"/>
            <w:tcBorders>
              <w:tl2br w:val="nil"/>
              <w:tr2bl w:val="nil"/>
            </w:tcBorders>
            <w:vAlign w:val="center"/>
          </w:tcPr>
          <w:p>
            <w:pPr>
              <w:pStyle w:val="41"/>
              <w:rPr>
                <w:rFonts w:ascii="Calibri" w:hAnsi="Calibri"/>
                <w:color w:val="auto"/>
                <w:kern w:val="2"/>
                <w:highlight w:val="none"/>
              </w:rPr>
            </w:pPr>
            <w:r>
              <w:rPr>
                <w:rFonts w:hint="eastAsia"/>
                <w:color w:val="auto"/>
                <w:highlight w:val="none"/>
              </w:rPr>
              <w:t>SY/T 4122-2020</w:t>
            </w:r>
          </w:p>
        </w:tc>
        <w:tc>
          <w:tcPr>
            <w:tcW w:w="766" w:type="pct"/>
            <w:tcBorders>
              <w:tl2br w:val="nil"/>
              <w:tr2bl w:val="nil"/>
            </w:tcBorders>
            <w:vAlign w:val="center"/>
          </w:tcPr>
          <w:p>
            <w:pPr>
              <w:pStyle w:val="41"/>
              <w:rPr>
                <w:color w:val="auto"/>
                <w:kern w:val="2"/>
                <w:highlight w:val="none"/>
              </w:rPr>
            </w:pPr>
            <w:r>
              <w:rPr>
                <w:rFonts w:hint="eastAsia"/>
                <w:color w:val="auto"/>
                <w:highlight w:val="none"/>
              </w:rPr>
              <w:t>2021-02-01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vAlign w:val="center"/>
          </w:tcPr>
          <w:p>
            <w:pPr>
              <w:pStyle w:val="41"/>
              <w:rPr>
                <w:color w:val="auto"/>
                <w:highlight w:val="none"/>
              </w:rPr>
            </w:pPr>
            <w:r>
              <w:rPr>
                <w:rFonts w:hint="eastAsia"/>
                <w:color w:val="auto"/>
                <w:highlight w:val="none"/>
              </w:rPr>
              <w:t>25</w:t>
            </w:r>
          </w:p>
        </w:tc>
        <w:tc>
          <w:tcPr>
            <w:tcW w:w="2579" w:type="pct"/>
            <w:tcBorders>
              <w:tl2br w:val="nil"/>
              <w:tr2bl w:val="nil"/>
            </w:tcBorders>
            <w:vAlign w:val="center"/>
          </w:tcPr>
          <w:p>
            <w:pPr>
              <w:pStyle w:val="41"/>
              <w:jc w:val="left"/>
              <w:rPr>
                <w:rFonts w:hint="eastAsia" w:eastAsia="宋体"/>
                <w:color w:val="auto"/>
                <w:kern w:val="2"/>
                <w:highlight w:val="none"/>
                <w:lang w:val="en-US" w:eastAsia="zh-CN"/>
              </w:rPr>
            </w:pPr>
            <w:r>
              <w:rPr>
                <w:rFonts w:hint="eastAsia"/>
                <w:color w:val="auto"/>
                <w:highlight w:val="none"/>
              </w:rPr>
              <w:t>陆上石油天然气生产环境保护推荐</w:t>
            </w:r>
            <w:r>
              <w:rPr>
                <w:rFonts w:hint="eastAsia"/>
                <w:color w:val="auto"/>
                <w:highlight w:val="none"/>
                <w:lang w:val="en-US" w:eastAsia="zh-CN"/>
              </w:rPr>
              <w:t>作法</w:t>
            </w:r>
          </w:p>
        </w:tc>
        <w:tc>
          <w:tcPr>
            <w:tcW w:w="1258" w:type="pct"/>
            <w:tcBorders>
              <w:tl2br w:val="nil"/>
              <w:tr2bl w:val="nil"/>
            </w:tcBorders>
            <w:vAlign w:val="center"/>
          </w:tcPr>
          <w:p>
            <w:pPr>
              <w:pStyle w:val="41"/>
              <w:rPr>
                <w:color w:val="auto"/>
                <w:kern w:val="2"/>
                <w:highlight w:val="none"/>
              </w:rPr>
            </w:pPr>
            <w:r>
              <w:rPr>
                <w:rFonts w:hint="eastAsia"/>
                <w:color w:val="auto"/>
                <w:highlight w:val="none"/>
              </w:rPr>
              <w:t>SY/T6628-2005</w:t>
            </w:r>
          </w:p>
        </w:tc>
        <w:tc>
          <w:tcPr>
            <w:tcW w:w="766" w:type="pct"/>
            <w:tcBorders>
              <w:tl2br w:val="nil"/>
              <w:tr2bl w:val="nil"/>
            </w:tcBorders>
            <w:vAlign w:val="center"/>
          </w:tcPr>
          <w:p>
            <w:pPr>
              <w:pStyle w:val="41"/>
              <w:rPr>
                <w:color w:val="auto"/>
                <w:kern w:val="2"/>
                <w:highlight w:val="none"/>
              </w:rPr>
            </w:pPr>
            <w:r>
              <w:rPr>
                <w:rFonts w:hint="eastAsia"/>
                <w:color w:val="auto"/>
                <w:highlight w:val="none"/>
              </w:rPr>
              <w:t>2005-11-01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95" w:type="pct"/>
            <w:tcBorders>
              <w:tl2br w:val="nil"/>
              <w:tr2bl w:val="nil"/>
            </w:tcBorders>
            <w:vAlign w:val="center"/>
          </w:tcPr>
          <w:p>
            <w:pPr>
              <w:pStyle w:val="41"/>
              <w:rPr>
                <w:color w:val="auto"/>
                <w:highlight w:val="none"/>
              </w:rPr>
            </w:pPr>
            <w:r>
              <w:rPr>
                <w:rFonts w:hint="eastAsia"/>
                <w:color w:val="auto"/>
                <w:highlight w:val="none"/>
              </w:rPr>
              <w:t>26</w:t>
            </w:r>
          </w:p>
        </w:tc>
        <w:tc>
          <w:tcPr>
            <w:tcW w:w="2579" w:type="pct"/>
            <w:tcBorders>
              <w:tl2br w:val="nil"/>
              <w:tr2bl w:val="nil"/>
            </w:tcBorders>
            <w:vAlign w:val="center"/>
          </w:tcPr>
          <w:p>
            <w:pPr>
              <w:pStyle w:val="41"/>
              <w:jc w:val="left"/>
              <w:rPr>
                <w:color w:val="auto"/>
                <w:kern w:val="2"/>
                <w:highlight w:val="none"/>
              </w:rPr>
            </w:pPr>
            <w:r>
              <w:rPr>
                <w:rFonts w:hint="eastAsia"/>
                <w:color w:val="auto"/>
                <w:highlight w:val="none"/>
              </w:rPr>
              <w:t>废弃井及长停井处置指南</w:t>
            </w:r>
          </w:p>
        </w:tc>
        <w:tc>
          <w:tcPr>
            <w:tcW w:w="1258" w:type="pct"/>
            <w:tcBorders>
              <w:tl2br w:val="nil"/>
              <w:tr2bl w:val="nil"/>
            </w:tcBorders>
            <w:vAlign w:val="center"/>
          </w:tcPr>
          <w:p>
            <w:pPr>
              <w:pStyle w:val="41"/>
              <w:rPr>
                <w:color w:val="auto"/>
                <w:kern w:val="2"/>
                <w:highlight w:val="none"/>
              </w:rPr>
            </w:pPr>
            <w:r>
              <w:rPr>
                <w:rFonts w:hint="eastAsia"/>
                <w:color w:val="auto"/>
                <w:highlight w:val="none"/>
              </w:rPr>
              <w:t>SY/T6646-2017</w:t>
            </w:r>
          </w:p>
        </w:tc>
        <w:tc>
          <w:tcPr>
            <w:tcW w:w="766" w:type="pct"/>
            <w:tcBorders>
              <w:tl2br w:val="nil"/>
              <w:tr2bl w:val="nil"/>
            </w:tcBorders>
            <w:vAlign w:val="center"/>
          </w:tcPr>
          <w:p>
            <w:pPr>
              <w:pStyle w:val="41"/>
              <w:rPr>
                <w:color w:val="auto"/>
                <w:kern w:val="2"/>
                <w:highlight w:val="none"/>
              </w:rPr>
            </w:pPr>
            <w:r>
              <w:rPr>
                <w:rFonts w:hint="eastAsia"/>
                <w:color w:val="auto"/>
                <w:highlight w:val="none"/>
              </w:rPr>
              <w:t>2018-03-01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tcPr>
          <w:p>
            <w:pPr>
              <w:pStyle w:val="41"/>
              <w:rPr>
                <w:color w:val="auto"/>
                <w:highlight w:val="none"/>
              </w:rPr>
            </w:pPr>
            <w:r>
              <w:rPr>
                <w:rFonts w:hint="eastAsia"/>
                <w:color w:val="auto"/>
                <w:highlight w:val="none"/>
              </w:rPr>
              <w:t>27</w:t>
            </w:r>
          </w:p>
        </w:tc>
        <w:tc>
          <w:tcPr>
            <w:tcW w:w="2579" w:type="pct"/>
            <w:tcBorders>
              <w:tl2br w:val="nil"/>
              <w:tr2bl w:val="nil"/>
            </w:tcBorders>
            <w:vAlign w:val="center"/>
          </w:tcPr>
          <w:p>
            <w:pPr>
              <w:pStyle w:val="41"/>
              <w:jc w:val="left"/>
              <w:rPr>
                <w:color w:val="auto"/>
                <w:kern w:val="2"/>
                <w:highlight w:val="none"/>
              </w:rPr>
            </w:pPr>
            <w:r>
              <w:rPr>
                <w:rFonts w:hint="eastAsia"/>
                <w:color w:val="auto"/>
                <w:highlight w:val="none"/>
              </w:rPr>
              <w:t>生物多样性观测技术导则</w:t>
            </w:r>
          </w:p>
        </w:tc>
        <w:tc>
          <w:tcPr>
            <w:tcW w:w="1258" w:type="pct"/>
            <w:tcBorders>
              <w:tl2br w:val="nil"/>
              <w:tr2bl w:val="nil"/>
            </w:tcBorders>
            <w:vAlign w:val="center"/>
          </w:tcPr>
          <w:p>
            <w:pPr>
              <w:pStyle w:val="41"/>
              <w:rPr>
                <w:color w:val="auto"/>
                <w:kern w:val="2"/>
                <w:highlight w:val="none"/>
              </w:rPr>
            </w:pPr>
            <w:r>
              <w:rPr>
                <w:rFonts w:hint="eastAsia"/>
                <w:color w:val="auto"/>
                <w:highlight w:val="none"/>
              </w:rPr>
              <w:t>HJ710.1~13-2014</w:t>
            </w:r>
          </w:p>
        </w:tc>
        <w:tc>
          <w:tcPr>
            <w:tcW w:w="766" w:type="pct"/>
            <w:tcBorders>
              <w:tl2br w:val="nil"/>
              <w:tr2bl w:val="nil"/>
            </w:tcBorders>
            <w:vAlign w:val="center"/>
          </w:tcPr>
          <w:p>
            <w:pPr>
              <w:pStyle w:val="41"/>
              <w:rPr>
                <w:color w:val="auto"/>
                <w:kern w:val="2"/>
                <w:highlight w:val="none"/>
              </w:rPr>
            </w:pPr>
            <w:r>
              <w:rPr>
                <w:rFonts w:hint="eastAsia"/>
                <w:color w:val="auto"/>
                <w:highlight w:val="none"/>
              </w:rPr>
              <w:t>2015-01-01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tcPr>
          <w:p>
            <w:pPr>
              <w:pStyle w:val="41"/>
              <w:rPr>
                <w:color w:val="auto"/>
                <w:highlight w:val="none"/>
              </w:rPr>
            </w:pPr>
            <w:r>
              <w:rPr>
                <w:rFonts w:hint="eastAsia"/>
                <w:color w:val="auto"/>
                <w:highlight w:val="none"/>
              </w:rPr>
              <w:t>28</w:t>
            </w:r>
          </w:p>
        </w:tc>
        <w:tc>
          <w:tcPr>
            <w:tcW w:w="2579" w:type="pct"/>
            <w:tcBorders>
              <w:tl2br w:val="nil"/>
              <w:tr2bl w:val="nil"/>
            </w:tcBorders>
            <w:vAlign w:val="center"/>
          </w:tcPr>
          <w:p>
            <w:pPr>
              <w:pStyle w:val="41"/>
              <w:jc w:val="left"/>
              <w:rPr>
                <w:color w:val="auto"/>
                <w:kern w:val="2"/>
                <w:highlight w:val="none"/>
              </w:rPr>
            </w:pPr>
            <w:r>
              <w:rPr>
                <w:rFonts w:hint="eastAsia"/>
                <w:color w:val="auto"/>
                <w:highlight w:val="none"/>
              </w:rPr>
              <w:t>污染源源强核算技术指南 准则</w:t>
            </w:r>
          </w:p>
        </w:tc>
        <w:tc>
          <w:tcPr>
            <w:tcW w:w="1258" w:type="pct"/>
            <w:tcBorders>
              <w:tl2br w:val="nil"/>
              <w:tr2bl w:val="nil"/>
            </w:tcBorders>
            <w:vAlign w:val="center"/>
          </w:tcPr>
          <w:p>
            <w:pPr>
              <w:pStyle w:val="41"/>
              <w:rPr>
                <w:color w:val="auto"/>
                <w:kern w:val="2"/>
                <w:highlight w:val="none"/>
              </w:rPr>
            </w:pPr>
            <w:r>
              <w:rPr>
                <w:rFonts w:hint="eastAsia"/>
                <w:color w:val="auto"/>
                <w:highlight w:val="none"/>
              </w:rPr>
              <w:t>HJ884-2018</w:t>
            </w:r>
          </w:p>
        </w:tc>
        <w:tc>
          <w:tcPr>
            <w:tcW w:w="766" w:type="pct"/>
            <w:tcBorders>
              <w:tl2br w:val="nil"/>
              <w:tr2bl w:val="nil"/>
            </w:tcBorders>
            <w:vAlign w:val="center"/>
          </w:tcPr>
          <w:p>
            <w:pPr>
              <w:pStyle w:val="41"/>
              <w:rPr>
                <w:color w:val="auto"/>
                <w:kern w:val="2"/>
                <w:highlight w:val="none"/>
              </w:rPr>
            </w:pPr>
            <w:r>
              <w:rPr>
                <w:rFonts w:hint="eastAsia"/>
                <w:color w:val="auto"/>
                <w:highlight w:val="none"/>
              </w:rPr>
              <w:t>2018-03-17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5" w:type="pct"/>
            <w:tcBorders>
              <w:tl2br w:val="nil"/>
              <w:tr2bl w:val="nil"/>
            </w:tcBorders>
          </w:tcPr>
          <w:p>
            <w:pPr>
              <w:pStyle w:val="41"/>
              <w:rPr>
                <w:color w:val="auto"/>
                <w:highlight w:val="none"/>
              </w:rPr>
            </w:pPr>
            <w:r>
              <w:rPr>
                <w:rFonts w:hint="eastAsia"/>
                <w:color w:val="auto"/>
                <w:highlight w:val="none"/>
              </w:rPr>
              <w:t>29</w:t>
            </w:r>
          </w:p>
        </w:tc>
        <w:tc>
          <w:tcPr>
            <w:tcW w:w="2579" w:type="pct"/>
            <w:tcBorders>
              <w:tl2br w:val="nil"/>
              <w:tr2bl w:val="nil"/>
            </w:tcBorders>
            <w:vAlign w:val="center"/>
          </w:tcPr>
          <w:p>
            <w:pPr>
              <w:pStyle w:val="41"/>
              <w:jc w:val="left"/>
              <w:rPr>
                <w:color w:val="auto"/>
                <w:kern w:val="2"/>
                <w:highlight w:val="none"/>
              </w:rPr>
            </w:pPr>
            <w:r>
              <w:rPr>
                <w:rFonts w:hint="eastAsia"/>
                <w:color w:val="auto"/>
                <w:highlight w:val="none"/>
              </w:rPr>
              <w:t>排污单位自行监测技术指南 陆上石油天然气开采工业</w:t>
            </w:r>
          </w:p>
        </w:tc>
        <w:tc>
          <w:tcPr>
            <w:tcW w:w="1258" w:type="pct"/>
            <w:tcBorders>
              <w:tl2br w:val="nil"/>
              <w:tr2bl w:val="nil"/>
            </w:tcBorders>
            <w:vAlign w:val="center"/>
          </w:tcPr>
          <w:p>
            <w:pPr>
              <w:pStyle w:val="41"/>
              <w:rPr>
                <w:color w:val="auto"/>
                <w:kern w:val="2"/>
                <w:highlight w:val="none"/>
              </w:rPr>
            </w:pPr>
            <w:r>
              <w:rPr>
                <w:rFonts w:hint="eastAsia"/>
                <w:color w:val="auto"/>
                <w:highlight w:val="none"/>
              </w:rPr>
              <w:t>HJ1248-2022</w:t>
            </w:r>
          </w:p>
        </w:tc>
        <w:tc>
          <w:tcPr>
            <w:tcW w:w="766" w:type="pct"/>
            <w:tcBorders>
              <w:tl2br w:val="nil"/>
              <w:tr2bl w:val="nil"/>
            </w:tcBorders>
            <w:vAlign w:val="center"/>
          </w:tcPr>
          <w:p>
            <w:pPr>
              <w:pStyle w:val="41"/>
              <w:rPr>
                <w:color w:val="auto"/>
                <w:kern w:val="2"/>
                <w:highlight w:val="none"/>
              </w:rPr>
            </w:pPr>
            <w:r>
              <w:rPr>
                <w:rFonts w:hint="eastAsia"/>
                <w:color w:val="auto"/>
                <w:highlight w:val="none"/>
              </w:rPr>
              <w:t>2022-07-01</w:t>
            </w:r>
          </w:p>
        </w:tc>
      </w:tr>
    </w:tbl>
    <w:p>
      <w:pPr>
        <w:pStyle w:val="53"/>
        <w:rPr>
          <w:rFonts w:eastAsia="宋体"/>
          <w:color w:val="auto"/>
          <w:highlight w:val="none"/>
        </w:rPr>
      </w:pPr>
      <w:bookmarkStart w:id="106" w:name="_Toc173941789"/>
      <w:r>
        <w:rPr>
          <w:color w:val="auto"/>
          <w:highlight w:val="none"/>
        </w:rPr>
        <w:t>2.</w:t>
      </w:r>
      <w:r>
        <w:rPr>
          <w:rFonts w:hint="eastAsia"/>
          <w:color w:val="auto"/>
          <w:highlight w:val="none"/>
        </w:rPr>
        <w:t>1</w:t>
      </w:r>
      <w:r>
        <w:rPr>
          <w:color w:val="auto"/>
          <w:highlight w:val="none"/>
        </w:rPr>
        <w:t>.</w:t>
      </w:r>
      <w:r>
        <w:rPr>
          <w:rFonts w:hint="eastAsia"/>
          <w:color w:val="auto"/>
          <w:highlight w:val="none"/>
        </w:rPr>
        <w:t>4</w:t>
      </w:r>
      <w:bookmarkEnd w:id="106"/>
      <w:r>
        <w:rPr>
          <w:rFonts w:hint="eastAsia"/>
          <w:color w:val="auto"/>
          <w:highlight w:val="none"/>
        </w:rPr>
        <w:t>相关文件及技术资料</w:t>
      </w:r>
    </w:p>
    <w:p>
      <w:pPr>
        <w:pStyle w:val="57"/>
        <w:rPr>
          <w:color w:val="auto"/>
          <w:highlight w:val="none"/>
        </w:rPr>
      </w:pPr>
      <w:r>
        <w:rPr>
          <w:color w:val="auto"/>
          <w:highlight w:val="none"/>
        </w:rPr>
        <w:t>（1）</w:t>
      </w:r>
      <w:r>
        <w:rPr>
          <w:rFonts w:hint="eastAsia"/>
          <w:color w:val="auto"/>
          <w:highlight w:val="none"/>
          <w:lang w:eastAsia="zh-CN"/>
        </w:rPr>
        <w:t>新疆夏子街油田丰探1井区二叠系风城组页岩油2025年产能建设项目</w:t>
      </w:r>
      <w:r>
        <w:rPr>
          <w:color w:val="auto"/>
          <w:highlight w:val="none"/>
        </w:rPr>
        <w:t>环境影响评价委托书，</w:t>
      </w:r>
      <w:r>
        <w:rPr>
          <w:rFonts w:hint="eastAsia"/>
          <w:color w:val="auto"/>
          <w:highlight w:val="none"/>
          <w:lang w:eastAsia="zh-CN"/>
        </w:rPr>
        <w:t>中国石油新疆油田分公司玛湖勘探开发项目部</w:t>
      </w:r>
      <w:r>
        <w:rPr>
          <w:color w:val="auto"/>
          <w:highlight w:val="none"/>
        </w:rPr>
        <w:t>；</w:t>
      </w:r>
    </w:p>
    <w:p>
      <w:pPr>
        <w:pStyle w:val="57"/>
        <w:rPr>
          <w:color w:val="auto"/>
          <w:highlight w:val="none"/>
        </w:rPr>
      </w:pPr>
      <w:r>
        <w:rPr>
          <w:color w:val="auto"/>
          <w:highlight w:val="none"/>
        </w:rPr>
        <w:t>（2）</w:t>
      </w:r>
      <w:r>
        <w:rPr>
          <w:rFonts w:hint="eastAsia"/>
          <w:color w:val="auto"/>
          <w:highlight w:val="none"/>
          <w:lang w:eastAsia="zh-CN"/>
        </w:rPr>
        <w:t>新疆夏子街油田丰探1井区二叠系风城组页岩油2025年产能建设项目</w:t>
      </w:r>
      <w:r>
        <w:rPr>
          <w:color w:val="auto"/>
          <w:highlight w:val="none"/>
        </w:rPr>
        <w:t>相关资料，</w:t>
      </w:r>
      <w:r>
        <w:rPr>
          <w:rFonts w:hint="eastAsia"/>
          <w:color w:val="auto"/>
          <w:highlight w:val="none"/>
          <w:lang w:eastAsia="zh-CN"/>
        </w:rPr>
        <w:t>中国石油新疆油田分公司玛湖勘探开发项目部</w:t>
      </w:r>
      <w:r>
        <w:rPr>
          <w:color w:val="auto"/>
          <w:highlight w:val="none"/>
        </w:rPr>
        <w:t>。</w:t>
      </w:r>
    </w:p>
    <w:p>
      <w:pPr>
        <w:pStyle w:val="49"/>
        <w:rPr>
          <w:color w:val="auto"/>
          <w:highlight w:val="none"/>
        </w:rPr>
      </w:pPr>
      <w:bookmarkStart w:id="107" w:name="_Toc22514"/>
      <w:bookmarkStart w:id="108" w:name="_Toc23151"/>
      <w:r>
        <w:rPr>
          <w:color w:val="auto"/>
          <w:highlight w:val="none"/>
        </w:rPr>
        <w:t>2.</w:t>
      </w:r>
      <w:r>
        <w:rPr>
          <w:rFonts w:hint="eastAsia"/>
          <w:color w:val="auto"/>
          <w:highlight w:val="none"/>
        </w:rPr>
        <w:t>2</w:t>
      </w:r>
      <w:r>
        <w:rPr>
          <w:color w:val="auto"/>
          <w:highlight w:val="none"/>
        </w:rPr>
        <w:t>评价目的与原则</w:t>
      </w:r>
      <w:bookmarkEnd w:id="87"/>
      <w:bookmarkEnd w:id="88"/>
      <w:bookmarkEnd w:id="89"/>
      <w:bookmarkEnd w:id="90"/>
      <w:bookmarkEnd w:id="91"/>
      <w:bookmarkEnd w:id="107"/>
      <w:bookmarkEnd w:id="108"/>
    </w:p>
    <w:p>
      <w:pPr>
        <w:pStyle w:val="53"/>
        <w:rPr>
          <w:color w:val="auto"/>
          <w:highlight w:val="none"/>
        </w:rPr>
      </w:pPr>
      <w:bookmarkStart w:id="109" w:name="_Toc173941784"/>
      <w:r>
        <w:rPr>
          <w:color w:val="auto"/>
          <w:highlight w:val="none"/>
        </w:rPr>
        <w:t>2.</w:t>
      </w:r>
      <w:r>
        <w:rPr>
          <w:rFonts w:hint="eastAsia"/>
          <w:color w:val="auto"/>
          <w:highlight w:val="none"/>
        </w:rPr>
        <w:t>2</w:t>
      </w:r>
      <w:r>
        <w:rPr>
          <w:color w:val="auto"/>
          <w:highlight w:val="none"/>
        </w:rPr>
        <w:t>.1评价目的</w:t>
      </w:r>
      <w:bookmarkEnd w:id="92"/>
      <w:bookmarkEnd w:id="93"/>
      <w:bookmarkEnd w:id="94"/>
      <w:bookmarkEnd w:id="95"/>
      <w:bookmarkEnd w:id="96"/>
      <w:bookmarkEnd w:id="97"/>
      <w:bookmarkEnd w:id="98"/>
      <w:bookmarkEnd w:id="109"/>
    </w:p>
    <w:p>
      <w:pPr>
        <w:pStyle w:val="57"/>
        <w:rPr>
          <w:color w:val="auto"/>
          <w:highlight w:val="none"/>
        </w:rPr>
      </w:pPr>
      <w:r>
        <w:rPr>
          <w:color w:val="auto"/>
          <w:highlight w:val="none"/>
        </w:rPr>
        <w:t>（1）通过实地调查和现状监测，了解项目所在区域的自然环境、社会环境和经济状况、自然资源及土地利用情况，掌握项目所在区域的环境质量和生态环境现状。</w:t>
      </w:r>
    </w:p>
    <w:p>
      <w:pPr>
        <w:pStyle w:val="57"/>
        <w:rPr>
          <w:color w:val="auto"/>
          <w:highlight w:val="none"/>
        </w:rPr>
      </w:pPr>
      <w:r>
        <w:rPr>
          <w:color w:val="auto"/>
          <w:highlight w:val="none"/>
        </w:rPr>
        <w:t>（2）通过工程分析，明确</w:t>
      </w:r>
      <w:r>
        <w:rPr>
          <w:rFonts w:hint="eastAsia"/>
          <w:color w:val="auto"/>
          <w:highlight w:val="none"/>
        </w:rPr>
        <w:t>本工程</w:t>
      </w:r>
      <w:r>
        <w:rPr>
          <w:color w:val="auto"/>
          <w:highlight w:val="none"/>
        </w:rPr>
        <w:t>各个生产阶段的主要污染源、污染物种类、排放强度，分析环境污染的影响特征，预测和评价</w:t>
      </w:r>
      <w:r>
        <w:rPr>
          <w:rFonts w:hint="eastAsia"/>
          <w:color w:val="auto"/>
          <w:highlight w:val="none"/>
        </w:rPr>
        <w:t>本工程</w:t>
      </w:r>
      <w:r>
        <w:rPr>
          <w:color w:val="auto"/>
          <w:highlight w:val="none"/>
        </w:rPr>
        <w:t>施工期、运营期以及服役期满后对环境的影响程度，并提出应采取的污染防治和生态保护措施；分析论证施工期对自然资源的破坏程度。</w:t>
      </w:r>
    </w:p>
    <w:p>
      <w:pPr>
        <w:pStyle w:val="57"/>
        <w:rPr>
          <w:color w:val="auto"/>
          <w:highlight w:val="none"/>
        </w:rPr>
      </w:pPr>
      <w:r>
        <w:rPr>
          <w:color w:val="auto"/>
          <w:highlight w:val="none"/>
        </w:rPr>
        <w:t>（3）评述拟采取的环境保护措施的可行性、合理性及清洁生产水平，并针对存在的问题，提出各个生产阶段不同的、有针对性的、切实可行的环保措施和建议。</w:t>
      </w:r>
    </w:p>
    <w:p>
      <w:pPr>
        <w:pStyle w:val="57"/>
        <w:rPr>
          <w:color w:val="auto"/>
          <w:highlight w:val="none"/>
        </w:rPr>
      </w:pPr>
      <w:r>
        <w:rPr>
          <w:color w:val="auto"/>
          <w:highlight w:val="none"/>
        </w:rPr>
        <w:t>（4）评价</w:t>
      </w:r>
      <w:r>
        <w:rPr>
          <w:rFonts w:hint="eastAsia"/>
          <w:color w:val="auto"/>
          <w:highlight w:val="none"/>
        </w:rPr>
        <w:t>本工程</w:t>
      </w:r>
      <w:r>
        <w:rPr>
          <w:color w:val="auto"/>
          <w:highlight w:val="none"/>
        </w:rPr>
        <w:t>与国家产业政策、区域总体发展规划、清洁生产、达标排放和污染物排放总量控制的符合性。</w:t>
      </w:r>
    </w:p>
    <w:p>
      <w:pPr>
        <w:pStyle w:val="57"/>
        <w:rPr>
          <w:color w:val="auto"/>
          <w:highlight w:val="none"/>
        </w:rPr>
      </w:pPr>
      <w:r>
        <w:rPr>
          <w:color w:val="auto"/>
          <w:highlight w:val="none"/>
        </w:rPr>
        <w:t>通过上述评价，论证项目在环境方面的可行性，给出环境影响评价结论，为</w:t>
      </w:r>
      <w:r>
        <w:rPr>
          <w:rFonts w:hint="eastAsia"/>
          <w:color w:val="auto"/>
          <w:highlight w:val="none"/>
        </w:rPr>
        <w:t>本工程</w:t>
      </w:r>
      <w:r>
        <w:rPr>
          <w:color w:val="auto"/>
          <w:highlight w:val="none"/>
        </w:rPr>
        <w:t>的设计、施工、验收及建成投产后的环境管理提供技术依据，为生态环境主管部门提供决策依据。</w:t>
      </w:r>
    </w:p>
    <w:p>
      <w:pPr>
        <w:pStyle w:val="53"/>
        <w:rPr>
          <w:color w:val="auto"/>
          <w:highlight w:val="none"/>
        </w:rPr>
      </w:pPr>
      <w:bookmarkStart w:id="110" w:name="_Toc329026108"/>
      <w:bookmarkStart w:id="111" w:name="_Toc330418976"/>
      <w:bookmarkStart w:id="112" w:name="_Toc312148932"/>
      <w:bookmarkStart w:id="113" w:name="_Toc465181726"/>
      <w:bookmarkStart w:id="114" w:name="_Toc332317906"/>
      <w:bookmarkStart w:id="115" w:name="_Toc330418761"/>
      <w:bookmarkStart w:id="116" w:name="_Toc313911248"/>
      <w:bookmarkStart w:id="117" w:name="_Toc173941785"/>
      <w:r>
        <w:rPr>
          <w:color w:val="auto"/>
          <w:highlight w:val="none"/>
        </w:rPr>
        <w:t>2.</w:t>
      </w:r>
      <w:r>
        <w:rPr>
          <w:rFonts w:hint="eastAsia"/>
          <w:color w:val="auto"/>
          <w:highlight w:val="none"/>
        </w:rPr>
        <w:t>2</w:t>
      </w:r>
      <w:r>
        <w:rPr>
          <w:color w:val="auto"/>
          <w:highlight w:val="none"/>
        </w:rPr>
        <w:t>.2评价原则</w:t>
      </w:r>
      <w:bookmarkEnd w:id="110"/>
      <w:bookmarkEnd w:id="111"/>
      <w:bookmarkEnd w:id="112"/>
      <w:bookmarkEnd w:id="113"/>
      <w:bookmarkEnd w:id="114"/>
      <w:bookmarkEnd w:id="115"/>
      <w:bookmarkEnd w:id="116"/>
      <w:bookmarkEnd w:id="117"/>
    </w:p>
    <w:p>
      <w:pPr>
        <w:pStyle w:val="57"/>
        <w:rPr>
          <w:color w:val="auto"/>
          <w:highlight w:val="none"/>
        </w:rPr>
      </w:pPr>
      <w:r>
        <w:rPr>
          <w:color w:val="auto"/>
          <w:highlight w:val="none"/>
        </w:rPr>
        <w:t>（1）依法评价</w:t>
      </w:r>
    </w:p>
    <w:p>
      <w:pPr>
        <w:pStyle w:val="57"/>
        <w:rPr>
          <w:color w:val="auto"/>
          <w:highlight w:val="none"/>
        </w:rPr>
      </w:pPr>
      <w:r>
        <w:rPr>
          <w:color w:val="auto"/>
          <w:highlight w:val="none"/>
        </w:rPr>
        <w:t>贯彻执行我国环境保护相关法律法规、标准、政策和规划等，优化</w:t>
      </w:r>
      <w:r>
        <w:rPr>
          <w:rFonts w:hint="eastAsia"/>
          <w:color w:val="auto"/>
          <w:highlight w:val="none"/>
        </w:rPr>
        <w:t>本工程</w:t>
      </w:r>
      <w:r>
        <w:rPr>
          <w:color w:val="auto"/>
          <w:highlight w:val="none"/>
        </w:rPr>
        <w:t>建设，服务环境管理。</w:t>
      </w:r>
    </w:p>
    <w:p>
      <w:pPr>
        <w:pStyle w:val="57"/>
        <w:rPr>
          <w:color w:val="auto"/>
          <w:highlight w:val="none"/>
        </w:rPr>
      </w:pPr>
      <w:r>
        <w:rPr>
          <w:color w:val="auto"/>
          <w:highlight w:val="none"/>
        </w:rPr>
        <w:t>（2）科学评价</w:t>
      </w:r>
    </w:p>
    <w:p>
      <w:pPr>
        <w:pStyle w:val="57"/>
        <w:rPr>
          <w:color w:val="auto"/>
          <w:highlight w:val="none"/>
        </w:rPr>
      </w:pPr>
      <w:r>
        <w:rPr>
          <w:color w:val="auto"/>
          <w:highlight w:val="none"/>
        </w:rPr>
        <w:t>规范环境影响评价方法，科学分析</w:t>
      </w:r>
      <w:r>
        <w:rPr>
          <w:rFonts w:hint="eastAsia"/>
          <w:color w:val="auto"/>
          <w:highlight w:val="none"/>
        </w:rPr>
        <w:t>本工程</w:t>
      </w:r>
      <w:r>
        <w:rPr>
          <w:color w:val="auto"/>
          <w:highlight w:val="none"/>
        </w:rPr>
        <w:t>建设对环境质量的影响。</w:t>
      </w:r>
    </w:p>
    <w:p>
      <w:pPr>
        <w:pStyle w:val="57"/>
        <w:rPr>
          <w:color w:val="auto"/>
          <w:highlight w:val="none"/>
        </w:rPr>
      </w:pPr>
      <w:r>
        <w:rPr>
          <w:color w:val="auto"/>
          <w:highlight w:val="none"/>
        </w:rPr>
        <w:t>（3）突出重点</w:t>
      </w:r>
    </w:p>
    <w:p>
      <w:pPr>
        <w:pStyle w:val="57"/>
        <w:rPr>
          <w:color w:val="auto"/>
          <w:highlight w:val="none"/>
        </w:rPr>
      </w:pPr>
      <w:r>
        <w:rPr>
          <w:color w:val="auto"/>
          <w:highlight w:val="none"/>
        </w:rPr>
        <w:t>根据建设项目的工程内容及其特点，明确与环境要素间的作用效应关系，根据规划环境影响评价结论和审查意见，充分利用符合时效的数据资料及成果，对建设项目主要环境影响予以重点分析和评价。</w:t>
      </w:r>
    </w:p>
    <w:p>
      <w:pPr>
        <w:pStyle w:val="49"/>
        <w:rPr>
          <w:color w:val="auto"/>
          <w:highlight w:val="none"/>
        </w:rPr>
      </w:pPr>
      <w:bookmarkStart w:id="118" w:name="_Toc36583803"/>
      <w:bookmarkStart w:id="119" w:name="_Toc173941790"/>
      <w:bookmarkStart w:id="120" w:name="_Toc4420"/>
      <w:bookmarkStart w:id="121" w:name="_Toc173942666"/>
      <w:bookmarkStart w:id="122" w:name="_Toc173941712"/>
      <w:bookmarkStart w:id="123" w:name="_Toc15438"/>
      <w:bookmarkStart w:id="124" w:name="_Toc507411704"/>
      <w:bookmarkStart w:id="125" w:name="_Toc390851520"/>
      <w:bookmarkStart w:id="126" w:name="_Toc500856903"/>
      <w:bookmarkStart w:id="127" w:name="_Toc29535"/>
      <w:r>
        <w:rPr>
          <w:color w:val="auto"/>
          <w:highlight w:val="none"/>
        </w:rPr>
        <w:t>2.3环境影响因素识别和评价因子筛选</w:t>
      </w:r>
      <w:bookmarkEnd w:id="118"/>
      <w:bookmarkEnd w:id="119"/>
      <w:bookmarkEnd w:id="120"/>
      <w:bookmarkEnd w:id="121"/>
      <w:bookmarkEnd w:id="122"/>
      <w:bookmarkEnd w:id="123"/>
      <w:bookmarkEnd w:id="124"/>
      <w:bookmarkEnd w:id="125"/>
      <w:bookmarkEnd w:id="126"/>
      <w:bookmarkEnd w:id="127"/>
    </w:p>
    <w:p>
      <w:pPr>
        <w:pStyle w:val="53"/>
        <w:rPr>
          <w:color w:val="auto"/>
          <w:highlight w:val="none"/>
        </w:rPr>
      </w:pPr>
      <w:bookmarkStart w:id="128" w:name="_Toc500856904"/>
      <w:bookmarkStart w:id="129" w:name="_Toc173941791"/>
      <w:r>
        <w:rPr>
          <w:color w:val="auto"/>
          <w:highlight w:val="none"/>
        </w:rPr>
        <w:t>2.3.1环境影响因素识别</w:t>
      </w:r>
      <w:bookmarkEnd w:id="128"/>
      <w:bookmarkEnd w:id="129"/>
    </w:p>
    <w:p>
      <w:pPr>
        <w:pStyle w:val="57"/>
        <w:rPr>
          <w:color w:val="auto"/>
          <w:highlight w:val="none"/>
        </w:rPr>
      </w:pPr>
      <w:r>
        <w:rPr>
          <w:rFonts w:hint="eastAsia"/>
          <w:color w:val="auto"/>
          <w:highlight w:val="none"/>
        </w:rPr>
        <w:t>本工程</w:t>
      </w:r>
      <w:r>
        <w:rPr>
          <w:color w:val="auto"/>
          <w:highlight w:val="none"/>
        </w:rPr>
        <w:t>主要包括</w:t>
      </w:r>
      <w:r>
        <w:rPr>
          <w:rFonts w:hint="eastAsia"/>
          <w:color w:val="auto"/>
          <w:highlight w:val="none"/>
          <w:lang w:val="en-US" w:eastAsia="zh-CN"/>
        </w:rPr>
        <w:t>钻井工程、</w:t>
      </w:r>
      <w:r>
        <w:rPr>
          <w:color w:val="auto"/>
          <w:highlight w:val="none"/>
        </w:rPr>
        <w:t>地面工程、油气开采、集输等内容，对环境的影响主要表现在施工期、运营期和</w:t>
      </w:r>
      <w:r>
        <w:rPr>
          <w:rFonts w:hint="eastAsia"/>
          <w:color w:val="auto"/>
          <w:highlight w:val="none"/>
        </w:rPr>
        <w:t>退役期</w:t>
      </w:r>
      <w:r>
        <w:rPr>
          <w:color w:val="auto"/>
          <w:highlight w:val="none"/>
        </w:rPr>
        <w:t>。施工期以</w:t>
      </w:r>
      <w:r>
        <w:rPr>
          <w:rFonts w:hint="eastAsia"/>
          <w:color w:val="auto"/>
          <w:highlight w:val="none"/>
          <w:lang w:val="en-US" w:eastAsia="zh-CN"/>
        </w:rPr>
        <w:t>钻井工程、井场、</w:t>
      </w:r>
      <w:r>
        <w:rPr>
          <w:rFonts w:hint="eastAsia"/>
          <w:color w:val="auto"/>
          <w:highlight w:val="none"/>
        </w:rPr>
        <w:t>站场</w:t>
      </w:r>
      <w:r>
        <w:rPr>
          <w:color w:val="auto"/>
          <w:highlight w:val="none"/>
        </w:rPr>
        <w:t>工程</w:t>
      </w:r>
      <w:r>
        <w:rPr>
          <w:rFonts w:hint="eastAsia"/>
          <w:color w:val="auto"/>
          <w:highlight w:val="none"/>
        </w:rPr>
        <w:t>建设、</w:t>
      </w:r>
      <w:r>
        <w:rPr>
          <w:color w:val="auto"/>
          <w:highlight w:val="none"/>
        </w:rPr>
        <w:t>管线敷设</w:t>
      </w:r>
      <w:r>
        <w:rPr>
          <w:rFonts w:hint="eastAsia"/>
          <w:color w:val="auto"/>
          <w:highlight w:val="none"/>
        </w:rPr>
        <w:t>以及配套</w:t>
      </w:r>
      <w:r>
        <w:rPr>
          <w:color w:val="auto"/>
          <w:highlight w:val="none"/>
        </w:rPr>
        <w:t>工程建设过程中造成的生态影响为主，运营期以油气开采和集输过程中产生的污染为主，环境影响因素识别详见表2.3-1。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表2.3-1  影响因素识别</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40"/>
        <w:gridCol w:w="1198"/>
        <w:gridCol w:w="3137"/>
        <w:gridCol w:w="2657"/>
        <w:gridCol w:w="10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tcBorders>
              <w:tl2br w:val="nil"/>
              <w:tr2bl w:val="nil"/>
            </w:tcBorders>
            <w:vAlign w:val="center"/>
          </w:tcPr>
          <w:p>
            <w:pPr>
              <w:pStyle w:val="41"/>
              <w:rPr>
                <w:color w:val="auto"/>
                <w:highlight w:val="none"/>
              </w:rPr>
            </w:pPr>
            <w:r>
              <w:rPr>
                <w:color w:val="auto"/>
                <w:highlight w:val="none"/>
              </w:rPr>
              <w:t>序号</w:t>
            </w:r>
          </w:p>
        </w:tc>
        <w:tc>
          <w:tcPr>
            <w:tcW w:w="678" w:type="pct"/>
            <w:tcBorders>
              <w:tl2br w:val="nil"/>
              <w:tr2bl w:val="nil"/>
            </w:tcBorders>
            <w:vAlign w:val="center"/>
          </w:tcPr>
          <w:p>
            <w:pPr>
              <w:pStyle w:val="41"/>
              <w:rPr>
                <w:color w:val="auto"/>
                <w:highlight w:val="none"/>
              </w:rPr>
            </w:pPr>
            <w:r>
              <w:rPr>
                <w:color w:val="auto"/>
                <w:highlight w:val="none"/>
              </w:rPr>
              <w:t>时段</w:t>
            </w:r>
          </w:p>
        </w:tc>
        <w:tc>
          <w:tcPr>
            <w:tcW w:w="1776" w:type="pct"/>
            <w:tcBorders>
              <w:tl2br w:val="nil"/>
              <w:tr2bl w:val="nil"/>
            </w:tcBorders>
            <w:vAlign w:val="center"/>
          </w:tcPr>
          <w:p>
            <w:pPr>
              <w:pStyle w:val="41"/>
              <w:rPr>
                <w:color w:val="auto"/>
                <w:highlight w:val="none"/>
              </w:rPr>
            </w:pPr>
            <w:r>
              <w:rPr>
                <w:color w:val="auto"/>
                <w:highlight w:val="none"/>
              </w:rPr>
              <w:t>主要影响因素</w:t>
            </w:r>
          </w:p>
        </w:tc>
        <w:tc>
          <w:tcPr>
            <w:tcW w:w="1504" w:type="pct"/>
            <w:tcBorders>
              <w:tl2br w:val="nil"/>
              <w:tr2bl w:val="nil"/>
            </w:tcBorders>
            <w:vAlign w:val="center"/>
          </w:tcPr>
          <w:p>
            <w:pPr>
              <w:pStyle w:val="41"/>
              <w:rPr>
                <w:color w:val="auto"/>
                <w:highlight w:val="none"/>
              </w:rPr>
            </w:pPr>
            <w:r>
              <w:rPr>
                <w:color w:val="auto"/>
                <w:highlight w:val="none"/>
              </w:rPr>
              <w:t>主要环境影响因子</w:t>
            </w:r>
          </w:p>
        </w:tc>
        <w:tc>
          <w:tcPr>
            <w:tcW w:w="620" w:type="pct"/>
            <w:tcBorders>
              <w:tl2br w:val="nil"/>
              <w:tr2bl w:val="nil"/>
            </w:tcBorders>
            <w:vAlign w:val="center"/>
          </w:tcPr>
          <w:p>
            <w:pPr>
              <w:pStyle w:val="41"/>
              <w:rPr>
                <w:color w:val="auto"/>
                <w:highlight w:val="none"/>
              </w:rPr>
            </w:pPr>
            <w:r>
              <w:rPr>
                <w:color w:val="auto"/>
                <w:highlight w:val="none"/>
              </w:rPr>
              <w:t>分析结果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restart"/>
            <w:tcBorders>
              <w:tl2br w:val="nil"/>
              <w:tr2bl w:val="nil"/>
            </w:tcBorders>
            <w:vAlign w:val="center"/>
          </w:tcPr>
          <w:p>
            <w:pPr>
              <w:pStyle w:val="41"/>
              <w:rPr>
                <w:color w:val="auto"/>
                <w:highlight w:val="none"/>
              </w:rPr>
            </w:pPr>
            <w:r>
              <w:rPr>
                <w:color w:val="auto"/>
                <w:highlight w:val="none"/>
              </w:rPr>
              <w:t>1</w:t>
            </w:r>
          </w:p>
        </w:tc>
        <w:tc>
          <w:tcPr>
            <w:tcW w:w="678" w:type="pct"/>
            <w:vMerge w:val="restart"/>
            <w:tcBorders>
              <w:tl2br w:val="nil"/>
              <w:tr2bl w:val="nil"/>
            </w:tcBorders>
            <w:vAlign w:val="center"/>
          </w:tcPr>
          <w:p>
            <w:pPr>
              <w:pStyle w:val="41"/>
              <w:rPr>
                <w:color w:val="auto"/>
                <w:highlight w:val="none"/>
              </w:rPr>
            </w:pPr>
            <w:r>
              <w:rPr>
                <w:color w:val="auto"/>
                <w:highlight w:val="none"/>
              </w:rPr>
              <w:t>施工期</w:t>
            </w:r>
          </w:p>
        </w:tc>
        <w:tc>
          <w:tcPr>
            <w:tcW w:w="1776" w:type="pct"/>
            <w:tcBorders>
              <w:tl2br w:val="nil"/>
              <w:tr2bl w:val="nil"/>
            </w:tcBorders>
            <w:vAlign w:val="center"/>
          </w:tcPr>
          <w:p>
            <w:pPr>
              <w:pStyle w:val="41"/>
              <w:rPr>
                <w:color w:val="auto"/>
                <w:highlight w:val="none"/>
              </w:rPr>
            </w:pPr>
            <w:r>
              <w:rPr>
                <w:color w:val="auto"/>
                <w:highlight w:val="none"/>
              </w:rPr>
              <w:t>井场</w:t>
            </w:r>
            <w:r>
              <w:rPr>
                <w:rFonts w:hint="eastAsia"/>
                <w:color w:val="auto"/>
                <w:highlight w:val="none"/>
              </w:rPr>
              <w:t>、站场</w:t>
            </w:r>
          </w:p>
        </w:tc>
        <w:tc>
          <w:tcPr>
            <w:tcW w:w="1504" w:type="pct"/>
            <w:tcBorders>
              <w:tl2br w:val="nil"/>
              <w:tr2bl w:val="nil"/>
            </w:tcBorders>
            <w:vAlign w:val="center"/>
          </w:tcPr>
          <w:p>
            <w:pPr>
              <w:pStyle w:val="41"/>
              <w:rPr>
                <w:color w:val="auto"/>
                <w:highlight w:val="none"/>
              </w:rPr>
            </w:pPr>
            <w:r>
              <w:rPr>
                <w:color w:val="auto"/>
                <w:highlight w:val="none"/>
              </w:rPr>
              <w:t>占地、动植物影响</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vMerge w:val="restart"/>
            <w:tcBorders>
              <w:tl2br w:val="nil"/>
              <w:tr2bl w:val="nil"/>
            </w:tcBorders>
            <w:vAlign w:val="center"/>
          </w:tcPr>
          <w:p>
            <w:pPr>
              <w:pStyle w:val="41"/>
              <w:rPr>
                <w:color w:val="auto"/>
                <w:highlight w:val="none"/>
              </w:rPr>
            </w:pPr>
            <w:r>
              <w:rPr>
                <w:color w:val="auto"/>
                <w:highlight w:val="none"/>
              </w:rPr>
              <w:t>管线建设</w:t>
            </w:r>
          </w:p>
        </w:tc>
        <w:tc>
          <w:tcPr>
            <w:tcW w:w="1504" w:type="pct"/>
            <w:tcBorders>
              <w:tl2br w:val="nil"/>
              <w:tr2bl w:val="nil"/>
            </w:tcBorders>
            <w:vAlign w:val="center"/>
          </w:tcPr>
          <w:p>
            <w:pPr>
              <w:pStyle w:val="41"/>
              <w:rPr>
                <w:color w:val="auto"/>
                <w:highlight w:val="none"/>
              </w:rPr>
            </w:pPr>
            <w:r>
              <w:rPr>
                <w:color w:val="auto"/>
                <w:highlight w:val="none"/>
              </w:rPr>
              <w:t>破坏土壤和植被</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vMerge w:val="continue"/>
            <w:tcBorders>
              <w:tl2br w:val="nil"/>
              <w:tr2bl w:val="nil"/>
            </w:tcBorders>
            <w:vAlign w:val="center"/>
          </w:tcPr>
          <w:p>
            <w:pPr>
              <w:pStyle w:val="41"/>
              <w:rPr>
                <w:color w:val="auto"/>
                <w:highlight w:val="none"/>
              </w:rPr>
            </w:pPr>
          </w:p>
        </w:tc>
        <w:tc>
          <w:tcPr>
            <w:tcW w:w="1504" w:type="pct"/>
            <w:tcBorders>
              <w:tl2br w:val="nil"/>
              <w:tr2bl w:val="nil"/>
            </w:tcBorders>
            <w:vAlign w:val="center"/>
          </w:tcPr>
          <w:p>
            <w:pPr>
              <w:pStyle w:val="41"/>
              <w:rPr>
                <w:color w:val="auto"/>
                <w:highlight w:val="none"/>
              </w:rPr>
            </w:pPr>
            <w:r>
              <w:rPr>
                <w:color w:val="auto"/>
                <w:highlight w:val="none"/>
              </w:rPr>
              <w:t>引起水土流失</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vMerge w:val="continue"/>
            <w:tcBorders>
              <w:tl2br w:val="nil"/>
              <w:tr2bl w:val="nil"/>
            </w:tcBorders>
            <w:vAlign w:val="center"/>
          </w:tcPr>
          <w:p>
            <w:pPr>
              <w:pStyle w:val="41"/>
              <w:rPr>
                <w:color w:val="auto"/>
                <w:highlight w:val="none"/>
              </w:rPr>
            </w:pPr>
          </w:p>
        </w:tc>
        <w:tc>
          <w:tcPr>
            <w:tcW w:w="1504" w:type="pct"/>
            <w:tcBorders>
              <w:tl2br w:val="nil"/>
              <w:tr2bl w:val="nil"/>
            </w:tcBorders>
            <w:vAlign w:val="center"/>
          </w:tcPr>
          <w:p>
            <w:pPr>
              <w:pStyle w:val="41"/>
              <w:rPr>
                <w:color w:val="auto"/>
                <w:highlight w:val="none"/>
              </w:rPr>
            </w:pPr>
            <w:r>
              <w:rPr>
                <w:color w:val="auto"/>
                <w:highlight w:val="none"/>
              </w:rPr>
              <w:t>影响土地利用</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vMerge w:val="continue"/>
            <w:tcBorders>
              <w:tl2br w:val="nil"/>
              <w:tr2bl w:val="nil"/>
            </w:tcBorders>
            <w:vAlign w:val="center"/>
          </w:tcPr>
          <w:p>
            <w:pPr>
              <w:pStyle w:val="41"/>
              <w:rPr>
                <w:color w:val="auto"/>
                <w:highlight w:val="none"/>
              </w:rPr>
            </w:pPr>
          </w:p>
        </w:tc>
        <w:tc>
          <w:tcPr>
            <w:tcW w:w="1504" w:type="pct"/>
            <w:tcBorders>
              <w:tl2br w:val="nil"/>
              <w:tr2bl w:val="nil"/>
            </w:tcBorders>
            <w:vAlign w:val="center"/>
          </w:tcPr>
          <w:p>
            <w:pPr>
              <w:pStyle w:val="41"/>
              <w:rPr>
                <w:color w:val="auto"/>
                <w:highlight w:val="none"/>
              </w:rPr>
            </w:pPr>
            <w:r>
              <w:rPr>
                <w:color w:val="auto"/>
                <w:highlight w:val="none"/>
              </w:rPr>
              <w:t>声环境</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vMerge w:val="continue"/>
            <w:tcBorders>
              <w:tl2br w:val="nil"/>
              <w:tr2bl w:val="nil"/>
            </w:tcBorders>
            <w:vAlign w:val="center"/>
          </w:tcPr>
          <w:p>
            <w:pPr>
              <w:pStyle w:val="41"/>
              <w:rPr>
                <w:color w:val="auto"/>
                <w:highlight w:val="none"/>
              </w:rPr>
            </w:pPr>
          </w:p>
        </w:tc>
        <w:tc>
          <w:tcPr>
            <w:tcW w:w="1504" w:type="pct"/>
            <w:tcBorders>
              <w:tl2br w:val="nil"/>
              <w:tr2bl w:val="nil"/>
            </w:tcBorders>
            <w:vAlign w:val="center"/>
          </w:tcPr>
          <w:p>
            <w:pPr>
              <w:pStyle w:val="41"/>
              <w:rPr>
                <w:color w:val="auto"/>
                <w:highlight w:val="none"/>
              </w:rPr>
            </w:pPr>
            <w:r>
              <w:rPr>
                <w:color w:val="auto"/>
                <w:highlight w:val="none"/>
              </w:rPr>
              <w:t>改变自然景观</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vMerge w:val="continue"/>
            <w:tcBorders>
              <w:tl2br w:val="nil"/>
              <w:tr2bl w:val="nil"/>
            </w:tcBorders>
            <w:vAlign w:val="center"/>
          </w:tcPr>
          <w:p>
            <w:pPr>
              <w:pStyle w:val="41"/>
              <w:rPr>
                <w:color w:val="auto"/>
                <w:highlight w:val="none"/>
              </w:rPr>
            </w:pPr>
          </w:p>
        </w:tc>
        <w:tc>
          <w:tcPr>
            <w:tcW w:w="1504" w:type="pct"/>
            <w:tcBorders>
              <w:tl2br w:val="nil"/>
              <w:tr2bl w:val="nil"/>
            </w:tcBorders>
            <w:vAlign w:val="center"/>
          </w:tcPr>
          <w:p>
            <w:pPr>
              <w:pStyle w:val="41"/>
              <w:rPr>
                <w:color w:val="auto"/>
                <w:highlight w:val="none"/>
              </w:rPr>
            </w:pPr>
            <w:r>
              <w:rPr>
                <w:color w:val="auto"/>
                <w:highlight w:val="none"/>
              </w:rPr>
              <w:t>影响道路交通</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color w:val="auto"/>
                <w:highlight w:val="none"/>
              </w:rPr>
            </w:pPr>
            <w:r>
              <w:rPr>
                <w:color w:val="auto"/>
                <w:highlight w:val="none"/>
              </w:rPr>
              <w:t>生活污水</w:t>
            </w:r>
          </w:p>
        </w:tc>
        <w:tc>
          <w:tcPr>
            <w:tcW w:w="1504" w:type="pct"/>
            <w:tcBorders>
              <w:tl2br w:val="nil"/>
              <w:tr2bl w:val="nil"/>
            </w:tcBorders>
            <w:vAlign w:val="center"/>
          </w:tcPr>
          <w:p>
            <w:pPr>
              <w:pStyle w:val="41"/>
              <w:rPr>
                <w:color w:val="auto"/>
                <w:highlight w:val="none"/>
              </w:rPr>
            </w:pPr>
            <w:r>
              <w:rPr>
                <w:color w:val="auto"/>
                <w:highlight w:val="none"/>
              </w:rPr>
              <w:t>COD、BOD</w:t>
            </w:r>
            <w:r>
              <w:rPr>
                <w:color w:val="auto"/>
                <w:highlight w:val="none"/>
                <w:vertAlign w:val="subscript"/>
              </w:rPr>
              <w:t>5</w:t>
            </w:r>
            <w:r>
              <w:rPr>
                <w:color w:val="auto"/>
                <w:highlight w:val="none"/>
              </w:rPr>
              <w:t>、NH</w:t>
            </w:r>
            <w:r>
              <w:rPr>
                <w:color w:val="auto"/>
                <w:highlight w:val="none"/>
                <w:vertAlign w:val="subscript"/>
              </w:rPr>
              <w:t>3</w:t>
            </w:r>
            <w:r>
              <w:rPr>
                <w:color w:val="auto"/>
                <w:highlight w:val="none"/>
              </w:rPr>
              <w:t>-N</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color w:val="auto"/>
                <w:highlight w:val="none"/>
              </w:rPr>
            </w:pPr>
            <w:r>
              <w:rPr>
                <w:color w:val="auto"/>
                <w:highlight w:val="none"/>
              </w:rPr>
              <w:t>施工机械和车辆尾气</w:t>
            </w:r>
          </w:p>
        </w:tc>
        <w:tc>
          <w:tcPr>
            <w:tcW w:w="1504" w:type="pct"/>
            <w:tcBorders>
              <w:tl2br w:val="nil"/>
              <w:tr2bl w:val="nil"/>
            </w:tcBorders>
            <w:vAlign w:val="center"/>
          </w:tcPr>
          <w:p>
            <w:pPr>
              <w:pStyle w:val="41"/>
              <w:rPr>
                <w:color w:val="auto"/>
                <w:highlight w:val="none"/>
              </w:rPr>
            </w:pPr>
            <w:r>
              <w:rPr>
                <w:color w:val="auto"/>
                <w:highlight w:val="none"/>
              </w:rPr>
              <w:t>NO</w:t>
            </w:r>
            <w:r>
              <w:rPr>
                <w:color w:val="auto"/>
                <w:highlight w:val="none"/>
                <w:vertAlign w:val="subscript"/>
              </w:rPr>
              <w:t>2</w:t>
            </w:r>
            <w:r>
              <w:rPr>
                <w:color w:val="auto"/>
                <w:highlight w:val="none"/>
              </w:rPr>
              <w:t>、CO、SO</w:t>
            </w:r>
            <w:r>
              <w:rPr>
                <w:color w:val="auto"/>
                <w:highlight w:val="none"/>
                <w:vertAlign w:val="subscript"/>
              </w:rPr>
              <w:t>2</w:t>
            </w:r>
            <w:r>
              <w:rPr>
                <w:color w:val="auto"/>
                <w:highlight w:val="none"/>
              </w:rPr>
              <w:t>、烃类挥发</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color w:val="auto"/>
                <w:highlight w:val="none"/>
              </w:rPr>
            </w:pPr>
            <w:r>
              <w:rPr>
                <w:color w:val="auto"/>
                <w:highlight w:val="none"/>
              </w:rPr>
              <w:t>施工垃圾和生活垃圾</w:t>
            </w:r>
          </w:p>
        </w:tc>
        <w:tc>
          <w:tcPr>
            <w:tcW w:w="1504" w:type="pct"/>
            <w:tcBorders>
              <w:tl2br w:val="nil"/>
              <w:tr2bl w:val="nil"/>
            </w:tcBorders>
            <w:vAlign w:val="center"/>
          </w:tcPr>
          <w:p>
            <w:pPr>
              <w:pStyle w:val="41"/>
              <w:rPr>
                <w:color w:val="auto"/>
                <w:highlight w:val="none"/>
              </w:rPr>
            </w:pPr>
            <w:r>
              <w:rPr>
                <w:color w:val="auto"/>
                <w:highlight w:val="none"/>
              </w:rPr>
              <w:t>污染土壤环境</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color w:val="auto"/>
                <w:highlight w:val="none"/>
              </w:rPr>
            </w:pPr>
            <w:r>
              <w:rPr>
                <w:color w:val="auto"/>
                <w:highlight w:val="none"/>
              </w:rPr>
              <w:t>施工机械和车辆噪声</w:t>
            </w:r>
          </w:p>
        </w:tc>
        <w:tc>
          <w:tcPr>
            <w:tcW w:w="1504" w:type="pct"/>
            <w:tcBorders>
              <w:tl2br w:val="nil"/>
              <w:tr2bl w:val="nil"/>
            </w:tcBorders>
            <w:vAlign w:val="center"/>
          </w:tcPr>
          <w:p>
            <w:pPr>
              <w:pStyle w:val="41"/>
              <w:rPr>
                <w:color w:val="auto"/>
                <w:highlight w:val="none"/>
              </w:rPr>
            </w:pPr>
            <w:r>
              <w:rPr>
                <w:color w:val="auto"/>
                <w:highlight w:val="none"/>
              </w:rPr>
              <w:t>影响声环境质量</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restart"/>
            <w:tcBorders>
              <w:tl2br w:val="nil"/>
              <w:tr2bl w:val="nil"/>
            </w:tcBorders>
            <w:vAlign w:val="center"/>
          </w:tcPr>
          <w:p>
            <w:pPr>
              <w:pStyle w:val="41"/>
              <w:rPr>
                <w:color w:val="auto"/>
                <w:highlight w:val="none"/>
              </w:rPr>
            </w:pPr>
            <w:r>
              <w:rPr>
                <w:color w:val="auto"/>
                <w:highlight w:val="none"/>
              </w:rPr>
              <w:t>2</w:t>
            </w:r>
          </w:p>
        </w:tc>
        <w:tc>
          <w:tcPr>
            <w:tcW w:w="678" w:type="pct"/>
            <w:vMerge w:val="restart"/>
            <w:tcBorders>
              <w:tl2br w:val="nil"/>
              <w:tr2bl w:val="nil"/>
            </w:tcBorders>
            <w:vAlign w:val="center"/>
          </w:tcPr>
          <w:p>
            <w:pPr>
              <w:pStyle w:val="41"/>
              <w:rPr>
                <w:color w:val="auto"/>
                <w:highlight w:val="none"/>
              </w:rPr>
            </w:pPr>
            <w:r>
              <w:rPr>
                <w:color w:val="auto"/>
                <w:highlight w:val="none"/>
              </w:rPr>
              <w:t>运营期（正常工况）</w:t>
            </w:r>
          </w:p>
        </w:tc>
        <w:tc>
          <w:tcPr>
            <w:tcW w:w="1776" w:type="pct"/>
            <w:tcBorders>
              <w:tl2br w:val="nil"/>
              <w:tr2bl w:val="nil"/>
            </w:tcBorders>
            <w:vAlign w:val="center"/>
          </w:tcPr>
          <w:p>
            <w:pPr>
              <w:pStyle w:val="41"/>
              <w:rPr>
                <w:color w:val="auto"/>
                <w:highlight w:val="none"/>
              </w:rPr>
            </w:pPr>
            <w:r>
              <w:rPr>
                <w:color w:val="auto"/>
                <w:highlight w:val="none"/>
              </w:rPr>
              <w:t>采出水</w:t>
            </w:r>
          </w:p>
        </w:tc>
        <w:tc>
          <w:tcPr>
            <w:tcW w:w="1504" w:type="pct"/>
            <w:tcBorders>
              <w:tl2br w:val="nil"/>
              <w:tr2bl w:val="nil"/>
            </w:tcBorders>
            <w:vAlign w:val="center"/>
          </w:tcPr>
          <w:p>
            <w:pPr>
              <w:pStyle w:val="41"/>
              <w:rPr>
                <w:color w:val="auto"/>
                <w:highlight w:val="none"/>
              </w:rPr>
            </w:pPr>
            <w:r>
              <w:rPr>
                <w:color w:val="auto"/>
                <w:highlight w:val="none"/>
              </w:rPr>
              <w:t>石油类</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color w:val="auto"/>
                <w:highlight w:val="none"/>
              </w:rPr>
            </w:pPr>
            <w:r>
              <w:rPr>
                <w:color w:val="auto"/>
                <w:highlight w:val="none"/>
              </w:rPr>
              <w:t>井下作业废水</w:t>
            </w:r>
          </w:p>
        </w:tc>
        <w:tc>
          <w:tcPr>
            <w:tcW w:w="1504" w:type="pct"/>
            <w:tcBorders>
              <w:tl2br w:val="nil"/>
              <w:tr2bl w:val="nil"/>
            </w:tcBorders>
            <w:vAlign w:val="center"/>
          </w:tcPr>
          <w:p>
            <w:pPr>
              <w:pStyle w:val="41"/>
              <w:rPr>
                <w:color w:val="auto"/>
                <w:highlight w:val="none"/>
              </w:rPr>
            </w:pPr>
            <w:r>
              <w:rPr>
                <w:color w:val="auto"/>
                <w:highlight w:val="none"/>
              </w:rPr>
              <w:t>石油类</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color w:val="auto"/>
                <w:highlight w:val="none"/>
              </w:rPr>
            </w:pPr>
            <w:r>
              <w:rPr>
                <w:color w:val="auto"/>
                <w:highlight w:val="none"/>
              </w:rPr>
              <w:t>井场</w:t>
            </w:r>
            <w:r>
              <w:rPr>
                <w:rFonts w:hint="eastAsia"/>
                <w:color w:val="auto"/>
                <w:highlight w:val="none"/>
              </w:rPr>
              <w:t>、站场</w:t>
            </w:r>
            <w:r>
              <w:rPr>
                <w:color w:val="auto"/>
                <w:highlight w:val="none"/>
              </w:rPr>
              <w:t>无组织废气排放</w:t>
            </w:r>
          </w:p>
        </w:tc>
        <w:tc>
          <w:tcPr>
            <w:tcW w:w="1504" w:type="pct"/>
            <w:tcBorders>
              <w:tl2br w:val="nil"/>
              <w:tr2bl w:val="nil"/>
            </w:tcBorders>
            <w:vAlign w:val="center"/>
          </w:tcPr>
          <w:p>
            <w:pPr>
              <w:pStyle w:val="41"/>
              <w:rPr>
                <w:color w:val="auto"/>
                <w:highlight w:val="none"/>
              </w:rPr>
            </w:pPr>
            <w:r>
              <w:rPr>
                <w:color w:val="auto"/>
                <w:highlight w:val="none"/>
              </w:rPr>
              <w:t>NMHC</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color w:val="auto"/>
                <w:highlight w:val="none"/>
              </w:rPr>
            </w:pPr>
            <w:r>
              <w:rPr>
                <w:color w:val="auto"/>
                <w:highlight w:val="none"/>
              </w:rPr>
              <w:t>设备噪声</w:t>
            </w:r>
          </w:p>
        </w:tc>
        <w:tc>
          <w:tcPr>
            <w:tcW w:w="1504" w:type="pct"/>
            <w:tcBorders>
              <w:tl2br w:val="nil"/>
              <w:tr2bl w:val="nil"/>
            </w:tcBorders>
            <w:vAlign w:val="center"/>
          </w:tcPr>
          <w:p>
            <w:pPr>
              <w:pStyle w:val="41"/>
              <w:rPr>
                <w:color w:val="auto"/>
                <w:highlight w:val="none"/>
              </w:rPr>
            </w:pPr>
            <w:r>
              <w:rPr>
                <w:color w:val="auto"/>
                <w:highlight w:val="none"/>
              </w:rPr>
              <w:t>影响声环境质量</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rFonts w:hint="eastAsia" w:eastAsia="宋体"/>
                <w:color w:val="auto"/>
                <w:highlight w:val="none"/>
                <w:lang w:val="en-US" w:eastAsia="zh-CN"/>
              </w:rPr>
            </w:pPr>
            <w:r>
              <w:rPr>
                <w:rFonts w:hint="eastAsia"/>
                <w:color w:val="auto"/>
                <w:highlight w:val="none"/>
              </w:rPr>
              <w:t>落地油、含油污泥、清管废渣、废润滑油、废防渗膜、清罐底泥</w:t>
            </w:r>
            <w:r>
              <w:rPr>
                <w:rFonts w:hint="eastAsia"/>
                <w:color w:val="auto"/>
                <w:highlight w:val="none"/>
                <w:lang w:val="en-US" w:eastAsia="zh-CN"/>
              </w:rPr>
              <w:t>等</w:t>
            </w:r>
          </w:p>
        </w:tc>
        <w:tc>
          <w:tcPr>
            <w:tcW w:w="1504" w:type="pct"/>
            <w:tcBorders>
              <w:tl2br w:val="nil"/>
              <w:tr2bl w:val="nil"/>
            </w:tcBorders>
            <w:vAlign w:val="center"/>
          </w:tcPr>
          <w:p>
            <w:pPr>
              <w:pStyle w:val="41"/>
              <w:rPr>
                <w:color w:val="auto"/>
                <w:highlight w:val="none"/>
              </w:rPr>
            </w:pPr>
            <w:r>
              <w:rPr>
                <w:rFonts w:hint="eastAsia"/>
                <w:color w:val="auto"/>
                <w:highlight w:val="none"/>
              </w:rPr>
              <w:t>土壤、地下水</w:t>
            </w:r>
          </w:p>
        </w:tc>
        <w:tc>
          <w:tcPr>
            <w:tcW w:w="620" w:type="pct"/>
            <w:tcBorders>
              <w:tl2br w:val="nil"/>
              <w:tr2bl w:val="nil"/>
            </w:tcBorders>
            <w:vAlign w:val="center"/>
          </w:tcPr>
          <w:p>
            <w:pPr>
              <w:pStyle w:val="41"/>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color w:val="auto"/>
                <w:highlight w:val="none"/>
              </w:rPr>
            </w:pPr>
            <w:r>
              <w:rPr>
                <w:color w:val="auto"/>
                <w:highlight w:val="none"/>
              </w:rPr>
              <w:t>原油生产</w:t>
            </w:r>
          </w:p>
        </w:tc>
        <w:tc>
          <w:tcPr>
            <w:tcW w:w="1504" w:type="pct"/>
            <w:tcBorders>
              <w:tl2br w:val="nil"/>
              <w:tr2bl w:val="nil"/>
            </w:tcBorders>
            <w:vAlign w:val="center"/>
          </w:tcPr>
          <w:p>
            <w:pPr>
              <w:pStyle w:val="41"/>
              <w:rPr>
                <w:color w:val="auto"/>
                <w:highlight w:val="none"/>
              </w:rPr>
            </w:pPr>
            <w:r>
              <w:rPr>
                <w:color w:val="auto"/>
                <w:highlight w:val="none"/>
              </w:rPr>
              <w:t>对当地社会经济的拉动、使用地区大气环境的改善</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tcBorders>
              <w:tl2br w:val="nil"/>
              <w:tr2bl w:val="nil"/>
            </w:tcBorders>
            <w:vAlign w:val="center"/>
          </w:tcPr>
          <w:p>
            <w:pPr>
              <w:pStyle w:val="41"/>
              <w:rPr>
                <w:color w:val="auto"/>
                <w:highlight w:val="none"/>
              </w:rPr>
            </w:pPr>
            <w:r>
              <w:rPr>
                <w:color w:val="auto"/>
                <w:highlight w:val="none"/>
              </w:rPr>
              <w:t>3</w:t>
            </w:r>
          </w:p>
        </w:tc>
        <w:tc>
          <w:tcPr>
            <w:tcW w:w="678" w:type="pct"/>
            <w:tcBorders>
              <w:tl2br w:val="nil"/>
              <w:tr2bl w:val="nil"/>
            </w:tcBorders>
            <w:vAlign w:val="center"/>
          </w:tcPr>
          <w:p>
            <w:pPr>
              <w:pStyle w:val="41"/>
              <w:rPr>
                <w:color w:val="auto"/>
                <w:highlight w:val="none"/>
              </w:rPr>
            </w:pPr>
            <w:r>
              <w:rPr>
                <w:color w:val="auto"/>
                <w:highlight w:val="none"/>
              </w:rPr>
              <w:t>运营期（事故工况）</w:t>
            </w:r>
          </w:p>
        </w:tc>
        <w:tc>
          <w:tcPr>
            <w:tcW w:w="1776" w:type="pct"/>
            <w:tcBorders>
              <w:tl2br w:val="nil"/>
              <w:tr2bl w:val="nil"/>
            </w:tcBorders>
            <w:vAlign w:val="center"/>
          </w:tcPr>
          <w:p>
            <w:pPr>
              <w:pStyle w:val="41"/>
              <w:rPr>
                <w:color w:val="auto"/>
                <w:highlight w:val="none"/>
              </w:rPr>
            </w:pPr>
            <w:r>
              <w:rPr>
                <w:rFonts w:hint="eastAsia"/>
                <w:color w:val="auto"/>
                <w:highlight w:val="none"/>
              </w:rPr>
              <w:t>井喷、井漏、</w:t>
            </w:r>
            <w:r>
              <w:rPr>
                <w:rFonts w:hint="eastAsia"/>
                <w:color w:val="auto"/>
                <w:highlight w:val="none"/>
                <w:lang w:val="en-US" w:eastAsia="zh-CN"/>
              </w:rPr>
              <w:t>储罐泄漏、</w:t>
            </w:r>
            <w:r>
              <w:rPr>
                <w:color w:val="auto"/>
                <w:highlight w:val="none"/>
              </w:rPr>
              <w:t>集输管线</w:t>
            </w:r>
            <w:r>
              <w:rPr>
                <w:rFonts w:hint="eastAsia"/>
                <w:color w:val="auto"/>
                <w:highlight w:val="none"/>
              </w:rPr>
              <w:t>破损</w:t>
            </w:r>
            <w:r>
              <w:rPr>
                <w:color w:val="auto"/>
                <w:highlight w:val="none"/>
              </w:rPr>
              <w:t>泄漏</w:t>
            </w:r>
          </w:p>
        </w:tc>
        <w:tc>
          <w:tcPr>
            <w:tcW w:w="1504" w:type="pct"/>
            <w:tcBorders>
              <w:tl2br w:val="nil"/>
              <w:tr2bl w:val="nil"/>
            </w:tcBorders>
            <w:vAlign w:val="center"/>
          </w:tcPr>
          <w:p>
            <w:pPr>
              <w:pStyle w:val="41"/>
              <w:rPr>
                <w:color w:val="auto"/>
                <w:highlight w:val="none"/>
              </w:rPr>
            </w:pPr>
            <w:r>
              <w:rPr>
                <w:color w:val="auto"/>
                <w:highlight w:val="none"/>
              </w:rPr>
              <w:t>污染土壤环境、水环境、火灾爆炸危险</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restart"/>
            <w:tcBorders>
              <w:tl2br w:val="nil"/>
              <w:tr2bl w:val="nil"/>
            </w:tcBorders>
            <w:vAlign w:val="center"/>
          </w:tcPr>
          <w:p>
            <w:pPr>
              <w:pStyle w:val="41"/>
              <w:rPr>
                <w:color w:val="auto"/>
                <w:highlight w:val="none"/>
              </w:rPr>
            </w:pPr>
            <w:r>
              <w:rPr>
                <w:color w:val="auto"/>
                <w:highlight w:val="none"/>
              </w:rPr>
              <w:t>4</w:t>
            </w:r>
          </w:p>
        </w:tc>
        <w:tc>
          <w:tcPr>
            <w:tcW w:w="678" w:type="pct"/>
            <w:vMerge w:val="restart"/>
            <w:tcBorders>
              <w:tl2br w:val="nil"/>
              <w:tr2bl w:val="nil"/>
            </w:tcBorders>
            <w:vAlign w:val="center"/>
          </w:tcPr>
          <w:p>
            <w:pPr>
              <w:pStyle w:val="41"/>
              <w:rPr>
                <w:color w:val="auto"/>
                <w:highlight w:val="none"/>
              </w:rPr>
            </w:pPr>
            <w:r>
              <w:rPr>
                <w:color w:val="auto"/>
                <w:highlight w:val="none"/>
              </w:rPr>
              <w:t>退役期</w:t>
            </w:r>
          </w:p>
        </w:tc>
        <w:tc>
          <w:tcPr>
            <w:tcW w:w="1776" w:type="pct"/>
            <w:tcBorders>
              <w:tl2br w:val="nil"/>
              <w:tr2bl w:val="nil"/>
            </w:tcBorders>
            <w:vAlign w:val="center"/>
          </w:tcPr>
          <w:p>
            <w:pPr>
              <w:pStyle w:val="41"/>
              <w:rPr>
                <w:color w:val="auto"/>
                <w:highlight w:val="none"/>
              </w:rPr>
            </w:pPr>
            <w:r>
              <w:rPr>
                <w:color w:val="auto"/>
                <w:highlight w:val="none"/>
              </w:rPr>
              <w:t>封堵井眼，拆除</w:t>
            </w:r>
            <w:r>
              <w:rPr>
                <w:rFonts w:hint="eastAsia"/>
                <w:color w:val="auto"/>
                <w:highlight w:val="none"/>
              </w:rPr>
              <w:t>地面</w:t>
            </w:r>
            <w:r>
              <w:rPr>
                <w:color w:val="auto"/>
                <w:highlight w:val="none"/>
              </w:rPr>
              <w:t>装置</w:t>
            </w:r>
          </w:p>
        </w:tc>
        <w:tc>
          <w:tcPr>
            <w:tcW w:w="1504" w:type="pct"/>
            <w:tcBorders>
              <w:tl2br w:val="nil"/>
              <w:tr2bl w:val="nil"/>
            </w:tcBorders>
            <w:vAlign w:val="center"/>
          </w:tcPr>
          <w:p>
            <w:pPr>
              <w:pStyle w:val="41"/>
              <w:rPr>
                <w:color w:val="auto"/>
                <w:highlight w:val="none"/>
              </w:rPr>
            </w:pPr>
            <w:r>
              <w:rPr>
                <w:color w:val="auto"/>
                <w:highlight w:val="none"/>
              </w:rPr>
              <w:t>固废</w:t>
            </w:r>
          </w:p>
        </w:tc>
        <w:tc>
          <w:tcPr>
            <w:tcW w:w="620" w:type="pct"/>
            <w:tcBorders>
              <w:tl2br w:val="nil"/>
              <w:tr2bl w:val="nil"/>
            </w:tcBorders>
            <w:vAlign w:val="center"/>
          </w:tcPr>
          <w:p>
            <w:pPr>
              <w:pStyle w:val="41"/>
              <w:rPr>
                <w:color w:val="auto"/>
                <w:highlight w:val="none"/>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9" w:type="pct"/>
            <w:vMerge w:val="continue"/>
            <w:tcBorders>
              <w:tl2br w:val="nil"/>
              <w:tr2bl w:val="nil"/>
            </w:tcBorders>
            <w:vAlign w:val="center"/>
          </w:tcPr>
          <w:p>
            <w:pPr>
              <w:pStyle w:val="41"/>
              <w:rPr>
                <w:color w:val="auto"/>
                <w:highlight w:val="none"/>
              </w:rPr>
            </w:pPr>
          </w:p>
        </w:tc>
        <w:tc>
          <w:tcPr>
            <w:tcW w:w="678" w:type="pct"/>
            <w:vMerge w:val="continue"/>
            <w:tcBorders>
              <w:tl2br w:val="nil"/>
              <w:tr2bl w:val="nil"/>
            </w:tcBorders>
            <w:vAlign w:val="center"/>
          </w:tcPr>
          <w:p>
            <w:pPr>
              <w:pStyle w:val="41"/>
              <w:rPr>
                <w:color w:val="auto"/>
                <w:highlight w:val="none"/>
              </w:rPr>
            </w:pPr>
          </w:p>
        </w:tc>
        <w:tc>
          <w:tcPr>
            <w:tcW w:w="1776" w:type="pct"/>
            <w:tcBorders>
              <w:tl2br w:val="nil"/>
              <w:tr2bl w:val="nil"/>
            </w:tcBorders>
            <w:vAlign w:val="center"/>
          </w:tcPr>
          <w:p>
            <w:pPr>
              <w:pStyle w:val="41"/>
              <w:rPr>
                <w:color w:val="auto"/>
                <w:highlight w:val="none"/>
              </w:rPr>
            </w:pPr>
            <w:r>
              <w:rPr>
                <w:color w:val="auto"/>
                <w:highlight w:val="none"/>
              </w:rPr>
              <w:t>场地恢复</w:t>
            </w:r>
          </w:p>
        </w:tc>
        <w:tc>
          <w:tcPr>
            <w:tcW w:w="1504" w:type="pct"/>
            <w:tcBorders>
              <w:tl2br w:val="nil"/>
              <w:tr2bl w:val="nil"/>
            </w:tcBorders>
            <w:vAlign w:val="center"/>
          </w:tcPr>
          <w:p>
            <w:pPr>
              <w:pStyle w:val="41"/>
              <w:rPr>
                <w:color w:val="auto"/>
                <w:highlight w:val="none"/>
              </w:rPr>
            </w:pPr>
            <w:r>
              <w:rPr>
                <w:color w:val="auto"/>
                <w:highlight w:val="none"/>
              </w:rPr>
              <w:t>生态</w:t>
            </w:r>
          </w:p>
        </w:tc>
        <w:tc>
          <w:tcPr>
            <w:tcW w:w="620" w:type="pct"/>
            <w:tcBorders>
              <w:tl2br w:val="nil"/>
              <w:tr2bl w:val="nil"/>
            </w:tcBorders>
            <w:vAlign w:val="center"/>
          </w:tcPr>
          <w:p>
            <w:pPr>
              <w:pStyle w:val="41"/>
              <w:rPr>
                <w:color w:val="auto"/>
                <w:highlight w:val="none"/>
              </w:rPr>
            </w:pPr>
            <w:r>
              <w:rPr>
                <w:color w:val="auto"/>
                <w:highlight w:val="none"/>
              </w:rPr>
              <w:t>+</w:t>
            </w:r>
          </w:p>
        </w:tc>
      </w:tr>
    </w:tbl>
    <w:p>
      <w:pPr>
        <w:rPr>
          <w:color w:val="auto"/>
          <w:highlight w:val="none"/>
        </w:rPr>
      </w:pPr>
      <w:r>
        <w:rPr>
          <w:color w:val="auto"/>
          <w:highlight w:val="none"/>
        </w:rPr>
        <w:t>注：“- -”为负影响较大；“-”为负影响较小；“+ +”正影响较大；“+”为正影响较小。</w:t>
      </w:r>
    </w:p>
    <w:p>
      <w:pPr>
        <w:pStyle w:val="53"/>
        <w:rPr>
          <w:color w:val="auto"/>
          <w:highlight w:val="none"/>
        </w:rPr>
      </w:pPr>
      <w:bookmarkStart w:id="130" w:name="_Toc173941792"/>
      <w:bookmarkStart w:id="131" w:name="_Toc500856905"/>
      <w:r>
        <w:rPr>
          <w:color w:val="auto"/>
          <w:highlight w:val="none"/>
        </w:rPr>
        <w:t>2.3.2评价因子</w:t>
      </w:r>
      <w:bookmarkEnd w:id="130"/>
      <w:bookmarkEnd w:id="131"/>
    </w:p>
    <w:p>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color w:val="auto"/>
          <w:highlight w:val="none"/>
        </w:rPr>
        <w:t>根据</w:t>
      </w:r>
      <w:r>
        <w:rPr>
          <w:rFonts w:hint="eastAsia"/>
          <w:color w:val="auto"/>
          <w:highlight w:val="none"/>
        </w:rPr>
        <w:t>《</w:t>
      </w:r>
      <w:bookmarkStart w:id="132" w:name="OLE_LINK3"/>
      <w:r>
        <w:rPr>
          <w:rFonts w:hint="eastAsia"/>
          <w:color w:val="auto"/>
          <w:highlight w:val="none"/>
        </w:rPr>
        <w:t>环境影响评价技术导则 陆地石油天然气开发建设项目</w:t>
      </w:r>
      <w:bookmarkEnd w:id="132"/>
      <w:r>
        <w:rPr>
          <w:rFonts w:hint="eastAsia"/>
          <w:color w:val="auto"/>
          <w:highlight w:val="none"/>
        </w:rPr>
        <w:t>》（HJ349-2023），</w:t>
      </w:r>
      <w:r>
        <w:rPr>
          <w:color w:val="auto"/>
          <w:highlight w:val="none"/>
        </w:rPr>
        <w:t>评价因子见表2.3-2。</w:t>
      </w:r>
      <w:bookmarkStart w:id="133" w:name="_Toc29684"/>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表2.3-2     评价因子一览表</w:t>
      </w:r>
      <w:bookmarkEnd w:id="133"/>
    </w:p>
    <w:tbl>
      <w:tblPr>
        <w:tblStyle w:val="35"/>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5"/>
        <w:gridCol w:w="875"/>
        <w:gridCol w:w="1545"/>
        <w:gridCol w:w="2177"/>
        <w:gridCol w:w="2158"/>
        <w:gridCol w:w="1855"/>
        <w:gridCol w:w="2928"/>
        <w:gridCol w:w="1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trPr>
        <w:tc>
          <w:tcPr>
            <w:tcW w:w="402" w:type="pct"/>
            <w:tcBorders>
              <w:tl2br w:val="single" w:color="auto" w:sz="4" w:space="0"/>
            </w:tcBorders>
            <w:vAlign w:val="center"/>
          </w:tcPr>
          <w:p>
            <w:pPr>
              <w:pStyle w:val="41"/>
              <w:widowControl w:val="0"/>
              <w:jc w:val="center"/>
              <w:rPr>
                <w:color w:val="auto"/>
                <w:highlight w:val="none"/>
              </w:rPr>
            </w:pPr>
            <w:r>
              <w:rPr>
                <w:rFonts w:hint="eastAsia"/>
                <w:color w:val="auto"/>
                <w:highlight w:val="none"/>
              </w:rPr>
              <w:t>环境要素</w:t>
            </w:r>
          </w:p>
          <w:p>
            <w:pPr>
              <w:pStyle w:val="41"/>
              <w:widowControl w:val="0"/>
              <w:jc w:val="center"/>
              <w:rPr>
                <w:color w:val="auto"/>
                <w:sz w:val="18"/>
                <w:szCs w:val="18"/>
                <w:highlight w:val="none"/>
              </w:rPr>
            </w:pPr>
            <w:r>
              <w:rPr>
                <w:rFonts w:hint="eastAsia"/>
                <w:color w:val="auto"/>
                <w:highlight w:val="none"/>
              </w:rPr>
              <w:t>单项工程</w:t>
            </w:r>
          </w:p>
        </w:tc>
        <w:tc>
          <w:tcPr>
            <w:tcW w:w="310" w:type="pct"/>
            <w:vAlign w:val="center"/>
          </w:tcPr>
          <w:p>
            <w:pPr>
              <w:pStyle w:val="41"/>
              <w:widowControl w:val="0"/>
              <w:jc w:val="center"/>
              <w:rPr>
                <w:color w:val="auto"/>
                <w:highlight w:val="none"/>
              </w:rPr>
            </w:pPr>
            <w:r>
              <w:rPr>
                <w:rFonts w:hint="eastAsia"/>
                <w:color w:val="auto"/>
                <w:highlight w:val="none"/>
              </w:rPr>
              <w:t>时期</w:t>
            </w:r>
          </w:p>
        </w:tc>
        <w:tc>
          <w:tcPr>
            <w:tcW w:w="547" w:type="pct"/>
            <w:vAlign w:val="center"/>
          </w:tcPr>
          <w:p>
            <w:pPr>
              <w:pStyle w:val="41"/>
              <w:widowControl w:val="0"/>
              <w:jc w:val="center"/>
              <w:rPr>
                <w:color w:val="auto"/>
                <w:highlight w:val="none"/>
              </w:rPr>
            </w:pPr>
            <w:r>
              <w:rPr>
                <w:rFonts w:hint="eastAsia"/>
                <w:color w:val="auto"/>
                <w:highlight w:val="none"/>
              </w:rPr>
              <w:t>大气</w:t>
            </w:r>
          </w:p>
        </w:tc>
        <w:tc>
          <w:tcPr>
            <w:tcW w:w="771" w:type="pct"/>
            <w:vAlign w:val="center"/>
          </w:tcPr>
          <w:p>
            <w:pPr>
              <w:pStyle w:val="41"/>
              <w:widowControl w:val="0"/>
              <w:jc w:val="center"/>
              <w:rPr>
                <w:color w:val="auto"/>
                <w:highlight w:val="none"/>
              </w:rPr>
            </w:pPr>
            <w:r>
              <w:rPr>
                <w:rFonts w:hint="eastAsia"/>
                <w:color w:val="auto"/>
                <w:highlight w:val="none"/>
              </w:rPr>
              <w:t>地表水</w:t>
            </w:r>
          </w:p>
        </w:tc>
        <w:tc>
          <w:tcPr>
            <w:tcW w:w="764" w:type="pct"/>
            <w:vAlign w:val="center"/>
          </w:tcPr>
          <w:p>
            <w:pPr>
              <w:pStyle w:val="41"/>
              <w:widowControl w:val="0"/>
              <w:jc w:val="center"/>
              <w:rPr>
                <w:color w:val="auto"/>
                <w:highlight w:val="none"/>
              </w:rPr>
            </w:pPr>
            <w:r>
              <w:rPr>
                <w:rFonts w:hint="eastAsia"/>
                <w:color w:val="auto"/>
                <w:highlight w:val="none"/>
              </w:rPr>
              <w:t>地下水</w:t>
            </w:r>
          </w:p>
        </w:tc>
        <w:tc>
          <w:tcPr>
            <w:tcW w:w="657" w:type="pct"/>
            <w:vAlign w:val="center"/>
          </w:tcPr>
          <w:p>
            <w:pPr>
              <w:pStyle w:val="41"/>
              <w:widowControl w:val="0"/>
              <w:jc w:val="center"/>
              <w:rPr>
                <w:color w:val="auto"/>
                <w:highlight w:val="none"/>
              </w:rPr>
            </w:pPr>
            <w:r>
              <w:rPr>
                <w:rFonts w:hint="eastAsia"/>
                <w:color w:val="auto"/>
                <w:highlight w:val="none"/>
              </w:rPr>
              <w:t>土壤</w:t>
            </w:r>
          </w:p>
        </w:tc>
        <w:tc>
          <w:tcPr>
            <w:tcW w:w="1037" w:type="pct"/>
            <w:vAlign w:val="center"/>
          </w:tcPr>
          <w:p>
            <w:pPr>
              <w:pStyle w:val="41"/>
              <w:widowControl w:val="0"/>
              <w:jc w:val="center"/>
              <w:rPr>
                <w:color w:val="auto"/>
                <w:highlight w:val="none"/>
              </w:rPr>
            </w:pPr>
            <w:r>
              <w:rPr>
                <w:rFonts w:hint="eastAsia"/>
                <w:color w:val="auto"/>
                <w:highlight w:val="none"/>
              </w:rPr>
              <w:t>生态</w:t>
            </w:r>
          </w:p>
        </w:tc>
        <w:tc>
          <w:tcPr>
            <w:tcW w:w="507" w:type="pct"/>
            <w:vAlign w:val="center"/>
          </w:tcPr>
          <w:p>
            <w:pPr>
              <w:pStyle w:val="41"/>
              <w:widowControl w:val="0"/>
              <w:jc w:val="center"/>
              <w:rPr>
                <w:color w:val="auto"/>
                <w:highlight w:val="none"/>
              </w:rPr>
            </w:pPr>
            <w:r>
              <w:rPr>
                <w:rFonts w:hint="eastAsia"/>
                <w:color w:val="auto"/>
                <w:highlight w:val="none"/>
              </w:rPr>
              <w:t>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eastAsia" w:ascii="Times New Roman" w:hAnsi="Times New Roman" w:eastAsia="宋体" w:cs="Times New Roman"/>
                <w:b w:val="0"/>
                <w:bCs/>
                <w:color w:val="auto"/>
                <w:sz w:val="21"/>
                <w:szCs w:val="21"/>
                <w:highlight w:val="none"/>
                <w:vertAlign w:val="baseline"/>
                <w:lang w:val="en-US" w:eastAsia="zh-CN"/>
              </w:rPr>
              <w:t>钻前工程</w:t>
            </w:r>
          </w:p>
        </w:tc>
        <w:tc>
          <w:tcPr>
            <w:tcW w:w="310" w:type="pct"/>
            <w:vAlign w:val="center"/>
          </w:tcPr>
          <w:p>
            <w:pPr>
              <w:widowControl w:val="0"/>
              <w:jc w:val="center"/>
              <w:rPr>
                <w:rFonts w:hint="eastAsia"/>
                <w:color w:val="auto"/>
                <w:highlight w:val="none"/>
              </w:rPr>
            </w:pPr>
            <w:r>
              <w:rPr>
                <w:rFonts w:hint="eastAsia"/>
                <w:color w:val="auto"/>
                <w:highlight w:val="none"/>
              </w:rPr>
              <w:t>施工期</w:t>
            </w:r>
          </w:p>
        </w:tc>
        <w:tc>
          <w:tcPr>
            <w:tcW w:w="54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颗粒物</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764"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耗氧量、氨氮、石油类等</w:t>
            </w:r>
          </w:p>
        </w:tc>
        <w:tc>
          <w:tcPr>
            <w:tcW w:w="65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103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default" w:ascii="Times New Roman" w:hAnsi="Times New Roman" w:eastAsia="宋体" w:cs="Times New Roman"/>
                <w:b w:val="0"/>
                <w:bCs/>
                <w:color w:val="auto"/>
                <w:sz w:val="21"/>
                <w:szCs w:val="21"/>
                <w:highlight w:val="none"/>
                <w:vertAlign w:val="baseline"/>
                <w:lang w:val="en-US" w:eastAsia="zh-CN"/>
              </w:rPr>
              <w:t>地表扰动面积及类型、生态系统完整性</w:t>
            </w:r>
          </w:p>
        </w:tc>
        <w:tc>
          <w:tcPr>
            <w:tcW w:w="50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eastAsia" w:ascii="Times New Roman" w:hAnsi="Times New Roman" w:eastAsia="宋体" w:cs="Times New Roman"/>
                <w:b w:val="0"/>
                <w:bCs/>
                <w:color w:val="auto"/>
                <w:sz w:val="21"/>
                <w:szCs w:val="21"/>
                <w:highlight w:val="none"/>
                <w:vertAlign w:val="baseline"/>
                <w:lang w:val="en-US" w:eastAsia="zh-CN"/>
              </w:rPr>
              <w:t>钻井工程</w:t>
            </w:r>
          </w:p>
        </w:tc>
        <w:tc>
          <w:tcPr>
            <w:tcW w:w="310" w:type="pct"/>
            <w:vAlign w:val="center"/>
          </w:tcPr>
          <w:p>
            <w:pPr>
              <w:widowControl w:val="0"/>
              <w:jc w:val="center"/>
              <w:rPr>
                <w:rFonts w:hint="eastAsia"/>
                <w:color w:val="auto"/>
                <w:highlight w:val="none"/>
              </w:rPr>
            </w:pPr>
            <w:r>
              <w:rPr>
                <w:rFonts w:hint="eastAsia"/>
                <w:color w:val="auto"/>
                <w:highlight w:val="none"/>
              </w:rPr>
              <w:t>施工期</w:t>
            </w:r>
          </w:p>
        </w:tc>
        <w:tc>
          <w:tcPr>
            <w:tcW w:w="54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SO</w:t>
            </w:r>
            <w:r>
              <w:rPr>
                <w:rFonts w:hint="eastAsia" w:ascii="Times New Roman" w:hAnsi="Times New Roman" w:eastAsia="宋体" w:cs="Times New Roman"/>
                <w:b w:val="0"/>
                <w:bCs/>
                <w:color w:val="auto"/>
                <w:sz w:val="21"/>
                <w:szCs w:val="21"/>
                <w:highlight w:val="none"/>
                <w:vertAlign w:val="sub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、NOx、NMHC</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764"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default" w:ascii="Times New Roman" w:hAnsi="Times New Roman" w:eastAsia="宋体" w:cs="Times New Roman"/>
                <w:b w:val="0"/>
                <w:bCs/>
                <w:color w:val="auto"/>
                <w:spacing w:val="-6"/>
                <w:sz w:val="21"/>
                <w:szCs w:val="21"/>
                <w:highlight w:val="none"/>
                <w:vertAlign w:val="baseline"/>
                <w:lang w:val="en-US" w:eastAsia="zh-CN"/>
              </w:rPr>
              <w:t>pH值、挥发酚、耗氧量、氨氮、硫化物、氯化物、石油类、总硬度、溶解性总固体、钡、汞、砷、六价铬等</w:t>
            </w:r>
          </w:p>
        </w:tc>
        <w:tc>
          <w:tcPr>
            <w:tcW w:w="657"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default" w:ascii="Times New Roman" w:hAnsi="Times New Roman" w:eastAsia="宋体" w:cs="Times New Roman"/>
                <w:b w:val="0"/>
                <w:bCs/>
                <w:color w:val="auto"/>
                <w:sz w:val="21"/>
                <w:szCs w:val="21"/>
                <w:highlight w:val="none"/>
                <w:vertAlign w:val="baseline"/>
                <w:lang w:val="en-US" w:eastAsia="zh-CN"/>
              </w:rPr>
              <w:t>pH值、石油类、石油烃</w:t>
            </w:r>
            <w:r>
              <w:rPr>
                <w:rFonts w:hint="eastAsia" w:ascii="Times New Roman" w:hAnsi="Times New Roman" w:eastAsia="宋体" w:cs="Times New Roman"/>
                <w:b w:val="0"/>
                <w:bCs/>
                <w:color w:val="auto"/>
                <w:sz w:val="21"/>
                <w:szCs w:val="21"/>
                <w:highlight w:val="none"/>
                <w:vertAlign w:val="baseline"/>
                <w:lang w:val="en-US" w:eastAsia="zh-CN"/>
              </w:rPr>
              <w:t>（C</w:t>
            </w:r>
            <w:r>
              <w:rPr>
                <w:rFonts w:hint="eastAsia" w:ascii="Times New Roman" w:hAnsi="Times New Roman" w:eastAsia="宋体" w:cs="Times New Roman"/>
                <w:b w:val="0"/>
                <w:bCs/>
                <w:color w:val="auto"/>
                <w:sz w:val="21"/>
                <w:szCs w:val="21"/>
                <w:highlight w:val="none"/>
                <w:vertAlign w:val="subscript"/>
                <w:lang w:val="en-US" w:eastAsia="zh-CN"/>
              </w:rPr>
              <w:t>6</w:t>
            </w:r>
            <w:r>
              <w:rPr>
                <w:rFonts w:hint="eastAsia" w:ascii="Times New Roman" w:hAnsi="Times New Roman" w:eastAsia="宋体" w:cs="Times New Roman"/>
                <w:b w:val="0"/>
                <w:bCs/>
                <w:color w:val="auto"/>
                <w:sz w:val="21"/>
                <w:szCs w:val="21"/>
                <w:highlight w:val="none"/>
                <w:vertAlign w:val="baseline"/>
                <w:lang w:val="en-US" w:eastAsia="zh-CN"/>
              </w:rPr>
              <w:t>~C</w:t>
            </w:r>
            <w:r>
              <w:rPr>
                <w:rFonts w:hint="eastAsia" w:ascii="Times New Roman" w:hAnsi="Times New Roman" w:eastAsia="宋体" w:cs="Times New Roman"/>
                <w:b w:val="0"/>
                <w:bCs/>
                <w:color w:val="auto"/>
                <w:sz w:val="21"/>
                <w:szCs w:val="21"/>
                <w:highlight w:val="none"/>
                <w:vertAlign w:val="subscript"/>
                <w:lang w:val="en-US" w:eastAsia="zh-CN"/>
              </w:rPr>
              <w:t>9</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石油烃（C</w:t>
            </w:r>
            <w:r>
              <w:rPr>
                <w:rFonts w:hint="eastAsia" w:ascii="Times New Roman" w:hAnsi="Times New Roman" w:eastAsia="宋体" w:cs="Times New Roman"/>
                <w:b w:val="0"/>
                <w:bCs/>
                <w:color w:val="auto"/>
                <w:sz w:val="21"/>
                <w:szCs w:val="21"/>
                <w:highlight w:val="none"/>
                <w:vertAlign w:val="subscript"/>
                <w:lang w:val="en-US" w:eastAsia="zh-CN"/>
              </w:rPr>
              <w:t>10</w:t>
            </w:r>
            <w:r>
              <w:rPr>
                <w:rFonts w:hint="default" w:ascii="Times New Roman" w:hAnsi="Times New Roman" w:eastAsia="宋体" w:cs="Times New Roman"/>
                <w:b w:val="0"/>
                <w:bCs/>
                <w:color w:val="auto"/>
                <w:sz w:val="21"/>
                <w:szCs w:val="21"/>
                <w:highlight w:val="none"/>
                <w:vertAlign w:val="baseline"/>
                <w:lang w:val="en-US" w:eastAsia="zh-CN"/>
              </w:rPr>
              <w:t>~C</w:t>
            </w:r>
            <w:r>
              <w:rPr>
                <w:rFonts w:hint="eastAsia" w:ascii="Times New Roman" w:hAnsi="Times New Roman" w:eastAsia="宋体" w:cs="Times New Roman"/>
                <w:b w:val="0"/>
                <w:bCs/>
                <w:color w:val="auto"/>
                <w:sz w:val="21"/>
                <w:szCs w:val="21"/>
                <w:highlight w:val="none"/>
                <w:vertAlign w:val="subscript"/>
                <w:lang w:val="en-US" w:eastAsia="zh-CN"/>
              </w:rPr>
              <w:t>40</w:t>
            </w:r>
            <w:r>
              <w:rPr>
                <w:rFonts w:hint="default" w:ascii="Times New Roman" w:hAnsi="Times New Roman" w:eastAsia="宋体" w:cs="Times New Roman"/>
                <w:b w:val="0"/>
                <w:bCs/>
                <w:color w:val="auto"/>
                <w:sz w:val="21"/>
                <w:szCs w:val="21"/>
                <w:highlight w:val="none"/>
                <w:vertAlign w:val="baseline"/>
                <w:lang w:val="en-US" w:eastAsia="zh-CN"/>
              </w:rPr>
              <w:t>）</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color w:val="auto"/>
                <w:sz w:val="21"/>
                <w:szCs w:val="21"/>
                <w:highlight w:val="none"/>
                <w:vertAlign w:val="baseline"/>
                <w:lang w:val="en-US" w:eastAsia="zh-CN"/>
              </w:rPr>
              <w:t>汞、砷、六价铬、土壤盐分含量等</w:t>
            </w:r>
          </w:p>
        </w:tc>
        <w:tc>
          <w:tcPr>
            <w:tcW w:w="103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507" w:type="pct"/>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i/>
                <w:iCs/>
                <w:color w:val="auto"/>
                <w:sz w:val="21"/>
                <w:szCs w:val="21"/>
                <w:highlight w:val="none"/>
                <w:vertAlign w:val="baseline"/>
                <w:lang w:val="en-US" w:eastAsia="zh-CN"/>
              </w:rPr>
            </w:pPr>
            <w:r>
              <w:rPr>
                <w:rFonts w:hint="default" w:ascii="Times New Roman" w:hAnsi="Times New Roman" w:eastAsia="宋体" w:cs="Times New Roman"/>
                <w:b w:val="0"/>
                <w:bCs/>
                <w:color w:val="auto"/>
                <w:sz w:val="21"/>
                <w:szCs w:val="21"/>
                <w:highlight w:val="none"/>
                <w:vertAlign w:val="baseline"/>
                <w:lang w:val="en-US" w:eastAsia="zh-CN"/>
              </w:rPr>
              <w:t>昼</w:t>
            </w:r>
            <w:r>
              <w:rPr>
                <w:rFonts w:hint="eastAsia" w:ascii="Times New Roman" w:hAnsi="Times New Roman" w:eastAsia="宋体" w:cs="Times New Roman"/>
                <w:b w:val="0"/>
                <w:bCs/>
                <w:color w:val="auto"/>
                <w:sz w:val="21"/>
                <w:szCs w:val="21"/>
                <w:highlight w:val="none"/>
                <w:vertAlign w:val="baseline"/>
                <w:lang w:val="en-US" w:eastAsia="zh-CN"/>
              </w:rPr>
              <w:t>、夜间</w:t>
            </w:r>
            <w:r>
              <w:rPr>
                <w:rFonts w:hint="default" w:ascii="Times New Roman" w:hAnsi="Times New Roman" w:eastAsia="宋体" w:cs="Times New Roman"/>
                <w:b w:val="0"/>
                <w:bCs/>
                <w:color w:val="auto"/>
                <w:sz w:val="21"/>
                <w:szCs w:val="21"/>
                <w:highlight w:val="none"/>
                <w:vertAlign w:val="baseline"/>
                <w:lang w:val="en-US" w:eastAsia="zh-CN"/>
              </w:rPr>
              <w:t>等效声级</w:t>
            </w:r>
            <w:r>
              <w:rPr>
                <w:rFonts w:hint="eastAsia" w:ascii="Times New Roman" w:hAnsi="Times New Roman" w:eastAsia="宋体" w:cs="Times New Roman"/>
                <w:b w:val="0"/>
                <w:bCs/>
                <w:color w:val="auto"/>
                <w:sz w:val="21"/>
                <w:szCs w:val="21"/>
                <w:highlight w:val="none"/>
                <w:vertAlign w:val="baseline"/>
                <w:lang w:val="en-US" w:eastAsia="zh-CN"/>
              </w:rPr>
              <w:t>（</w:t>
            </w:r>
            <w:r>
              <w:rPr>
                <w:rFonts w:hint="default" w:ascii="Times New Roman" w:hAnsi="Times New Roman" w:eastAsia="宋体" w:cs="Times New Roman"/>
                <w:b w:val="0"/>
                <w:bCs/>
                <w:i/>
                <w:iCs/>
                <w:color w:val="auto"/>
                <w:sz w:val="21"/>
                <w:szCs w:val="21"/>
                <w:highlight w:val="none"/>
                <w:vertAlign w:val="baseline"/>
                <w:lang w:val="en-US" w:eastAsia="zh-CN"/>
              </w:rPr>
              <w:t>L</w:t>
            </w:r>
            <w:r>
              <w:rPr>
                <w:rFonts w:hint="eastAsia" w:ascii="Times New Roman" w:hAnsi="Times New Roman" w:eastAsia="宋体" w:cs="Times New Roman"/>
                <w:b w:val="0"/>
                <w:bCs/>
                <w:i/>
                <w:iCs/>
                <w:color w:val="auto"/>
                <w:sz w:val="21"/>
                <w:szCs w:val="21"/>
                <w:highlight w:val="none"/>
                <w:vertAlign w:val="subscript"/>
                <w:lang w:val="en-US" w:eastAsia="zh-CN"/>
              </w:rPr>
              <w:t>d</w:t>
            </w:r>
            <w:r>
              <w:rPr>
                <w:rFonts w:hint="eastAsia" w:ascii="Times New Roman" w:hAnsi="Times New Roman" w:eastAsia="宋体" w:cs="Times New Roman"/>
                <w:b w:val="0"/>
                <w:bCs/>
                <w:i w:val="0"/>
                <w:iCs w:val="0"/>
                <w:color w:val="auto"/>
                <w:sz w:val="21"/>
                <w:szCs w:val="21"/>
                <w:highlight w:val="none"/>
                <w:vertAlign w:val="baseline"/>
                <w:lang w:val="en-US" w:eastAsia="zh-CN"/>
              </w:rPr>
              <w:t>、</w:t>
            </w:r>
          </w:p>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default" w:ascii="Times New Roman" w:hAnsi="Times New Roman" w:eastAsia="宋体" w:cs="Times New Roman"/>
                <w:b w:val="0"/>
                <w:bCs/>
                <w:i/>
                <w:iCs/>
                <w:color w:val="auto"/>
                <w:sz w:val="21"/>
                <w:szCs w:val="21"/>
                <w:highlight w:val="none"/>
                <w:vertAlign w:val="baseline"/>
                <w:lang w:val="en-US" w:eastAsia="zh-CN"/>
              </w:rPr>
              <w:t>L</w:t>
            </w:r>
            <w:r>
              <w:rPr>
                <w:rFonts w:hint="eastAsia" w:ascii="Times New Roman" w:hAnsi="Times New Roman" w:eastAsia="宋体" w:cs="Times New Roman"/>
                <w:b w:val="0"/>
                <w:bCs/>
                <w:i/>
                <w:iCs/>
                <w:color w:val="auto"/>
                <w:sz w:val="21"/>
                <w:szCs w:val="21"/>
                <w:highlight w:val="none"/>
                <w:vertAlign w:val="subscript"/>
                <w:lang w:val="en-US" w:eastAsia="zh-CN"/>
              </w:rPr>
              <w:t>n</w:t>
            </w:r>
            <w:r>
              <w:rPr>
                <w:rFonts w:hint="eastAsia" w:ascii="Times New Roman" w:hAnsi="Times New Roman" w:eastAsia="宋体" w:cs="Times New Roman"/>
                <w:b w:val="0"/>
                <w:bCs/>
                <w:color w:val="auto"/>
                <w:sz w:val="21"/>
                <w:szCs w:val="21"/>
                <w:highlight w:val="none"/>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color w:val="auto"/>
                <w:highlight w:val="none"/>
              </w:rPr>
            </w:pPr>
            <w:r>
              <w:rPr>
                <w:rFonts w:hint="eastAsia" w:ascii="Times New Roman" w:hAnsi="Times New Roman" w:eastAsia="宋体" w:cs="Times New Roman"/>
                <w:b w:val="0"/>
                <w:bCs/>
                <w:color w:val="auto"/>
                <w:sz w:val="21"/>
                <w:szCs w:val="21"/>
                <w:highlight w:val="none"/>
                <w:vertAlign w:val="baseline"/>
                <w:lang w:val="en-US" w:eastAsia="zh-CN"/>
              </w:rPr>
              <w:t>储层改造工程</w:t>
            </w:r>
          </w:p>
        </w:tc>
        <w:tc>
          <w:tcPr>
            <w:tcW w:w="310" w:type="pct"/>
            <w:vAlign w:val="center"/>
          </w:tcPr>
          <w:p>
            <w:pPr>
              <w:widowControl w:val="0"/>
              <w:jc w:val="center"/>
              <w:rPr>
                <w:rFonts w:hint="eastAsia"/>
                <w:color w:val="auto"/>
                <w:highlight w:val="none"/>
              </w:rPr>
            </w:pPr>
            <w:r>
              <w:rPr>
                <w:rFonts w:hint="eastAsia"/>
                <w:color w:val="auto"/>
                <w:highlight w:val="none"/>
              </w:rPr>
              <w:t>施工期</w:t>
            </w:r>
          </w:p>
        </w:tc>
        <w:tc>
          <w:tcPr>
            <w:tcW w:w="54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SO</w:t>
            </w:r>
            <w:r>
              <w:rPr>
                <w:rFonts w:hint="eastAsia" w:ascii="Times New Roman" w:hAnsi="Times New Roman" w:eastAsia="宋体" w:cs="Times New Roman"/>
                <w:b w:val="0"/>
                <w:bCs/>
                <w:color w:val="auto"/>
                <w:sz w:val="21"/>
                <w:szCs w:val="21"/>
                <w:highlight w:val="none"/>
                <w:vertAlign w:val="subscript"/>
                <w:lang w:val="en-US" w:eastAsia="zh-CN"/>
              </w:rPr>
              <w:t>2</w:t>
            </w:r>
            <w:r>
              <w:rPr>
                <w:rFonts w:hint="eastAsia" w:ascii="Times New Roman" w:hAnsi="Times New Roman" w:eastAsia="宋体" w:cs="Times New Roman"/>
                <w:b w:val="0"/>
                <w:bCs/>
                <w:color w:val="auto"/>
                <w:sz w:val="21"/>
                <w:szCs w:val="21"/>
                <w:highlight w:val="none"/>
                <w:vertAlign w:val="baseline"/>
                <w:lang w:val="en-US" w:eastAsia="zh-CN"/>
              </w:rPr>
              <w:t>、NOx、NMHC</w:t>
            </w:r>
          </w:p>
        </w:tc>
        <w:tc>
          <w:tcPr>
            <w:tcW w:w="771"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764" w:type="pct"/>
            <w:vMerge w:val="continue"/>
            <w:vAlign w:val="center"/>
          </w:tcPr>
          <w:p>
            <w:pPr>
              <w:pStyle w:val="41"/>
              <w:widowControl w:val="0"/>
              <w:jc w:val="center"/>
              <w:rPr>
                <w:rFonts w:hint="eastAsia"/>
                <w:color w:val="auto"/>
                <w:highlight w:val="none"/>
              </w:rPr>
            </w:pPr>
          </w:p>
        </w:tc>
        <w:tc>
          <w:tcPr>
            <w:tcW w:w="657" w:type="pct"/>
            <w:vMerge w:val="continue"/>
            <w:vAlign w:val="center"/>
          </w:tcPr>
          <w:p>
            <w:pPr>
              <w:pStyle w:val="41"/>
              <w:widowControl w:val="0"/>
              <w:jc w:val="center"/>
              <w:rPr>
                <w:rFonts w:hint="eastAsia"/>
                <w:color w:val="auto"/>
                <w:highlight w:val="none"/>
              </w:rPr>
            </w:pPr>
          </w:p>
        </w:tc>
        <w:tc>
          <w:tcPr>
            <w:tcW w:w="1037" w:type="pct"/>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b w:val="0"/>
                <w:bCs/>
                <w:color w:val="auto"/>
                <w:sz w:val="21"/>
                <w:szCs w:val="21"/>
                <w:highlight w:val="none"/>
                <w:vertAlign w:val="baseline"/>
                <w:lang w:val="en-US" w:eastAsia="zh-CN" w:bidi="ar-SA"/>
              </w:rPr>
            </w:pPr>
            <w:r>
              <w:rPr>
                <w:rFonts w:hint="eastAsia" w:ascii="Times New Roman" w:hAnsi="Times New Roman" w:eastAsia="宋体" w:cs="Times New Roman"/>
                <w:b w:val="0"/>
                <w:bCs/>
                <w:color w:val="auto"/>
                <w:sz w:val="21"/>
                <w:szCs w:val="21"/>
                <w:highlight w:val="none"/>
                <w:vertAlign w:val="baseline"/>
                <w:lang w:val="en-US" w:eastAsia="zh-CN"/>
              </w:rPr>
              <w:t>/</w:t>
            </w:r>
          </w:p>
        </w:tc>
        <w:tc>
          <w:tcPr>
            <w:tcW w:w="507" w:type="pct"/>
            <w:vMerge w:val="continue"/>
            <w:vAlign w:val="center"/>
          </w:tcPr>
          <w:p>
            <w:pPr>
              <w:pStyle w:val="41"/>
              <w:widowControl w:val="0"/>
              <w:jc w:val="center"/>
              <w:rPr>
                <w:rFonts w:hint="eastAsia"/>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restart"/>
            <w:vAlign w:val="center"/>
          </w:tcPr>
          <w:p>
            <w:pPr>
              <w:pStyle w:val="41"/>
              <w:widowControl w:val="0"/>
              <w:jc w:val="center"/>
              <w:rPr>
                <w:color w:val="auto"/>
                <w:highlight w:val="none"/>
              </w:rPr>
            </w:pPr>
            <w:r>
              <w:rPr>
                <w:rFonts w:hint="eastAsia"/>
                <w:color w:val="auto"/>
                <w:highlight w:val="none"/>
              </w:rPr>
              <w:t>油气集输工程</w:t>
            </w:r>
          </w:p>
        </w:tc>
        <w:tc>
          <w:tcPr>
            <w:tcW w:w="310" w:type="pct"/>
            <w:vAlign w:val="center"/>
          </w:tcPr>
          <w:p>
            <w:pPr>
              <w:pStyle w:val="41"/>
              <w:widowControl w:val="0"/>
              <w:jc w:val="center"/>
              <w:rPr>
                <w:color w:val="auto"/>
                <w:highlight w:val="none"/>
              </w:rPr>
            </w:pPr>
            <w:r>
              <w:rPr>
                <w:rFonts w:hint="eastAsia"/>
                <w:color w:val="auto"/>
                <w:highlight w:val="none"/>
              </w:rPr>
              <w:t>施工期</w:t>
            </w:r>
          </w:p>
        </w:tc>
        <w:tc>
          <w:tcPr>
            <w:tcW w:w="547" w:type="pct"/>
            <w:vAlign w:val="center"/>
          </w:tcPr>
          <w:p>
            <w:pPr>
              <w:pStyle w:val="41"/>
              <w:widowControl w:val="0"/>
              <w:jc w:val="center"/>
              <w:rPr>
                <w:color w:val="auto"/>
                <w:highlight w:val="none"/>
              </w:rPr>
            </w:pPr>
            <w:r>
              <w:rPr>
                <w:rFonts w:hint="eastAsia"/>
                <w:color w:val="auto"/>
                <w:highlight w:val="none"/>
              </w:rPr>
              <w:t>颗粒物</w:t>
            </w:r>
          </w:p>
        </w:tc>
        <w:tc>
          <w:tcPr>
            <w:tcW w:w="771" w:type="pct"/>
            <w:vAlign w:val="center"/>
          </w:tcPr>
          <w:p>
            <w:pPr>
              <w:pStyle w:val="41"/>
              <w:widowControl w:val="0"/>
              <w:jc w:val="center"/>
              <w:rPr>
                <w:color w:val="auto"/>
                <w:highlight w:val="none"/>
              </w:rPr>
            </w:pPr>
            <w:r>
              <w:rPr>
                <w:rFonts w:hint="eastAsia"/>
                <w:color w:val="auto"/>
                <w:highlight w:val="none"/>
              </w:rPr>
              <w:t>pH值、高锰酸盐指数、化学需氧量、五日生化需氧量、氨氮、总氮、总磷、铜、锌、氟化物、硒、砷、汞、镉、硫化物、铬（六价）、铅、氰化物、挥发酚、石油类、阴离子表面活性剂</w:t>
            </w:r>
          </w:p>
        </w:tc>
        <w:tc>
          <w:tcPr>
            <w:tcW w:w="764" w:type="pct"/>
            <w:vMerge w:val="restart"/>
            <w:vAlign w:val="center"/>
          </w:tcPr>
          <w:p>
            <w:pPr>
              <w:pStyle w:val="41"/>
              <w:widowControl w:val="0"/>
              <w:jc w:val="center"/>
              <w:rPr>
                <w:color w:val="auto"/>
                <w:highlight w:val="none"/>
              </w:rPr>
            </w:pPr>
            <w:r>
              <w:rPr>
                <w:color w:val="auto"/>
                <w:highlight w:val="none"/>
              </w:rPr>
              <w:t>耗氧量、氨氮、石油类等</w:t>
            </w:r>
          </w:p>
        </w:tc>
        <w:tc>
          <w:tcPr>
            <w:tcW w:w="657" w:type="pct"/>
            <w:vAlign w:val="center"/>
          </w:tcPr>
          <w:p>
            <w:pPr>
              <w:pStyle w:val="41"/>
              <w:widowControl w:val="0"/>
              <w:jc w:val="center"/>
              <w:rPr>
                <w:color w:val="auto"/>
                <w:highlight w:val="none"/>
              </w:rPr>
            </w:pPr>
            <w:r>
              <w:rPr>
                <w:rFonts w:hint="eastAsia"/>
                <w:color w:val="auto"/>
                <w:highlight w:val="none"/>
              </w:rPr>
              <w:t>/</w:t>
            </w:r>
          </w:p>
        </w:tc>
        <w:tc>
          <w:tcPr>
            <w:tcW w:w="1037" w:type="pct"/>
            <w:vAlign w:val="center"/>
          </w:tcPr>
          <w:p>
            <w:pPr>
              <w:pStyle w:val="41"/>
              <w:widowControl w:val="0"/>
              <w:jc w:val="center"/>
              <w:rPr>
                <w:color w:val="auto"/>
                <w:highlight w:val="none"/>
              </w:rPr>
            </w:pPr>
            <w:r>
              <w:rPr>
                <w:color w:val="auto"/>
                <w:highlight w:val="none"/>
              </w:rPr>
              <w:t>地表扰动面积及类型</w:t>
            </w:r>
            <w:r>
              <w:rPr>
                <w:rFonts w:hint="eastAsia"/>
                <w:color w:val="auto"/>
                <w:highlight w:val="none"/>
              </w:rPr>
              <w:t>、</w:t>
            </w:r>
            <w:r>
              <w:rPr>
                <w:color w:val="auto"/>
                <w:highlight w:val="none"/>
              </w:rPr>
              <w:t>植被覆盖度、生物量损失、物种多样性、生态系统完整性等</w:t>
            </w:r>
          </w:p>
        </w:tc>
        <w:tc>
          <w:tcPr>
            <w:tcW w:w="507" w:type="pct"/>
            <w:vAlign w:val="center"/>
          </w:tcPr>
          <w:p>
            <w:pPr>
              <w:pStyle w:val="41"/>
              <w:widowControl w:val="0"/>
              <w:jc w:val="center"/>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continue"/>
            <w:vAlign w:val="center"/>
          </w:tcPr>
          <w:p>
            <w:pPr>
              <w:pStyle w:val="41"/>
              <w:widowControl w:val="0"/>
              <w:jc w:val="center"/>
              <w:rPr>
                <w:color w:val="auto"/>
                <w:highlight w:val="none"/>
              </w:rPr>
            </w:pPr>
          </w:p>
        </w:tc>
        <w:tc>
          <w:tcPr>
            <w:tcW w:w="310" w:type="pct"/>
            <w:vAlign w:val="center"/>
          </w:tcPr>
          <w:p>
            <w:pPr>
              <w:pStyle w:val="41"/>
              <w:widowControl w:val="0"/>
              <w:jc w:val="center"/>
              <w:rPr>
                <w:color w:val="auto"/>
                <w:highlight w:val="none"/>
              </w:rPr>
            </w:pPr>
            <w:r>
              <w:rPr>
                <w:rFonts w:hint="eastAsia"/>
                <w:color w:val="auto"/>
                <w:highlight w:val="none"/>
              </w:rPr>
              <w:t>运营期</w:t>
            </w:r>
          </w:p>
        </w:tc>
        <w:tc>
          <w:tcPr>
            <w:tcW w:w="547" w:type="pct"/>
            <w:vAlign w:val="center"/>
          </w:tcPr>
          <w:p>
            <w:pPr>
              <w:pStyle w:val="41"/>
              <w:widowControl w:val="0"/>
              <w:jc w:val="center"/>
              <w:rPr>
                <w:color w:val="auto"/>
                <w:highlight w:val="none"/>
              </w:rPr>
            </w:pPr>
            <w:r>
              <w:rPr>
                <w:rFonts w:hint="eastAsia"/>
                <w:color w:val="auto"/>
                <w:highlight w:val="none"/>
              </w:rPr>
              <w:t>NMHC</w:t>
            </w:r>
          </w:p>
        </w:tc>
        <w:tc>
          <w:tcPr>
            <w:tcW w:w="771" w:type="pct"/>
            <w:vAlign w:val="center"/>
          </w:tcPr>
          <w:p>
            <w:pPr>
              <w:pStyle w:val="41"/>
              <w:widowControl w:val="0"/>
              <w:jc w:val="center"/>
              <w:rPr>
                <w:color w:val="auto"/>
                <w:highlight w:val="none"/>
              </w:rPr>
            </w:pPr>
            <w:r>
              <w:rPr>
                <w:rFonts w:hint="eastAsia"/>
                <w:color w:val="auto"/>
                <w:highlight w:val="none"/>
              </w:rPr>
              <w:t>/</w:t>
            </w:r>
          </w:p>
        </w:tc>
        <w:tc>
          <w:tcPr>
            <w:tcW w:w="764" w:type="pct"/>
            <w:vMerge w:val="continue"/>
            <w:vAlign w:val="center"/>
          </w:tcPr>
          <w:p>
            <w:pPr>
              <w:pStyle w:val="41"/>
              <w:widowControl w:val="0"/>
              <w:jc w:val="center"/>
              <w:rPr>
                <w:color w:val="auto"/>
                <w:highlight w:val="none"/>
              </w:rPr>
            </w:pPr>
          </w:p>
        </w:tc>
        <w:tc>
          <w:tcPr>
            <w:tcW w:w="657" w:type="pct"/>
            <w:vAlign w:val="center"/>
          </w:tcPr>
          <w:p>
            <w:pPr>
              <w:pStyle w:val="41"/>
              <w:widowControl w:val="0"/>
              <w:jc w:val="center"/>
              <w:rPr>
                <w:color w:val="auto"/>
                <w:highlight w:val="none"/>
              </w:rPr>
            </w:pPr>
            <w:r>
              <w:rPr>
                <w:rFonts w:hint="eastAsia"/>
                <w:color w:val="auto"/>
                <w:highlight w:val="none"/>
              </w:rPr>
              <w:t>/</w:t>
            </w:r>
          </w:p>
        </w:tc>
        <w:tc>
          <w:tcPr>
            <w:tcW w:w="1037" w:type="pct"/>
            <w:vAlign w:val="center"/>
          </w:tcPr>
          <w:p>
            <w:pPr>
              <w:pStyle w:val="41"/>
              <w:widowControl w:val="0"/>
              <w:jc w:val="center"/>
              <w:rPr>
                <w:color w:val="auto"/>
                <w:highlight w:val="none"/>
              </w:rPr>
            </w:pPr>
            <w:r>
              <w:rPr>
                <w:color w:val="auto"/>
                <w:highlight w:val="none"/>
              </w:rPr>
              <w:t>土壤肥力或林地立地条件、生物多样性、生态系统完整性等</w:t>
            </w:r>
          </w:p>
        </w:tc>
        <w:tc>
          <w:tcPr>
            <w:tcW w:w="507" w:type="pct"/>
            <w:vAlign w:val="center"/>
          </w:tcPr>
          <w:p>
            <w:pPr>
              <w:pStyle w:val="41"/>
              <w:widowControl w:val="0"/>
              <w:jc w:val="center"/>
              <w:rPr>
                <w:color w:val="auto"/>
                <w:highlight w:val="none"/>
              </w:rPr>
            </w:pPr>
            <w:r>
              <w:rPr>
                <w:color w:val="auto"/>
                <w:highlight w:val="none"/>
              </w:rPr>
              <w:t>昼、夜间等效声级（</w:t>
            </w:r>
            <w:r>
              <w:rPr>
                <w:i/>
                <w:iCs/>
                <w:color w:val="auto"/>
                <w:highlight w:val="none"/>
              </w:rPr>
              <w:t>L</w:t>
            </w:r>
            <w:r>
              <w:rPr>
                <w:i/>
                <w:iCs/>
                <w:color w:val="auto"/>
                <w:highlight w:val="none"/>
                <w:vertAlign w:val="subscript"/>
              </w:rPr>
              <w:t>d</w:t>
            </w:r>
            <w:r>
              <w:rPr>
                <w:color w:val="auto"/>
                <w:highlight w:val="none"/>
              </w:rPr>
              <w:t>、L</w:t>
            </w:r>
            <w:r>
              <w:rPr>
                <w:color w:val="auto"/>
                <w:highlight w:val="none"/>
                <w:vertAlign w:val="subscript"/>
              </w:rPr>
              <w:t>n</w:t>
            </w:r>
            <w:r>
              <w:rPr>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restart"/>
            <w:vAlign w:val="center"/>
          </w:tcPr>
          <w:p>
            <w:pPr>
              <w:pStyle w:val="41"/>
              <w:widowControl w:val="0"/>
              <w:jc w:val="center"/>
              <w:rPr>
                <w:color w:val="auto"/>
                <w:highlight w:val="none"/>
              </w:rPr>
            </w:pPr>
            <w:r>
              <w:rPr>
                <w:rFonts w:hint="eastAsia"/>
                <w:color w:val="auto"/>
                <w:highlight w:val="none"/>
              </w:rPr>
              <w:t>油气处理工程</w:t>
            </w:r>
          </w:p>
        </w:tc>
        <w:tc>
          <w:tcPr>
            <w:tcW w:w="310" w:type="pct"/>
            <w:vAlign w:val="center"/>
          </w:tcPr>
          <w:p>
            <w:pPr>
              <w:pStyle w:val="41"/>
              <w:widowControl w:val="0"/>
              <w:jc w:val="center"/>
              <w:rPr>
                <w:color w:val="auto"/>
                <w:highlight w:val="none"/>
              </w:rPr>
            </w:pPr>
            <w:r>
              <w:rPr>
                <w:rFonts w:hint="eastAsia"/>
                <w:color w:val="auto"/>
                <w:highlight w:val="none"/>
              </w:rPr>
              <w:t>施工期</w:t>
            </w:r>
          </w:p>
        </w:tc>
        <w:tc>
          <w:tcPr>
            <w:tcW w:w="547" w:type="pct"/>
            <w:vAlign w:val="center"/>
          </w:tcPr>
          <w:p>
            <w:pPr>
              <w:pStyle w:val="41"/>
              <w:widowControl w:val="0"/>
              <w:jc w:val="center"/>
              <w:rPr>
                <w:color w:val="auto"/>
                <w:highlight w:val="none"/>
              </w:rPr>
            </w:pPr>
            <w:r>
              <w:rPr>
                <w:rFonts w:hint="eastAsia"/>
                <w:color w:val="auto"/>
                <w:highlight w:val="none"/>
              </w:rPr>
              <w:t>/</w:t>
            </w:r>
          </w:p>
        </w:tc>
        <w:tc>
          <w:tcPr>
            <w:tcW w:w="771" w:type="pct"/>
            <w:vAlign w:val="center"/>
          </w:tcPr>
          <w:p>
            <w:pPr>
              <w:pStyle w:val="41"/>
              <w:widowControl w:val="0"/>
              <w:jc w:val="center"/>
              <w:rPr>
                <w:color w:val="auto"/>
                <w:highlight w:val="none"/>
              </w:rPr>
            </w:pPr>
            <w:r>
              <w:rPr>
                <w:rFonts w:hint="eastAsia"/>
                <w:color w:val="auto"/>
                <w:highlight w:val="none"/>
              </w:rPr>
              <w:t>/</w:t>
            </w:r>
          </w:p>
        </w:tc>
        <w:tc>
          <w:tcPr>
            <w:tcW w:w="764" w:type="pct"/>
            <w:vAlign w:val="center"/>
          </w:tcPr>
          <w:p>
            <w:pPr>
              <w:pStyle w:val="41"/>
              <w:widowControl w:val="0"/>
              <w:jc w:val="center"/>
              <w:rPr>
                <w:color w:val="auto"/>
                <w:highlight w:val="none"/>
              </w:rPr>
            </w:pPr>
            <w:r>
              <w:rPr>
                <w:rFonts w:hint="eastAsia"/>
                <w:color w:val="auto"/>
                <w:highlight w:val="none"/>
              </w:rPr>
              <w:t>/</w:t>
            </w:r>
          </w:p>
        </w:tc>
        <w:tc>
          <w:tcPr>
            <w:tcW w:w="657" w:type="pct"/>
            <w:vAlign w:val="center"/>
          </w:tcPr>
          <w:p>
            <w:pPr>
              <w:pStyle w:val="41"/>
              <w:widowControl w:val="0"/>
              <w:jc w:val="center"/>
              <w:rPr>
                <w:color w:val="auto"/>
                <w:highlight w:val="none"/>
              </w:rPr>
            </w:pPr>
            <w:r>
              <w:rPr>
                <w:rFonts w:hint="eastAsia"/>
                <w:color w:val="auto"/>
                <w:highlight w:val="none"/>
              </w:rPr>
              <w:t>/</w:t>
            </w:r>
          </w:p>
        </w:tc>
        <w:tc>
          <w:tcPr>
            <w:tcW w:w="1037" w:type="pct"/>
            <w:vAlign w:val="center"/>
          </w:tcPr>
          <w:p>
            <w:pPr>
              <w:pStyle w:val="41"/>
              <w:widowControl w:val="0"/>
              <w:jc w:val="center"/>
              <w:rPr>
                <w:color w:val="auto"/>
                <w:highlight w:val="none"/>
              </w:rPr>
            </w:pPr>
            <w:r>
              <w:rPr>
                <w:rFonts w:hint="eastAsia"/>
                <w:color w:val="auto"/>
                <w:highlight w:val="none"/>
              </w:rPr>
              <w:t>/</w:t>
            </w:r>
          </w:p>
        </w:tc>
        <w:tc>
          <w:tcPr>
            <w:tcW w:w="507" w:type="pct"/>
            <w:vAlign w:val="center"/>
          </w:tcPr>
          <w:p>
            <w:pPr>
              <w:pStyle w:val="41"/>
              <w:widowControl w:val="0"/>
              <w:jc w:val="center"/>
              <w:rPr>
                <w:color w:val="auto"/>
                <w:highlight w:val="none"/>
              </w:rPr>
            </w:pPr>
            <w:r>
              <w:rPr>
                <w:rFonts w:hint="eastAsia"/>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402" w:type="pct"/>
            <w:vMerge w:val="continue"/>
            <w:vAlign w:val="center"/>
          </w:tcPr>
          <w:p>
            <w:pPr>
              <w:pStyle w:val="41"/>
              <w:widowControl w:val="0"/>
              <w:jc w:val="center"/>
              <w:rPr>
                <w:color w:val="auto"/>
                <w:highlight w:val="none"/>
              </w:rPr>
            </w:pPr>
          </w:p>
        </w:tc>
        <w:tc>
          <w:tcPr>
            <w:tcW w:w="310" w:type="pct"/>
            <w:vAlign w:val="center"/>
          </w:tcPr>
          <w:p>
            <w:pPr>
              <w:pStyle w:val="41"/>
              <w:widowControl w:val="0"/>
              <w:jc w:val="center"/>
              <w:rPr>
                <w:color w:val="auto"/>
                <w:highlight w:val="none"/>
              </w:rPr>
            </w:pPr>
            <w:r>
              <w:rPr>
                <w:rFonts w:hint="eastAsia"/>
                <w:color w:val="auto"/>
                <w:highlight w:val="none"/>
              </w:rPr>
              <w:t>运营期</w:t>
            </w:r>
          </w:p>
        </w:tc>
        <w:tc>
          <w:tcPr>
            <w:tcW w:w="547" w:type="pct"/>
            <w:vAlign w:val="center"/>
          </w:tcPr>
          <w:p>
            <w:pPr>
              <w:pStyle w:val="41"/>
              <w:widowControl w:val="0"/>
              <w:jc w:val="center"/>
              <w:rPr>
                <w:color w:val="auto"/>
                <w:highlight w:val="none"/>
              </w:rPr>
            </w:pPr>
            <w:r>
              <w:rPr>
                <w:rFonts w:hint="eastAsia"/>
                <w:color w:val="auto"/>
                <w:highlight w:val="none"/>
              </w:rPr>
              <w:t>/</w:t>
            </w:r>
          </w:p>
        </w:tc>
        <w:tc>
          <w:tcPr>
            <w:tcW w:w="771" w:type="pct"/>
            <w:vAlign w:val="center"/>
          </w:tcPr>
          <w:p>
            <w:pPr>
              <w:pStyle w:val="41"/>
              <w:widowControl w:val="0"/>
              <w:jc w:val="center"/>
              <w:rPr>
                <w:color w:val="auto"/>
                <w:highlight w:val="none"/>
              </w:rPr>
            </w:pPr>
            <w:r>
              <w:rPr>
                <w:rFonts w:hint="eastAsia"/>
                <w:color w:val="auto"/>
                <w:highlight w:val="none"/>
              </w:rPr>
              <w:t>/</w:t>
            </w:r>
          </w:p>
        </w:tc>
        <w:tc>
          <w:tcPr>
            <w:tcW w:w="764" w:type="pct"/>
            <w:vAlign w:val="center"/>
          </w:tcPr>
          <w:p>
            <w:pPr>
              <w:pStyle w:val="41"/>
              <w:widowControl w:val="0"/>
              <w:jc w:val="center"/>
              <w:rPr>
                <w:color w:val="auto"/>
                <w:highlight w:val="none"/>
              </w:rPr>
            </w:pPr>
            <w:r>
              <w:rPr>
                <w:rFonts w:hint="eastAsia"/>
                <w:color w:val="auto"/>
                <w:highlight w:val="none"/>
              </w:rPr>
              <w:t>/</w:t>
            </w:r>
          </w:p>
        </w:tc>
        <w:tc>
          <w:tcPr>
            <w:tcW w:w="657" w:type="pct"/>
            <w:vAlign w:val="center"/>
          </w:tcPr>
          <w:p>
            <w:pPr>
              <w:pStyle w:val="41"/>
              <w:widowControl w:val="0"/>
              <w:jc w:val="center"/>
              <w:rPr>
                <w:color w:val="auto"/>
                <w:highlight w:val="none"/>
              </w:rPr>
            </w:pPr>
            <w:r>
              <w:rPr>
                <w:rFonts w:hint="eastAsia"/>
                <w:color w:val="auto"/>
                <w:highlight w:val="none"/>
              </w:rPr>
              <w:t>/</w:t>
            </w:r>
          </w:p>
        </w:tc>
        <w:tc>
          <w:tcPr>
            <w:tcW w:w="1037" w:type="pct"/>
            <w:vAlign w:val="center"/>
          </w:tcPr>
          <w:p>
            <w:pPr>
              <w:pStyle w:val="41"/>
              <w:widowControl w:val="0"/>
              <w:jc w:val="center"/>
              <w:rPr>
                <w:color w:val="auto"/>
                <w:highlight w:val="none"/>
              </w:rPr>
            </w:pPr>
            <w:r>
              <w:rPr>
                <w:rFonts w:hint="eastAsia"/>
                <w:color w:val="auto"/>
                <w:highlight w:val="none"/>
              </w:rPr>
              <w:t>/</w:t>
            </w:r>
          </w:p>
        </w:tc>
        <w:tc>
          <w:tcPr>
            <w:tcW w:w="507" w:type="pct"/>
            <w:vAlign w:val="center"/>
          </w:tcPr>
          <w:p>
            <w:pPr>
              <w:pStyle w:val="41"/>
              <w:widowControl w:val="0"/>
              <w:jc w:val="center"/>
              <w:rPr>
                <w:color w:val="auto"/>
                <w:highlight w:val="none"/>
              </w:rPr>
            </w:pPr>
            <w:r>
              <w:rPr>
                <w:rFonts w:hint="eastAsia"/>
                <w:color w:val="auto"/>
                <w:highlight w:val="none"/>
              </w:rPr>
              <w:t>/</w:t>
            </w:r>
          </w:p>
        </w:tc>
      </w:tr>
    </w:tbl>
    <w:p>
      <w:pPr>
        <w:pStyle w:val="49"/>
        <w:rPr>
          <w:color w:val="auto"/>
          <w:highlight w:val="none"/>
        </w:rPr>
        <w:sectPr>
          <w:pgSz w:w="16838" w:h="11905"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bookmarkStart w:id="134" w:name="_Toc173941793"/>
      <w:bookmarkStart w:id="135" w:name="_Toc173942667"/>
      <w:bookmarkStart w:id="136" w:name="_Toc173941713"/>
      <w:bookmarkStart w:id="137" w:name="_Toc297590925"/>
      <w:bookmarkStart w:id="138" w:name="_Toc280954980"/>
      <w:bookmarkStart w:id="139" w:name="_Toc297590772"/>
      <w:bookmarkStart w:id="140" w:name="_Toc353966730"/>
      <w:bookmarkStart w:id="141" w:name="_Toc9785"/>
      <w:bookmarkStart w:id="142" w:name="_Toc361761822"/>
      <w:bookmarkStart w:id="143" w:name="_Toc280954903"/>
      <w:bookmarkStart w:id="144" w:name="_Toc374724176"/>
      <w:bookmarkStart w:id="145" w:name="_Toc508291878"/>
      <w:bookmarkStart w:id="146" w:name="_Toc9599"/>
    </w:p>
    <w:p>
      <w:pPr>
        <w:pStyle w:val="49"/>
        <w:rPr>
          <w:rFonts w:eastAsia="宋体"/>
          <w:color w:val="auto"/>
          <w:highlight w:val="none"/>
        </w:rPr>
      </w:pPr>
      <w:bookmarkStart w:id="147" w:name="_Toc16744"/>
      <w:r>
        <w:rPr>
          <w:color w:val="auto"/>
          <w:highlight w:val="none"/>
        </w:rPr>
        <w:t>2.4环境功能区划</w:t>
      </w:r>
      <w:bookmarkEnd w:id="134"/>
      <w:bookmarkEnd w:id="135"/>
      <w:bookmarkEnd w:id="136"/>
      <w:bookmarkEnd w:id="137"/>
      <w:bookmarkEnd w:id="138"/>
      <w:bookmarkEnd w:id="139"/>
      <w:bookmarkEnd w:id="140"/>
      <w:bookmarkEnd w:id="141"/>
      <w:bookmarkEnd w:id="142"/>
      <w:bookmarkEnd w:id="143"/>
      <w:bookmarkEnd w:id="144"/>
      <w:bookmarkEnd w:id="145"/>
      <w:r>
        <w:rPr>
          <w:rFonts w:hint="eastAsia"/>
          <w:color w:val="auto"/>
          <w:highlight w:val="none"/>
        </w:rPr>
        <w:t>及评价标准</w:t>
      </w:r>
      <w:bookmarkEnd w:id="146"/>
      <w:bookmarkEnd w:id="147"/>
    </w:p>
    <w:p>
      <w:pPr>
        <w:pStyle w:val="53"/>
        <w:rPr>
          <w:rFonts w:eastAsia="宋体"/>
          <w:color w:val="auto"/>
          <w:highlight w:val="none"/>
        </w:rPr>
      </w:pPr>
      <w:bookmarkStart w:id="148" w:name="_Toc173941794"/>
      <w:r>
        <w:rPr>
          <w:color w:val="auto"/>
          <w:highlight w:val="none"/>
        </w:rPr>
        <w:t>2.4.1环境</w:t>
      </w:r>
      <w:r>
        <w:rPr>
          <w:rFonts w:hint="eastAsia"/>
          <w:color w:val="auto"/>
          <w:highlight w:val="none"/>
        </w:rPr>
        <w:t>功能区划</w:t>
      </w:r>
    </w:p>
    <w:p>
      <w:pPr>
        <w:pStyle w:val="5"/>
        <w:rPr>
          <w:rFonts w:eastAsiaTheme="majorEastAsia"/>
          <w:color w:val="auto"/>
          <w:highlight w:val="none"/>
        </w:rPr>
      </w:pPr>
      <w:bookmarkStart w:id="149" w:name="_Toc173941797"/>
      <w:r>
        <w:rPr>
          <w:rFonts w:hint="eastAsia"/>
          <w:color w:val="auto"/>
          <w:highlight w:val="none"/>
        </w:rPr>
        <w:t>2.4.1.1生态</w:t>
      </w:r>
      <w:bookmarkEnd w:id="149"/>
      <w:r>
        <w:rPr>
          <w:rFonts w:hint="eastAsia"/>
          <w:color w:val="auto"/>
          <w:highlight w:val="none"/>
        </w:rPr>
        <w:t>功能区划</w:t>
      </w:r>
    </w:p>
    <w:p>
      <w:pPr>
        <w:pStyle w:val="57"/>
        <w:rPr>
          <w:color w:val="auto"/>
          <w:highlight w:val="none"/>
        </w:rPr>
      </w:pPr>
      <w:r>
        <w:rPr>
          <w:color w:val="auto"/>
          <w:highlight w:val="none"/>
        </w:rPr>
        <w:t>根据《</w:t>
      </w:r>
      <w:bookmarkStart w:id="150" w:name="OLE_LINK4"/>
      <w:r>
        <w:rPr>
          <w:color w:val="auto"/>
          <w:highlight w:val="none"/>
        </w:rPr>
        <w:t>新疆生态功能区划</w:t>
      </w:r>
      <w:bookmarkEnd w:id="150"/>
      <w:r>
        <w:rPr>
          <w:color w:val="auto"/>
          <w:highlight w:val="none"/>
        </w:rPr>
        <w:t>》，</w:t>
      </w:r>
      <w:r>
        <w:rPr>
          <w:rFonts w:hint="eastAsia"/>
          <w:color w:val="auto"/>
          <w:highlight w:val="none"/>
        </w:rPr>
        <w:t>本工程位于</w:t>
      </w:r>
      <w:r>
        <w:rPr>
          <w:rFonts w:hint="eastAsia"/>
          <w:snapToGrid w:val="0"/>
          <w:color w:val="auto"/>
          <w:kern w:val="0"/>
          <w:sz w:val="24"/>
          <w:szCs w:val="24"/>
          <w:highlight w:val="none"/>
        </w:rPr>
        <w:t>准噶尔盆地温性荒漠与绿洲农业生态区，准噶尔盆地北部灌木半灌木荒漠生态亚区，夏子街输水工程沿线人工生态建设生态功能区</w:t>
      </w:r>
      <w:r>
        <w:rPr>
          <w:rFonts w:hint="eastAsia"/>
          <w:color w:val="auto"/>
          <w:highlight w:val="none"/>
        </w:rPr>
        <w:t>（</w:t>
      </w:r>
      <w:r>
        <w:rPr>
          <w:rFonts w:hint="eastAsia"/>
          <w:color w:val="auto"/>
          <w:highlight w:val="none"/>
          <w:lang w:val="en-US" w:eastAsia="zh-CN"/>
        </w:rPr>
        <w:t>15</w:t>
      </w:r>
      <w:r>
        <w:rPr>
          <w:rFonts w:hint="eastAsia"/>
          <w:color w:val="auto"/>
          <w:highlight w:val="none"/>
        </w:rPr>
        <w:t>）</w:t>
      </w:r>
      <w:r>
        <w:rPr>
          <w:rFonts w:hint="eastAsia"/>
          <w:color w:val="auto"/>
          <w:highlight w:val="none"/>
          <w:lang w:eastAsia="zh-CN"/>
        </w:rPr>
        <w:t>、白杨河河谷林、乌尔禾雅丹地貌保护生态功能区（</w:t>
      </w:r>
      <w:r>
        <w:rPr>
          <w:rFonts w:hint="eastAsia"/>
          <w:color w:val="auto"/>
          <w:highlight w:val="none"/>
          <w:lang w:val="en-US" w:eastAsia="zh-CN"/>
        </w:rPr>
        <w:t>16</w:t>
      </w:r>
      <w:r>
        <w:rPr>
          <w:rFonts w:hint="eastAsia"/>
          <w:color w:val="auto"/>
          <w:highlight w:val="none"/>
          <w:lang w:eastAsia="zh-CN"/>
        </w:rPr>
        <w:t>）</w:t>
      </w:r>
      <w:r>
        <w:rPr>
          <w:color w:val="auto"/>
          <w:highlight w:val="none"/>
        </w:rPr>
        <w:t>。</w:t>
      </w:r>
    </w:p>
    <w:p>
      <w:pPr>
        <w:pStyle w:val="5"/>
        <w:rPr>
          <w:rFonts w:eastAsiaTheme="majorEastAsia"/>
          <w:color w:val="auto"/>
          <w:highlight w:val="none"/>
        </w:rPr>
      </w:pPr>
      <w:bookmarkStart w:id="151" w:name="_Toc173941795"/>
      <w:r>
        <w:rPr>
          <w:rFonts w:hint="eastAsia"/>
          <w:color w:val="auto"/>
          <w:highlight w:val="none"/>
        </w:rPr>
        <w:t>2.4.1.2地下水环境</w:t>
      </w:r>
      <w:bookmarkEnd w:id="151"/>
      <w:r>
        <w:rPr>
          <w:rFonts w:hint="eastAsia"/>
          <w:color w:val="auto"/>
          <w:highlight w:val="none"/>
        </w:rPr>
        <w:t>功能区划</w:t>
      </w:r>
    </w:p>
    <w:p>
      <w:pPr>
        <w:pStyle w:val="57"/>
        <w:rPr>
          <w:color w:val="auto"/>
          <w:highlight w:val="none"/>
        </w:rPr>
      </w:pPr>
      <w:r>
        <w:rPr>
          <w:color w:val="auto"/>
          <w:highlight w:val="none"/>
        </w:rPr>
        <w:t>根据《地下水质量标准》（GB/T14848-2017）中地下水分类标准，该区域地下水按</w:t>
      </w:r>
      <w:r>
        <w:rPr>
          <w:rFonts w:hint="eastAsia" w:ascii="宋体" w:hAnsi="宋体" w:cs="宋体"/>
          <w:color w:val="auto"/>
          <w:highlight w:val="none"/>
        </w:rPr>
        <w:t>Ⅲ</w:t>
      </w:r>
      <w:r>
        <w:rPr>
          <w:color w:val="auto"/>
          <w:highlight w:val="none"/>
        </w:rPr>
        <w:t>类功能区。</w:t>
      </w:r>
    </w:p>
    <w:p>
      <w:pPr>
        <w:pStyle w:val="5"/>
        <w:rPr>
          <w:color w:val="auto"/>
          <w:highlight w:val="none"/>
        </w:rPr>
      </w:pPr>
      <w:r>
        <w:rPr>
          <w:rFonts w:hint="eastAsia"/>
          <w:color w:val="auto"/>
          <w:highlight w:val="none"/>
        </w:rPr>
        <w:t>2.4.1.3地表水</w:t>
      </w:r>
      <w:r>
        <w:rPr>
          <w:rFonts w:hint="eastAsia" w:cs="Times New Roman"/>
          <w:color w:val="auto"/>
          <w:highlight w:val="none"/>
        </w:rPr>
        <w:t>环境功能区划</w:t>
      </w:r>
    </w:p>
    <w:p>
      <w:pPr>
        <w:pStyle w:val="57"/>
        <w:rPr>
          <w:rFonts w:hint="eastAsia"/>
          <w:color w:val="auto"/>
          <w:highlight w:val="none"/>
        </w:rPr>
      </w:pPr>
      <w:r>
        <w:rPr>
          <w:rFonts w:hint="eastAsia"/>
          <w:color w:val="auto"/>
          <w:highlight w:val="none"/>
        </w:rPr>
        <w:t>工程所在区域周边无地表水体，故不对区域内地表水进行现状调查。</w:t>
      </w:r>
    </w:p>
    <w:p>
      <w:pPr>
        <w:pStyle w:val="5"/>
        <w:rPr>
          <w:rFonts w:eastAsiaTheme="majorEastAsia"/>
          <w:color w:val="auto"/>
          <w:highlight w:val="none"/>
        </w:rPr>
      </w:pPr>
      <w:r>
        <w:rPr>
          <w:rFonts w:hint="eastAsia"/>
          <w:color w:val="auto"/>
          <w:highlight w:val="none"/>
        </w:rPr>
        <w:t>2.4.1.4环境空气</w:t>
      </w:r>
      <w:bookmarkEnd w:id="148"/>
      <w:r>
        <w:rPr>
          <w:rFonts w:hint="eastAsia"/>
          <w:color w:val="auto"/>
          <w:highlight w:val="none"/>
        </w:rPr>
        <w:t>功能区划</w:t>
      </w:r>
    </w:p>
    <w:p>
      <w:pPr>
        <w:pStyle w:val="57"/>
        <w:rPr>
          <w:color w:val="auto"/>
          <w:highlight w:val="none"/>
        </w:rPr>
      </w:pPr>
      <w:r>
        <w:rPr>
          <w:color w:val="auto"/>
          <w:highlight w:val="none"/>
        </w:rPr>
        <w:t>根据《环境空气质量标准》（GB3095-2012）</w:t>
      </w:r>
      <w:r>
        <w:rPr>
          <w:rFonts w:hint="eastAsia"/>
          <w:color w:val="auto"/>
          <w:highlight w:val="none"/>
          <w:lang w:val="en-US" w:eastAsia="zh-CN"/>
        </w:rPr>
        <w:t>及修改单的</w:t>
      </w:r>
      <w:r>
        <w:rPr>
          <w:color w:val="auto"/>
          <w:highlight w:val="none"/>
        </w:rPr>
        <w:t>要求，项目所在区域属于二类功能区。</w:t>
      </w:r>
    </w:p>
    <w:p>
      <w:pPr>
        <w:pStyle w:val="5"/>
        <w:rPr>
          <w:rFonts w:eastAsiaTheme="majorEastAsia"/>
          <w:color w:val="auto"/>
          <w:highlight w:val="none"/>
        </w:rPr>
      </w:pPr>
      <w:bookmarkStart w:id="152" w:name="_Toc173941796"/>
      <w:r>
        <w:rPr>
          <w:rFonts w:hint="eastAsia"/>
          <w:color w:val="auto"/>
          <w:highlight w:val="none"/>
        </w:rPr>
        <w:t>2.4.1.5声环境</w:t>
      </w:r>
      <w:bookmarkEnd w:id="152"/>
      <w:r>
        <w:rPr>
          <w:rFonts w:hint="eastAsia"/>
          <w:color w:val="auto"/>
          <w:highlight w:val="none"/>
        </w:rPr>
        <w:t>功能区划</w:t>
      </w:r>
    </w:p>
    <w:p>
      <w:pPr>
        <w:pStyle w:val="57"/>
        <w:rPr>
          <w:color w:val="auto"/>
          <w:highlight w:val="none"/>
        </w:rPr>
      </w:pPr>
      <w:r>
        <w:rPr>
          <w:color w:val="auto"/>
          <w:highlight w:val="none"/>
        </w:rPr>
        <w:t>项目区为</w:t>
      </w:r>
      <w:r>
        <w:rPr>
          <w:rFonts w:hint="eastAsia"/>
          <w:color w:val="auto"/>
          <w:highlight w:val="none"/>
          <w:lang w:val="en-US" w:eastAsia="zh-CN"/>
        </w:rPr>
        <w:t>油气田</w:t>
      </w:r>
      <w:r>
        <w:rPr>
          <w:color w:val="auto"/>
          <w:highlight w:val="none"/>
        </w:rPr>
        <w:t>开发区</w:t>
      </w:r>
      <w:r>
        <w:rPr>
          <w:rFonts w:hint="eastAsia"/>
          <w:color w:val="auto"/>
          <w:highlight w:val="none"/>
          <w:lang w:eastAsia="zh-CN"/>
        </w:rPr>
        <w:t>，</w:t>
      </w:r>
      <w:r>
        <w:rPr>
          <w:color w:val="auto"/>
          <w:highlight w:val="none"/>
        </w:rPr>
        <w:t>目前暂未进行声环境功能区划，根据《声环境质量标准》（GB3096-2008）要求，划定为2类声环境功能区。</w:t>
      </w:r>
    </w:p>
    <w:p>
      <w:pPr>
        <w:pStyle w:val="53"/>
        <w:rPr>
          <w:color w:val="auto"/>
          <w:highlight w:val="none"/>
        </w:rPr>
      </w:pPr>
      <w:bookmarkStart w:id="153" w:name="_Toc173941799"/>
      <w:bookmarkStart w:id="154" w:name="_Toc508291874"/>
      <w:bookmarkStart w:id="155" w:name="_Toc21510"/>
      <w:bookmarkStart w:id="156" w:name="_Toc374724172"/>
      <w:bookmarkStart w:id="157" w:name="_Toc173941714"/>
      <w:bookmarkStart w:id="158" w:name="_Toc173941798"/>
      <w:bookmarkStart w:id="159" w:name="_Toc173942668"/>
      <w:r>
        <w:rPr>
          <w:color w:val="auto"/>
          <w:highlight w:val="none"/>
        </w:rPr>
        <w:t>2.</w:t>
      </w:r>
      <w:r>
        <w:rPr>
          <w:rFonts w:hint="eastAsia"/>
          <w:color w:val="auto"/>
          <w:highlight w:val="none"/>
        </w:rPr>
        <w:t>4.2</w:t>
      </w:r>
      <w:r>
        <w:rPr>
          <w:color w:val="auto"/>
          <w:highlight w:val="none"/>
        </w:rPr>
        <w:t>环境质量标准</w:t>
      </w:r>
      <w:bookmarkEnd w:id="153"/>
    </w:p>
    <w:p>
      <w:pPr>
        <w:pStyle w:val="57"/>
        <w:rPr>
          <w:color w:val="auto"/>
          <w:highlight w:val="none"/>
        </w:rPr>
      </w:pPr>
      <w:r>
        <w:rPr>
          <w:color w:val="auto"/>
          <w:highlight w:val="none"/>
        </w:rPr>
        <w:t>根据项目所在区域的自然环境特点，采用以下评价因子及环境标准。</w:t>
      </w:r>
    </w:p>
    <w:p>
      <w:pPr>
        <w:pStyle w:val="57"/>
        <w:rPr>
          <w:color w:val="auto"/>
          <w:highlight w:val="none"/>
        </w:rPr>
      </w:pPr>
      <w:r>
        <w:rPr>
          <w:color w:val="auto"/>
          <w:highlight w:val="none"/>
        </w:rPr>
        <w:t>（1）环境空气</w:t>
      </w:r>
    </w:p>
    <w:p>
      <w:pPr>
        <w:pStyle w:val="57"/>
        <w:rPr>
          <w:rFonts w:hint="eastAsia"/>
          <w:color w:val="auto"/>
          <w:highlight w:val="none"/>
        </w:rPr>
      </w:pPr>
      <w:r>
        <w:rPr>
          <w:color w:val="auto"/>
          <w:highlight w:val="none"/>
        </w:rPr>
        <w:t>环境空气质量评价中SO</w:t>
      </w:r>
      <w:r>
        <w:rPr>
          <w:color w:val="auto"/>
          <w:highlight w:val="none"/>
          <w:vertAlign w:val="subscript"/>
        </w:rPr>
        <w:t>2</w:t>
      </w:r>
      <w:r>
        <w:rPr>
          <w:color w:val="auto"/>
          <w:highlight w:val="none"/>
        </w:rPr>
        <w:t>、NO</w:t>
      </w:r>
      <w:r>
        <w:rPr>
          <w:color w:val="auto"/>
          <w:highlight w:val="none"/>
          <w:vertAlign w:val="subscript"/>
        </w:rPr>
        <w:t>2</w:t>
      </w:r>
      <w:r>
        <w:rPr>
          <w:color w:val="auto"/>
          <w:highlight w:val="none"/>
        </w:rPr>
        <w:t>、PM</w:t>
      </w:r>
      <w:r>
        <w:rPr>
          <w:color w:val="auto"/>
          <w:highlight w:val="none"/>
          <w:vertAlign w:val="subscript"/>
        </w:rPr>
        <w:t>2.5</w:t>
      </w:r>
      <w:r>
        <w:rPr>
          <w:color w:val="auto"/>
          <w:highlight w:val="none"/>
        </w:rPr>
        <w:t>、PM</w:t>
      </w:r>
      <w:r>
        <w:rPr>
          <w:color w:val="auto"/>
          <w:highlight w:val="none"/>
          <w:vertAlign w:val="subscript"/>
        </w:rPr>
        <w:t>10</w:t>
      </w:r>
      <w:r>
        <w:rPr>
          <w:color w:val="auto"/>
          <w:highlight w:val="none"/>
        </w:rPr>
        <w:t>、CO、O</w:t>
      </w:r>
      <w:r>
        <w:rPr>
          <w:color w:val="auto"/>
          <w:highlight w:val="none"/>
          <w:vertAlign w:val="subscript"/>
        </w:rPr>
        <w:t>3</w:t>
      </w:r>
      <w:r>
        <w:rPr>
          <w:color w:val="auto"/>
          <w:highlight w:val="none"/>
        </w:rPr>
        <w:t>六项指标执行《环境空气质量标准》（GB3095-2012）二级标准。对于未作出规定的</w:t>
      </w:r>
      <w:r>
        <w:rPr>
          <w:rFonts w:hint="eastAsia"/>
          <w:color w:val="auto"/>
          <w:highlight w:val="none"/>
        </w:rPr>
        <w:t>NMHC</w:t>
      </w:r>
      <w:r>
        <w:rPr>
          <w:color w:val="auto"/>
          <w:highlight w:val="none"/>
        </w:rPr>
        <w:t>参照执行《大气污染物综合排放标准详解》</w:t>
      </w:r>
      <w:r>
        <w:rPr>
          <w:rFonts w:hint="default" w:ascii="Times New Roman" w:hAnsi="Times New Roman" w:cs="Times New Roman"/>
          <w:color w:val="auto"/>
          <w:spacing w:val="0"/>
          <w:kern w:val="24"/>
          <w:sz w:val="24"/>
          <w:szCs w:val="24"/>
          <w:highlight w:val="none"/>
          <w:shd w:val="clear" w:color="auto" w:fill="auto"/>
          <w:lang w:val="en-US" w:eastAsia="zh-CN"/>
        </w:rPr>
        <w:t>2000</w:t>
      </w:r>
      <w:r>
        <w:rPr>
          <w:rFonts w:hint="default" w:ascii="Times New Roman" w:hAnsi="Times New Roman" w:cs="Times New Roman"/>
          <w:color w:val="auto"/>
          <w:spacing w:val="0"/>
          <w:kern w:val="24"/>
          <w:sz w:val="24"/>
          <w:szCs w:val="24"/>
          <w:highlight w:val="none"/>
          <w:shd w:val="clear" w:color="auto" w:fill="auto"/>
        </w:rPr>
        <w:t>μg/m</w:t>
      </w:r>
      <w:r>
        <w:rPr>
          <w:rFonts w:hint="default" w:ascii="Times New Roman" w:hAnsi="Times New Roman" w:cs="Times New Roman"/>
          <w:color w:val="auto"/>
          <w:spacing w:val="0"/>
          <w:kern w:val="24"/>
          <w:sz w:val="24"/>
          <w:szCs w:val="24"/>
          <w:highlight w:val="none"/>
          <w:shd w:val="clear" w:color="auto" w:fill="auto"/>
          <w:vertAlign w:val="superscript"/>
          <w:lang w:val="en-US" w:eastAsia="zh-CN"/>
        </w:rPr>
        <w:t>3</w:t>
      </w:r>
      <w:r>
        <w:rPr>
          <w:color w:val="auto"/>
          <w:highlight w:val="none"/>
        </w:rPr>
        <w:t>的标准</w:t>
      </w:r>
      <w:r>
        <w:rPr>
          <w:rFonts w:hint="default" w:ascii="Times New Roman" w:hAnsi="Times New Roman" w:cs="Times New Roman"/>
          <w:snapToGrid w:val="0"/>
          <w:color w:val="auto"/>
          <w:spacing w:val="0"/>
          <w:highlight w:val="none"/>
          <w:shd w:val="clear" w:color="auto" w:fill="auto"/>
        </w:rPr>
        <w:t>，H</w:t>
      </w:r>
      <w:r>
        <w:rPr>
          <w:rFonts w:hint="default" w:ascii="Times New Roman" w:hAnsi="Times New Roman" w:cs="Times New Roman"/>
          <w:snapToGrid w:val="0"/>
          <w:color w:val="auto"/>
          <w:spacing w:val="0"/>
          <w:highlight w:val="none"/>
          <w:shd w:val="clear" w:color="auto" w:fill="auto"/>
          <w:vertAlign w:val="subscript"/>
        </w:rPr>
        <w:t>2</w:t>
      </w:r>
      <w:r>
        <w:rPr>
          <w:rFonts w:hint="default" w:ascii="Times New Roman" w:hAnsi="Times New Roman" w:cs="Times New Roman"/>
          <w:snapToGrid w:val="0"/>
          <w:color w:val="auto"/>
          <w:spacing w:val="0"/>
          <w:highlight w:val="none"/>
          <w:shd w:val="clear" w:color="auto" w:fill="auto"/>
        </w:rPr>
        <w:t>S参考执行《环境影响评价技术导则</w:t>
      </w:r>
      <w:r>
        <w:rPr>
          <w:rFonts w:hint="eastAsia" w:ascii="Times New Roman" w:hAnsi="Times New Roman" w:cs="Times New Roman"/>
          <w:snapToGrid w:val="0"/>
          <w:color w:val="auto"/>
          <w:spacing w:val="0"/>
          <w:highlight w:val="none"/>
          <w:shd w:val="clear" w:color="auto" w:fill="auto"/>
          <w:lang w:val="en-US" w:eastAsia="zh-CN"/>
        </w:rPr>
        <w:t xml:space="preserve"> </w:t>
      </w:r>
      <w:r>
        <w:rPr>
          <w:rFonts w:hint="default" w:ascii="Times New Roman" w:hAnsi="Times New Roman" w:cs="Times New Roman"/>
          <w:snapToGrid w:val="0"/>
          <w:color w:val="auto"/>
          <w:spacing w:val="0"/>
          <w:highlight w:val="none"/>
          <w:shd w:val="clear" w:color="auto" w:fill="auto"/>
        </w:rPr>
        <w:t>大气环境》（HJ2.2-2018）附录D中的1h平均浓度限值10μg/m</w:t>
      </w:r>
      <w:r>
        <w:rPr>
          <w:rFonts w:hint="default" w:ascii="Times New Roman" w:hAnsi="Times New Roman" w:cs="Times New Roman"/>
          <w:snapToGrid w:val="0"/>
          <w:color w:val="auto"/>
          <w:spacing w:val="0"/>
          <w:highlight w:val="none"/>
          <w:shd w:val="clear" w:color="auto" w:fill="auto"/>
          <w:vertAlign w:val="superscript"/>
          <w:lang w:val="en-US" w:eastAsia="zh-CN"/>
        </w:rPr>
        <w:t>3</w:t>
      </w:r>
      <w:r>
        <w:rPr>
          <w:color w:val="auto"/>
          <w:highlight w:val="none"/>
        </w:rPr>
        <w:t>。指标标准取值见表2.</w:t>
      </w:r>
      <w:r>
        <w:rPr>
          <w:rFonts w:hint="eastAsia"/>
          <w:color w:val="auto"/>
          <w:highlight w:val="none"/>
        </w:rPr>
        <w:t>4</w:t>
      </w:r>
      <w:r>
        <w:rPr>
          <w:color w:val="auto"/>
          <w:highlight w:val="none"/>
        </w:rPr>
        <w:t>-</w:t>
      </w:r>
      <w:r>
        <w:rPr>
          <w:rFonts w:hint="eastAsia"/>
          <w:color w:val="auto"/>
          <w:highlight w:val="none"/>
        </w:rPr>
        <w:t>2</w:t>
      </w:r>
      <w:r>
        <w:rPr>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表2.4-2   环境空气质量标准</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37"/>
        <w:gridCol w:w="2219"/>
        <w:gridCol w:w="650"/>
        <w:gridCol w:w="850"/>
        <w:gridCol w:w="775"/>
        <w:gridCol w:w="33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7" w:type="dxa"/>
            <w:vMerge w:val="restart"/>
            <w:tcBorders>
              <w:tl2br w:val="nil"/>
              <w:tr2bl w:val="nil"/>
            </w:tcBorders>
            <w:vAlign w:val="center"/>
          </w:tcPr>
          <w:p>
            <w:pPr>
              <w:pStyle w:val="41"/>
              <w:jc w:val="center"/>
              <w:rPr>
                <w:color w:val="auto"/>
                <w:highlight w:val="none"/>
              </w:rPr>
            </w:pPr>
            <w:r>
              <w:rPr>
                <w:color w:val="auto"/>
                <w:highlight w:val="none"/>
              </w:rPr>
              <w:t>序号</w:t>
            </w:r>
          </w:p>
        </w:tc>
        <w:tc>
          <w:tcPr>
            <w:tcW w:w="2219" w:type="dxa"/>
            <w:vMerge w:val="restart"/>
            <w:tcBorders>
              <w:tl2br w:val="nil"/>
              <w:tr2bl w:val="nil"/>
            </w:tcBorders>
            <w:vAlign w:val="center"/>
          </w:tcPr>
          <w:p>
            <w:pPr>
              <w:pStyle w:val="41"/>
              <w:jc w:val="center"/>
              <w:rPr>
                <w:color w:val="auto"/>
                <w:highlight w:val="none"/>
              </w:rPr>
            </w:pPr>
            <w:r>
              <w:rPr>
                <w:color w:val="auto"/>
                <w:highlight w:val="none"/>
              </w:rPr>
              <w:t>评价因子</w:t>
            </w:r>
          </w:p>
        </w:tc>
        <w:tc>
          <w:tcPr>
            <w:tcW w:w="2275" w:type="dxa"/>
            <w:gridSpan w:val="3"/>
            <w:tcBorders>
              <w:tl2br w:val="nil"/>
              <w:tr2bl w:val="nil"/>
            </w:tcBorders>
            <w:vAlign w:val="center"/>
          </w:tcPr>
          <w:p>
            <w:pPr>
              <w:pStyle w:val="41"/>
              <w:jc w:val="center"/>
              <w:rPr>
                <w:color w:val="auto"/>
                <w:highlight w:val="none"/>
              </w:rPr>
            </w:pPr>
            <w:r>
              <w:rPr>
                <w:color w:val="auto"/>
                <w:highlight w:val="none"/>
              </w:rPr>
              <w:t>二级标准限值（</w:t>
            </w:r>
            <w:r>
              <w:rPr>
                <w:color w:val="auto"/>
                <w:kern w:val="24"/>
                <w:highlight w:val="none"/>
              </w:rPr>
              <w:t>μg</w:t>
            </w:r>
            <w:r>
              <w:rPr>
                <w:color w:val="auto"/>
                <w:highlight w:val="none"/>
              </w:rPr>
              <w:t xml:space="preserve"> /m</w:t>
            </w:r>
            <w:r>
              <w:rPr>
                <w:rFonts w:hint="eastAsia"/>
                <w:color w:val="auto"/>
                <w:highlight w:val="none"/>
                <w:vertAlign w:val="superscript"/>
              </w:rPr>
              <w:t>3</w:t>
            </w:r>
            <w:r>
              <w:rPr>
                <w:color w:val="auto"/>
                <w:highlight w:val="none"/>
              </w:rPr>
              <w:t>）</w:t>
            </w:r>
          </w:p>
        </w:tc>
        <w:tc>
          <w:tcPr>
            <w:tcW w:w="3365" w:type="dxa"/>
            <w:vMerge w:val="restart"/>
            <w:tcBorders>
              <w:tl2br w:val="nil"/>
              <w:tr2bl w:val="nil"/>
            </w:tcBorders>
            <w:vAlign w:val="center"/>
          </w:tcPr>
          <w:p>
            <w:pPr>
              <w:pStyle w:val="41"/>
              <w:jc w:val="center"/>
              <w:rPr>
                <w:color w:val="auto"/>
                <w:highlight w:val="none"/>
              </w:rPr>
            </w:pPr>
            <w:r>
              <w:rPr>
                <w:color w:val="auto"/>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7" w:type="dxa"/>
            <w:vMerge w:val="continue"/>
            <w:tcBorders>
              <w:tl2br w:val="nil"/>
              <w:tr2bl w:val="nil"/>
            </w:tcBorders>
            <w:vAlign w:val="center"/>
          </w:tcPr>
          <w:p>
            <w:pPr>
              <w:pStyle w:val="41"/>
              <w:jc w:val="center"/>
              <w:rPr>
                <w:color w:val="auto"/>
                <w:highlight w:val="none"/>
              </w:rPr>
            </w:pPr>
          </w:p>
        </w:tc>
        <w:tc>
          <w:tcPr>
            <w:tcW w:w="2219" w:type="dxa"/>
            <w:vMerge w:val="continue"/>
            <w:tcBorders>
              <w:tl2br w:val="nil"/>
              <w:tr2bl w:val="nil"/>
            </w:tcBorders>
            <w:vAlign w:val="center"/>
          </w:tcPr>
          <w:p>
            <w:pPr>
              <w:pStyle w:val="41"/>
              <w:jc w:val="center"/>
              <w:rPr>
                <w:color w:val="auto"/>
                <w:highlight w:val="none"/>
              </w:rPr>
            </w:pPr>
          </w:p>
        </w:tc>
        <w:tc>
          <w:tcPr>
            <w:tcW w:w="650" w:type="dxa"/>
            <w:tcBorders>
              <w:tl2br w:val="nil"/>
              <w:tr2bl w:val="nil"/>
            </w:tcBorders>
            <w:vAlign w:val="center"/>
          </w:tcPr>
          <w:p>
            <w:pPr>
              <w:pStyle w:val="41"/>
              <w:jc w:val="center"/>
              <w:rPr>
                <w:color w:val="auto"/>
                <w:spacing w:val="-6"/>
                <w:sz w:val="21"/>
                <w:highlight w:val="none"/>
              </w:rPr>
            </w:pPr>
            <w:r>
              <w:rPr>
                <w:color w:val="auto"/>
                <w:spacing w:val="-6"/>
                <w:sz w:val="21"/>
                <w:highlight w:val="none"/>
              </w:rPr>
              <w:t>年平均</w:t>
            </w:r>
          </w:p>
        </w:tc>
        <w:tc>
          <w:tcPr>
            <w:tcW w:w="850" w:type="dxa"/>
            <w:tcBorders>
              <w:tl2br w:val="nil"/>
              <w:tr2bl w:val="nil"/>
            </w:tcBorders>
            <w:vAlign w:val="center"/>
          </w:tcPr>
          <w:p>
            <w:pPr>
              <w:pStyle w:val="41"/>
              <w:jc w:val="center"/>
              <w:rPr>
                <w:color w:val="auto"/>
                <w:spacing w:val="-6"/>
                <w:sz w:val="21"/>
                <w:highlight w:val="none"/>
              </w:rPr>
            </w:pPr>
            <w:r>
              <w:rPr>
                <w:color w:val="auto"/>
                <w:spacing w:val="-6"/>
                <w:sz w:val="21"/>
                <w:highlight w:val="none"/>
              </w:rPr>
              <w:t>24小时平均</w:t>
            </w:r>
          </w:p>
        </w:tc>
        <w:tc>
          <w:tcPr>
            <w:tcW w:w="775" w:type="dxa"/>
            <w:tcBorders>
              <w:tl2br w:val="nil"/>
              <w:tr2bl w:val="nil"/>
            </w:tcBorders>
            <w:vAlign w:val="center"/>
          </w:tcPr>
          <w:p>
            <w:pPr>
              <w:pStyle w:val="41"/>
              <w:jc w:val="center"/>
              <w:rPr>
                <w:color w:val="auto"/>
                <w:spacing w:val="-6"/>
                <w:sz w:val="21"/>
                <w:highlight w:val="none"/>
              </w:rPr>
            </w:pPr>
            <w:r>
              <w:rPr>
                <w:color w:val="auto"/>
                <w:spacing w:val="-6"/>
                <w:sz w:val="21"/>
                <w:highlight w:val="none"/>
              </w:rPr>
              <w:t>1小时平均</w:t>
            </w:r>
          </w:p>
        </w:tc>
        <w:tc>
          <w:tcPr>
            <w:tcW w:w="3365" w:type="dxa"/>
            <w:vMerge w:val="continue"/>
            <w:tcBorders>
              <w:tl2br w:val="nil"/>
              <w:tr2bl w:val="nil"/>
            </w:tcBorders>
            <w:vAlign w:val="center"/>
          </w:tcPr>
          <w:p>
            <w:pPr>
              <w:pStyle w:val="41"/>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pPr>
              <w:pStyle w:val="41"/>
              <w:jc w:val="center"/>
              <w:rPr>
                <w:color w:val="auto"/>
                <w:highlight w:val="none"/>
              </w:rPr>
            </w:pPr>
            <w:r>
              <w:rPr>
                <w:color w:val="auto"/>
                <w:highlight w:val="none"/>
              </w:rPr>
              <w:t>1</w:t>
            </w:r>
          </w:p>
        </w:tc>
        <w:tc>
          <w:tcPr>
            <w:tcW w:w="2219" w:type="dxa"/>
            <w:tcBorders>
              <w:tl2br w:val="nil"/>
              <w:tr2bl w:val="nil"/>
            </w:tcBorders>
            <w:vAlign w:val="center"/>
          </w:tcPr>
          <w:p>
            <w:pPr>
              <w:pStyle w:val="41"/>
              <w:jc w:val="center"/>
              <w:rPr>
                <w:color w:val="auto"/>
                <w:highlight w:val="none"/>
              </w:rPr>
            </w:pPr>
            <w:r>
              <w:rPr>
                <w:color w:val="auto"/>
                <w:highlight w:val="none"/>
              </w:rPr>
              <w:t>二氧化硫（SO</w:t>
            </w:r>
            <w:r>
              <w:rPr>
                <w:color w:val="auto"/>
                <w:highlight w:val="none"/>
                <w:vertAlign w:val="subscript"/>
              </w:rPr>
              <w:t>2</w:t>
            </w:r>
            <w:r>
              <w:rPr>
                <w:color w:val="auto"/>
                <w:highlight w:val="none"/>
              </w:rPr>
              <w:t>）</w:t>
            </w:r>
          </w:p>
        </w:tc>
        <w:tc>
          <w:tcPr>
            <w:tcW w:w="650" w:type="dxa"/>
            <w:tcBorders>
              <w:tl2br w:val="nil"/>
              <w:tr2bl w:val="nil"/>
            </w:tcBorders>
            <w:vAlign w:val="center"/>
          </w:tcPr>
          <w:p>
            <w:pPr>
              <w:pStyle w:val="41"/>
              <w:jc w:val="center"/>
              <w:rPr>
                <w:color w:val="auto"/>
                <w:highlight w:val="none"/>
              </w:rPr>
            </w:pPr>
            <w:r>
              <w:rPr>
                <w:color w:val="auto"/>
                <w:highlight w:val="none"/>
              </w:rPr>
              <w:t>60</w:t>
            </w:r>
          </w:p>
        </w:tc>
        <w:tc>
          <w:tcPr>
            <w:tcW w:w="850" w:type="dxa"/>
            <w:tcBorders>
              <w:tl2br w:val="nil"/>
              <w:tr2bl w:val="nil"/>
            </w:tcBorders>
            <w:vAlign w:val="center"/>
          </w:tcPr>
          <w:p>
            <w:pPr>
              <w:pStyle w:val="41"/>
              <w:jc w:val="center"/>
              <w:rPr>
                <w:color w:val="auto"/>
                <w:highlight w:val="none"/>
              </w:rPr>
            </w:pPr>
            <w:r>
              <w:rPr>
                <w:color w:val="auto"/>
                <w:highlight w:val="none"/>
              </w:rPr>
              <w:t>150</w:t>
            </w:r>
          </w:p>
        </w:tc>
        <w:tc>
          <w:tcPr>
            <w:tcW w:w="775" w:type="dxa"/>
            <w:tcBorders>
              <w:tl2br w:val="nil"/>
              <w:tr2bl w:val="nil"/>
            </w:tcBorders>
            <w:vAlign w:val="center"/>
          </w:tcPr>
          <w:p>
            <w:pPr>
              <w:pStyle w:val="41"/>
              <w:jc w:val="center"/>
              <w:rPr>
                <w:color w:val="auto"/>
                <w:highlight w:val="none"/>
              </w:rPr>
            </w:pPr>
            <w:r>
              <w:rPr>
                <w:color w:val="auto"/>
                <w:highlight w:val="none"/>
              </w:rPr>
              <w:t>500</w:t>
            </w:r>
          </w:p>
        </w:tc>
        <w:tc>
          <w:tcPr>
            <w:tcW w:w="3365" w:type="dxa"/>
            <w:vMerge w:val="restart"/>
            <w:tcBorders>
              <w:tl2br w:val="nil"/>
              <w:tr2bl w:val="nil"/>
            </w:tcBorders>
            <w:vAlign w:val="center"/>
          </w:tcPr>
          <w:p>
            <w:pPr>
              <w:pStyle w:val="41"/>
              <w:jc w:val="center"/>
              <w:rPr>
                <w:color w:val="auto"/>
                <w:highlight w:val="none"/>
              </w:rPr>
            </w:pPr>
            <w:r>
              <w:rPr>
                <w:color w:val="auto"/>
                <w:highlight w:val="none"/>
              </w:rPr>
              <w:t>《环境空气质量标准》（GB3095-2012）及修改单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pPr>
              <w:pStyle w:val="41"/>
              <w:jc w:val="center"/>
              <w:rPr>
                <w:color w:val="auto"/>
                <w:highlight w:val="none"/>
              </w:rPr>
            </w:pPr>
            <w:r>
              <w:rPr>
                <w:color w:val="auto"/>
                <w:highlight w:val="none"/>
              </w:rPr>
              <w:t>2</w:t>
            </w:r>
          </w:p>
        </w:tc>
        <w:tc>
          <w:tcPr>
            <w:tcW w:w="2219" w:type="dxa"/>
            <w:tcBorders>
              <w:tl2br w:val="nil"/>
              <w:tr2bl w:val="nil"/>
            </w:tcBorders>
            <w:vAlign w:val="center"/>
          </w:tcPr>
          <w:p>
            <w:pPr>
              <w:pStyle w:val="41"/>
              <w:jc w:val="center"/>
              <w:rPr>
                <w:color w:val="auto"/>
                <w:highlight w:val="none"/>
              </w:rPr>
            </w:pPr>
            <w:r>
              <w:rPr>
                <w:color w:val="auto"/>
                <w:highlight w:val="none"/>
              </w:rPr>
              <w:t>二氧化氮（NO</w:t>
            </w:r>
            <w:r>
              <w:rPr>
                <w:color w:val="auto"/>
                <w:highlight w:val="none"/>
                <w:vertAlign w:val="subscript"/>
              </w:rPr>
              <w:t>2</w:t>
            </w:r>
            <w:r>
              <w:rPr>
                <w:color w:val="auto"/>
                <w:highlight w:val="none"/>
              </w:rPr>
              <w:t>）</w:t>
            </w:r>
          </w:p>
        </w:tc>
        <w:tc>
          <w:tcPr>
            <w:tcW w:w="650" w:type="dxa"/>
            <w:tcBorders>
              <w:tl2br w:val="nil"/>
              <w:tr2bl w:val="nil"/>
            </w:tcBorders>
            <w:noWrap/>
            <w:vAlign w:val="center"/>
          </w:tcPr>
          <w:p>
            <w:pPr>
              <w:pStyle w:val="41"/>
              <w:jc w:val="center"/>
              <w:rPr>
                <w:color w:val="auto"/>
                <w:highlight w:val="none"/>
              </w:rPr>
            </w:pPr>
            <w:r>
              <w:rPr>
                <w:rFonts w:hint="eastAsia"/>
                <w:color w:val="auto"/>
                <w:highlight w:val="none"/>
              </w:rPr>
              <w:t>4</w:t>
            </w:r>
            <w:r>
              <w:rPr>
                <w:color w:val="auto"/>
                <w:highlight w:val="none"/>
              </w:rPr>
              <w:t>0</w:t>
            </w:r>
          </w:p>
        </w:tc>
        <w:tc>
          <w:tcPr>
            <w:tcW w:w="850" w:type="dxa"/>
            <w:tcBorders>
              <w:tl2br w:val="nil"/>
              <w:tr2bl w:val="nil"/>
            </w:tcBorders>
            <w:noWrap/>
            <w:vAlign w:val="center"/>
          </w:tcPr>
          <w:p>
            <w:pPr>
              <w:pStyle w:val="41"/>
              <w:jc w:val="center"/>
              <w:rPr>
                <w:color w:val="auto"/>
                <w:highlight w:val="none"/>
              </w:rPr>
            </w:pPr>
            <w:r>
              <w:rPr>
                <w:color w:val="auto"/>
                <w:highlight w:val="none"/>
              </w:rPr>
              <w:t>80</w:t>
            </w:r>
          </w:p>
        </w:tc>
        <w:tc>
          <w:tcPr>
            <w:tcW w:w="775" w:type="dxa"/>
            <w:tcBorders>
              <w:tl2br w:val="nil"/>
              <w:tr2bl w:val="nil"/>
            </w:tcBorders>
            <w:noWrap/>
            <w:vAlign w:val="center"/>
          </w:tcPr>
          <w:p>
            <w:pPr>
              <w:pStyle w:val="41"/>
              <w:jc w:val="center"/>
              <w:rPr>
                <w:color w:val="auto"/>
                <w:highlight w:val="none"/>
              </w:rPr>
            </w:pPr>
            <w:r>
              <w:rPr>
                <w:color w:val="auto"/>
                <w:highlight w:val="none"/>
              </w:rPr>
              <w:t>200</w:t>
            </w:r>
          </w:p>
        </w:tc>
        <w:tc>
          <w:tcPr>
            <w:tcW w:w="3365" w:type="dxa"/>
            <w:vMerge w:val="continue"/>
            <w:tcBorders>
              <w:tl2br w:val="nil"/>
              <w:tr2bl w:val="nil"/>
            </w:tcBorders>
            <w:vAlign w:val="center"/>
          </w:tcPr>
          <w:p>
            <w:pPr>
              <w:pStyle w:val="41"/>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pPr>
              <w:pStyle w:val="41"/>
              <w:jc w:val="center"/>
              <w:rPr>
                <w:color w:val="auto"/>
                <w:highlight w:val="none"/>
              </w:rPr>
            </w:pPr>
            <w:r>
              <w:rPr>
                <w:color w:val="auto"/>
                <w:highlight w:val="none"/>
              </w:rPr>
              <w:t>3</w:t>
            </w:r>
          </w:p>
        </w:tc>
        <w:tc>
          <w:tcPr>
            <w:tcW w:w="2219" w:type="dxa"/>
            <w:tcBorders>
              <w:tl2br w:val="nil"/>
              <w:tr2bl w:val="nil"/>
            </w:tcBorders>
            <w:vAlign w:val="center"/>
          </w:tcPr>
          <w:p>
            <w:pPr>
              <w:pStyle w:val="41"/>
              <w:jc w:val="center"/>
              <w:rPr>
                <w:color w:val="auto"/>
                <w:highlight w:val="none"/>
              </w:rPr>
            </w:pPr>
            <w:r>
              <w:rPr>
                <w:color w:val="auto"/>
                <w:highlight w:val="none"/>
              </w:rPr>
              <w:t>细颗粒物（PM</w:t>
            </w:r>
            <w:r>
              <w:rPr>
                <w:color w:val="auto"/>
                <w:highlight w:val="none"/>
                <w:vertAlign w:val="subscript"/>
              </w:rPr>
              <w:t>2.5</w:t>
            </w:r>
            <w:r>
              <w:rPr>
                <w:color w:val="auto"/>
                <w:highlight w:val="none"/>
              </w:rPr>
              <w:t>）</w:t>
            </w:r>
          </w:p>
        </w:tc>
        <w:tc>
          <w:tcPr>
            <w:tcW w:w="650" w:type="dxa"/>
            <w:tcBorders>
              <w:tl2br w:val="nil"/>
              <w:tr2bl w:val="nil"/>
            </w:tcBorders>
            <w:noWrap/>
            <w:vAlign w:val="center"/>
          </w:tcPr>
          <w:p>
            <w:pPr>
              <w:pStyle w:val="41"/>
              <w:jc w:val="center"/>
              <w:rPr>
                <w:color w:val="auto"/>
                <w:highlight w:val="none"/>
              </w:rPr>
            </w:pPr>
            <w:r>
              <w:rPr>
                <w:color w:val="auto"/>
                <w:highlight w:val="none"/>
              </w:rPr>
              <w:t>35</w:t>
            </w:r>
          </w:p>
        </w:tc>
        <w:tc>
          <w:tcPr>
            <w:tcW w:w="850" w:type="dxa"/>
            <w:tcBorders>
              <w:tl2br w:val="nil"/>
              <w:tr2bl w:val="nil"/>
            </w:tcBorders>
            <w:noWrap/>
            <w:vAlign w:val="center"/>
          </w:tcPr>
          <w:p>
            <w:pPr>
              <w:pStyle w:val="41"/>
              <w:jc w:val="center"/>
              <w:rPr>
                <w:color w:val="auto"/>
                <w:highlight w:val="none"/>
              </w:rPr>
            </w:pPr>
            <w:r>
              <w:rPr>
                <w:color w:val="auto"/>
                <w:highlight w:val="none"/>
              </w:rPr>
              <w:t>75</w:t>
            </w:r>
          </w:p>
        </w:tc>
        <w:tc>
          <w:tcPr>
            <w:tcW w:w="775" w:type="dxa"/>
            <w:tcBorders>
              <w:tl2br w:val="nil"/>
              <w:tr2bl w:val="nil"/>
            </w:tcBorders>
            <w:noWrap/>
            <w:vAlign w:val="center"/>
          </w:tcPr>
          <w:p>
            <w:pPr>
              <w:pStyle w:val="41"/>
              <w:jc w:val="center"/>
              <w:rPr>
                <w:color w:val="auto"/>
                <w:highlight w:val="none"/>
              </w:rPr>
            </w:pPr>
            <w:r>
              <w:rPr>
                <w:color w:val="auto"/>
                <w:highlight w:val="none"/>
              </w:rPr>
              <w:t>/</w:t>
            </w:r>
          </w:p>
        </w:tc>
        <w:tc>
          <w:tcPr>
            <w:tcW w:w="3365" w:type="dxa"/>
            <w:vMerge w:val="continue"/>
            <w:tcBorders>
              <w:tl2br w:val="nil"/>
              <w:tr2bl w:val="nil"/>
            </w:tcBorders>
            <w:vAlign w:val="center"/>
          </w:tcPr>
          <w:p>
            <w:pPr>
              <w:pStyle w:val="41"/>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pPr>
              <w:pStyle w:val="41"/>
              <w:jc w:val="center"/>
              <w:rPr>
                <w:color w:val="auto"/>
                <w:highlight w:val="none"/>
              </w:rPr>
            </w:pPr>
            <w:r>
              <w:rPr>
                <w:color w:val="auto"/>
                <w:highlight w:val="none"/>
              </w:rPr>
              <w:t>4</w:t>
            </w:r>
          </w:p>
        </w:tc>
        <w:tc>
          <w:tcPr>
            <w:tcW w:w="2219" w:type="dxa"/>
            <w:tcBorders>
              <w:tl2br w:val="nil"/>
              <w:tr2bl w:val="nil"/>
            </w:tcBorders>
            <w:vAlign w:val="center"/>
          </w:tcPr>
          <w:p>
            <w:pPr>
              <w:pStyle w:val="41"/>
              <w:jc w:val="center"/>
              <w:rPr>
                <w:color w:val="auto"/>
                <w:highlight w:val="none"/>
              </w:rPr>
            </w:pPr>
            <w:r>
              <w:rPr>
                <w:color w:val="auto"/>
                <w:highlight w:val="none"/>
              </w:rPr>
              <w:t>可吸入颗粒物（PM</w:t>
            </w:r>
            <w:r>
              <w:rPr>
                <w:color w:val="auto"/>
                <w:highlight w:val="none"/>
                <w:vertAlign w:val="subscript"/>
              </w:rPr>
              <w:t>10</w:t>
            </w:r>
            <w:r>
              <w:rPr>
                <w:color w:val="auto"/>
                <w:highlight w:val="none"/>
              </w:rPr>
              <w:t>）</w:t>
            </w:r>
          </w:p>
        </w:tc>
        <w:tc>
          <w:tcPr>
            <w:tcW w:w="650" w:type="dxa"/>
            <w:tcBorders>
              <w:tl2br w:val="nil"/>
              <w:tr2bl w:val="nil"/>
            </w:tcBorders>
            <w:noWrap/>
            <w:vAlign w:val="center"/>
          </w:tcPr>
          <w:p>
            <w:pPr>
              <w:pStyle w:val="41"/>
              <w:jc w:val="center"/>
              <w:rPr>
                <w:color w:val="auto"/>
                <w:highlight w:val="none"/>
              </w:rPr>
            </w:pPr>
            <w:r>
              <w:rPr>
                <w:color w:val="auto"/>
                <w:highlight w:val="none"/>
              </w:rPr>
              <w:t>70</w:t>
            </w:r>
          </w:p>
        </w:tc>
        <w:tc>
          <w:tcPr>
            <w:tcW w:w="850" w:type="dxa"/>
            <w:tcBorders>
              <w:tl2br w:val="nil"/>
              <w:tr2bl w:val="nil"/>
            </w:tcBorders>
            <w:noWrap/>
            <w:vAlign w:val="center"/>
          </w:tcPr>
          <w:p>
            <w:pPr>
              <w:pStyle w:val="41"/>
              <w:jc w:val="center"/>
              <w:rPr>
                <w:color w:val="auto"/>
                <w:highlight w:val="none"/>
              </w:rPr>
            </w:pPr>
            <w:r>
              <w:rPr>
                <w:color w:val="auto"/>
                <w:highlight w:val="none"/>
              </w:rPr>
              <w:t>150</w:t>
            </w:r>
          </w:p>
        </w:tc>
        <w:tc>
          <w:tcPr>
            <w:tcW w:w="775" w:type="dxa"/>
            <w:tcBorders>
              <w:tl2br w:val="nil"/>
              <w:tr2bl w:val="nil"/>
            </w:tcBorders>
            <w:vAlign w:val="center"/>
          </w:tcPr>
          <w:p>
            <w:pPr>
              <w:pStyle w:val="41"/>
              <w:jc w:val="center"/>
              <w:rPr>
                <w:color w:val="auto"/>
                <w:highlight w:val="none"/>
              </w:rPr>
            </w:pPr>
            <w:r>
              <w:rPr>
                <w:color w:val="auto"/>
                <w:highlight w:val="none"/>
              </w:rPr>
              <w:t>/</w:t>
            </w:r>
          </w:p>
        </w:tc>
        <w:tc>
          <w:tcPr>
            <w:tcW w:w="3365" w:type="dxa"/>
            <w:vMerge w:val="continue"/>
            <w:tcBorders>
              <w:tl2br w:val="nil"/>
              <w:tr2bl w:val="nil"/>
            </w:tcBorders>
            <w:vAlign w:val="center"/>
          </w:tcPr>
          <w:p>
            <w:pPr>
              <w:pStyle w:val="41"/>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pPr>
              <w:pStyle w:val="41"/>
              <w:jc w:val="center"/>
              <w:rPr>
                <w:color w:val="auto"/>
                <w:highlight w:val="none"/>
              </w:rPr>
            </w:pPr>
            <w:r>
              <w:rPr>
                <w:color w:val="auto"/>
                <w:highlight w:val="none"/>
              </w:rPr>
              <w:t>5</w:t>
            </w:r>
          </w:p>
        </w:tc>
        <w:tc>
          <w:tcPr>
            <w:tcW w:w="2219" w:type="dxa"/>
            <w:tcBorders>
              <w:tl2br w:val="nil"/>
              <w:tr2bl w:val="nil"/>
            </w:tcBorders>
            <w:vAlign w:val="center"/>
          </w:tcPr>
          <w:p>
            <w:pPr>
              <w:pStyle w:val="41"/>
              <w:jc w:val="center"/>
              <w:rPr>
                <w:color w:val="auto"/>
                <w:highlight w:val="none"/>
              </w:rPr>
            </w:pPr>
            <w:r>
              <w:rPr>
                <w:color w:val="auto"/>
                <w:highlight w:val="none"/>
              </w:rPr>
              <w:t>一氧化碳（CO）</w:t>
            </w:r>
          </w:p>
        </w:tc>
        <w:tc>
          <w:tcPr>
            <w:tcW w:w="650" w:type="dxa"/>
            <w:tcBorders>
              <w:tl2br w:val="nil"/>
              <w:tr2bl w:val="nil"/>
            </w:tcBorders>
            <w:noWrap/>
            <w:vAlign w:val="center"/>
          </w:tcPr>
          <w:p>
            <w:pPr>
              <w:pStyle w:val="41"/>
              <w:jc w:val="center"/>
              <w:rPr>
                <w:color w:val="auto"/>
                <w:highlight w:val="none"/>
              </w:rPr>
            </w:pPr>
            <w:r>
              <w:rPr>
                <w:color w:val="auto"/>
                <w:highlight w:val="none"/>
              </w:rPr>
              <w:t>/</w:t>
            </w:r>
          </w:p>
        </w:tc>
        <w:tc>
          <w:tcPr>
            <w:tcW w:w="850" w:type="dxa"/>
            <w:tcBorders>
              <w:tl2br w:val="nil"/>
              <w:tr2bl w:val="nil"/>
            </w:tcBorders>
            <w:noWrap/>
            <w:vAlign w:val="center"/>
          </w:tcPr>
          <w:p>
            <w:pPr>
              <w:pStyle w:val="41"/>
              <w:jc w:val="center"/>
              <w:rPr>
                <w:color w:val="auto"/>
                <w:highlight w:val="none"/>
              </w:rPr>
            </w:pPr>
            <w:r>
              <w:rPr>
                <w:color w:val="auto"/>
                <w:highlight w:val="none"/>
              </w:rPr>
              <w:t>4000</w:t>
            </w:r>
          </w:p>
        </w:tc>
        <w:tc>
          <w:tcPr>
            <w:tcW w:w="775" w:type="dxa"/>
            <w:tcBorders>
              <w:tl2br w:val="nil"/>
              <w:tr2bl w:val="nil"/>
            </w:tcBorders>
            <w:vAlign w:val="center"/>
          </w:tcPr>
          <w:p>
            <w:pPr>
              <w:pStyle w:val="41"/>
              <w:jc w:val="center"/>
              <w:rPr>
                <w:color w:val="auto"/>
                <w:highlight w:val="none"/>
              </w:rPr>
            </w:pPr>
            <w:r>
              <w:rPr>
                <w:color w:val="auto"/>
                <w:highlight w:val="none"/>
              </w:rPr>
              <w:t>10000</w:t>
            </w:r>
          </w:p>
        </w:tc>
        <w:tc>
          <w:tcPr>
            <w:tcW w:w="3365" w:type="dxa"/>
            <w:vMerge w:val="continue"/>
            <w:tcBorders>
              <w:tl2br w:val="nil"/>
              <w:tr2bl w:val="nil"/>
            </w:tcBorders>
            <w:vAlign w:val="center"/>
          </w:tcPr>
          <w:p>
            <w:pPr>
              <w:pStyle w:val="41"/>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437" w:type="dxa"/>
            <w:tcBorders>
              <w:tl2br w:val="nil"/>
              <w:tr2bl w:val="nil"/>
            </w:tcBorders>
            <w:vAlign w:val="center"/>
          </w:tcPr>
          <w:p>
            <w:pPr>
              <w:pStyle w:val="41"/>
              <w:jc w:val="center"/>
              <w:rPr>
                <w:color w:val="auto"/>
                <w:highlight w:val="none"/>
              </w:rPr>
            </w:pPr>
            <w:r>
              <w:rPr>
                <w:color w:val="auto"/>
                <w:highlight w:val="none"/>
              </w:rPr>
              <w:t>6</w:t>
            </w:r>
          </w:p>
        </w:tc>
        <w:tc>
          <w:tcPr>
            <w:tcW w:w="2219" w:type="dxa"/>
            <w:tcBorders>
              <w:tl2br w:val="nil"/>
              <w:tr2bl w:val="nil"/>
            </w:tcBorders>
            <w:vAlign w:val="center"/>
          </w:tcPr>
          <w:p>
            <w:pPr>
              <w:pStyle w:val="41"/>
              <w:jc w:val="center"/>
              <w:rPr>
                <w:color w:val="auto"/>
                <w:highlight w:val="none"/>
              </w:rPr>
            </w:pPr>
            <w:r>
              <w:rPr>
                <w:color w:val="auto"/>
                <w:highlight w:val="none"/>
              </w:rPr>
              <w:t>臭氧（O</w:t>
            </w:r>
            <w:r>
              <w:rPr>
                <w:color w:val="auto"/>
                <w:highlight w:val="none"/>
                <w:vertAlign w:val="subscript"/>
              </w:rPr>
              <w:t>3</w:t>
            </w:r>
            <w:r>
              <w:rPr>
                <w:color w:val="auto"/>
                <w:highlight w:val="none"/>
              </w:rPr>
              <w:t>）</w:t>
            </w:r>
          </w:p>
        </w:tc>
        <w:tc>
          <w:tcPr>
            <w:tcW w:w="650" w:type="dxa"/>
            <w:tcBorders>
              <w:tl2br w:val="nil"/>
              <w:tr2bl w:val="nil"/>
            </w:tcBorders>
            <w:noWrap/>
            <w:vAlign w:val="center"/>
          </w:tcPr>
          <w:p>
            <w:pPr>
              <w:pStyle w:val="41"/>
              <w:jc w:val="center"/>
              <w:rPr>
                <w:color w:val="auto"/>
                <w:highlight w:val="none"/>
              </w:rPr>
            </w:pPr>
            <w:r>
              <w:rPr>
                <w:color w:val="auto"/>
                <w:highlight w:val="none"/>
              </w:rPr>
              <w:t>/</w:t>
            </w:r>
          </w:p>
        </w:tc>
        <w:tc>
          <w:tcPr>
            <w:tcW w:w="850" w:type="dxa"/>
            <w:tcBorders>
              <w:tl2br w:val="nil"/>
              <w:tr2bl w:val="nil"/>
            </w:tcBorders>
            <w:noWrap/>
            <w:vAlign w:val="center"/>
          </w:tcPr>
          <w:p>
            <w:pPr>
              <w:pStyle w:val="41"/>
              <w:jc w:val="center"/>
              <w:rPr>
                <w:color w:val="auto"/>
                <w:highlight w:val="none"/>
              </w:rPr>
            </w:pPr>
            <w:r>
              <w:rPr>
                <w:rFonts w:hint="eastAsia"/>
                <w:color w:val="auto"/>
                <w:highlight w:val="none"/>
              </w:rPr>
              <w:t>160</w:t>
            </w:r>
          </w:p>
        </w:tc>
        <w:tc>
          <w:tcPr>
            <w:tcW w:w="775" w:type="dxa"/>
            <w:tcBorders>
              <w:tl2br w:val="nil"/>
              <w:tr2bl w:val="nil"/>
            </w:tcBorders>
            <w:vAlign w:val="center"/>
          </w:tcPr>
          <w:p>
            <w:pPr>
              <w:pStyle w:val="41"/>
              <w:jc w:val="center"/>
              <w:rPr>
                <w:color w:val="auto"/>
                <w:highlight w:val="none"/>
              </w:rPr>
            </w:pPr>
            <w:r>
              <w:rPr>
                <w:color w:val="auto"/>
                <w:highlight w:val="none"/>
              </w:rPr>
              <w:t>200</w:t>
            </w:r>
          </w:p>
        </w:tc>
        <w:tc>
          <w:tcPr>
            <w:tcW w:w="3365" w:type="dxa"/>
            <w:vMerge w:val="continue"/>
            <w:tcBorders>
              <w:tl2br w:val="nil"/>
              <w:tr2bl w:val="nil"/>
            </w:tcBorders>
            <w:vAlign w:val="center"/>
          </w:tcPr>
          <w:p>
            <w:pPr>
              <w:pStyle w:val="41"/>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pPr>
              <w:pStyle w:val="41"/>
              <w:jc w:val="center"/>
              <w:rPr>
                <w:color w:val="auto"/>
                <w:highlight w:val="none"/>
              </w:rPr>
            </w:pPr>
            <w:r>
              <w:rPr>
                <w:rFonts w:hint="eastAsia"/>
                <w:color w:val="auto"/>
                <w:highlight w:val="none"/>
              </w:rPr>
              <w:t>7</w:t>
            </w:r>
          </w:p>
        </w:tc>
        <w:tc>
          <w:tcPr>
            <w:tcW w:w="2219" w:type="dxa"/>
            <w:tcBorders>
              <w:tl2br w:val="nil"/>
              <w:tr2bl w:val="nil"/>
            </w:tcBorders>
            <w:vAlign w:val="center"/>
          </w:tcPr>
          <w:p>
            <w:pPr>
              <w:pStyle w:val="41"/>
              <w:jc w:val="center"/>
              <w:rPr>
                <w:color w:val="auto"/>
                <w:highlight w:val="none"/>
              </w:rPr>
            </w:pPr>
            <w:r>
              <w:rPr>
                <w:color w:val="auto"/>
                <w:highlight w:val="none"/>
              </w:rPr>
              <w:t>非甲烷总烃（NMHC）</w:t>
            </w:r>
          </w:p>
        </w:tc>
        <w:tc>
          <w:tcPr>
            <w:tcW w:w="650" w:type="dxa"/>
            <w:tcBorders>
              <w:tl2br w:val="nil"/>
              <w:tr2bl w:val="nil"/>
            </w:tcBorders>
            <w:vAlign w:val="center"/>
          </w:tcPr>
          <w:p>
            <w:pPr>
              <w:pStyle w:val="41"/>
              <w:jc w:val="center"/>
              <w:rPr>
                <w:color w:val="auto"/>
                <w:highlight w:val="none"/>
              </w:rPr>
            </w:pPr>
            <w:r>
              <w:rPr>
                <w:color w:val="auto"/>
                <w:highlight w:val="none"/>
              </w:rPr>
              <w:t>/</w:t>
            </w:r>
          </w:p>
        </w:tc>
        <w:tc>
          <w:tcPr>
            <w:tcW w:w="850" w:type="dxa"/>
            <w:tcBorders>
              <w:tl2br w:val="nil"/>
              <w:tr2bl w:val="nil"/>
            </w:tcBorders>
            <w:vAlign w:val="center"/>
          </w:tcPr>
          <w:p>
            <w:pPr>
              <w:pStyle w:val="41"/>
              <w:jc w:val="center"/>
              <w:rPr>
                <w:color w:val="auto"/>
                <w:highlight w:val="none"/>
              </w:rPr>
            </w:pPr>
            <w:r>
              <w:rPr>
                <w:color w:val="auto"/>
                <w:highlight w:val="none"/>
              </w:rPr>
              <w:t>/</w:t>
            </w:r>
          </w:p>
        </w:tc>
        <w:tc>
          <w:tcPr>
            <w:tcW w:w="775" w:type="dxa"/>
            <w:tcBorders>
              <w:tl2br w:val="nil"/>
              <w:tr2bl w:val="nil"/>
            </w:tcBorders>
            <w:vAlign w:val="center"/>
          </w:tcPr>
          <w:p>
            <w:pPr>
              <w:pStyle w:val="41"/>
              <w:jc w:val="center"/>
              <w:rPr>
                <w:color w:val="auto"/>
                <w:highlight w:val="none"/>
              </w:rPr>
            </w:pPr>
            <w:r>
              <w:rPr>
                <w:color w:val="auto"/>
                <w:highlight w:val="none"/>
              </w:rPr>
              <w:t>2000</w:t>
            </w:r>
          </w:p>
        </w:tc>
        <w:tc>
          <w:tcPr>
            <w:tcW w:w="3365" w:type="dxa"/>
            <w:tcBorders>
              <w:tl2br w:val="nil"/>
              <w:tr2bl w:val="nil"/>
            </w:tcBorders>
            <w:vAlign w:val="center"/>
          </w:tcPr>
          <w:p>
            <w:pPr>
              <w:pStyle w:val="41"/>
              <w:jc w:val="center"/>
              <w:rPr>
                <w:color w:val="auto"/>
                <w:highlight w:val="none"/>
              </w:rPr>
            </w:pPr>
            <w:r>
              <w:rPr>
                <w:color w:val="auto"/>
                <w:highlight w:val="none"/>
              </w:rPr>
              <w:t>参考《大气污染物综合排放标准》详解</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7" w:type="dxa"/>
            <w:tcBorders>
              <w:tl2br w:val="nil"/>
              <w:tr2bl w:val="nil"/>
            </w:tcBorders>
            <w:vAlign w:val="center"/>
          </w:tcPr>
          <w:p>
            <w:pPr>
              <w:pStyle w:val="41"/>
              <w:jc w:val="center"/>
              <w:rPr>
                <w:color w:val="auto"/>
                <w:highlight w:val="none"/>
              </w:rPr>
            </w:pPr>
            <w:r>
              <w:rPr>
                <w:rFonts w:hint="eastAsia"/>
                <w:color w:val="auto"/>
                <w:highlight w:val="none"/>
              </w:rPr>
              <w:t>8</w:t>
            </w:r>
          </w:p>
        </w:tc>
        <w:tc>
          <w:tcPr>
            <w:tcW w:w="2219" w:type="dxa"/>
            <w:tcBorders>
              <w:tl2br w:val="nil"/>
              <w:tr2bl w:val="nil"/>
            </w:tcBorders>
            <w:vAlign w:val="center"/>
          </w:tcPr>
          <w:p>
            <w:pPr>
              <w:spacing w:line="240" w:lineRule="exact"/>
              <w:ind w:left="-105" w:leftChars="0" w:right="-105" w:rightChars="0"/>
              <w:jc w:val="center"/>
              <w:rPr>
                <w:color w:val="auto"/>
                <w:highlight w:val="none"/>
              </w:rPr>
            </w:pPr>
            <w:r>
              <w:rPr>
                <w:rFonts w:hint="default" w:ascii="Times New Roman" w:hAnsi="Times New Roman" w:cs="Times New Roman"/>
                <w:bCs/>
                <w:color w:val="auto"/>
                <w:sz w:val="21"/>
                <w:szCs w:val="21"/>
                <w:highlight w:val="none"/>
                <w:shd w:val="clear" w:color="auto" w:fill="auto"/>
              </w:rPr>
              <w:t>硫化氢（H</w:t>
            </w:r>
            <w:r>
              <w:rPr>
                <w:rFonts w:hint="default" w:ascii="Times New Roman" w:hAnsi="Times New Roman" w:cs="Times New Roman"/>
                <w:bCs/>
                <w:color w:val="auto"/>
                <w:sz w:val="21"/>
                <w:szCs w:val="21"/>
                <w:highlight w:val="none"/>
                <w:shd w:val="clear" w:color="auto" w:fill="auto"/>
                <w:vertAlign w:val="subscript"/>
              </w:rPr>
              <w:t>2</w:t>
            </w:r>
            <w:r>
              <w:rPr>
                <w:rFonts w:hint="default" w:ascii="Times New Roman" w:hAnsi="Times New Roman" w:cs="Times New Roman"/>
                <w:bCs/>
                <w:color w:val="auto"/>
                <w:sz w:val="21"/>
                <w:szCs w:val="21"/>
                <w:highlight w:val="none"/>
                <w:shd w:val="clear" w:color="auto" w:fill="auto"/>
              </w:rPr>
              <w:t>S）</w:t>
            </w:r>
          </w:p>
        </w:tc>
        <w:tc>
          <w:tcPr>
            <w:tcW w:w="650" w:type="dxa"/>
            <w:tcBorders>
              <w:tl2br w:val="nil"/>
              <w:tr2bl w:val="nil"/>
            </w:tcBorders>
            <w:vAlign w:val="center"/>
          </w:tcPr>
          <w:p>
            <w:pPr>
              <w:spacing w:line="240" w:lineRule="exact"/>
              <w:ind w:left="-105" w:leftChars="0" w:right="-105" w:rightChars="0"/>
              <w:jc w:val="center"/>
              <w:rPr>
                <w:color w:val="auto"/>
                <w:highlight w:val="none"/>
              </w:rPr>
            </w:pPr>
            <w:r>
              <w:rPr>
                <w:rFonts w:hint="default" w:ascii="Times New Roman" w:hAnsi="Times New Roman" w:cs="Times New Roman"/>
                <w:bCs/>
                <w:color w:val="auto"/>
                <w:sz w:val="21"/>
                <w:szCs w:val="21"/>
                <w:highlight w:val="none"/>
                <w:shd w:val="clear" w:color="auto" w:fill="auto"/>
                <w:lang w:val="en-US" w:eastAsia="zh-CN"/>
              </w:rPr>
              <w:t>/</w:t>
            </w:r>
          </w:p>
        </w:tc>
        <w:tc>
          <w:tcPr>
            <w:tcW w:w="850" w:type="dxa"/>
            <w:tcBorders>
              <w:tl2br w:val="nil"/>
              <w:tr2bl w:val="nil"/>
            </w:tcBorders>
            <w:vAlign w:val="center"/>
          </w:tcPr>
          <w:p>
            <w:pPr>
              <w:spacing w:line="240" w:lineRule="exact"/>
              <w:ind w:left="-105" w:leftChars="0" w:right="-105" w:rightChars="0"/>
              <w:jc w:val="center"/>
              <w:rPr>
                <w:color w:val="auto"/>
                <w:highlight w:val="none"/>
              </w:rPr>
            </w:pPr>
            <w:r>
              <w:rPr>
                <w:rFonts w:hint="default" w:ascii="Times New Roman" w:hAnsi="Times New Roman" w:cs="Times New Roman"/>
                <w:bCs/>
                <w:color w:val="auto"/>
                <w:sz w:val="21"/>
                <w:szCs w:val="21"/>
                <w:highlight w:val="none"/>
                <w:shd w:val="clear" w:color="auto" w:fill="auto"/>
                <w:lang w:val="en-US" w:eastAsia="zh-CN"/>
              </w:rPr>
              <w:t>/</w:t>
            </w:r>
          </w:p>
        </w:tc>
        <w:tc>
          <w:tcPr>
            <w:tcW w:w="775" w:type="dxa"/>
            <w:tcBorders>
              <w:tl2br w:val="nil"/>
              <w:tr2bl w:val="nil"/>
            </w:tcBorders>
            <w:vAlign w:val="center"/>
          </w:tcPr>
          <w:p>
            <w:pPr>
              <w:spacing w:line="240" w:lineRule="exact"/>
              <w:ind w:left="-105" w:leftChars="0" w:right="-105" w:rightChars="0"/>
              <w:jc w:val="center"/>
              <w:rPr>
                <w:color w:val="auto"/>
                <w:highlight w:val="none"/>
              </w:rPr>
            </w:pPr>
            <w:r>
              <w:rPr>
                <w:rFonts w:hint="default" w:ascii="Times New Roman" w:hAnsi="Times New Roman" w:cs="Times New Roman"/>
                <w:bCs/>
                <w:color w:val="auto"/>
                <w:sz w:val="21"/>
                <w:szCs w:val="21"/>
                <w:highlight w:val="none"/>
                <w:shd w:val="clear" w:color="auto" w:fill="auto"/>
              </w:rPr>
              <w:t>10</w:t>
            </w:r>
          </w:p>
        </w:tc>
        <w:tc>
          <w:tcPr>
            <w:tcW w:w="3365" w:type="dxa"/>
            <w:tcBorders>
              <w:tl2br w:val="nil"/>
              <w:tr2bl w:val="nil"/>
            </w:tcBorders>
            <w:vAlign w:val="center"/>
          </w:tcPr>
          <w:p>
            <w:pPr>
              <w:spacing w:line="240" w:lineRule="exact"/>
              <w:ind w:left="-105" w:leftChars="0" w:right="-69" w:rightChars="-33"/>
              <w:jc w:val="center"/>
              <w:rPr>
                <w:color w:val="auto"/>
                <w:highlight w:val="none"/>
              </w:rPr>
            </w:pPr>
            <w:r>
              <w:rPr>
                <w:rFonts w:hint="default" w:ascii="Times New Roman" w:hAnsi="Times New Roman" w:cs="Times New Roman"/>
                <w:bCs/>
                <w:color w:val="auto"/>
                <w:kern w:val="24"/>
                <w:sz w:val="21"/>
                <w:szCs w:val="21"/>
                <w:highlight w:val="none"/>
                <w:shd w:val="clear" w:color="auto" w:fill="auto"/>
              </w:rPr>
              <w:t>参考执行《环境影响评价技术导则大气环境》（HJ2.2-2018）附录D中的1h平均浓度限值</w:t>
            </w:r>
          </w:p>
        </w:tc>
      </w:tr>
    </w:tbl>
    <w:p>
      <w:pPr>
        <w:pStyle w:val="57"/>
        <w:rPr>
          <w:color w:val="auto"/>
          <w:highlight w:val="none"/>
        </w:rPr>
      </w:pPr>
      <w:r>
        <w:rPr>
          <w:color w:val="auto"/>
          <w:highlight w:val="none"/>
        </w:rPr>
        <w:t>（2）水环境</w:t>
      </w:r>
    </w:p>
    <w:p>
      <w:pPr>
        <w:pStyle w:val="57"/>
        <w:rPr>
          <w:color w:val="auto"/>
          <w:highlight w:val="none"/>
        </w:rPr>
      </w:pPr>
      <w:r>
        <w:rPr>
          <w:rFonts w:hint="eastAsia"/>
          <w:color w:val="auto"/>
          <w:sz w:val="24"/>
          <w:szCs w:val="24"/>
          <w:highlight w:val="none"/>
          <w:lang w:eastAsia="zh-CN"/>
        </w:rPr>
        <w:t>工程所在区域周边无地表水体，故不对区域内地表水进行现状调查。</w:t>
      </w:r>
    </w:p>
    <w:p>
      <w:pPr>
        <w:pStyle w:val="57"/>
        <w:rPr>
          <w:color w:val="auto"/>
          <w:highlight w:val="none"/>
        </w:rPr>
      </w:pPr>
      <w:r>
        <w:rPr>
          <w:color w:val="auto"/>
          <w:highlight w:val="none"/>
        </w:rPr>
        <w:t>区域地下水执行《地下水质量标准》（GB/T14848-2017）的</w:t>
      </w:r>
      <w:r>
        <w:rPr>
          <w:rFonts w:hint="eastAsia" w:ascii="宋体" w:hAnsi="宋体" w:cs="宋体"/>
          <w:color w:val="auto"/>
          <w:highlight w:val="none"/>
        </w:rPr>
        <w:t>Ⅲ</w:t>
      </w:r>
      <w:r>
        <w:rPr>
          <w:color w:val="auto"/>
          <w:highlight w:val="none"/>
        </w:rPr>
        <w:t>类标准；石油类参照《地表水环境质量标准》（GB3838-2002）中的</w:t>
      </w:r>
      <w:r>
        <w:rPr>
          <w:rFonts w:hint="eastAsia" w:ascii="宋体" w:hAnsi="宋体" w:cs="宋体"/>
          <w:color w:val="auto"/>
          <w:highlight w:val="none"/>
        </w:rPr>
        <w:t>Ⅲ</w:t>
      </w:r>
      <w:r>
        <w:rPr>
          <w:color w:val="auto"/>
          <w:highlight w:val="none"/>
        </w:rPr>
        <w:t>类标准。具体标准值见表2.</w:t>
      </w:r>
      <w:r>
        <w:rPr>
          <w:rFonts w:hint="eastAsia"/>
          <w:color w:val="auto"/>
          <w:highlight w:val="none"/>
        </w:rPr>
        <w:t>4</w:t>
      </w:r>
      <w:r>
        <w:rPr>
          <w:color w:val="auto"/>
          <w:highlight w:val="none"/>
        </w:rPr>
        <w:t>-</w:t>
      </w:r>
      <w:r>
        <w:rPr>
          <w:rFonts w:hint="eastAsia"/>
          <w:color w:val="auto"/>
          <w:highlight w:val="none"/>
          <w:lang w:val="en-US" w:eastAsia="zh-CN"/>
        </w:rPr>
        <w:t>3</w:t>
      </w:r>
      <w:r>
        <w:rPr>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表2.4-</w:t>
      </w:r>
      <w:r>
        <w:rPr>
          <w:rFonts w:hint="eastAsia" w:cs="Times New Roman"/>
          <w:color w:val="auto"/>
          <w:highlight w:val="none"/>
          <w:lang w:val="en-US" w:eastAsia="zh-CN"/>
        </w:rPr>
        <w:t>3</w:t>
      </w:r>
      <w:r>
        <w:rPr>
          <w:rFonts w:hint="eastAsia" w:cs="Times New Roman"/>
          <w:color w:val="auto"/>
          <w:highlight w:val="none"/>
        </w:rPr>
        <w:t xml:space="preserve">  地下水质量标准值</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3"/>
        <w:gridCol w:w="2876"/>
        <w:gridCol w:w="1232"/>
        <w:gridCol w:w="543"/>
        <w:gridCol w:w="2829"/>
        <w:gridCol w:w="80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21" w:type="pct"/>
            <w:tcBorders>
              <w:tl2br w:val="nil"/>
              <w:tr2bl w:val="nil"/>
            </w:tcBorders>
            <w:vAlign w:val="center"/>
          </w:tcPr>
          <w:p>
            <w:pPr>
              <w:pStyle w:val="41"/>
              <w:rPr>
                <w:color w:val="auto"/>
                <w:highlight w:val="none"/>
              </w:rPr>
            </w:pPr>
            <w:r>
              <w:rPr>
                <w:color w:val="auto"/>
                <w:highlight w:val="none"/>
              </w:rPr>
              <w:t>序号</w:t>
            </w:r>
          </w:p>
        </w:tc>
        <w:tc>
          <w:tcPr>
            <w:tcW w:w="1642" w:type="pct"/>
            <w:tcBorders>
              <w:tl2br w:val="nil"/>
              <w:tr2bl w:val="nil"/>
            </w:tcBorders>
            <w:vAlign w:val="center"/>
          </w:tcPr>
          <w:p>
            <w:pPr>
              <w:pStyle w:val="41"/>
              <w:rPr>
                <w:color w:val="auto"/>
                <w:highlight w:val="none"/>
              </w:rPr>
            </w:pPr>
            <w:r>
              <w:rPr>
                <w:color w:val="auto"/>
                <w:highlight w:val="none"/>
              </w:rPr>
              <w:t>监测项目</w:t>
            </w:r>
          </w:p>
        </w:tc>
        <w:tc>
          <w:tcPr>
            <w:tcW w:w="641" w:type="pct"/>
            <w:tcBorders>
              <w:tl2br w:val="nil"/>
              <w:tr2bl w:val="nil"/>
            </w:tcBorders>
            <w:vAlign w:val="center"/>
          </w:tcPr>
          <w:p>
            <w:pPr>
              <w:pStyle w:val="41"/>
              <w:rPr>
                <w:color w:val="auto"/>
                <w:highlight w:val="none"/>
              </w:rPr>
            </w:pPr>
            <w:r>
              <w:rPr>
                <w:color w:val="auto"/>
                <w:highlight w:val="none"/>
              </w:rPr>
              <w:t>标准值</w:t>
            </w:r>
          </w:p>
        </w:tc>
        <w:tc>
          <w:tcPr>
            <w:tcW w:w="321" w:type="pct"/>
            <w:tcBorders>
              <w:tl2br w:val="nil"/>
              <w:tr2bl w:val="nil"/>
            </w:tcBorders>
            <w:vAlign w:val="center"/>
          </w:tcPr>
          <w:p>
            <w:pPr>
              <w:pStyle w:val="41"/>
              <w:rPr>
                <w:color w:val="auto"/>
                <w:highlight w:val="none"/>
              </w:rPr>
            </w:pPr>
            <w:r>
              <w:rPr>
                <w:color w:val="auto"/>
                <w:highlight w:val="none"/>
              </w:rPr>
              <w:t>序号</w:t>
            </w:r>
          </w:p>
        </w:tc>
        <w:tc>
          <w:tcPr>
            <w:tcW w:w="1615" w:type="pct"/>
            <w:tcBorders>
              <w:tl2br w:val="nil"/>
              <w:tr2bl w:val="nil"/>
            </w:tcBorders>
            <w:vAlign w:val="center"/>
          </w:tcPr>
          <w:p>
            <w:pPr>
              <w:pStyle w:val="41"/>
              <w:rPr>
                <w:color w:val="auto"/>
                <w:highlight w:val="none"/>
              </w:rPr>
            </w:pPr>
            <w:r>
              <w:rPr>
                <w:color w:val="auto"/>
                <w:highlight w:val="none"/>
              </w:rPr>
              <w:t>监测项目</w:t>
            </w:r>
          </w:p>
        </w:tc>
        <w:tc>
          <w:tcPr>
            <w:tcW w:w="458" w:type="pct"/>
            <w:tcBorders>
              <w:tl2br w:val="nil"/>
              <w:tr2bl w:val="nil"/>
            </w:tcBorders>
            <w:vAlign w:val="center"/>
          </w:tcPr>
          <w:p>
            <w:pPr>
              <w:pStyle w:val="41"/>
              <w:rPr>
                <w:color w:val="auto"/>
                <w:highlight w:val="none"/>
              </w:rPr>
            </w:pPr>
            <w:r>
              <w:rPr>
                <w:color w:val="auto"/>
                <w:highlight w:val="none"/>
              </w:rPr>
              <w:t>标准值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1</w:t>
            </w:r>
          </w:p>
        </w:tc>
        <w:tc>
          <w:tcPr>
            <w:tcW w:w="1642" w:type="pct"/>
            <w:tcBorders>
              <w:tl2br w:val="nil"/>
              <w:tr2bl w:val="nil"/>
            </w:tcBorders>
            <w:vAlign w:val="center"/>
          </w:tcPr>
          <w:p>
            <w:pPr>
              <w:pStyle w:val="41"/>
              <w:rPr>
                <w:color w:val="auto"/>
                <w:highlight w:val="none"/>
              </w:rPr>
            </w:pPr>
            <w:r>
              <w:rPr>
                <w:color w:val="auto"/>
                <w:highlight w:val="none"/>
              </w:rPr>
              <w:t>色（铂钴色度单位）</w:t>
            </w:r>
          </w:p>
        </w:tc>
        <w:tc>
          <w:tcPr>
            <w:tcW w:w="641" w:type="pct"/>
            <w:tcBorders>
              <w:tl2br w:val="nil"/>
              <w:tr2bl w:val="nil"/>
            </w:tcBorders>
            <w:vAlign w:val="center"/>
          </w:tcPr>
          <w:p>
            <w:pPr>
              <w:pStyle w:val="41"/>
              <w:rPr>
                <w:color w:val="auto"/>
                <w:highlight w:val="none"/>
              </w:rPr>
            </w:pPr>
            <w:r>
              <w:rPr>
                <w:color w:val="auto"/>
                <w:highlight w:val="none"/>
              </w:rPr>
              <w:t>≤15</w:t>
            </w:r>
          </w:p>
        </w:tc>
        <w:tc>
          <w:tcPr>
            <w:tcW w:w="321" w:type="pct"/>
            <w:tcBorders>
              <w:tl2br w:val="nil"/>
              <w:tr2bl w:val="nil"/>
            </w:tcBorders>
            <w:vAlign w:val="center"/>
          </w:tcPr>
          <w:p>
            <w:pPr>
              <w:pStyle w:val="41"/>
              <w:rPr>
                <w:color w:val="auto"/>
                <w:highlight w:val="none"/>
              </w:rPr>
            </w:pPr>
            <w:r>
              <w:rPr>
                <w:color w:val="auto"/>
                <w:highlight w:val="none"/>
              </w:rPr>
              <w:t>18</w:t>
            </w:r>
          </w:p>
        </w:tc>
        <w:tc>
          <w:tcPr>
            <w:tcW w:w="1615" w:type="pct"/>
            <w:tcBorders>
              <w:tl2br w:val="nil"/>
              <w:tr2bl w:val="nil"/>
            </w:tcBorders>
            <w:vAlign w:val="center"/>
          </w:tcPr>
          <w:p>
            <w:pPr>
              <w:pStyle w:val="41"/>
              <w:rPr>
                <w:color w:val="auto"/>
                <w:highlight w:val="none"/>
              </w:rPr>
            </w:pPr>
            <w:r>
              <w:rPr>
                <w:color w:val="auto"/>
                <w:highlight w:val="none"/>
              </w:rPr>
              <w:t>氨氮（以</w:t>
            </w:r>
            <w:r>
              <w:rPr>
                <w:rFonts w:hint="eastAsia"/>
                <w:color w:val="auto"/>
                <w:highlight w:val="none"/>
              </w:rPr>
              <w:t>N</w:t>
            </w:r>
            <w:r>
              <w:rPr>
                <w:color w:val="auto"/>
                <w:highlight w:val="none"/>
              </w:rPr>
              <w:t>计）（mg/L）</w:t>
            </w:r>
          </w:p>
        </w:tc>
        <w:tc>
          <w:tcPr>
            <w:tcW w:w="458" w:type="pct"/>
            <w:tcBorders>
              <w:tl2br w:val="nil"/>
              <w:tr2bl w:val="nil"/>
            </w:tcBorders>
            <w:vAlign w:val="center"/>
          </w:tcPr>
          <w:p>
            <w:pPr>
              <w:pStyle w:val="41"/>
              <w:rPr>
                <w:color w:val="auto"/>
                <w:highlight w:val="none"/>
              </w:rPr>
            </w:pPr>
            <w:r>
              <w:rPr>
                <w:color w:val="auto"/>
                <w:highlight w:val="none"/>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2</w:t>
            </w:r>
          </w:p>
        </w:tc>
        <w:tc>
          <w:tcPr>
            <w:tcW w:w="1642" w:type="pct"/>
            <w:tcBorders>
              <w:tl2br w:val="nil"/>
              <w:tr2bl w:val="nil"/>
            </w:tcBorders>
            <w:vAlign w:val="center"/>
          </w:tcPr>
          <w:p>
            <w:pPr>
              <w:pStyle w:val="41"/>
              <w:rPr>
                <w:color w:val="auto"/>
                <w:highlight w:val="none"/>
              </w:rPr>
            </w:pPr>
            <w:r>
              <w:rPr>
                <w:color w:val="auto"/>
                <w:highlight w:val="none"/>
              </w:rPr>
              <w:t>嗅和味</w:t>
            </w:r>
          </w:p>
        </w:tc>
        <w:tc>
          <w:tcPr>
            <w:tcW w:w="641" w:type="pct"/>
            <w:tcBorders>
              <w:tl2br w:val="nil"/>
              <w:tr2bl w:val="nil"/>
            </w:tcBorders>
            <w:vAlign w:val="center"/>
          </w:tcPr>
          <w:p>
            <w:pPr>
              <w:pStyle w:val="41"/>
              <w:rPr>
                <w:color w:val="auto"/>
                <w:highlight w:val="none"/>
              </w:rPr>
            </w:pPr>
            <w:r>
              <w:rPr>
                <w:color w:val="auto"/>
                <w:highlight w:val="none"/>
              </w:rPr>
              <w:t>无</w:t>
            </w:r>
          </w:p>
        </w:tc>
        <w:tc>
          <w:tcPr>
            <w:tcW w:w="321" w:type="pct"/>
            <w:tcBorders>
              <w:tl2br w:val="nil"/>
              <w:tr2bl w:val="nil"/>
            </w:tcBorders>
            <w:vAlign w:val="center"/>
          </w:tcPr>
          <w:p>
            <w:pPr>
              <w:pStyle w:val="41"/>
              <w:rPr>
                <w:color w:val="auto"/>
                <w:highlight w:val="none"/>
              </w:rPr>
            </w:pPr>
            <w:r>
              <w:rPr>
                <w:color w:val="auto"/>
                <w:highlight w:val="none"/>
              </w:rPr>
              <w:t>19</w:t>
            </w:r>
          </w:p>
        </w:tc>
        <w:tc>
          <w:tcPr>
            <w:tcW w:w="1615" w:type="pct"/>
            <w:tcBorders>
              <w:tl2br w:val="nil"/>
              <w:tr2bl w:val="nil"/>
            </w:tcBorders>
            <w:vAlign w:val="center"/>
          </w:tcPr>
          <w:p>
            <w:pPr>
              <w:pStyle w:val="41"/>
              <w:rPr>
                <w:color w:val="auto"/>
                <w:highlight w:val="none"/>
              </w:rPr>
            </w:pPr>
            <w:r>
              <w:rPr>
                <w:color w:val="auto"/>
                <w:highlight w:val="none"/>
              </w:rPr>
              <w:t>硫化物（mg/L）</w:t>
            </w:r>
          </w:p>
        </w:tc>
        <w:tc>
          <w:tcPr>
            <w:tcW w:w="458" w:type="pct"/>
            <w:tcBorders>
              <w:tl2br w:val="nil"/>
              <w:tr2bl w:val="nil"/>
            </w:tcBorders>
            <w:vAlign w:val="center"/>
          </w:tcPr>
          <w:p>
            <w:pPr>
              <w:pStyle w:val="41"/>
              <w:rPr>
                <w:color w:val="auto"/>
                <w:highlight w:val="none"/>
              </w:rPr>
            </w:pPr>
            <w:r>
              <w:rPr>
                <w:color w:val="auto"/>
                <w:highlight w:val="none"/>
              </w:rPr>
              <w:t>≤0.02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3</w:t>
            </w:r>
          </w:p>
        </w:tc>
        <w:tc>
          <w:tcPr>
            <w:tcW w:w="1642" w:type="pct"/>
            <w:tcBorders>
              <w:tl2br w:val="nil"/>
              <w:tr2bl w:val="nil"/>
            </w:tcBorders>
            <w:vAlign w:val="center"/>
          </w:tcPr>
          <w:p>
            <w:pPr>
              <w:pStyle w:val="41"/>
              <w:rPr>
                <w:color w:val="auto"/>
                <w:highlight w:val="none"/>
              </w:rPr>
            </w:pPr>
            <w:r>
              <w:rPr>
                <w:color w:val="auto"/>
                <w:highlight w:val="none"/>
              </w:rPr>
              <w:t>浑浊度（NTU）</w:t>
            </w:r>
          </w:p>
        </w:tc>
        <w:tc>
          <w:tcPr>
            <w:tcW w:w="641" w:type="pct"/>
            <w:tcBorders>
              <w:tl2br w:val="nil"/>
              <w:tr2bl w:val="nil"/>
            </w:tcBorders>
            <w:vAlign w:val="center"/>
          </w:tcPr>
          <w:p>
            <w:pPr>
              <w:pStyle w:val="41"/>
              <w:rPr>
                <w:color w:val="auto"/>
                <w:highlight w:val="none"/>
              </w:rPr>
            </w:pPr>
            <w:r>
              <w:rPr>
                <w:color w:val="auto"/>
                <w:highlight w:val="none"/>
              </w:rPr>
              <w:t>≤3</w:t>
            </w:r>
          </w:p>
        </w:tc>
        <w:tc>
          <w:tcPr>
            <w:tcW w:w="321" w:type="pct"/>
            <w:tcBorders>
              <w:tl2br w:val="nil"/>
              <w:tr2bl w:val="nil"/>
            </w:tcBorders>
            <w:vAlign w:val="center"/>
          </w:tcPr>
          <w:p>
            <w:pPr>
              <w:pStyle w:val="41"/>
              <w:rPr>
                <w:color w:val="auto"/>
                <w:highlight w:val="none"/>
              </w:rPr>
            </w:pPr>
            <w:r>
              <w:rPr>
                <w:color w:val="auto"/>
                <w:highlight w:val="none"/>
              </w:rPr>
              <w:t>20</w:t>
            </w:r>
          </w:p>
        </w:tc>
        <w:tc>
          <w:tcPr>
            <w:tcW w:w="1615" w:type="pct"/>
            <w:tcBorders>
              <w:tl2br w:val="nil"/>
              <w:tr2bl w:val="nil"/>
            </w:tcBorders>
            <w:vAlign w:val="center"/>
          </w:tcPr>
          <w:p>
            <w:pPr>
              <w:pStyle w:val="41"/>
              <w:rPr>
                <w:color w:val="auto"/>
                <w:highlight w:val="none"/>
              </w:rPr>
            </w:pPr>
            <w:r>
              <w:rPr>
                <w:color w:val="auto"/>
                <w:highlight w:val="none"/>
              </w:rPr>
              <w:t>钠（mg/L）</w:t>
            </w:r>
          </w:p>
        </w:tc>
        <w:tc>
          <w:tcPr>
            <w:tcW w:w="458" w:type="pct"/>
            <w:tcBorders>
              <w:tl2br w:val="nil"/>
              <w:tr2bl w:val="nil"/>
            </w:tcBorders>
            <w:vAlign w:val="center"/>
          </w:tcPr>
          <w:p>
            <w:pPr>
              <w:pStyle w:val="41"/>
              <w:rPr>
                <w:color w:val="auto"/>
                <w:highlight w:val="none"/>
              </w:rPr>
            </w:pPr>
            <w:r>
              <w:rPr>
                <w:color w:val="auto"/>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4</w:t>
            </w:r>
          </w:p>
        </w:tc>
        <w:tc>
          <w:tcPr>
            <w:tcW w:w="1642" w:type="pct"/>
            <w:tcBorders>
              <w:tl2br w:val="nil"/>
              <w:tr2bl w:val="nil"/>
            </w:tcBorders>
            <w:vAlign w:val="center"/>
          </w:tcPr>
          <w:p>
            <w:pPr>
              <w:pStyle w:val="41"/>
              <w:rPr>
                <w:color w:val="auto"/>
                <w:highlight w:val="none"/>
              </w:rPr>
            </w:pPr>
            <w:r>
              <w:rPr>
                <w:color w:val="auto"/>
                <w:highlight w:val="none"/>
              </w:rPr>
              <w:t>肉眼可见物</w:t>
            </w:r>
          </w:p>
        </w:tc>
        <w:tc>
          <w:tcPr>
            <w:tcW w:w="641" w:type="pct"/>
            <w:tcBorders>
              <w:tl2br w:val="nil"/>
              <w:tr2bl w:val="nil"/>
            </w:tcBorders>
            <w:vAlign w:val="center"/>
          </w:tcPr>
          <w:p>
            <w:pPr>
              <w:pStyle w:val="41"/>
              <w:rPr>
                <w:color w:val="auto"/>
                <w:highlight w:val="none"/>
              </w:rPr>
            </w:pPr>
            <w:r>
              <w:rPr>
                <w:color w:val="auto"/>
                <w:highlight w:val="none"/>
              </w:rPr>
              <w:t>无</w:t>
            </w:r>
          </w:p>
        </w:tc>
        <w:tc>
          <w:tcPr>
            <w:tcW w:w="321" w:type="pct"/>
            <w:tcBorders>
              <w:tl2br w:val="nil"/>
              <w:tr2bl w:val="nil"/>
            </w:tcBorders>
            <w:vAlign w:val="center"/>
          </w:tcPr>
          <w:p>
            <w:pPr>
              <w:pStyle w:val="41"/>
              <w:rPr>
                <w:color w:val="auto"/>
                <w:highlight w:val="none"/>
              </w:rPr>
            </w:pPr>
            <w:r>
              <w:rPr>
                <w:color w:val="auto"/>
                <w:highlight w:val="none"/>
              </w:rPr>
              <w:t>21</w:t>
            </w:r>
          </w:p>
        </w:tc>
        <w:tc>
          <w:tcPr>
            <w:tcW w:w="1615" w:type="pct"/>
            <w:tcBorders>
              <w:tl2br w:val="nil"/>
              <w:tr2bl w:val="nil"/>
            </w:tcBorders>
            <w:vAlign w:val="center"/>
          </w:tcPr>
          <w:p>
            <w:pPr>
              <w:pStyle w:val="41"/>
              <w:rPr>
                <w:color w:val="auto"/>
                <w:highlight w:val="none"/>
              </w:rPr>
            </w:pPr>
            <w:r>
              <w:rPr>
                <w:color w:val="auto"/>
                <w:highlight w:val="none"/>
              </w:rPr>
              <w:t>总大肠菌群（MPN/100mL或CFU/100mL）</w:t>
            </w:r>
          </w:p>
        </w:tc>
        <w:tc>
          <w:tcPr>
            <w:tcW w:w="458" w:type="pct"/>
            <w:tcBorders>
              <w:tl2br w:val="nil"/>
              <w:tr2bl w:val="nil"/>
            </w:tcBorders>
            <w:vAlign w:val="center"/>
          </w:tcPr>
          <w:p>
            <w:pPr>
              <w:pStyle w:val="41"/>
              <w:rPr>
                <w:color w:val="auto"/>
                <w:highlight w:val="none"/>
              </w:rPr>
            </w:pPr>
            <w:r>
              <w:rPr>
                <w:color w:val="auto"/>
                <w:highlight w:val="none"/>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5</w:t>
            </w:r>
          </w:p>
        </w:tc>
        <w:tc>
          <w:tcPr>
            <w:tcW w:w="1642" w:type="pct"/>
            <w:tcBorders>
              <w:tl2br w:val="nil"/>
              <w:tr2bl w:val="nil"/>
            </w:tcBorders>
            <w:vAlign w:val="center"/>
          </w:tcPr>
          <w:p>
            <w:pPr>
              <w:pStyle w:val="41"/>
              <w:rPr>
                <w:color w:val="auto"/>
                <w:highlight w:val="none"/>
              </w:rPr>
            </w:pPr>
            <w:r>
              <w:rPr>
                <w:color w:val="auto"/>
                <w:highlight w:val="none"/>
              </w:rPr>
              <w:t>pH（无量纲）</w:t>
            </w:r>
          </w:p>
        </w:tc>
        <w:tc>
          <w:tcPr>
            <w:tcW w:w="641" w:type="pct"/>
            <w:tcBorders>
              <w:tl2br w:val="nil"/>
              <w:tr2bl w:val="nil"/>
            </w:tcBorders>
            <w:vAlign w:val="center"/>
          </w:tcPr>
          <w:p>
            <w:pPr>
              <w:pStyle w:val="41"/>
              <w:rPr>
                <w:color w:val="auto"/>
                <w:highlight w:val="none"/>
              </w:rPr>
            </w:pPr>
            <w:r>
              <w:rPr>
                <w:color w:val="auto"/>
                <w:highlight w:val="none"/>
              </w:rPr>
              <w:t>5.5≤pH</w:t>
            </w:r>
            <w:r>
              <w:rPr>
                <w:rFonts w:hint="eastAsia"/>
                <w:color w:val="auto"/>
                <w:highlight w:val="none"/>
                <w:lang w:eastAsia="zh-CN"/>
              </w:rPr>
              <w:t>&lt;</w:t>
            </w:r>
            <w:r>
              <w:rPr>
                <w:color w:val="auto"/>
                <w:highlight w:val="none"/>
              </w:rPr>
              <w:t>6.5</w:t>
            </w:r>
          </w:p>
        </w:tc>
        <w:tc>
          <w:tcPr>
            <w:tcW w:w="321" w:type="pct"/>
            <w:tcBorders>
              <w:tl2br w:val="nil"/>
              <w:tr2bl w:val="nil"/>
            </w:tcBorders>
            <w:vAlign w:val="center"/>
          </w:tcPr>
          <w:p>
            <w:pPr>
              <w:pStyle w:val="41"/>
              <w:rPr>
                <w:color w:val="auto"/>
                <w:highlight w:val="none"/>
              </w:rPr>
            </w:pPr>
            <w:r>
              <w:rPr>
                <w:color w:val="auto"/>
                <w:highlight w:val="none"/>
              </w:rPr>
              <w:t>22</w:t>
            </w:r>
          </w:p>
        </w:tc>
        <w:tc>
          <w:tcPr>
            <w:tcW w:w="1615" w:type="pct"/>
            <w:tcBorders>
              <w:tl2br w:val="nil"/>
              <w:tr2bl w:val="nil"/>
            </w:tcBorders>
            <w:vAlign w:val="center"/>
          </w:tcPr>
          <w:p>
            <w:pPr>
              <w:pStyle w:val="41"/>
              <w:rPr>
                <w:color w:val="auto"/>
                <w:highlight w:val="none"/>
              </w:rPr>
            </w:pPr>
            <w:r>
              <w:rPr>
                <w:color w:val="auto"/>
                <w:highlight w:val="none"/>
              </w:rPr>
              <w:t>菌落总数（CFU/mL）</w:t>
            </w:r>
          </w:p>
        </w:tc>
        <w:tc>
          <w:tcPr>
            <w:tcW w:w="458" w:type="pct"/>
            <w:tcBorders>
              <w:tl2br w:val="nil"/>
              <w:tr2bl w:val="nil"/>
            </w:tcBorders>
            <w:vAlign w:val="center"/>
          </w:tcPr>
          <w:p>
            <w:pPr>
              <w:pStyle w:val="41"/>
              <w:rPr>
                <w:color w:val="auto"/>
                <w:highlight w:val="none"/>
              </w:rPr>
            </w:pPr>
            <w:r>
              <w:rPr>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6</w:t>
            </w:r>
          </w:p>
        </w:tc>
        <w:tc>
          <w:tcPr>
            <w:tcW w:w="1642" w:type="pct"/>
            <w:tcBorders>
              <w:tl2br w:val="nil"/>
              <w:tr2bl w:val="nil"/>
            </w:tcBorders>
            <w:vAlign w:val="center"/>
          </w:tcPr>
          <w:p>
            <w:pPr>
              <w:pStyle w:val="41"/>
              <w:rPr>
                <w:color w:val="auto"/>
                <w:highlight w:val="none"/>
              </w:rPr>
            </w:pPr>
            <w:r>
              <w:rPr>
                <w:color w:val="auto"/>
                <w:highlight w:val="none"/>
              </w:rPr>
              <w:t>总硬度（以CaCO</w:t>
            </w:r>
            <w:r>
              <w:rPr>
                <w:color w:val="auto"/>
                <w:highlight w:val="none"/>
                <w:vertAlign w:val="subscript"/>
              </w:rPr>
              <w:t>3</w:t>
            </w:r>
            <w:r>
              <w:rPr>
                <w:color w:val="auto"/>
                <w:highlight w:val="none"/>
              </w:rPr>
              <w:t>计）（mg/L）</w:t>
            </w:r>
          </w:p>
        </w:tc>
        <w:tc>
          <w:tcPr>
            <w:tcW w:w="641" w:type="pct"/>
            <w:tcBorders>
              <w:tl2br w:val="nil"/>
              <w:tr2bl w:val="nil"/>
            </w:tcBorders>
            <w:vAlign w:val="center"/>
          </w:tcPr>
          <w:p>
            <w:pPr>
              <w:pStyle w:val="41"/>
              <w:rPr>
                <w:color w:val="auto"/>
                <w:highlight w:val="none"/>
              </w:rPr>
            </w:pPr>
            <w:r>
              <w:rPr>
                <w:color w:val="auto"/>
                <w:highlight w:val="none"/>
              </w:rPr>
              <w:t>≤450</w:t>
            </w:r>
          </w:p>
        </w:tc>
        <w:tc>
          <w:tcPr>
            <w:tcW w:w="321" w:type="pct"/>
            <w:tcBorders>
              <w:tl2br w:val="nil"/>
              <w:tr2bl w:val="nil"/>
            </w:tcBorders>
            <w:vAlign w:val="center"/>
          </w:tcPr>
          <w:p>
            <w:pPr>
              <w:pStyle w:val="41"/>
              <w:rPr>
                <w:color w:val="auto"/>
                <w:highlight w:val="none"/>
              </w:rPr>
            </w:pPr>
            <w:r>
              <w:rPr>
                <w:color w:val="auto"/>
                <w:highlight w:val="none"/>
              </w:rPr>
              <w:t>23</w:t>
            </w:r>
          </w:p>
        </w:tc>
        <w:tc>
          <w:tcPr>
            <w:tcW w:w="1615" w:type="pct"/>
            <w:tcBorders>
              <w:tl2br w:val="nil"/>
              <w:tr2bl w:val="nil"/>
            </w:tcBorders>
            <w:vAlign w:val="center"/>
          </w:tcPr>
          <w:p>
            <w:pPr>
              <w:pStyle w:val="41"/>
              <w:rPr>
                <w:color w:val="auto"/>
                <w:highlight w:val="none"/>
              </w:rPr>
            </w:pPr>
            <w:r>
              <w:rPr>
                <w:color w:val="auto"/>
                <w:highlight w:val="none"/>
              </w:rPr>
              <w:t>亚硝酸盐（以N计）（mg/L）</w:t>
            </w:r>
          </w:p>
        </w:tc>
        <w:tc>
          <w:tcPr>
            <w:tcW w:w="458" w:type="pct"/>
            <w:tcBorders>
              <w:tl2br w:val="nil"/>
              <w:tr2bl w:val="nil"/>
            </w:tcBorders>
            <w:vAlign w:val="center"/>
          </w:tcPr>
          <w:p>
            <w:pPr>
              <w:pStyle w:val="41"/>
              <w:rPr>
                <w:color w:val="auto"/>
                <w:highlight w:val="none"/>
              </w:rPr>
            </w:pPr>
            <w:r>
              <w:rPr>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7</w:t>
            </w:r>
          </w:p>
        </w:tc>
        <w:tc>
          <w:tcPr>
            <w:tcW w:w="1642" w:type="pct"/>
            <w:tcBorders>
              <w:tl2br w:val="nil"/>
              <w:tr2bl w:val="nil"/>
            </w:tcBorders>
            <w:vAlign w:val="center"/>
          </w:tcPr>
          <w:p>
            <w:pPr>
              <w:pStyle w:val="41"/>
              <w:rPr>
                <w:color w:val="auto"/>
                <w:highlight w:val="none"/>
              </w:rPr>
            </w:pPr>
            <w:r>
              <w:rPr>
                <w:color w:val="auto"/>
                <w:highlight w:val="none"/>
              </w:rPr>
              <w:t>溶解性总固体</w:t>
            </w:r>
          </w:p>
        </w:tc>
        <w:tc>
          <w:tcPr>
            <w:tcW w:w="641" w:type="pct"/>
            <w:tcBorders>
              <w:tl2br w:val="nil"/>
              <w:tr2bl w:val="nil"/>
            </w:tcBorders>
            <w:vAlign w:val="center"/>
          </w:tcPr>
          <w:p>
            <w:pPr>
              <w:pStyle w:val="41"/>
              <w:rPr>
                <w:color w:val="auto"/>
                <w:highlight w:val="none"/>
              </w:rPr>
            </w:pPr>
            <w:r>
              <w:rPr>
                <w:color w:val="auto"/>
                <w:highlight w:val="none"/>
              </w:rPr>
              <w:t>≤1000</w:t>
            </w:r>
          </w:p>
        </w:tc>
        <w:tc>
          <w:tcPr>
            <w:tcW w:w="321" w:type="pct"/>
            <w:tcBorders>
              <w:tl2br w:val="nil"/>
              <w:tr2bl w:val="nil"/>
            </w:tcBorders>
            <w:vAlign w:val="center"/>
          </w:tcPr>
          <w:p>
            <w:pPr>
              <w:pStyle w:val="41"/>
              <w:rPr>
                <w:color w:val="auto"/>
                <w:highlight w:val="none"/>
              </w:rPr>
            </w:pPr>
            <w:r>
              <w:rPr>
                <w:color w:val="auto"/>
                <w:highlight w:val="none"/>
              </w:rPr>
              <w:t>24</w:t>
            </w:r>
          </w:p>
        </w:tc>
        <w:tc>
          <w:tcPr>
            <w:tcW w:w="1615" w:type="pct"/>
            <w:tcBorders>
              <w:tl2br w:val="nil"/>
              <w:tr2bl w:val="nil"/>
            </w:tcBorders>
            <w:vAlign w:val="center"/>
          </w:tcPr>
          <w:p>
            <w:pPr>
              <w:pStyle w:val="41"/>
              <w:rPr>
                <w:color w:val="auto"/>
                <w:highlight w:val="none"/>
              </w:rPr>
            </w:pPr>
            <w:r>
              <w:rPr>
                <w:color w:val="auto"/>
                <w:highlight w:val="none"/>
              </w:rPr>
              <w:t>硝酸盐（以N计）（mg/L）</w:t>
            </w:r>
          </w:p>
        </w:tc>
        <w:tc>
          <w:tcPr>
            <w:tcW w:w="458" w:type="pct"/>
            <w:tcBorders>
              <w:tl2br w:val="nil"/>
              <w:tr2bl w:val="nil"/>
            </w:tcBorders>
            <w:vAlign w:val="center"/>
          </w:tcPr>
          <w:p>
            <w:pPr>
              <w:pStyle w:val="41"/>
              <w:rPr>
                <w:color w:val="auto"/>
                <w:highlight w:val="none"/>
              </w:rPr>
            </w:pPr>
            <w:r>
              <w:rPr>
                <w:color w:val="auto"/>
                <w:highlight w:val="none"/>
              </w:rPr>
              <w:t>≤20.0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8</w:t>
            </w:r>
          </w:p>
        </w:tc>
        <w:tc>
          <w:tcPr>
            <w:tcW w:w="1642" w:type="pct"/>
            <w:tcBorders>
              <w:tl2br w:val="nil"/>
              <w:tr2bl w:val="nil"/>
            </w:tcBorders>
            <w:vAlign w:val="center"/>
          </w:tcPr>
          <w:p>
            <w:pPr>
              <w:pStyle w:val="41"/>
              <w:rPr>
                <w:color w:val="auto"/>
                <w:highlight w:val="none"/>
              </w:rPr>
            </w:pPr>
            <w:r>
              <w:rPr>
                <w:color w:val="auto"/>
                <w:highlight w:val="none"/>
              </w:rPr>
              <w:t>硫酸盐（mg/L）</w:t>
            </w:r>
          </w:p>
        </w:tc>
        <w:tc>
          <w:tcPr>
            <w:tcW w:w="641" w:type="pct"/>
            <w:tcBorders>
              <w:tl2br w:val="nil"/>
              <w:tr2bl w:val="nil"/>
            </w:tcBorders>
            <w:vAlign w:val="center"/>
          </w:tcPr>
          <w:p>
            <w:pPr>
              <w:pStyle w:val="41"/>
              <w:rPr>
                <w:color w:val="auto"/>
                <w:highlight w:val="none"/>
              </w:rPr>
            </w:pPr>
            <w:r>
              <w:rPr>
                <w:color w:val="auto"/>
                <w:highlight w:val="none"/>
              </w:rPr>
              <w:t>≤250</w:t>
            </w:r>
          </w:p>
        </w:tc>
        <w:tc>
          <w:tcPr>
            <w:tcW w:w="321" w:type="pct"/>
            <w:tcBorders>
              <w:tl2br w:val="nil"/>
              <w:tr2bl w:val="nil"/>
            </w:tcBorders>
            <w:vAlign w:val="center"/>
          </w:tcPr>
          <w:p>
            <w:pPr>
              <w:pStyle w:val="41"/>
              <w:rPr>
                <w:color w:val="auto"/>
                <w:highlight w:val="none"/>
              </w:rPr>
            </w:pPr>
            <w:r>
              <w:rPr>
                <w:color w:val="auto"/>
                <w:highlight w:val="none"/>
              </w:rPr>
              <w:t>25</w:t>
            </w:r>
          </w:p>
        </w:tc>
        <w:tc>
          <w:tcPr>
            <w:tcW w:w="1615" w:type="pct"/>
            <w:tcBorders>
              <w:tl2br w:val="nil"/>
              <w:tr2bl w:val="nil"/>
            </w:tcBorders>
            <w:vAlign w:val="center"/>
          </w:tcPr>
          <w:p>
            <w:pPr>
              <w:pStyle w:val="41"/>
              <w:rPr>
                <w:color w:val="auto"/>
                <w:highlight w:val="none"/>
              </w:rPr>
            </w:pPr>
            <w:r>
              <w:rPr>
                <w:color w:val="auto"/>
                <w:highlight w:val="none"/>
              </w:rPr>
              <w:t>氰化物（mg/L）</w:t>
            </w:r>
          </w:p>
        </w:tc>
        <w:tc>
          <w:tcPr>
            <w:tcW w:w="458" w:type="pct"/>
            <w:tcBorders>
              <w:tl2br w:val="nil"/>
              <w:tr2bl w:val="nil"/>
            </w:tcBorders>
            <w:vAlign w:val="center"/>
          </w:tcPr>
          <w:p>
            <w:pPr>
              <w:pStyle w:val="41"/>
              <w:rPr>
                <w:color w:val="auto"/>
                <w:highlight w:val="none"/>
              </w:rPr>
            </w:pPr>
            <w:r>
              <w:rPr>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9</w:t>
            </w:r>
          </w:p>
        </w:tc>
        <w:tc>
          <w:tcPr>
            <w:tcW w:w="1642" w:type="pct"/>
            <w:tcBorders>
              <w:tl2br w:val="nil"/>
              <w:tr2bl w:val="nil"/>
            </w:tcBorders>
            <w:vAlign w:val="center"/>
          </w:tcPr>
          <w:p>
            <w:pPr>
              <w:pStyle w:val="41"/>
              <w:rPr>
                <w:color w:val="auto"/>
                <w:highlight w:val="none"/>
              </w:rPr>
            </w:pPr>
            <w:r>
              <w:rPr>
                <w:color w:val="auto"/>
                <w:highlight w:val="none"/>
              </w:rPr>
              <w:t>氯化物（mg/L）</w:t>
            </w:r>
          </w:p>
        </w:tc>
        <w:tc>
          <w:tcPr>
            <w:tcW w:w="641" w:type="pct"/>
            <w:tcBorders>
              <w:tl2br w:val="nil"/>
              <w:tr2bl w:val="nil"/>
            </w:tcBorders>
            <w:vAlign w:val="center"/>
          </w:tcPr>
          <w:p>
            <w:pPr>
              <w:pStyle w:val="41"/>
              <w:rPr>
                <w:color w:val="auto"/>
                <w:highlight w:val="none"/>
              </w:rPr>
            </w:pPr>
            <w:r>
              <w:rPr>
                <w:color w:val="auto"/>
                <w:highlight w:val="none"/>
              </w:rPr>
              <w:t>≤250</w:t>
            </w:r>
          </w:p>
        </w:tc>
        <w:tc>
          <w:tcPr>
            <w:tcW w:w="321" w:type="pct"/>
            <w:tcBorders>
              <w:tl2br w:val="nil"/>
              <w:tr2bl w:val="nil"/>
            </w:tcBorders>
            <w:vAlign w:val="center"/>
          </w:tcPr>
          <w:p>
            <w:pPr>
              <w:pStyle w:val="41"/>
              <w:rPr>
                <w:color w:val="auto"/>
                <w:highlight w:val="none"/>
              </w:rPr>
            </w:pPr>
            <w:r>
              <w:rPr>
                <w:color w:val="auto"/>
                <w:highlight w:val="none"/>
              </w:rPr>
              <w:t>26</w:t>
            </w:r>
          </w:p>
        </w:tc>
        <w:tc>
          <w:tcPr>
            <w:tcW w:w="1615" w:type="pct"/>
            <w:tcBorders>
              <w:tl2br w:val="nil"/>
              <w:tr2bl w:val="nil"/>
            </w:tcBorders>
            <w:vAlign w:val="center"/>
          </w:tcPr>
          <w:p>
            <w:pPr>
              <w:pStyle w:val="41"/>
              <w:rPr>
                <w:color w:val="auto"/>
                <w:highlight w:val="none"/>
              </w:rPr>
            </w:pPr>
            <w:r>
              <w:rPr>
                <w:color w:val="auto"/>
                <w:highlight w:val="none"/>
              </w:rPr>
              <w:t>氟化物（mg/L）</w:t>
            </w:r>
          </w:p>
        </w:tc>
        <w:tc>
          <w:tcPr>
            <w:tcW w:w="458" w:type="pct"/>
            <w:tcBorders>
              <w:tl2br w:val="nil"/>
              <w:tr2bl w:val="nil"/>
            </w:tcBorders>
            <w:vAlign w:val="center"/>
          </w:tcPr>
          <w:p>
            <w:pPr>
              <w:pStyle w:val="41"/>
              <w:rPr>
                <w:color w:val="auto"/>
                <w:highlight w:val="none"/>
              </w:rPr>
            </w:pPr>
            <w:r>
              <w:rPr>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10</w:t>
            </w:r>
          </w:p>
        </w:tc>
        <w:tc>
          <w:tcPr>
            <w:tcW w:w="1642" w:type="pct"/>
            <w:tcBorders>
              <w:tl2br w:val="nil"/>
              <w:tr2bl w:val="nil"/>
            </w:tcBorders>
            <w:vAlign w:val="center"/>
          </w:tcPr>
          <w:p>
            <w:pPr>
              <w:pStyle w:val="41"/>
              <w:rPr>
                <w:color w:val="auto"/>
                <w:highlight w:val="none"/>
              </w:rPr>
            </w:pPr>
            <w:r>
              <w:rPr>
                <w:color w:val="auto"/>
                <w:highlight w:val="none"/>
              </w:rPr>
              <w:t>铁（mg/L）</w:t>
            </w:r>
          </w:p>
        </w:tc>
        <w:tc>
          <w:tcPr>
            <w:tcW w:w="641" w:type="pct"/>
            <w:tcBorders>
              <w:tl2br w:val="nil"/>
              <w:tr2bl w:val="nil"/>
            </w:tcBorders>
            <w:vAlign w:val="center"/>
          </w:tcPr>
          <w:p>
            <w:pPr>
              <w:pStyle w:val="41"/>
              <w:rPr>
                <w:color w:val="auto"/>
                <w:highlight w:val="none"/>
              </w:rPr>
            </w:pPr>
            <w:r>
              <w:rPr>
                <w:color w:val="auto"/>
                <w:highlight w:val="none"/>
              </w:rPr>
              <w:t>≤0.3</w:t>
            </w:r>
          </w:p>
        </w:tc>
        <w:tc>
          <w:tcPr>
            <w:tcW w:w="321" w:type="pct"/>
            <w:tcBorders>
              <w:tl2br w:val="nil"/>
              <w:tr2bl w:val="nil"/>
            </w:tcBorders>
            <w:vAlign w:val="center"/>
          </w:tcPr>
          <w:p>
            <w:pPr>
              <w:pStyle w:val="41"/>
              <w:rPr>
                <w:color w:val="auto"/>
                <w:highlight w:val="none"/>
              </w:rPr>
            </w:pPr>
            <w:r>
              <w:rPr>
                <w:color w:val="auto"/>
                <w:highlight w:val="none"/>
              </w:rPr>
              <w:t>27</w:t>
            </w:r>
          </w:p>
        </w:tc>
        <w:tc>
          <w:tcPr>
            <w:tcW w:w="1615" w:type="pct"/>
            <w:tcBorders>
              <w:tl2br w:val="nil"/>
              <w:tr2bl w:val="nil"/>
            </w:tcBorders>
            <w:vAlign w:val="center"/>
          </w:tcPr>
          <w:p>
            <w:pPr>
              <w:pStyle w:val="41"/>
              <w:rPr>
                <w:color w:val="auto"/>
                <w:highlight w:val="none"/>
              </w:rPr>
            </w:pPr>
            <w:r>
              <w:rPr>
                <w:color w:val="auto"/>
                <w:highlight w:val="none"/>
              </w:rPr>
              <w:t>碘化物（mg/L）</w:t>
            </w:r>
          </w:p>
        </w:tc>
        <w:tc>
          <w:tcPr>
            <w:tcW w:w="458" w:type="pct"/>
            <w:tcBorders>
              <w:tl2br w:val="nil"/>
              <w:tr2bl w:val="nil"/>
            </w:tcBorders>
            <w:vAlign w:val="center"/>
          </w:tcPr>
          <w:p>
            <w:pPr>
              <w:pStyle w:val="41"/>
              <w:rPr>
                <w:color w:val="auto"/>
                <w:highlight w:val="none"/>
              </w:rPr>
            </w:pPr>
            <w:r>
              <w:rPr>
                <w:color w:val="auto"/>
                <w:highlight w:val="none"/>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11</w:t>
            </w:r>
          </w:p>
        </w:tc>
        <w:tc>
          <w:tcPr>
            <w:tcW w:w="1642" w:type="pct"/>
            <w:tcBorders>
              <w:tl2br w:val="nil"/>
              <w:tr2bl w:val="nil"/>
            </w:tcBorders>
            <w:vAlign w:val="center"/>
          </w:tcPr>
          <w:p>
            <w:pPr>
              <w:pStyle w:val="41"/>
              <w:rPr>
                <w:color w:val="auto"/>
                <w:highlight w:val="none"/>
              </w:rPr>
            </w:pPr>
            <w:r>
              <w:rPr>
                <w:color w:val="auto"/>
                <w:highlight w:val="none"/>
              </w:rPr>
              <w:t>锰（mg/L）</w:t>
            </w:r>
          </w:p>
        </w:tc>
        <w:tc>
          <w:tcPr>
            <w:tcW w:w="641" w:type="pct"/>
            <w:tcBorders>
              <w:tl2br w:val="nil"/>
              <w:tr2bl w:val="nil"/>
            </w:tcBorders>
            <w:vAlign w:val="center"/>
          </w:tcPr>
          <w:p>
            <w:pPr>
              <w:pStyle w:val="41"/>
              <w:rPr>
                <w:color w:val="auto"/>
                <w:highlight w:val="none"/>
              </w:rPr>
            </w:pPr>
            <w:r>
              <w:rPr>
                <w:color w:val="auto"/>
                <w:highlight w:val="none"/>
              </w:rPr>
              <w:t>≤0.10</w:t>
            </w:r>
          </w:p>
        </w:tc>
        <w:tc>
          <w:tcPr>
            <w:tcW w:w="321" w:type="pct"/>
            <w:tcBorders>
              <w:tl2br w:val="nil"/>
              <w:tr2bl w:val="nil"/>
            </w:tcBorders>
            <w:vAlign w:val="center"/>
          </w:tcPr>
          <w:p>
            <w:pPr>
              <w:pStyle w:val="41"/>
              <w:rPr>
                <w:color w:val="auto"/>
                <w:highlight w:val="none"/>
              </w:rPr>
            </w:pPr>
            <w:r>
              <w:rPr>
                <w:color w:val="auto"/>
                <w:highlight w:val="none"/>
              </w:rPr>
              <w:t>28</w:t>
            </w:r>
          </w:p>
        </w:tc>
        <w:tc>
          <w:tcPr>
            <w:tcW w:w="1615" w:type="pct"/>
            <w:tcBorders>
              <w:tl2br w:val="nil"/>
              <w:tr2bl w:val="nil"/>
            </w:tcBorders>
            <w:vAlign w:val="center"/>
          </w:tcPr>
          <w:p>
            <w:pPr>
              <w:pStyle w:val="41"/>
              <w:rPr>
                <w:color w:val="auto"/>
                <w:highlight w:val="none"/>
              </w:rPr>
            </w:pPr>
            <w:r>
              <w:rPr>
                <w:color w:val="auto"/>
                <w:highlight w:val="none"/>
              </w:rPr>
              <w:t>汞（mg/L）</w:t>
            </w:r>
          </w:p>
        </w:tc>
        <w:tc>
          <w:tcPr>
            <w:tcW w:w="458" w:type="pct"/>
            <w:tcBorders>
              <w:tl2br w:val="nil"/>
              <w:tr2bl w:val="nil"/>
            </w:tcBorders>
            <w:vAlign w:val="center"/>
          </w:tcPr>
          <w:p>
            <w:pPr>
              <w:pStyle w:val="41"/>
              <w:rPr>
                <w:color w:val="auto"/>
                <w:highlight w:val="none"/>
              </w:rPr>
            </w:pPr>
            <w:r>
              <w:rPr>
                <w:color w:val="auto"/>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12</w:t>
            </w:r>
          </w:p>
        </w:tc>
        <w:tc>
          <w:tcPr>
            <w:tcW w:w="1642" w:type="pct"/>
            <w:tcBorders>
              <w:tl2br w:val="nil"/>
              <w:tr2bl w:val="nil"/>
            </w:tcBorders>
            <w:vAlign w:val="center"/>
          </w:tcPr>
          <w:p>
            <w:pPr>
              <w:pStyle w:val="41"/>
              <w:rPr>
                <w:color w:val="auto"/>
                <w:highlight w:val="none"/>
              </w:rPr>
            </w:pPr>
            <w:r>
              <w:rPr>
                <w:color w:val="auto"/>
                <w:highlight w:val="none"/>
              </w:rPr>
              <w:t>铜（mg/L）</w:t>
            </w:r>
          </w:p>
        </w:tc>
        <w:tc>
          <w:tcPr>
            <w:tcW w:w="641" w:type="pct"/>
            <w:tcBorders>
              <w:tl2br w:val="nil"/>
              <w:tr2bl w:val="nil"/>
            </w:tcBorders>
            <w:vAlign w:val="center"/>
          </w:tcPr>
          <w:p>
            <w:pPr>
              <w:pStyle w:val="41"/>
              <w:rPr>
                <w:color w:val="auto"/>
                <w:highlight w:val="none"/>
              </w:rPr>
            </w:pPr>
            <w:r>
              <w:rPr>
                <w:color w:val="auto"/>
                <w:highlight w:val="none"/>
              </w:rPr>
              <w:t>≤1.00</w:t>
            </w:r>
          </w:p>
        </w:tc>
        <w:tc>
          <w:tcPr>
            <w:tcW w:w="321" w:type="pct"/>
            <w:tcBorders>
              <w:tl2br w:val="nil"/>
              <w:tr2bl w:val="nil"/>
            </w:tcBorders>
            <w:vAlign w:val="center"/>
          </w:tcPr>
          <w:p>
            <w:pPr>
              <w:pStyle w:val="41"/>
              <w:rPr>
                <w:color w:val="auto"/>
                <w:highlight w:val="none"/>
              </w:rPr>
            </w:pPr>
            <w:r>
              <w:rPr>
                <w:color w:val="auto"/>
                <w:highlight w:val="none"/>
              </w:rPr>
              <w:t>29</w:t>
            </w:r>
          </w:p>
        </w:tc>
        <w:tc>
          <w:tcPr>
            <w:tcW w:w="1615" w:type="pct"/>
            <w:tcBorders>
              <w:tl2br w:val="nil"/>
              <w:tr2bl w:val="nil"/>
            </w:tcBorders>
            <w:vAlign w:val="center"/>
          </w:tcPr>
          <w:p>
            <w:pPr>
              <w:pStyle w:val="41"/>
              <w:rPr>
                <w:color w:val="auto"/>
                <w:highlight w:val="none"/>
              </w:rPr>
            </w:pPr>
            <w:r>
              <w:rPr>
                <w:color w:val="auto"/>
                <w:highlight w:val="none"/>
              </w:rPr>
              <w:t>砷（mg/L）</w:t>
            </w:r>
          </w:p>
        </w:tc>
        <w:tc>
          <w:tcPr>
            <w:tcW w:w="458" w:type="pct"/>
            <w:tcBorders>
              <w:tl2br w:val="nil"/>
              <w:tr2bl w:val="nil"/>
            </w:tcBorders>
            <w:vAlign w:val="center"/>
          </w:tcPr>
          <w:p>
            <w:pPr>
              <w:pStyle w:val="41"/>
              <w:rPr>
                <w:color w:val="auto"/>
                <w:highlight w:val="none"/>
              </w:rPr>
            </w:pPr>
            <w:r>
              <w:rPr>
                <w:color w:val="auto"/>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13</w:t>
            </w:r>
          </w:p>
        </w:tc>
        <w:tc>
          <w:tcPr>
            <w:tcW w:w="1642" w:type="pct"/>
            <w:tcBorders>
              <w:tl2br w:val="nil"/>
              <w:tr2bl w:val="nil"/>
            </w:tcBorders>
            <w:vAlign w:val="center"/>
          </w:tcPr>
          <w:p>
            <w:pPr>
              <w:pStyle w:val="41"/>
              <w:rPr>
                <w:color w:val="auto"/>
                <w:highlight w:val="none"/>
              </w:rPr>
            </w:pPr>
            <w:r>
              <w:rPr>
                <w:color w:val="auto"/>
                <w:highlight w:val="none"/>
              </w:rPr>
              <w:t>锌（mg/L）</w:t>
            </w:r>
          </w:p>
        </w:tc>
        <w:tc>
          <w:tcPr>
            <w:tcW w:w="641" w:type="pct"/>
            <w:tcBorders>
              <w:tl2br w:val="nil"/>
              <w:tr2bl w:val="nil"/>
            </w:tcBorders>
            <w:vAlign w:val="center"/>
          </w:tcPr>
          <w:p>
            <w:pPr>
              <w:pStyle w:val="41"/>
              <w:rPr>
                <w:color w:val="auto"/>
                <w:highlight w:val="none"/>
              </w:rPr>
            </w:pPr>
            <w:r>
              <w:rPr>
                <w:color w:val="auto"/>
                <w:highlight w:val="none"/>
              </w:rPr>
              <w:t>≤1.00</w:t>
            </w:r>
          </w:p>
        </w:tc>
        <w:tc>
          <w:tcPr>
            <w:tcW w:w="321" w:type="pct"/>
            <w:tcBorders>
              <w:tl2br w:val="nil"/>
              <w:tr2bl w:val="nil"/>
            </w:tcBorders>
            <w:vAlign w:val="center"/>
          </w:tcPr>
          <w:p>
            <w:pPr>
              <w:pStyle w:val="41"/>
              <w:rPr>
                <w:color w:val="auto"/>
                <w:highlight w:val="none"/>
              </w:rPr>
            </w:pPr>
            <w:r>
              <w:rPr>
                <w:color w:val="auto"/>
                <w:highlight w:val="none"/>
              </w:rPr>
              <w:t>30</w:t>
            </w:r>
          </w:p>
        </w:tc>
        <w:tc>
          <w:tcPr>
            <w:tcW w:w="1615" w:type="pct"/>
            <w:tcBorders>
              <w:tl2br w:val="nil"/>
              <w:tr2bl w:val="nil"/>
            </w:tcBorders>
            <w:vAlign w:val="center"/>
          </w:tcPr>
          <w:p>
            <w:pPr>
              <w:pStyle w:val="41"/>
              <w:rPr>
                <w:color w:val="auto"/>
                <w:highlight w:val="none"/>
              </w:rPr>
            </w:pPr>
            <w:r>
              <w:rPr>
                <w:color w:val="auto"/>
                <w:highlight w:val="none"/>
              </w:rPr>
              <w:t>硒（mg/L）</w:t>
            </w:r>
          </w:p>
        </w:tc>
        <w:tc>
          <w:tcPr>
            <w:tcW w:w="458" w:type="pct"/>
            <w:tcBorders>
              <w:tl2br w:val="nil"/>
              <w:tr2bl w:val="nil"/>
            </w:tcBorders>
            <w:vAlign w:val="center"/>
          </w:tcPr>
          <w:p>
            <w:pPr>
              <w:pStyle w:val="41"/>
              <w:rPr>
                <w:color w:val="auto"/>
                <w:highlight w:val="none"/>
              </w:rPr>
            </w:pPr>
            <w:r>
              <w:rPr>
                <w:color w:val="auto"/>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14</w:t>
            </w:r>
          </w:p>
        </w:tc>
        <w:tc>
          <w:tcPr>
            <w:tcW w:w="1642" w:type="pct"/>
            <w:tcBorders>
              <w:tl2br w:val="nil"/>
              <w:tr2bl w:val="nil"/>
            </w:tcBorders>
            <w:vAlign w:val="center"/>
          </w:tcPr>
          <w:p>
            <w:pPr>
              <w:pStyle w:val="41"/>
              <w:rPr>
                <w:color w:val="auto"/>
                <w:highlight w:val="none"/>
              </w:rPr>
            </w:pPr>
            <w:r>
              <w:rPr>
                <w:color w:val="auto"/>
                <w:highlight w:val="none"/>
              </w:rPr>
              <w:t>铝（mg/L）</w:t>
            </w:r>
          </w:p>
        </w:tc>
        <w:tc>
          <w:tcPr>
            <w:tcW w:w="641" w:type="pct"/>
            <w:tcBorders>
              <w:tl2br w:val="nil"/>
              <w:tr2bl w:val="nil"/>
            </w:tcBorders>
            <w:vAlign w:val="center"/>
          </w:tcPr>
          <w:p>
            <w:pPr>
              <w:pStyle w:val="41"/>
              <w:rPr>
                <w:color w:val="auto"/>
                <w:highlight w:val="none"/>
              </w:rPr>
            </w:pPr>
            <w:r>
              <w:rPr>
                <w:color w:val="auto"/>
                <w:highlight w:val="none"/>
              </w:rPr>
              <w:t>≤0.20</w:t>
            </w:r>
          </w:p>
        </w:tc>
        <w:tc>
          <w:tcPr>
            <w:tcW w:w="321" w:type="pct"/>
            <w:tcBorders>
              <w:tl2br w:val="nil"/>
              <w:tr2bl w:val="nil"/>
            </w:tcBorders>
            <w:vAlign w:val="center"/>
          </w:tcPr>
          <w:p>
            <w:pPr>
              <w:pStyle w:val="41"/>
              <w:rPr>
                <w:color w:val="auto"/>
                <w:highlight w:val="none"/>
              </w:rPr>
            </w:pPr>
            <w:r>
              <w:rPr>
                <w:color w:val="auto"/>
                <w:highlight w:val="none"/>
              </w:rPr>
              <w:t>31</w:t>
            </w:r>
          </w:p>
        </w:tc>
        <w:tc>
          <w:tcPr>
            <w:tcW w:w="1615" w:type="pct"/>
            <w:tcBorders>
              <w:tl2br w:val="nil"/>
              <w:tr2bl w:val="nil"/>
            </w:tcBorders>
            <w:vAlign w:val="center"/>
          </w:tcPr>
          <w:p>
            <w:pPr>
              <w:pStyle w:val="41"/>
              <w:rPr>
                <w:color w:val="auto"/>
                <w:highlight w:val="none"/>
              </w:rPr>
            </w:pPr>
            <w:r>
              <w:rPr>
                <w:color w:val="auto"/>
                <w:highlight w:val="none"/>
              </w:rPr>
              <w:t>镉（mg/L）</w:t>
            </w:r>
          </w:p>
        </w:tc>
        <w:tc>
          <w:tcPr>
            <w:tcW w:w="458" w:type="pct"/>
            <w:tcBorders>
              <w:tl2br w:val="nil"/>
              <w:tr2bl w:val="nil"/>
            </w:tcBorders>
            <w:vAlign w:val="center"/>
          </w:tcPr>
          <w:p>
            <w:pPr>
              <w:pStyle w:val="41"/>
              <w:rPr>
                <w:color w:val="auto"/>
                <w:highlight w:val="none"/>
              </w:rPr>
            </w:pPr>
            <w:r>
              <w:rPr>
                <w:color w:val="auto"/>
                <w:highlight w:val="none"/>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15</w:t>
            </w:r>
          </w:p>
        </w:tc>
        <w:tc>
          <w:tcPr>
            <w:tcW w:w="1642" w:type="pct"/>
            <w:tcBorders>
              <w:tl2br w:val="nil"/>
              <w:tr2bl w:val="nil"/>
            </w:tcBorders>
            <w:vAlign w:val="center"/>
          </w:tcPr>
          <w:p>
            <w:pPr>
              <w:pStyle w:val="41"/>
              <w:rPr>
                <w:color w:val="auto"/>
                <w:highlight w:val="none"/>
              </w:rPr>
            </w:pPr>
            <w:r>
              <w:rPr>
                <w:color w:val="auto"/>
                <w:highlight w:val="none"/>
              </w:rPr>
              <w:t>挥发性酚类（以苯酚计） （mg/L）</w:t>
            </w:r>
          </w:p>
        </w:tc>
        <w:tc>
          <w:tcPr>
            <w:tcW w:w="641" w:type="pct"/>
            <w:tcBorders>
              <w:tl2br w:val="nil"/>
              <w:tr2bl w:val="nil"/>
            </w:tcBorders>
            <w:vAlign w:val="center"/>
          </w:tcPr>
          <w:p>
            <w:pPr>
              <w:pStyle w:val="41"/>
              <w:rPr>
                <w:color w:val="auto"/>
                <w:highlight w:val="none"/>
              </w:rPr>
            </w:pPr>
            <w:r>
              <w:rPr>
                <w:color w:val="auto"/>
                <w:highlight w:val="none"/>
              </w:rPr>
              <w:t>≤0.002</w:t>
            </w:r>
          </w:p>
        </w:tc>
        <w:tc>
          <w:tcPr>
            <w:tcW w:w="321" w:type="pct"/>
            <w:tcBorders>
              <w:tl2br w:val="nil"/>
              <w:tr2bl w:val="nil"/>
            </w:tcBorders>
            <w:vAlign w:val="center"/>
          </w:tcPr>
          <w:p>
            <w:pPr>
              <w:pStyle w:val="41"/>
              <w:rPr>
                <w:color w:val="auto"/>
                <w:highlight w:val="none"/>
              </w:rPr>
            </w:pPr>
            <w:r>
              <w:rPr>
                <w:color w:val="auto"/>
                <w:highlight w:val="none"/>
              </w:rPr>
              <w:t>32</w:t>
            </w:r>
          </w:p>
        </w:tc>
        <w:tc>
          <w:tcPr>
            <w:tcW w:w="1615" w:type="pct"/>
            <w:tcBorders>
              <w:tl2br w:val="nil"/>
              <w:tr2bl w:val="nil"/>
            </w:tcBorders>
            <w:vAlign w:val="center"/>
          </w:tcPr>
          <w:p>
            <w:pPr>
              <w:pStyle w:val="41"/>
              <w:rPr>
                <w:color w:val="auto"/>
                <w:highlight w:val="none"/>
              </w:rPr>
            </w:pPr>
            <w:r>
              <w:rPr>
                <w:color w:val="auto"/>
                <w:highlight w:val="none"/>
              </w:rPr>
              <w:t>铬（六价） （mg/L）</w:t>
            </w:r>
          </w:p>
        </w:tc>
        <w:tc>
          <w:tcPr>
            <w:tcW w:w="458" w:type="pct"/>
            <w:tcBorders>
              <w:tl2br w:val="nil"/>
              <w:tr2bl w:val="nil"/>
            </w:tcBorders>
            <w:vAlign w:val="center"/>
          </w:tcPr>
          <w:p>
            <w:pPr>
              <w:pStyle w:val="41"/>
              <w:rPr>
                <w:color w:val="auto"/>
                <w:highlight w:val="none"/>
              </w:rPr>
            </w:pPr>
            <w:r>
              <w:rPr>
                <w:color w:val="auto"/>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16</w:t>
            </w:r>
          </w:p>
        </w:tc>
        <w:tc>
          <w:tcPr>
            <w:tcW w:w="1642" w:type="pct"/>
            <w:tcBorders>
              <w:tl2br w:val="nil"/>
              <w:tr2bl w:val="nil"/>
            </w:tcBorders>
            <w:vAlign w:val="center"/>
          </w:tcPr>
          <w:p>
            <w:pPr>
              <w:pStyle w:val="41"/>
              <w:rPr>
                <w:color w:val="auto"/>
                <w:highlight w:val="none"/>
              </w:rPr>
            </w:pPr>
            <w:r>
              <w:rPr>
                <w:color w:val="auto"/>
                <w:highlight w:val="none"/>
              </w:rPr>
              <w:t>阴离子表面活性剂（mg/L）</w:t>
            </w:r>
          </w:p>
        </w:tc>
        <w:tc>
          <w:tcPr>
            <w:tcW w:w="641" w:type="pct"/>
            <w:tcBorders>
              <w:tl2br w:val="nil"/>
              <w:tr2bl w:val="nil"/>
            </w:tcBorders>
            <w:vAlign w:val="center"/>
          </w:tcPr>
          <w:p>
            <w:pPr>
              <w:pStyle w:val="41"/>
              <w:rPr>
                <w:color w:val="auto"/>
                <w:highlight w:val="none"/>
              </w:rPr>
            </w:pPr>
            <w:r>
              <w:rPr>
                <w:color w:val="auto"/>
                <w:highlight w:val="none"/>
              </w:rPr>
              <w:t>≤0.3</w:t>
            </w:r>
          </w:p>
        </w:tc>
        <w:tc>
          <w:tcPr>
            <w:tcW w:w="321" w:type="pct"/>
            <w:tcBorders>
              <w:tl2br w:val="nil"/>
              <w:tr2bl w:val="nil"/>
            </w:tcBorders>
            <w:vAlign w:val="center"/>
          </w:tcPr>
          <w:p>
            <w:pPr>
              <w:pStyle w:val="41"/>
              <w:rPr>
                <w:color w:val="auto"/>
                <w:highlight w:val="none"/>
              </w:rPr>
            </w:pPr>
            <w:r>
              <w:rPr>
                <w:color w:val="auto"/>
                <w:highlight w:val="none"/>
              </w:rPr>
              <w:t>33</w:t>
            </w:r>
          </w:p>
        </w:tc>
        <w:tc>
          <w:tcPr>
            <w:tcW w:w="1615" w:type="pct"/>
            <w:tcBorders>
              <w:tl2br w:val="nil"/>
              <w:tr2bl w:val="nil"/>
            </w:tcBorders>
            <w:vAlign w:val="center"/>
          </w:tcPr>
          <w:p>
            <w:pPr>
              <w:pStyle w:val="41"/>
              <w:rPr>
                <w:color w:val="auto"/>
                <w:highlight w:val="none"/>
              </w:rPr>
            </w:pPr>
            <w:r>
              <w:rPr>
                <w:color w:val="auto"/>
                <w:highlight w:val="none"/>
              </w:rPr>
              <w:t>铅（mg/L）</w:t>
            </w:r>
          </w:p>
        </w:tc>
        <w:tc>
          <w:tcPr>
            <w:tcW w:w="458" w:type="pct"/>
            <w:tcBorders>
              <w:tl2br w:val="nil"/>
              <w:tr2bl w:val="nil"/>
            </w:tcBorders>
            <w:vAlign w:val="center"/>
          </w:tcPr>
          <w:p>
            <w:pPr>
              <w:pStyle w:val="41"/>
              <w:rPr>
                <w:color w:val="auto"/>
                <w:highlight w:val="none"/>
              </w:rPr>
            </w:pPr>
            <w:r>
              <w:rPr>
                <w:color w:val="auto"/>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1" w:type="pct"/>
            <w:tcBorders>
              <w:tl2br w:val="nil"/>
              <w:tr2bl w:val="nil"/>
            </w:tcBorders>
            <w:vAlign w:val="center"/>
          </w:tcPr>
          <w:p>
            <w:pPr>
              <w:pStyle w:val="41"/>
              <w:rPr>
                <w:color w:val="auto"/>
                <w:highlight w:val="none"/>
              </w:rPr>
            </w:pPr>
            <w:r>
              <w:rPr>
                <w:color w:val="auto"/>
                <w:highlight w:val="none"/>
              </w:rPr>
              <w:t>17</w:t>
            </w:r>
          </w:p>
        </w:tc>
        <w:tc>
          <w:tcPr>
            <w:tcW w:w="1642" w:type="pct"/>
            <w:tcBorders>
              <w:tl2br w:val="nil"/>
              <w:tr2bl w:val="nil"/>
            </w:tcBorders>
            <w:vAlign w:val="center"/>
          </w:tcPr>
          <w:p>
            <w:pPr>
              <w:pStyle w:val="41"/>
              <w:rPr>
                <w:color w:val="auto"/>
                <w:highlight w:val="none"/>
              </w:rPr>
            </w:pPr>
            <w:r>
              <w:rPr>
                <w:color w:val="auto"/>
                <w:highlight w:val="none"/>
              </w:rPr>
              <w:t>耗氧量（COD</w:t>
            </w:r>
            <w:r>
              <w:rPr>
                <w:color w:val="auto"/>
                <w:highlight w:val="none"/>
                <w:vertAlign w:val="subscript"/>
              </w:rPr>
              <w:t>Mn</w:t>
            </w:r>
            <w:r>
              <w:rPr>
                <w:color w:val="auto"/>
                <w:highlight w:val="none"/>
              </w:rPr>
              <w:t>法，以O</w:t>
            </w:r>
            <w:r>
              <w:rPr>
                <w:color w:val="auto"/>
                <w:highlight w:val="none"/>
                <w:vertAlign w:val="subscript"/>
              </w:rPr>
              <w:t>2</w:t>
            </w:r>
            <w:r>
              <w:rPr>
                <w:color w:val="auto"/>
                <w:highlight w:val="none"/>
              </w:rPr>
              <w:t>计）（mg/L）</w:t>
            </w:r>
          </w:p>
        </w:tc>
        <w:tc>
          <w:tcPr>
            <w:tcW w:w="641" w:type="pct"/>
            <w:tcBorders>
              <w:tl2br w:val="nil"/>
              <w:tr2bl w:val="nil"/>
            </w:tcBorders>
            <w:vAlign w:val="center"/>
          </w:tcPr>
          <w:p>
            <w:pPr>
              <w:pStyle w:val="41"/>
              <w:rPr>
                <w:color w:val="auto"/>
                <w:highlight w:val="none"/>
              </w:rPr>
            </w:pPr>
            <w:r>
              <w:rPr>
                <w:color w:val="auto"/>
                <w:highlight w:val="none"/>
              </w:rPr>
              <w:t>≤3.0</w:t>
            </w:r>
          </w:p>
        </w:tc>
        <w:tc>
          <w:tcPr>
            <w:tcW w:w="321" w:type="pct"/>
            <w:tcBorders>
              <w:tl2br w:val="nil"/>
              <w:tr2bl w:val="nil"/>
            </w:tcBorders>
            <w:vAlign w:val="center"/>
          </w:tcPr>
          <w:p>
            <w:pPr>
              <w:pStyle w:val="41"/>
              <w:rPr>
                <w:color w:val="auto"/>
                <w:highlight w:val="none"/>
              </w:rPr>
            </w:pPr>
            <w:r>
              <w:rPr>
                <w:color w:val="auto"/>
                <w:highlight w:val="none"/>
              </w:rPr>
              <w:t>34</w:t>
            </w:r>
          </w:p>
        </w:tc>
        <w:tc>
          <w:tcPr>
            <w:tcW w:w="1615" w:type="pct"/>
            <w:tcBorders>
              <w:tl2br w:val="nil"/>
              <w:tr2bl w:val="nil"/>
            </w:tcBorders>
            <w:vAlign w:val="center"/>
          </w:tcPr>
          <w:p>
            <w:pPr>
              <w:pStyle w:val="41"/>
              <w:rPr>
                <w:color w:val="auto"/>
                <w:highlight w:val="none"/>
              </w:rPr>
            </w:pPr>
            <w:r>
              <w:rPr>
                <w:color w:val="auto"/>
                <w:highlight w:val="none"/>
              </w:rPr>
              <w:t>石油类（mg/L）</w:t>
            </w:r>
          </w:p>
        </w:tc>
        <w:tc>
          <w:tcPr>
            <w:tcW w:w="458" w:type="pct"/>
            <w:tcBorders>
              <w:tl2br w:val="nil"/>
              <w:tr2bl w:val="nil"/>
            </w:tcBorders>
            <w:vAlign w:val="center"/>
          </w:tcPr>
          <w:p>
            <w:pPr>
              <w:pStyle w:val="41"/>
              <w:rPr>
                <w:color w:val="auto"/>
                <w:highlight w:val="none"/>
              </w:rPr>
            </w:pPr>
            <w:r>
              <w:rPr>
                <w:color w:val="auto"/>
                <w:highlight w:val="none"/>
              </w:rPr>
              <w:t>≤0.05</w:t>
            </w:r>
          </w:p>
        </w:tc>
      </w:tr>
    </w:tbl>
    <w:p>
      <w:pPr>
        <w:pStyle w:val="57"/>
        <w:rPr>
          <w:color w:val="auto"/>
          <w:highlight w:val="none"/>
        </w:rPr>
      </w:pPr>
      <w:r>
        <w:rPr>
          <w:color w:val="auto"/>
          <w:highlight w:val="none"/>
        </w:rPr>
        <w:t>（3）声环境</w:t>
      </w:r>
    </w:p>
    <w:p>
      <w:pPr>
        <w:pStyle w:val="57"/>
        <w:rPr>
          <w:color w:val="auto"/>
          <w:highlight w:val="none"/>
        </w:rPr>
      </w:pPr>
      <w:r>
        <w:rPr>
          <w:color w:val="auto"/>
          <w:highlight w:val="none"/>
        </w:rPr>
        <w:t>声环境执行《声环境质量标准》（GB3096-2008）中2类标准，即昼间60dB（A），夜间50dB（A）。</w:t>
      </w:r>
    </w:p>
    <w:p>
      <w:pPr>
        <w:pStyle w:val="57"/>
        <w:rPr>
          <w:color w:val="auto"/>
          <w:highlight w:val="none"/>
        </w:rPr>
      </w:pPr>
      <w:r>
        <w:rPr>
          <w:color w:val="auto"/>
          <w:highlight w:val="none"/>
        </w:rPr>
        <w:t>（4）土壤环境</w:t>
      </w:r>
    </w:p>
    <w:p>
      <w:pPr>
        <w:pStyle w:val="57"/>
        <w:rPr>
          <w:color w:val="auto"/>
          <w:highlight w:val="none"/>
        </w:rPr>
      </w:pPr>
      <w:r>
        <w:rPr>
          <w:color w:val="auto"/>
          <w:highlight w:val="none"/>
        </w:rPr>
        <w:t>根据《土壤环境质量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lang w:eastAsia="zh-CN"/>
        </w:rPr>
        <w:t>（</w:t>
      </w:r>
      <w:r>
        <w:rPr>
          <w:color w:val="auto"/>
          <w:highlight w:val="none"/>
        </w:rPr>
        <w:t>GB36600-2018</w:t>
      </w:r>
      <w:r>
        <w:rPr>
          <w:rFonts w:hint="eastAsia"/>
          <w:color w:val="auto"/>
          <w:highlight w:val="none"/>
          <w:lang w:eastAsia="zh-CN"/>
        </w:rPr>
        <w:t>）</w:t>
      </w:r>
      <w:r>
        <w:rPr>
          <w:rFonts w:hint="eastAsia"/>
          <w:color w:val="auto"/>
          <w:highlight w:val="none"/>
        </w:rPr>
        <w:t>，</w:t>
      </w:r>
      <w:r>
        <w:rPr>
          <w:color w:val="auto"/>
          <w:highlight w:val="none"/>
        </w:rPr>
        <w:t>油田内</w:t>
      </w:r>
      <w:r>
        <w:rPr>
          <w:rFonts w:hint="eastAsia"/>
          <w:color w:val="auto"/>
          <w:highlight w:val="none"/>
        </w:rPr>
        <w:t>地面工程、</w:t>
      </w:r>
      <w:r>
        <w:rPr>
          <w:color w:val="auto"/>
          <w:highlight w:val="none"/>
        </w:rPr>
        <w:t>井场等建设用地</w:t>
      </w:r>
      <w:r>
        <w:rPr>
          <w:rFonts w:hint="eastAsia"/>
          <w:color w:val="auto"/>
          <w:highlight w:val="none"/>
        </w:rPr>
        <w:t>为第二类用地，结合</w:t>
      </w:r>
      <w:r>
        <w:rPr>
          <w:color w:val="auto"/>
          <w:highlight w:val="none"/>
        </w:rPr>
        <w:t>项目所在区域环境特征，</w:t>
      </w:r>
      <w:r>
        <w:rPr>
          <w:rFonts w:hint="eastAsia"/>
          <w:color w:val="auto"/>
          <w:highlight w:val="none"/>
        </w:rPr>
        <w:t>本工程占地范围内</w:t>
      </w:r>
      <w:r>
        <w:rPr>
          <w:color w:val="auto"/>
          <w:highlight w:val="none"/>
        </w:rPr>
        <w:t>执行《土壤环境质量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表1</w:t>
      </w:r>
      <w:r>
        <w:rPr>
          <w:rFonts w:hint="eastAsia"/>
          <w:color w:val="auto"/>
          <w:highlight w:val="none"/>
        </w:rPr>
        <w:t>第二类用地</w:t>
      </w:r>
      <w:r>
        <w:rPr>
          <w:color w:val="auto"/>
          <w:highlight w:val="none"/>
        </w:rPr>
        <w:t>筛选值标准</w:t>
      </w:r>
      <w:r>
        <w:rPr>
          <w:rFonts w:hint="eastAsia"/>
          <w:color w:val="auto"/>
          <w:highlight w:val="none"/>
        </w:rPr>
        <w:t>，</w:t>
      </w:r>
      <w:r>
        <w:rPr>
          <w:color w:val="auto"/>
          <w:highlight w:val="none"/>
        </w:rPr>
        <w:t>见表2.</w:t>
      </w:r>
      <w:r>
        <w:rPr>
          <w:rFonts w:hint="eastAsia"/>
          <w:color w:val="auto"/>
          <w:highlight w:val="none"/>
          <w:lang w:val="en-US" w:eastAsia="zh-CN"/>
        </w:rPr>
        <w:t>4-4</w:t>
      </w:r>
      <w:r>
        <w:rPr>
          <w:rFonts w:hint="eastAsia"/>
          <w:color w:val="auto"/>
          <w:highlight w:val="none"/>
        </w:rPr>
        <w:t>；占地范围外执行《土壤环境质量</w:t>
      </w:r>
      <w:r>
        <w:rPr>
          <w:color w:val="auto"/>
          <w:highlight w:val="none"/>
        </w:rPr>
        <w:t xml:space="preserve"> 农用地土壤污染风险管控标准（试行）》（GB15618-2018）表1筛选值</w:t>
      </w:r>
      <w:r>
        <w:rPr>
          <w:rFonts w:hint="eastAsia"/>
          <w:color w:val="auto"/>
          <w:highlight w:val="none"/>
        </w:rPr>
        <w:t>标准，根据监测结果，在监测期间，本工程区域土壤p</w:t>
      </w:r>
      <w:r>
        <w:rPr>
          <w:color w:val="auto"/>
          <w:highlight w:val="none"/>
        </w:rPr>
        <w:t>H</w:t>
      </w:r>
      <w:r>
        <w:rPr>
          <w:rFonts w:hint="eastAsia"/>
          <w:color w:val="auto"/>
          <w:highlight w:val="none"/>
        </w:rPr>
        <w:t>＞7</w:t>
      </w:r>
      <w:r>
        <w:rPr>
          <w:rFonts w:hint="eastAsia"/>
          <w:color w:val="auto"/>
          <w:highlight w:val="none"/>
          <w:lang w:val="en-US" w:eastAsia="zh-CN"/>
        </w:rPr>
        <w:t>.5</w:t>
      </w:r>
      <w:r>
        <w:rPr>
          <w:rFonts w:hint="eastAsia"/>
          <w:color w:val="auto"/>
          <w:highlight w:val="none"/>
        </w:rPr>
        <w:t>，因此占地范围外土壤执行《土壤环境质量</w:t>
      </w:r>
      <w:r>
        <w:rPr>
          <w:color w:val="auto"/>
          <w:highlight w:val="none"/>
        </w:rPr>
        <w:t xml:space="preserve"> 农用地土壤污染风险管控标准（试行）》（GB15618-2018）表1</w:t>
      </w:r>
      <w:r>
        <w:rPr>
          <w:rFonts w:hint="eastAsia"/>
          <w:color w:val="auto"/>
          <w:highlight w:val="none"/>
        </w:rPr>
        <w:t>中</w:t>
      </w:r>
      <w:r>
        <w:rPr>
          <w:color w:val="auto"/>
          <w:highlight w:val="none"/>
        </w:rPr>
        <w:t>所列筛选值</w:t>
      </w:r>
      <w:r>
        <w:rPr>
          <w:rFonts w:hint="eastAsia"/>
          <w:color w:val="auto"/>
          <w:highlight w:val="none"/>
        </w:rPr>
        <w:t>标准，见表2</w:t>
      </w:r>
      <w:r>
        <w:rPr>
          <w:color w:val="auto"/>
          <w:highlight w:val="none"/>
        </w:rPr>
        <w:t>.</w:t>
      </w:r>
      <w:r>
        <w:rPr>
          <w:rFonts w:hint="eastAsia"/>
          <w:color w:val="auto"/>
          <w:highlight w:val="none"/>
        </w:rPr>
        <w:t>4-</w:t>
      </w:r>
      <w:r>
        <w:rPr>
          <w:rFonts w:hint="eastAsia"/>
          <w:color w:val="auto"/>
          <w:highlight w:val="none"/>
          <w:lang w:val="en-US" w:eastAsia="zh-CN"/>
        </w:rPr>
        <w:t>5</w:t>
      </w:r>
      <w:r>
        <w:rPr>
          <w:rFonts w:hint="eastAsia"/>
          <w:color w:val="auto"/>
          <w:highlight w:val="none"/>
        </w:rPr>
        <w:t>。石油烃执行</w:t>
      </w:r>
      <w:r>
        <w:rPr>
          <w:color w:val="auto"/>
          <w:highlight w:val="none"/>
        </w:rPr>
        <w:t>《土壤环境质量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表2</w:t>
      </w:r>
      <w:r>
        <w:rPr>
          <w:rFonts w:hint="eastAsia"/>
          <w:color w:val="auto"/>
          <w:highlight w:val="none"/>
        </w:rPr>
        <w:t>第二类用地</w:t>
      </w:r>
      <w:r>
        <w:rPr>
          <w:color w:val="auto"/>
          <w:highlight w:val="none"/>
        </w:rPr>
        <w:t>筛选值标准</w:t>
      </w:r>
      <w:r>
        <w:rPr>
          <w:rFonts w:hint="eastAsia"/>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表2.4-</w:t>
      </w:r>
      <w:r>
        <w:rPr>
          <w:rFonts w:hint="eastAsia" w:cs="Times New Roman"/>
          <w:color w:val="auto"/>
          <w:highlight w:val="none"/>
          <w:lang w:val="en-US" w:eastAsia="zh-CN" w:bidi="ar"/>
        </w:rPr>
        <w:t xml:space="preserve">4 </w:t>
      </w:r>
      <w:r>
        <w:rPr>
          <w:rFonts w:hint="eastAsia" w:cs="Times New Roman"/>
          <w:color w:val="auto"/>
          <w:highlight w:val="none"/>
          <w:lang w:bidi="ar"/>
        </w:rPr>
        <w:t>《土壤环境质量</w:t>
      </w:r>
      <w:r>
        <w:rPr>
          <w:rFonts w:hint="eastAsia" w:cs="Times New Roman"/>
          <w:color w:val="auto"/>
          <w:highlight w:val="none"/>
          <w:lang w:val="en-US" w:eastAsia="zh-CN" w:bidi="ar"/>
        </w:rPr>
        <w:t xml:space="preserve"> </w:t>
      </w:r>
      <w:r>
        <w:rPr>
          <w:rFonts w:hint="eastAsia" w:cs="Times New Roman"/>
          <w:color w:val="auto"/>
          <w:highlight w:val="none"/>
          <w:lang w:bidi="ar"/>
        </w:rPr>
        <w:t>建设用地土壤污染风险管控标准（试行）》</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844"/>
        <w:gridCol w:w="2203"/>
        <w:gridCol w:w="1320"/>
        <w:gridCol w:w="1493"/>
        <w:gridCol w:w="1486"/>
        <w:gridCol w:w="1487"/>
      </w:tblGrid>
      <w:tr>
        <w:tblPrEx>
          <w:tblCellMar>
            <w:top w:w="0" w:type="dxa"/>
            <w:left w:w="108" w:type="dxa"/>
            <w:bottom w:w="0" w:type="dxa"/>
            <w:right w:w="108" w:type="dxa"/>
          </w:tblCellMar>
        </w:tblPrEx>
        <w:tc>
          <w:tcPr>
            <w:tcW w:w="478" w:type="pct"/>
            <w:vMerge w:val="restart"/>
            <w:tcBorders>
              <w:top w:val="single" w:color="auto" w:sz="12"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序号</w:t>
            </w:r>
          </w:p>
        </w:tc>
        <w:tc>
          <w:tcPr>
            <w:tcW w:w="1247" w:type="pct"/>
            <w:vMerge w:val="restart"/>
            <w:tcBorders>
              <w:top w:val="single" w:color="auto" w:sz="12"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污染物项目</w:t>
            </w:r>
          </w:p>
        </w:tc>
        <w:tc>
          <w:tcPr>
            <w:tcW w:w="1592" w:type="pct"/>
            <w:gridSpan w:val="2"/>
            <w:tcBorders>
              <w:top w:val="single" w:color="auto" w:sz="12"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筛选值（mg/kg）</w:t>
            </w:r>
          </w:p>
        </w:tc>
        <w:tc>
          <w:tcPr>
            <w:tcW w:w="1683" w:type="pct"/>
            <w:gridSpan w:val="2"/>
            <w:tcBorders>
              <w:top w:val="single" w:color="auto" w:sz="12" w:space="0"/>
              <w:left w:val="single" w:color="auto" w:sz="6" w:space="0"/>
              <w:bottom w:val="single" w:color="auto" w:sz="6" w:space="0"/>
              <w:right w:val="single" w:color="auto" w:sz="12" w:space="0"/>
            </w:tcBorders>
            <w:vAlign w:val="center"/>
          </w:tcPr>
          <w:p>
            <w:pPr>
              <w:pStyle w:val="41"/>
              <w:bidi w:val="0"/>
              <w:rPr>
                <w:color w:val="auto"/>
                <w:highlight w:val="none"/>
              </w:rPr>
            </w:pPr>
            <w:r>
              <w:rPr>
                <w:color w:val="auto"/>
                <w:highlight w:val="none"/>
              </w:rPr>
              <w:t>管制值（mg/kg）</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0" w:type="auto"/>
            <w:vMerge w:val="continue"/>
            <w:tcBorders>
              <w:top w:val="single" w:color="auto" w:sz="12" w:space="0"/>
              <w:left w:val="single" w:color="auto" w:sz="12" w:space="0"/>
              <w:bottom w:val="single" w:color="auto" w:sz="6" w:space="0"/>
              <w:right w:val="single" w:color="auto" w:sz="6" w:space="0"/>
            </w:tcBorders>
            <w:vAlign w:val="center"/>
          </w:tcPr>
          <w:p>
            <w:pPr>
              <w:pStyle w:val="41"/>
              <w:bidi w:val="0"/>
              <w:rPr>
                <w:color w:val="auto"/>
                <w:highlight w:val="none"/>
              </w:rPr>
            </w:pPr>
          </w:p>
        </w:tc>
        <w:tc>
          <w:tcPr>
            <w:tcW w:w="0" w:type="auto"/>
            <w:vMerge w:val="continue"/>
            <w:tcBorders>
              <w:top w:val="single" w:color="auto" w:sz="12" w:space="0"/>
              <w:left w:val="single" w:color="auto" w:sz="6" w:space="0"/>
              <w:bottom w:val="single" w:color="auto" w:sz="6" w:space="0"/>
              <w:right w:val="single" w:color="auto" w:sz="6" w:space="0"/>
            </w:tcBorders>
            <w:vAlign w:val="center"/>
          </w:tcPr>
          <w:p>
            <w:pPr>
              <w:pStyle w:val="41"/>
              <w:bidi w:val="0"/>
              <w:rPr>
                <w:color w:val="auto"/>
                <w:highlight w:val="none"/>
              </w:rPr>
            </w:pP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第一类用地</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第二类用地</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第一类用地</w:t>
            </w:r>
          </w:p>
        </w:tc>
        <w:tc>
          <w:tcPr>
            <w:tcW w:w="842" w:type="pct"/>
            <w:tcBorders>
              <w:top w:val="single" w:color="auto" w:sz="6" w:space="0"/>
              <w:left w:val="single" w:color="auto" w:sz="6" w:space="0"/>
              <w:bottom w:val="single" w:color="auto" w:sz="6" w:space="0"/>
              <w:right w:val="single" w:color="auto" w:sz="12" w:space="0"/>
            </w:tcBorders>
            <w:vAlign w:val="center"/>
          </w:tcPr>
          <w:p>
            <w:pPr>
              <w:pStyle w:val="41"/>
              <w:bidi w:val="0"/>
              <w:rPr>
                <w:color w:val="auto"/>
                <w:highlight w:val="none"/>
              </w:rPr>
            </w:pPr>
            <w:r>
              <w:rPr>
                <w:color w:val="auto"/>
                <w:highlight w:val="none"/>
              </w:rPr>
              <w:t>第二类用地</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tcBorders>
              <w:top w:val="single" w:color="auto" w:sz="6" w:space="0"/>
              <w:left w:val="single" w:color="auto" w:sz="12" w:space="0"/>
              <w:bottom w:val="single" w:color="auto" w:sz="6" w:space="0"/>
              <w:right w:val="single" w:color="auto" w:sz="12" w:space="0"/>
            </w:tcBorders>
            <w:vAlign w:val="center"/>
          </w:tcPr>
          <w:p>
            <w:pPr>
              <w:pStyle w:val="41"/>
              <w:bidi w:val="0"/>
              <w:rPr>
                <w:color w:val="auto"/>
                <w:highlight w:val="none"/>
              </w:rPr>
            </w:pPr>
            <w:r>
              <w:rPr>
                <w:color w:val="auto"/>
                <w:highlight w:val="none"/>
              </w:rPr>
              <w:t>重金属和无机物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镉</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65</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47</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172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铬（六价）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5.7</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78</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4</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铜</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2000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18000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8000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36000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5</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铝</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400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800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800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2500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6</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汞</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8</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38</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33</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82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7</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镍</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150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900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tcBorders>
              <w:top w:val="single" w:color="auto" w:sz="6" w:space="0"/>
              <w:left w:val="single" w:color="auto" w:sz="12" w:space="0"/>
              <w:bottom w:val="single" w:color="auto" w:sz="6" w:space="0"/>
              <w:right w:val="single" w:color="auto" w:sz="12" w:space="0"/>
            </w:tcBorders>
            <w:vAlign w:val="center"/>
          </w:tcPr>
          <w:p>
            <w:pPr>
              <w:pStyle w:val="41"/>
              <w:bidi w:val="0"/>
              <w:rPr>
                <w:color w:val="auto"/>
                <w:highlight w:val="none"/>
              </w:rPr>
            </w:pPr>
            <w:r>
              <w:rPr>
                <w:color w:val="auto"/>
                <w:highlight w:val="none"/>
              </w:rPr>
              <w:t>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8</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四氯化碳</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0.9</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2.8</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9</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36</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9</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氯仿</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0.3</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0.9</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10</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氯甲烷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37</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21</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11</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1-二氯乙烷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9</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12</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2二氯乙烷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0.52</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21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13</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1-二氯乙烯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66</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40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14</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顺-1</w:t>
            </w:r>
            <w:r>
              <w:rPr>
                <w:rFonts w:hint="eastAsia"/>
                <w:color w:val="auto"/>
                <w:highlight w:val="none"/>
              </w:rPr>
              <w:t>，</w:t>
            </w:r>
            <w:r>
              <w:rPr>
                <w:color w:val="auto"/>
                <w:highlight w:val="none"/>
              </w:rPr>
              <w:t>2-二氯乙烯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66</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596</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15</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反-1</w:t>
            </w:r>
            <w:r>
              <w:rPr>
                <w:rFonts w:hint="eastAsia"/>
                <w:color w:val="auto"/>
                <w:highlight w:val="none"/>
              </w:rPr>
              <w:t>，</w:t>
            </w:r>
            <w:r>
              <w:rPr>
                <w:color w:val="auto"/>
                <w:highlight w:val="none"/>
              </w:rPr>
              <w:t>2-二氯乙烯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54</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31</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16</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二氯甲烷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94</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616</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2000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17</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2-二氯丙烷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47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18</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2-四氯乙烷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2.6</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26</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19</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2</w:t>
            </w:r>
            <w:r>
              <w:rPr>
                <w:rFonts w:hint="eastAsia"/>
                <w:color w:val="auto"/>
                <w:highlight w:val="none"/>
              </w:rPr>
              <w:t>，</w:t>
            </w:r>
            <w:r>
              <w:rPr>
                <w:color w:val="auto"/>
                <w:highlight w:val="none"/>
              </w:rPr>
              <w:t>2-四氯乙烷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1.6</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26</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20</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四氯乙烯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11</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53</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34</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183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21</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1-三氯乙烷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701</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840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840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840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22</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1</w:t>
            </w:r>
            <w:r>
              <w:rPr>
                <w:rFonts w:hint="eastAsia"/>
                <w:color w:val="auto"/>
                <w:highlight w:val="none"/>
              </w:rPr>
              <w:t>，</w:t>
            </w:r>
            <w:r>
              <w:rPr>
                <w:color w:val="auto"/>
                <w:highlight w:val="none"/>
              </w:rPr>
              <w:t>2-三氯乙烷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0.6</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2.8</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23</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三氯乙烯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0.7</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2.8</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7</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24</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2</w:t>
            </w:r>
            <w:r>
              <w:rPr>
                <w:rFonts w:hint="eastAsia"/>
                <w:color w:val="auto"/>
                <w:highlight w:val="none"/>
              </w:rPr>
              <w:t>，</w:t>
            </w:r>
            <w:r>
              <w:rPr>
                <w:color w:val="auto"/>
                <w:highlight w:val="none"/>
              </w:rPr>
              <w:t>3-三氯丙烷</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0.05</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0.5</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25</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氯乙烯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0.12</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0.43</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4.3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26</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4</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27</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氯苯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68</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270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1000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28</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2-二氯苯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560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560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560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560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29</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w:t>
            </w:r>
            <w:r>
              <w:rPr>
                <w:rFonts w:hint="eastAsia"/>
                <w:color w:val="auto"/>
                <w:highlight w:val="none"/>
              </w:rPr>
              <w:t>，</w:t>
            </w:r>
            <w:r>
              <w:rPr>
                <w:color w:val="auto"/>
                <w:highlight w:val="none"/>
              </w:rPr>
              <w:t>4-二氯苯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5.6</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56</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30</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乙苯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7.2</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28</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72</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280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31</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苯乙烯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1290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1290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1290</w:t>
            </w:r>
          </w:p>
        </w:tc>
        <w:tc>
          <w:tcPr>
            <w:tcW w:w="842" w:type="pct"/>
            <w:tcBorders>
              <w:top w:val="single" w:color="auto" w:sz="6" w:space="0"/>
              <w:left w:val="single" w:color="auto" w:sz="6" w:space="0"/>
              <w:bottom w:val="single" w:color="auto" w:sz="6" w:space="0"/>
              <w:right w:val="single" w:color="auto" w:sz="12" w:space="0"/>
            </w:tcBorders>
            <w:vAlign w:val="center"/>
          </w:tcPr>
          <w:p>
            <w:pPr>
              <w:pStyle w:val="41"/>
              <w:bidi w:val="0"/>
              <w:rPr>
                <w:color w:val="auto"/>
                <w:highlight w:val="none"/>
              </w:rPr>
            </w:pPr>
            <w:r>
              <w:rPr>
                <w:color w:val="auto"/>
                <w:highlight w:val="none"/>
              </w:rPr>
              <w:t>1290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32</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甲苯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1200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1200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1200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33</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间二甲苯+对二甲苯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163</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570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570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34</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邻二甲苯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222</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640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640</w:t>
            </w:r>
          </w:p>
        </w:tc>
        <w:tc>
          <w:tcPr>
            <w:tcW w:w="842" w:type="pct"/>
            <w:tcBorders>
              <w:top w:val="single" w:color="auto" w:sz="6" w:space="0"/>
              <w:left w:val="single" w:color="auto" w:sz="6" w:space="0"/>
              <w:bottom w:val="single" w:color="auto" w:sz="6" w:space="0"/>
              <w:right w:val="single" w:color="auto" w:sz="12" w:space="0"/>
            </w:tcBorders>
            <w:vAlign w:val="center"/>
          </w:tcPr>
          <w:p>
            <w:pPr>
              <w:pStyle w:val="41"/>
              <w:bidi w:val="0"/>
              <w:rPr>
                <w:color w:val="auto"/>
                <w:highlight w:val="none"/>
              </w:rPr>
            </w:pPr>
            <w:r>
              <w:rPr>
                <w:color w:val="auto"/>
                <w:highlight w:val="none"/>
              </w:rPr>
              <w:t>640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5000" w:type="pct"/>
            <w:gridSpan w:val="6"/>
            <w:tcBorders>
              <w:top w:val="single" w:color="auto" w:sz="6" w:space="0"/>
              <w:left w:val="single" w:color="auto" w:sz="12" w:space="0"/>
              <w:bottom w:val="single" w:color="auto" w:sz="6" w:space="0"/>
              <w:right w:val="single" w:color="auto" w:sz="12" w:space="0"/>
            </w:tcBorders>
            <w:vAlign w:val="center"/>
          </w:tcPr>
          <w:p>
            <w:pPr>
              <w:pStyle w:val="41"/>
              <w:bidi w:val="0"/>
              <w:rPr>
                <w:color w:val="auto"/>
                <w:highlight w:val="none"/>
              </w:rPr>
            </w:pPr>
            <w:r>
              <w:rPr>
                <w:color w:val="auto"/>
                <w:highlight w:val="none"/>
              </w:rPr>
              <w:t>半挥发性有机物</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35</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硝基苯</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34</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76</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190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760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36</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苯胺</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92</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260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211</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663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37</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2-氯酚</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250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2256</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4500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38</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苯并</w:t>
            </w:r>
            <w:r>
              <w:rPr>
                <w:rFonts w:hint="eastAsia"/>
                <w:color w:val="auto"/>
                <w:highlight w:val="none"/>
                <w:lang w:eastAsia="zh-CN"/>
              </w:rPr>
              <w:t>〔</w:t>
            </w:r>
            <w:r>
              <w:rPr>
                <w:color w:val="auto"/>
                <w:highlight w:val="none"/>
              </w:rPr>
              <w:t>a</w:t>
            </w:r>
            <w:r>
              <w:rPr>
                <w:rFonts w:hint="eastAsia"/>
                <w:color w:val="auto"/>
                <w:highlight w:val="none"/>
                <w:lang w:eastAsia="zh-CN"/>
              </w:rPr>
              <w:t>〕</w:t>
            </w:r>
            <w:r>
              <w:rPr>
                <w:color w:val="auto"/>
                <w:highlight w:val="none"/>
              </w:rPr>
              <w:t>蒽</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39</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苯并</w:t>
            </w:r>
            <w:r>
              <w:rPr>
                <w:rFonts w:hint="eastAsia"/>
                <w:color w:val="auto"/>
                <w:highlight w:val="none"/>
                <w:lang w:eastAsia="zh-CN"/>
              </w:rPr>
              <w:t>〔</w:t>
            </w:r>
            <w:r>
              <w:rPr>
                <w:color w:val="auto"/>
                <w:highlight w:val="none"/>
              </w:rPr>
              <w:t>a</w:t>
            </w:r>
            <w:r>
              <w:rPr>
                <w:rFonts w:hint="eastAsia"/>
                <w:color w:val="auto"/>
                <w:highlight w:val="none"/>
                <w:lang w:eastAsia="zh-CN"/>
              </w:rPr>
              <w:t>〕</w:t>
            </w:r>
            <w:r>
              <w:rPr>
                <w:color w:val="auto"/>
                <w:highlight w:val="none"/>
              </w:rPr>
              <w:t>芘</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0.55</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40</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苯并</w:t>
            </w:r>
            <w:r>
              <w:rPr>
                <w:rFonts w:hint="eastAsia"/>
                <w:color w:val="auto"/>
                <w:highlight w:val="none"/>
                <w:lang w:eastAsia="zh-CN"/>
              </w:rPr>
              <w:t>〔</w:t>
            </w:r>
            <w:r>
              <w:rPr>
                <w:color w:val="auto"/>
                <w:highlight w:val="none"/>
              </w:rPr>
              <w:t>b</w:t>
            </w:r>
            <w:r>
              <w:rPr>
                <w:rFonts w:hint="eastAsia"/>
                <w:color w:val="auto"/>
                <w:highlight w:val="none"/>
                <w:lang w:eastAsia="zh-CN"/>
              </w:rPr>
              <w:t>〕</w:t>
            </w:r>
            <w:r>
              <w:rPr>
                <w:color w:val="auto"/>
                <w:highlight w:val="none"/>
              </w:rPr>
              <w:t>荧蒽</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41</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苯并</w:t>
            </w:r>
            <w:r>
              <w:rPr>
                <w:rFonts w:hint="eastAsia"/>
                <w:color w:val="auto"/>
                <w:highlight w:val="none"/>
                <w:lang w:eastAsia="zh-CN"/>
              </w:rPr>
              <w:t>〔</w:t>
            </w:r>
            <w:r>
              <w:rPr>
                <w:color w:val="auto"/>
                <w:highlight w:val="none"/>
              </w:rPr>
              <w:t>k</w:t>
            </w:r>
            <w:r>
              <w:rPr>
                <w:rFonts w:hint="eastAsia"/>
                <w:color w:val="auto"/>
                <w:highlight w:val="none"/>
                <w:lang w:eastAsia="zh-CN"/>
              </w:rPr>
              <w:t>〕</w:t>
            </w:r>
            <w:r>
              <w:rPr>
                <w:color w:val="auto"/>
                <w:highlight w:val="none"/>
              </w:rPr>
              <w:t>荧蒽</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151</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1500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42</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drawing>
                <wp:inline distT="0" distB="0" distL="0" distR="0">
                  <wp:extent cx="198120" cy="172720"/>
                  <wp:effectExtent l="0" t="0" r="11430" b="17780"/>
                  <wp:docPr id="123" name="图片 123" descr="C:\Users\ADMINI~1.DES\AppData\Local\Temp\ksohtml10024\wps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descr="C:\Users\ADMINI~1.DES\AppData\Local\Temp\ksohtml10024\wps46.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98120" cy="172720"/>
                          </a:xfrm>
                          <a:prstGeom prst="rect">
                            <a:avLst/>
                          </a:prstGeom>
                          <a:noFill/>
                          <a:ln>
                            <a:noFill/>
                          </a:ln>
                        </pic:spPr>
                      </pic:pic>
                    </a:graphicData>
                  </a:graphic>
                </wp:inline>
              </w:drawing>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490</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1293</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4900</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12900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43</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二苯并</w:t>
            </w:r>
            <w:r>
              <w:rPr>
                <w:rFonts w:hint="eastAsia"/>
                <w:color w:val="auto"/>
                <w:highlight w:val="none"/>
                <w:lang w:eastAsia="zh-CN"/>
              </w:rPr>
              <w:t>〔</w:t>
            </w:r>
            <w:r>
              <w:rPr>
                <w:color w:val="auto"/>
                <w:highlight w:val="none"/>
              </w:rPr>
              <w:t>a</w:t>
            </w:r>
            <w:r>
              <w:rPr>
                <w:rFonts w:hint="eastAsia"/>
                <w:color w:val="auto"/>
                <w:highlight w:val="none"/>
              </w:rPr>
              <w:t>，</w:t>
            </w:r>
            <w:r>
              <w:rPr>
                <w:color w:val="auto"/>
                <w:highlight w:val="none"/>
              </w:rPr>
              <w:t>h</w:t>
            </w:r>
            <w:r>
              <w:rPr>
                <w:rFonts w:hint="eastAsia"/>
                <w:color w:val="auto"/>
                <w:highlight w:val="none"/>
                <w:lang w:eastAsia="zh-CN"/>
              </w:rPr>
              <w:t>〕</w:t>
            </w:r>
            <w:r>
              <w:rPr>
                <w:color w:val="auto"/>
                <w:highlight w:val="none"/>
              </w:rPr>
              <w:t>蒽</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0.55</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44</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茚并</w:t>
            </w:r>
            <w:r>
              <w:rPr>
                <w:rFonts w:hint="eastAsia"/>
                <w:color w:val="auto"/>
                <w:highlight w:val="none"/>
                <w:lang w:eastAsia="zh-CN"/>
              </w:rPr>
              <w:t>〔</w:t>
            </w:r>
            <w:r>
              <w:rPr>
                <w:color w:val="auto"/>
                <w:highlight w:val="none"/>
              </w:rPr>
              <w:t>1</w:t>
            </w:r>
            <w:r>
              <w:rPr>
                <w:rFonts w:hint="eastAsia"/>
                <w:color w:val="auto"/>
                <w:highlight w:val="none"/>
              </w:rPr>
              <w:t>，</w:t>
            </w:r>
            <w:r>
              <w:rPr>
                <w:color w:val="auto"/>
                <w:highlight w:val="none"/>
              </w:rPr>
              <w:t>2</w:t>
            </w:r>
            <w:r>
              <w:rPr>
                <w:rFonts w:hint="eastAsia"/>
                <w:color w:val="auto"/>
                <w:highlight w:val="none"/>
              </w:rPr>
              <w:t>，</w:t>
            </w:r>
            <w:r>
              <w:rPr>
                <w:color w:val="auto"/>
                <w:highlight w:val="none"/>
              </w:rPr>
              <w:t>3-cd</w:t>
            </w:r>
            <w:r>
              <w:rPr>
                <w:rFonts w:hint="eastAsia"/>
                <w:color w:val="auto"/>
                <w:highlight w:val="none"/>
                <w:lang w:eastAsia="zh-CN"/>
              </w:rPr>
              <w:t>〕</w:t>
            </w:r>
            <w:r>
              <w:rPr>
                <w:color w:val="auto"/>
                <w:highlight w:val="none"/>
              </w:rPr>
              <w:t>芘</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15</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55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151</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6" w:space="0"/>
              <w:right w:val="single" w:color="auto" w:sz="6" w:space="0"/>
            </w:tcBorders>
            <w:vAlign w:val="center"/>
          </w:tcPr>
          <w:p>
            <w:pPr>
              <w:pStyle w:val="41"/>
              <w:bidi w:val="0"/>
              <w:rPr>
                <w:color w:val="auto"/>
                <w:highlight w:val="none"/>
              </w:rPr>
            </w:pPr>
            <w:r>
              <w:rPr>
                <w:color w:val="auto"/>
                <w:highlight w:val="none"/>
              </w:rPr>
              <w:t>45</w:t>
            </w:r>
          </w:p>
        </w:tc>
        <w:tc>
          <w:tcPr>
            <w:tcW w:w="12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萘</w:t>
            </w:r>
          </w:p>
        </w:tc>
        <w:tc>
          <w:tcPr>
            <w:tcW w:w="747"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25</w:t>
            </w:r>
          </w:p>
        </w:tc>
        <w:tc>
          <w:tcPr>
            <w:tcW w:w="845"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70</w:t>
            </w:r>
          </w:p>
        </w:tc>
        <w:tc>
          <w:tcPr>
            <w:tcW w:w="841" w:type="pct"/>
            <w:tcBorders>
              <w:top w:val="single" w:color="auto" w:sz="6" w:space="0"/>
              <w:left w:val="single" w:color="auto" w:sz="6" w:space="0"/>
              <w:bottom w:val="single" w:color="auto" w:sz="6" w:space="0"/>
              <w:right w:val="single" w:color="auto" w:sz="6" w:space="0"/>
            </w:tcBorders>
            <w:vAlign w:val="center"/>
          </w:tcPr>
          <w:p>
            <w:pPr>
              <w:pStyle w:val="41"/>
              <w:bidi w:val="0"/>
              <w:rPr>
                <w:color w:val="auto"/>
                <w:highlight w:val="none"/>
              </w:rPr>
            </w:pPr>
            <w:r>
              <w:rPr>
                <w:color w:val="auto"/>
                <w:highlight w:val="none"/>
              </w:rPr>
              <w:t>255</w:t>
            </w:r>
          </w:p>
        </w:tc>
        <w:tc>
          <w:tcPr>
            <w:tcW w:w="842" w:type="pct"/>
            <w:tcBorders>
              <w:top w:val="single" w:color="auto" w:sz="6" w:space="0"/>
              <w:left w:val="single" w:color="auto" w:sz="6" w:space="0"/>
              <w:bottom w:val="single" w:color="auto" w:sz="6" w:space="0"/>
              <w:right w:val="single" w:color="auto" w:sz="12" w:space="0"/>
            </w:tcBorders>
          </w:tcPr>
          <w:p>
            <w:pPr>
              <w:pStyle w:val="41"/>
              <w:bidi w:val="0"/>
              <w:rPr>
                <w:color w:val="auto"/>
                <w:highlight w:val="none"/>
              </w:rPr>
            </w:pPr>
            <w:r>
              <w:rPr>
                <w:color w:val="auto"/>
                <w:highlight w:val="none"/>
              </w:rPr>
              <w:t>700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478" w:type="pct"/>
            <w:tcBorders>
              <w:top w:val="single" w:color="auto" w:sz="6" w:space="0"/>
              <w:left w:val="single" w:color="auto" w:sz="12" w:space="0"/>
              <w:bottom w:val="single" w:color="auto" w:sz="12" w:space="0"/>
              <w:right w:val="single" w:color="auto" w:sz="6" w:space="0"/>
            </w:tcBorders>
            <w:vAlign w:val="center"/>
          </w:tcPr>
          <w:p>
            <w:pPr>
              <w:pStyle w:val="41"/>
              <w:bidi w:val="0"/>
              <w:rPr>
                <w:color w:val="auto"/>
                <w:highlight w:val="none"/>
              </w:rPr>
            </w:pPr>
            <w:r>
              <w:rPr>
                <w:rFonts w:hint="eastAsia"/>
                <w:color w:val="auto"/>
                <w:highlight w:val="none"/>
              </w:rPr>
              <w:t>46</w:t>
            </w:r>
          </w:p>
        </w:tc>
        <w:tc>
          <w:tcPr>
            <w:tcW w:w="1247" w:type="pct"/>
            <w:tcBorders>
              <w:top w:val="single" w:color="auto" w:sz="6" w:space="0"/>
              <w:left w:val="single" w:color="auto" w:sz="6" w:space="0"/>
              <w:bottom w:val="single" w:color="auto" w:sz="12" w:space="0"/>
              <w:right w:val="single" w:color="auto" w:sz="6" w:space="0"/>
            </w:tcBorders>
            <w:vAlign w:val="center"/>
          </w:tcPr>
          <w:p>
            <w:pPr>
              <w:pStyle w:val="41"/>
              <w:bidi w:val="0"/>
              <w:rPr>
                <w:color w:val="auto"/>
                <w:highlight w:val="none"/>
              </w:rPr>
            </w:pPr>
            <w:r>
              <w:rPr>
                <w:color w:val="auto"/>
                <w:highlight w:val="none"/>
              </w:rPr>
              <w:t>石油烃</w:t>
            </w:r>
          </w:p>
        </w:tc>
        <w:tc>
          <w:tcPr>
            <w:tcW w:w="747" w:type="pct"/>
            <w:tcBorders>
              <w:top w:val="single" w:color="auto" w:sz="6" w:space="0"/>
              <w:left w:val="single" w:color="auto" w:sz="6" w:space="0"/>
              <w:bottom w:val="single" w:color="auto" w:sz="12" w:space="0"/>
              <w:right w:val="single" w:color="auto" w:sz="6" w:space="0"/>
            </w:tcBorders>
            <w:vAlign w:val="center"/>
          </w:tcPr>
          <w:p>
            <w:pPr>
              <w:pStyle w:val="41"/>
              <w:bidi w:val="0"/>
              <w:rPr>
                <w:color w:val="auto"/>
                <w:highlight w:val="none"/>
              </w:rPr>
            </w:pPr>
            <w:r>
              <w:rPr>
                <w:rFonts w:hint="eastAsia"/>
                <w:color w:val="auto"/>
                <w:highlight w:val="none"/>
              </w:rPr>
              <w:t>826</w:t>
            </w:r>
          </w:p>
        </w:tc>
        <w:tc>
          <w:tcPr>
            <w:tcW w:w="845" w:type="pct"/>
            <w:tcBorders>
              <w:top w:val="single" w:color="auto" w:sz="6" w:space="0"/>
              <w:left w:val="single" w:color="auto" w:sz="6" w:space="0"/>
              <w:bottom w:val="single" w:color="auto" w:sz="12" w:space="0"/>
              <w:right w:val="single" w:color="auto" w:sz="6" w:space="0"/>
            </w:tcBorders>
            <w:vAlign w:val="center"/>
          </w:tcPr>
          <w:p>
            <w:pPr>
              <w:pStyle w:val="41"/>
              <w:bidi w:val="0"/>
              <w:rPr>
                <w:color w:val="auto"/>
                <w:highlight w:val="none"/>
              </w:rPr>
            </w:pPr>
            <w:r>
              <w:rPr>
                <w:rFonts w:hint="eastAsia"/>
                <w:color w:val="auto"/>
                <w:highlight w:val="none"/>
              </w:rPr>
              <w:t>4500</w:t>
            </w:r>
          </w:p>
        </w:tc>
        <w:tc>
          <w:tcPr>
            <w:tcW w:w="841" w:type="pct"/>
            <w:tcBorders>
              <w:top w:val="single" w:color="auto" w:sz="6" w:space="0"/>
              <w:left w:val="single" w:color="auto" w:sz="6" w:space="0"/>
              <w:bottom w:val="single" w:color="auto" w:sz="12" w:space="0"/>
              <w:right w:val="single" w:color="auto" w:sz="6" w:space="0"/>
            </w:tcBorders>
            <w:vAlign w:val="center"/>
          </w:tcPr>
          <w:p>
            <w:pPr>
              <w:pStyle w:val="41"/>
              <w:bidi w:val="0"/>
              <w:rPr>
                <w:color w:val="auto"/>
                <w:highlight w:val="none"/>
              </w:rPr>
            </w:pPr>
            <w:r>
              <w:rPr>
                <w:rFonts w:hint="eastAsia"/>
                <w:color w:val="auto"/>
                <w:highlight w:val="none"/>
              </w:rPr>
              <w:t>5000</w:t>
            </w:r>
          </w:p>
        </w:tc>
        <w:tc>
          <w:tcPr>
            <w:tcW w:w="842" w:type="pct"/>
            <w:tcBorders>
              <w:top w:val="single" w:color="auto" w:sz="6" w:space="0"/>
              <w:left w:val="single" w:color="auto" w:sz="6" w:space="0"/>
              <w:bottom w:val="single" w:color="auto" w:sz="12" w:space="0"/>
              <w:right w:val="single" w:color="auto" w:sz="12" w:space="0"/>
            </w:tcBorders>
          </w:tcPr>
          <w:p>
            <w:pPr>
              <w:pStyle w:val="41"/>
              <w:bidi w:val="0"/>
              <w:rPr>
                <w:color w:val="auto"/>
                <w:highlight w:val="none"/>
              </w:rPr>
            </w:pPr>
            <w:r>
              <w:rPr>
                <w:rFonts w:hint="eastAsia"/>
                <w:color w:val="auto"/>
                <w:highlight w:val="none"/>
              </w:rPr>
              <w:t>9000</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表2.4-</w:t>
      </w:r>
      <w:r>
        <w:rPr>
          <w:rFonts w:hint="eastAsia" w:cs="Times New Roman"/>
          <w:color w:val="auto"/>
          <w:highlight w:val="none"/>
          <w:lang w:val="en-US" w:eastAsia="zh-CN" w:bidi="ar"/>
        </w:rPr>
        <w:t xml:space="preserve">5 </w:t>
      </w:r>
      <w:r>
        <w:rPr>
          <w:rFonts w:hint="eastAsia" w:cs="Times New Roman"/>
          <w:color w:val="auto"/>
          <w:highlight w:val="none"/>
          <w:lang w:bidi="ar"/>
        </w:rPr>
        <w:t>《土壤环境质量 农用地土壤污染风险管控标准（试行）》</w:t>
      </w:r>
    </w:p>
    <w:bookmarkEnd w:id="154"/>
    <w:bookmarkEnd w:id="155"/>
    <w:bookmarkEnd w:id="156"/>
    <w:bookmarkEnd w:id="157"/>
    <w:bookmarkEnd w:id="158"/>
    <w:bookmarkEnd w:id="159"/>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0"/>
        <w:gridCol w:w="735"/>
        <w:gridCol w:w="883"/>
        <w:gridCol w:w="1322"/>
        <w:gridCol w:w="1909"/>
        <w:gridCol w:w="1861"/>
        <w:gridCol w:w="14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tblHeader/>
        </w:trPr>
        <w:tc>
          <w:tcPr>
            <w:tcW w:w="396" w:type="pct"/>
            <w:vMerge w:val="restart"/>
            <w:tcBorders>
              <w:tl2br w:val="nil"/>
              <w:tr2bl w:val="nil"/>
            </w:tcBorders>
            <w:vAlign w:val="center"/>
          </w:tcPr>
          <w:p>
            <w:pPr>
              <w:pStyle w:val="41"/>
              <w:bidi w:val="0"/>
              <w:rPr>
                <w:rFonts w:hint="eastAsia" w:ascii="Times New Roman" w:hAnsi="Times New Roman" w:eastAsia="宋体" w:cs="Times New Roman"/>
                <w:color w:val="auto"/>
                <w:highlight w:val="none"/>
              </w:rPr>
            </w:pPr>
            <w:bookmarkStart w:id="160" w:name="_Toc173941800"/>
            <w:r>
              <w:rPr>
                <w:rFonts w:hint="eastAsia" w:ascii="Times New Roman" w:hAnsi="Times New Roman" w:eastAsia="宋体" w:cs="Times New Roman"/>
                <w:color w:val="auto"/>
                <w:highlight w:val="none"/>
              </w:rPr>
              <w:t>序号</w:t>
            </w:r>
          </w:p>
        </w:tc>
        <w:tc>
          <w:tcPr>
            <w:tcW w:w="916" w:type="pct"/>
            <w:gridSpan w:val="2"/>
            <w:vMerge w:val="restar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污染物项目①</w:t>
            </w:r>
          </w:p>
        </w:tc>
        <w:tc>
          <w:tcPr>
            <w:tcW w:w="3688" w:type="pct"/>
            <w:gridSpan w:val="4"/>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风险筛选值（单位：mg/kg）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0" w:hRule="atLeast"/>
          <w:tblHeader/>
        </w:trPr>
        <w:tc>
          <w:tcPr>
            <w:tcW w:w="396" w:type="pct"/>
            <w:vMerge w:val="continue"/>
            <w:tcBorders>
              <w:tl2br w:val="nil"/>
              <w:tr2bl w:val="nil"/>
            </w:tcBorders>
            <w:vAlign w:val="center"/>
          </w:tcPr>
          <w:p>
            <w:pPr>
              <w:pStyle w:val="41"/>
              <w:bidi w:val="0"/>
              <w:rPr>
                <w:rFonts w:hint="eastAsia" w:ascii="Times New Roman" w:hAnsi="Times New Roman" w:eastAsia="宋体" w:cs="Times New Roman"/>
                <w:color w:val="auto"/>
                <w:highlight w:val="none"/>
              </w:rPr>
            </w:pPr>
          </w:p>
        </w:tc>
        <w:tc>
          <w:tcPr>
            <w:tcW w:w="916" w:type="pct"/>
            <w:gridSpan w:val="2"/>
            <w:vMerge w:val="continue"/>
            <w:tcBorders>
              <w:tl2br w:val="nil"/>
              <w:tr2bl w:val="nil"/>
            </w:tcBorders>
            <w:vAlign w:val="center"/>
          </w:tcPr>
          <w:p>
            <w:pPr>
              <w:pStyle w:val="41"/>
              <w:bidi w:val="0"/>
              <w:rPr>
                <w:rFonts w:hint="eastAsia" w:ascii="Times New Roman" w:hAnsi="Times New Roman" w:eastAsia="宋体" w:cs="Times New Roman"/>
                <w:color w:val="auto"/>
                <w:highlight w:val="none"/>
              </w:rPr>
            </w:pPr>
          </w:p>
        </w:tc>
        <w:tc>
          <w:tcPr>
            <w:tcW w:w="748"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pH≤5.5</w:t>
            </w:r>
          </w:p>
        </w:tc>
        <w:tc>
          <w:tcPr>
            <w:tcW w:w="1081"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5.5&lt;pH≤6.5</w:t>
            </w:r>
          </w:p>
        </w:tc>
        <w:tc>
          <w:tcPr>
            <w:tcW w:w="1053"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6.5&lt;pH≤7.5</w:t>
            </w:r>
          </w:p>
        </w:tc>
        <w:tc>
          <w:tcPr>
            <w:tcW w:w="80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pH&gt;7.5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p>
        </w:tc>
        <w:tc>
          <w:tcPr>
            <w:tcW w:w="41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镉</w:t>
            </w:r>
          </w:p>
        </w:tc>
        <w:tc>
          <w:tcPr>
            <w:tcW w:w="500"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0.3</w:t>
            </w:r>
          </w:p>
        </w:tc>
        <w:tc>
          <w:tcPr>
            <w:tcW w:w="1081"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0.3</w:t>
            </w:r>
          </w:p>
        </w:tc>
        <w:tc>
          <w:tcPr>
            <w:tcW w:w="1053"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0.3</w:t>
            </w:r>
          </w:p>
        </w:tc>
        <w:tc>
          <w:tcPr>
            <w:tcW w:w="80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w:t>
            </w:r>
          </w:p>
        </w:tc>
        <w:tc>
          <w:tcPr>
            <w:tcW w:w="41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汞</w:t>
            </w:r>
          </w:p>
        </w:tc>
        <w:tc>
          <w:tcPr>
            <w:tcW w:w="500"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1.3</w:t>
            </w:r>
          </w:p>
        </w:tc>
        <w:tc>
          <w:tcPr>
            <w:tcW w:w="1081"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1.8</w:t>
            </w:r>
          </w:p>
        </w:tc>
        <w:tc>
          <w:tcPr>
            <w:tcW w:w="1053"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2.4</w:t>
            </w:r>
          </w:p>
        </w:tc>
        <w:tc>
          <w:tcPr>
            <w:tcW w:w="80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w:t>
            </w:r>
          </w:p>
        </w:tc>
        <w:tc>
          <w:tcPr>
            <w:tcW w:w="41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砷</w:t>
            </w:r>
          </w:p>
        </w:tc>
        <w:tc>
          <w:tcPr>
            <w:tcW w:w="500"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40</w:t>
            </w:r>
          </w:p>
        </w:tc>
        <w:tc>
          <w:tcPr>
            <w:tcW w:w="1081"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40</w:t>
            </w:r>
          </w:p>
        </w:tc>
        <w:tc>
          <w:tcPr>
            <w:tcW w:w="1053"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30</w:t>
            </w:r>
          </w:p>
        </w:tc>
        <w:tc>
          <w:tcPr>
            <w:tcW w:w="80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w:t>
            </w:r>
          </w:p>
        </w:tc>
        <w:tc>
          <w:tcPr>
            <w:tcW w:w="41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铅</w:t>
            </w:r>
          </w:p>
        </w:tc>
        <w:tc>
          <w:tcPr>
            <w:tcW w:w="500"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70</w:t>
            </w:r>
          </w:p>
        </w:tc>
        <w:tc>
          <w:tcPr>
            <w:tcW w:w="1081"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90</w:t>
            </w:r>
          </w:p>
        </w:tc>
        <w:tc>
          <w:tcPr>
            <w:tcW w:w="1053"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120</w:t>
            </w:r>
          </w:p>
        </w:tc>
        <w:tc>
          <w:tcPr>
            <w:tcW w:w="80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170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w:t>
            </w:r>
          </w:p>
        </w:tc>
        <w:tc>
          <w:tcPr>
            <w:tcW w:w="41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铬</w:t>
            </w:r>
          </w:p>
        </w:tc>
        <w:tc>
          <w:tcPr>
            <w:tcW w:w="500"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150</w:t>
            </w:r>
          </w:p>
        </w:tc>
        <w:tc>
          <w:tcPr>
            <w:tcW w:w="1081"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150</w:t>
            </w:r>
          </w:p>
        </w:tc>
        <w:tc>
          <w:tcPr>
            <w:tcW w:w="1053"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200</w:t>
            </w:r>
          </w:p>
        </w:tc>
        <w:tc>
          <w:tcPr>
            <w:tcW w:w="80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w:t>
            </w:r>
          </w:p>
        </w:tc>
        <w:tc>
          <w:tcPr>
            <w:tcW w:w="41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铜</w:t>
            </w:r>
          </w:p>
        </w:tc>
        <w:tc>
          <w:tcPr>
            <w:tcW w:w="500"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其他</w:t>
            </w:r>
          </w:p>
        </w:tc>
        <w:tc>
          <w:tcPr>
            <w:tcW w:w="748"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50</w:t>
            </w:r>
          </w:p>
        </w:tc>
        <w:tc>
          <w:tcPr>
            <w:tcW w:w="1081"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50</w:t>
            </w:r>
          </w:p>
        </w:tc>
        <w:tc>
          <w:tcPr>
            <w:tcW w:w="1053"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100</w:t>
            </w:r>
          </w:p>
        </w:tc>
        <w:tc>
          <w:tcPr>
            <w:tcW w:w="80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39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w:t>
            </w:r>
          </w:p>
        </w:tc>
        <w:tc>
          <w:tcPr>
            <w:tcW w:w="916" w:type="pct"/>
            <w:gridSpan w:val="2"/>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镍</w:t>
            </w:r>
          </w:p>
        </w:tc>
        <w:tc>
          <w:tcPr>
            <w:tcW w:w="748"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60</w:t>
            </w:r>
          </w:p>
        </w:tc>
        <w:tc>
          <w:tcPr>
            <w:tcW w:w="1081"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70</w:t>
            </w:r>
          </w:p>
        </w:tc>
        <w:tc>
          <w:tcPr>
            <w:tcW w:w="1053"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100</w:t>
            </w:r>
          </w:p>
        </w:tc>
        <w:tc>
          <w:tcPr>
            <w:tcW w:w="80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39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8</w:t>
            </w:r>
          </w:p>
        </w:tc>
        <w:tc>
          <w:tcPr>
            <w:tcW w:w="916" w:type="pct"/>
            <w:gridSpan w:val="2"/>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锌</w:t>
            </w:r>
          </w:p>
        </w:tc>
        <w:tc>
          <w:tcPr>
            <w:tcW w:w="748"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200</w:t>
            </w:r>
          </w:p>
        </w:tc>
        <w:tc>
          <w:tcPr>
            <w:tcW w:w="1081"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200</w:t>
            </w:r>
          </w:p>
        </w:tc>
        <w:tc>
          <w:tcPr>
            <w:tcW w:w="1053"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250</w:t>
            </w:r>
          </w:p>
        </w:tc>
        <w:tc>
          <w:tcPr>
            <w:tcW w:w="806" w:type="pc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5000" w:type="pct"/>
            <w:gridSpan w:val="7"/>
            <w:tcBorders>
              <w:tl2br w:val="nil"/>
              <w:tr2bl w:val="nil"/>
            </w:tcBorders>
            <w:vAlign w:val="center"/>
          </w:tcPr>
          <w:p>
            <w:pPr>
              <w:pStyle w:val="41"/>
              <w:bidi w:val="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注：①重金属和类重金属均按照元素总量统计。</w:t>
            </w:r>
          </w:p>
          <w:p>
            <w:pPr>
              <w:pStyle w:val="41"/>
              <w:bidi w:val="0"/>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②对于水旱轮作物，采用其中较严格的风险筛选值。</w:t>
            </w:r>
          </w:p>
        </w:tc>
      </w:tr>
    </w:tbl>
    <w:p>
      <w:pPr>
        <w:pStyle w:val="53"/>
        <w:rPr>
          <w:color w:val="auto"/>
          <w:highlight w:val="none"/>
        </w:rPr>
      </w:pPr>
      <w:r>
        <w:rPr>
          <w:color w:val="auto"/>
          <w:highlight w:val="none"/>
        </w:rPr>
        <w:t>2.</w:t>
      </w:r>
      <w:r>
        <w:rPr>
          <w:rFonts w:hint="eastAsia"/>
          <w:color w:val="auto"/>
          <w:highlight w:val="none"/>
        </w:rPr>
        <w:t>4.3</w:t>
      </w:r>
      <w:r>
        <w:rPr>
          <w:color w:val="auto"/>
          <w:highlight w:val="none"/>
        </w:rPr>
        <w:t>污染物排放标准</w:t>
      </w:r>
      <w:bookmarkEnd w:id="160"/>
    </w:p>
    <w:p>
      <w:pPr>
        <w:pStyle w:val="57"/>
        <w:rPr>
          <w:color w:val="auto"/>
          <w:highlight w:val="none"/>
        </w:rPr>
      </w:pPr>
      <w:r>
        <w:rPr>
          <w:color w:val="auto"/>
          <w:highlight w:val="none"/>
        </w:rPr>
        <w:t>（1）废气</w:t>
      </w:r>
    </w:p>
    <w:p>
      <w:pPr>
        <w:pStyle w:val="57"/>
        <w:bidi w:val="0"/>
        <w:rPr>
          <w:color w:val="auto"/>
        </w:rPr>
      </w:pPr>
      <w:r>
        <w:rPr>
          <w:rFonts w:hint="eastAsia"/>
          <w:color w:val="auto"/>
        </w:rPr>
        <w:t>施工期颗粒物执行《大气污染物综合排放标准》（GB16297-1996）表2无组织排放监控浓度限值要求。</w:t>
      </w:r>
    </w:p>
    <w:p>
      <w:pPr>
        <w:pStyle w:val="57"/>
        <w:bidi w:val="0"/>
        <w:rPr>
          <w:color w:val="auto"/>
        </w:rPr>
      </w:pPr>
      <w:r>
        <w:rPr>
          <w:rFonts w:hint="eastAsia"/>
          <w:color w:val="auto"/>
        </w:rPr>
        <w:t>运营期井场、站场非甲烷总烃无组织排放执行《挥发性有机物无组织排放控制标准》（GB 37822-2019）；站场厂界非甲烷总烃无组织排放执行《</w:t>
      </w:r>
      <w:r>
        <w:rPr>
          <w:rFonts w:hint="eastAsia"/>
          <w:color w:val="auto"/>
          <w:lang w:eastAsia="zh-CN"/>
        </w:rPr>
        <w:t>陆上石油天然气开采工业大气污染物排放标准</w:t>
      </w:r>
      <w:r>
        <w:rPr>
          <w:rFonts w:hint="eastAsia"/>
          <w:color w:val="auto"/>
        </w:rPr>
        <w:t>》（GB39728-2020）企业边界污染物控制要求</w:t>
      </w:r>
      <w:r>
        <w:rPr>
          <w:color w:val="auto"/>
        </w:rPr>
        <w:t>。具体标准限值要求见表2.</w:t>
      </w:r>
      <w:r>
        <w:rPr>
          <w:rFonts w:hint="eastAsia"/>
          <w:color w:val="auto"/>
        </w:rPr>
        <w:t>4-</w:t>
      </w:r>
      <w:r>
        <w:rPr>
          <w:rFonts w:hint="eastAsia"/>
          <w:color w:val="auto"/>
          <w:lang w:val="en-US" w:eastAsia="zh-CN"/>
        </w:rPr>
        <w:t>6</w:t>
      </w:r>
      <w:r>
        <w:rPr>
          <w:color w:val="auto"/>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表2.4-</w:t>
      </w:r>
      <w:r>
        <w:rPr>
          <w:rFonts w:hint="eastAsia" w:cs="Times New Roman"/>
          <w:color w:val="auto"/>
          <w:highlight w:val="none"/>
          <w:lang w:val="en-US" w:eastAsia="zh-CN" w:bidi="ar"/>
        </w:rPr>
        <w:t>6</w:t>
      </w:r>
      <w:r>
        <w:rPr>
          <w:rFonts w:hint="eastAsia" w:cs="Times New Roman"/>
          <w:color w:val="auto"/>
          <w:highlight w:val="none"/>
          <w:lang w:bidi="ar"/>
        </w:rPr>
        <w:t xml:space="preserve">  大气污染物排放标准值</w:t>
      </w:r>
    </w:p>
    <w:tbl>
      <w:tblPr>
        <w:tblStyle w:val="34"/>
        <w:tblW w:w="8522" w:type="dxa"/>
        <w:tblInd w:w="113"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272"/>
        <w:gridCol w:w="1488"/>
        <w:gridCol w:w="1488"/>
        <w:gridCol w:w="2137"/>
        <w:gridCol w:w="213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12" w:space="0"/>
              <w:left w:val="single" w:color="auto" w:sz="12"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2976" w:type="dxa"/>
            <w:gridSpan w:val="2"/>
            <w:tcBorders>
              <w:top w:val="single" w:color="auto" w:sz="12" w:space="0"/>
              <w:left w:val="single" w:color="auto" w:sz="6"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最高允许排放浓度（mg/m³）</w:t>
            </w:r>
          </w:p>
        </w:tc>
        <w:tc>
          <w:tcPr>
            <w:tcW w:w="4274" w:type="dxa"/>
            <w:gridSpan w:val="2"/>
            <w:tcBorders>
              <w:top w:val="single" w:color="auto" w:sz="12" w:space="0"/>
              <w:left w:val="single" w:color="auto" w:sz="6" w:space="0"/>
              <w:bottom w:val="single" w:color="auto" w:sz="6" w:space="0"/>
              <w:right w:val="single" w:color="auto" w:sz="12"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6" w:space="0"/>
              <w:left w:val="single" w:color="auto" w:sz="12"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颗粒物</w:t>
            </w:r>
          </w:p>
        </w:tc>
        <w:tc>
          <w:tcPr>
            <w:tcW w:w="2976" w:type="dxa"/>
            <w:gridSpan w:val="2"/>
            <w:tcBorders>
              <w:top w:val="single" w:color="auto" w:sz="6" w:space="0"/>
              <w:left w:val="single" w:color="auto" w:sz="6"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4274" w:type="dxa"/>
            <w:gridSpan w:val="2"/>
            <w:tcBorders>
              <w:top w:val="single" w:color="auto" w:sz="6" w:space="0"/>
              <w:left w:val="single" w:color="auto" w:sz="6" w:space="0"/>
              <w:bottom w:val="single" w:color="auto" w:sz="6" w:space="0"/>
              <w:right w:val="single" w:color="auto" w:sz="12" w:space="0"/>
            </w:tcBorders>
            <w:vAlign w:val="center"/>
          </w:tcPr>
          <w:p>
            <w:pPr>
              <w:pStyle w:val="41"/>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《大气污染物综合排放标准》（GB16297-1996）中的新污染源无组织排放监控浓度限值</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6" w:space="0"/>
              <w:left w:val="single" w:color="auto" w:sz="12"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w:t>
            </w:r>
          </w:p>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（厂界）</w:t>
            </w:r>
          </w:p>
        </w:tc>
        <w:tc>
          <w:tcPr>
            <w:tcW w:w="2976" w:type="dxa"/>
            <w:gridSpan w:val="2"/>
            <w:tcBorders>
              <w:top w:val="single" w:color="auto" w:sz="6" w:space="0"/>
              <w:left w:val="single" w:color="auto" w:sz="6"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4274" w:type="dxa"/>
            <w:gridSpan w:val="2"/>
            <w:tcBorders>
              <w:top w:val="single" w:color="auto" w:sz="6" w:space="0"/>
              <w:left w:val="single" w:color="auto" w:sz="6" w:space="0"/>
              <w:bottom w:val="single" w:color="auto" w:sz="6" w:space="0"/>
              <w:right w:val="single" w:color="auto" w:sz="12" w:space="0"/>
            </w:tcBorders>
            <w:vAlign w:val="center"/>
          </w:tcPr>
          <w:p>
            <w:pPr>
              <w:pStyle w:val="41"/>
              <w:jc w:val="left"/>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《陆上石油天然气开采工业大气污染物排放标准》（GB39728-2020）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6" w:space="0"/>
              <w:left w:val="single" w:color="auto" w:sz="12"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污染物</w:t>
            </w:r>
          </w:p>
        </w:tc>
        <w:tc>
          <w:tcPr>
            <w:tcW w:w="1488" w:type="dxa"/>
            <w:tcBorders>
              <w:top w:val="single" w:color="auto" w:sz="6" w:space="0"/>
              <w:left w:val="single" w:color="auto" w:sz="6"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排放限值</w:t>
            </w:r>
          </w:p>
        </w:tc>
        <w:tc>
          <w:tcPr>
            <w:tcW w:w="1488" w:type="dxa"/>
            <w:tcBorders>
              <w:top w:val="single" w:color="auto" w:sz="6" w:space="0"/>
              <w:left w:val="single" w:color="auto" w:sz="6"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限值含义</w:t>
            </w:r>
          </w:p>
        </w:tc>
        <w:tc>
          <w:tcPr>
            <w:tcW w:w="2137" w:type="dxa"/>
            <w:tcBorders>
              <w:top w:val="single" w:color="auto" w:sz="6" w:space="0"/>
              <w:left w:val="single" w:color="auto" w:sz="6" w:space="0"/>
              <w:bottom w:val="single" w:color="auto" w:sz="6"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无组织排放监控位置</w:t>
            </w:r>
          </w:p>
        </w:tc>
        <w:tc>
          <w:tcPr>
            <w:tcW w:w="2137" w:type="dxa"/>
            <w:tcBorders>
              <w:top w:val="single" w:color="auto" w:sz="6" w:space="0"/>
              <w:left w:val="single" w:color="auto" w:sz="6" w:space="0"/>
              <w:bottom w:val="single" w:color="auto" w:sz="6" w:space="0"/>
              <w:right w:val="single" w:color="auto" w:sz="12"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标准来源</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39" w:hRule="atLeast"/>
        </w:trPr>
        <w:tc>
          <w:tcPr>
            <w:tcW w:w="1272" w:type="dxa"/>
            <w:tcBorders>
              <w:top w:val="single" w:color="auto" w:sz="6" w:space="0"/>
              <w:left w:val="single" w:color="auto" w:sz="12" w:space="0"/>
              <w:bottom w:val="single" w:color="auto" w:sz="12"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非甲烷总烃（厂界内）</w:t>
            </w:r>
          </w:p>
        </w:tc>
        <w:tc>
          <w:tcPr>
            <w:tcW w:w="1488" w:type="dxa"/>
            <w:tcBorders>
              <w:top w:val="single" w:color="auto" w:sz="6" w:space="0"/>
              <w:left w:val="single" w:color="auto" w:sz="6" w:space="0"/>
              <w:bottom w:val="single" w:color="auto" w:sz="12"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488" w:type="dxa"/>
            <w:tcBorders>
              <w:top w:val="single" w:color="auto" w:sz="6" w:space="0"/>
              <w:left w:val="single" w:color="auto" w:sz="6" w:space="0"/>
              <w:bottom w:val="single" w:color="auto" w:sz="12"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监控点处1h平均浓度值</w:t>
            </w:r>
          </w:p>
        </w:tc>
        <w:tc>
          <w:tcPr>
            <w:tcW w:w="2137" w:type="dxa"/>
            <w:tcBorders>
              <w:top w:val="single" w:color="auto" w:sz="6" w:space="0"/>
              <w:left w:val="single" w:color="auto" w:sz="6" w:space="0"/>
              <w:bottom w:val="single" w:color="auto" w:sz="12" w:space="0"/>
              <w:right w:val="single" w:color="auto" w:sz="6"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在厂房外设置监控点</w:t>
            </w:r>
          </w:p>
        </w:tc>
        <w:tc>
          <w:tcPr>
            <w:tcW w:w="2137" w:type="dxa"/>
            <w:tcBorders>
              <w:top w:val="single" w:color="auto" w:sz="6" w:space="0"/>
              <w:left w:val="single" w:color="auto" w:sz="6" w:space="0"/>
              <w:bottom w:val="single" w:color="auto" w:sz="12" w:space="0"/>
              <w:right w:val="single" w:color="auto" w:sz="12" w:space="0"/>
            </w:tcBorders>
            <w:vAlign w:val="center"/>
          </w:tcPr>
          <w:p>
            <w:pPr>
              <w:pStyle w:val="41"/>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《挥发性有机物无组织排放控制标准》（GB37822-2019）</w:t>
            </w:r>
          </w:p>
        </w:tc>
      </w:tr>
    </w:tbl>
    <w:p>
      <w:pPr>
        <w:pStyle w:val="57"/>
        <w:ind w:left="0" w:leftChars="0" w:firstLine="480" w:firstLineChars="200"/>
        <w:rPr>
          <w:color w:val="auto"/>
          <w:highlight w:val="none"/>
        </w:rPr>
      </w:pPr>
      <w:r>
        <w:rPr>
          <w:color w:val="auto"/>
          <w:highlight w:val="none"/>
        </w:rPr>
        <w:t>（2）废水</w:t>
      </w:r>
    </w:p>
    <w:p>
      <w:pPr>
        <w:pStyle w:val="57"/>
        <w:rPr>
          <w:color w:val="auto"/>
          <w:highlight w:val="none"/>
        </w:rPr>
      </w:pPr>
      <w:r>
        <w:rPr>
          <w:rFonts w:hint="eastAsia"/>
          <w:color w:val="auto"/>
          <w:highlight w:val="none"/>
        </w:rPr>
        <w:t>施工期生活污水由防渗生活污水池收集，定期采用吸污车拉运至</w:t>
      </w:r>
      <w:r>
        <w:rPr>
          <w:rFonts w:hint="eastAsia"/>
          <w:color w:val="auto"/>
          <w:highlight w:val="none"/>
          <w:lang w:eastAsia="zh-CN"/>
        </w:rPr>
        <w:t>乌尔禾区污水处理厂处理</w:t>
      </w:r>
      <w:r>
        <w:rPr>
          <w:rFonts w:hint="eastAsia"/>
          <w:color w:val="auto"/>
          <w:highlight w:val="none"/>
        </w:rPr>
        <w:t>。运营期工作人员由油田内部调剂，不新增工作人员，不新增生活污水。</w:t>
      </w:r>
    </w:p>
    <w:p>
      <w:pPr>
        <w:pStyle w:val="57"/>
        <w:rPr>
          <w:color w:val="auto"/>
          <w:highlight w:val="none"/>
        </w:rPr>
      </w:pPr>
      <w:r>
        <w:rPr>
          <w:color w:val="auto"/>
          <w:highlight w:val="none"/>
        </w:rPr>
        <w:t>按照《关于进一步加强石油天然气行业环境影响评价管理的通知》（环办环评函〔2019〕910号）规定：在相关行业污染</w:t>
      </w:r>
      <w:r>
        <w:rPr>
          <w:rFonts w:hint="eastAsia"/>
          <w:color w:val="auto"/>
          <w:highlight w:val="none"/>
        </w:rPr>
        <w:t>物控制</w:t>
      </w:r>
      <w:r>
        <w:rPr>
          <w:color w:val="auto"/>
          <w:highlight w:val="none"/>
        </w:rPr>
        <w:t>标准发布前，回注的开采废水应当经处理并符合</w:t>
      </w:r>
      <w:r>
        <w:rPr>
          <w:rFonts w:hint="eastAsia"/>
          <w:color w:val="auto"/>
          <w:highlight w:val="none"/>
        </w:rPr>
        <w:t>《碎屑岩油藏注水水质指标技术要求及分析方法》（SY/T5329-2022）</w:t>
      </w:r>
      <w:r>
        <w:rPr>
          <w:rFonts w:hint="eastAsia"/>
          <w:color w:val="auto"/>
          <w:highlight w:val="none"/>
          <w:lang w:eastAsia="zh-CN"/>
        </w:rPr>
        <w:t>、</w:t>
      </w:r>
      <w:bookmarkStart w:id="161" w:name="OLE_LINK141"/>
      <w:r>
        <w:rPr>
          <w:rFonts w:hint="eastAsia"/>
          <w:color w:val="auto"/>
          <w:highlight w:val="none"/>
          <w:lang w:eastAsia="zh-CN"/>
        </w:rPr>
        <w:t>《陆上油气田采出水地下注入环境保护技术规范》（SY/T7784-2024）</w:t>
      </w:r>
      <w:bookmarkEnd w:id="161"/>
      <w:r>
        <w:rPr>
          <w:color w:val="auto"/>
          <w:highlight w:val="none"/>
        </w:rPr>
        <w:t>等相关标准要求回注，同步采取切实可行措施防治污染。</w:t>
      </w:r>
    </w:p>
    <w:p>
      <w:pPr>
        <w:pStyle w:val="57"/>
        <w:rPr>
          <w:color w:val="auto"/>
          <w:highlight w:val="none"/>
        </w:rPr>
      </w:pP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w:t>
      </w:r>
      <w:r>
        <w:rPr>
          <w:rFonts w:hint="eastAsia"/>
          <w:color w:val="auto"/>
          <w:highlight w:val="none"/>
          <w:lang w:val="en-US" w:eastAsia="zh-CN"/>
        </w:rPr>
        <w:t>和</w:t>
      </w:r>
      <w:r>
        <w:rPr>
          <w:rFonts w:hint="eastAsia"/>
          <w:color w:val="auto"/>
          <w:highlight w:val="none"/>
          <w:lang w:eastAsia="zh-CN"/>
        </w:rPr>
        <w:t>《陆上油气田采出水地下注入环境保护技术规范》（SY/T7784-2024）</w:t>
      </w:r>
      <w:r>
        <w:rPr>
          <w:rFonts w:hint="eastAsia"/>
          <w:color w:val="auto"/>
          <w:highlight w:val="none"/>
        </w:rPr>
        <w:t>标准后回注地层</w:t>
      </w:r>
      <w:r>
        <w:rPr>
          <w:color w:val="auto"/>
          <w:highlight w:val="none"/>
        </w:rPr>
        <w:t>，回注水执行</w:t>
      </w:r>
      <w:r>
        <w:rPr>
          <w:rFonts w:hint="eastAsia"/>
          <w:color w:val="auto"/>
          <w:highlight w:val="none"/>
        </w:rPr>
        <w:t>《碎屑岩油藏注水水质指标技术要求及分析方法》（SY/T5329-2022）</w:t>
      </w:r>
      <w:r>
        <w:rPr>
          <w:color w:val="auto"/>
          <w:highlight w:val="none"/>
        </w:rPr>
        <w:t>中</w:t>
      </w:r>
      <w:r>
        <w:rPr>
          <w:rFonts w:hint="eastAsia"/>
          <w:color w:val="auto"/>
          <w:highlight w:val="none"/>
        </w:rPr>
        <w:t>储层</w:t>
      </w:r>
      <w:r>
        <w:rPr>
          <w:color w:val="auto"/>
          <w:highlight w:val="none"/>
        </w:rPr>
        <w:t>空气渗透率（μm</w:t>
      </w:r>
      <w:r>
        <w:rPr>
          <w:rFonts w:hint="eastAsia"/>
          <w:color w:val="auto"/>
          <w:highlight w:val="none"/>
          <w:vertAlign w:val="superscript"/>
        </w:rPr>
        <w:t>2</w:t>
      </w:r>
      <w:r>
        <w:rPr>
          <w:color w:val="auto"/>
          <w:highlight w:val="none"/>
        </w:rPr>
        <w:t>）</w:t>
      </w:r>
      <w:r>
        <w:rPr>
          <w:rFonts w:hint="eastAsia"/>
          <w:color w:val="auto"/>
          <w:highlight w:val="none"/>
        </w:rPr>
        <w:t>≥</w:t>
      </w:r>
      <w:r>
        <w:rPr>
          <w:color w:val="auto"/>
          <w:highlight w:val="none"/>
        </w:rPr>
        <w:t>2.0</w:t>
      </w:r>
      <w:r>
        <w:rPr>
          <w:rFonts w:hint="eastAsia"/>
          <w:color w:val="auto"/>
          <w:highlight w:val="none"/>
        </w:rPr>
        <w:t>的</w:t>
      </w:r>
      <w:r>
        <w:rPr>
          <w:color w:val="auto"/>
          <w:highlight w:val="none"/>
        </w:rPr>
        <w:t>标准，标准值见表2.</w:t>
      </w:r>
      <w:r>
        <w:rPr>
          <w:rFonts w:hint="eastAsia"/>
          <w:color w:val="auto"/>
          <w:highlight w:val="none"/>
        </w:rPr>
        <w:t>4-</w:t>
      </w:r>
      <w:r>
        <w:rPr>
          <w:rFonts w:hint="eastAsia"/>
          <w:color w:val="auto"/>
          <w:highlight w:val="none"/>
          <w:lang w:val="en-US" w:eastAsia="zh-CN"/>
        </w:rPr>
        <w:t>7</w:t>
      </w:r>
      <w:r>
        <w:rPr>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lang w:bidi="ar"/>
        </w:rPr>
      </w:pPr>
      <w:r>
        <w:rPr>
          <w:rFonts w:hint="eastAsia"/>
          <w:color w:val="auto"/>
          <w:highlight w:val="none"/>
          <w:lang w:bidi="ar"/>
        </w:rPr>
        <w:t>表2.4-</w:t>
      </w:r>
      <w:r>
        <w:rPr>
          <w:rFonts w:hint="eastAsia"/>
          <w:color w:val="auto"/>
          <w:highlight w:val="none"/>
          <w:lang w:val="en-US" w:eastAsia="zh-CN" w:bidi="ar"/>
        </w:rPr>
        <w:t>7</w:t>
      </w:r>
      <w:r>
        <w:rPr>
          <w:rFonts w:hint="eastAsia"/>
          <w:color w:val="auto"/>
          <w:highlight w:val="none"/>
          <w:lang w:bidi="ar"/>
        </w:rPr>
        <w:t xml:space="preserve">   回注水水质主要控制指标</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62"/>
        <w:gridCol w:w="823"/>
        <w:gridCol w:w="1465"/>
        <w:gridCol w:w="1361"/>
        <w:gridCol w:w="1258"/>
        <w:gridCol w:w="9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pPr>
              <w:pStyle w:val="41"/>
              <w:rPr>
                <w:color w:val="auto"/>
                <w:highlight w:val="none"/>
              </w:rPr>
            </w:pPr>
            <w:r>
              <w:rPr>
                <w:rFonts w:hint="eastAsia"/>
                <w:color w:val="auto"/>
                <w:highlight w:val="none"/>
              </w:rPr>
              <w:t>储层</w:t>
            </w:r>
            <w:r>
              <w:rPr>
                <w:color w:val="auto"/>
                <w:highlight w:val="none"/>
              </w:rPr>
              <w:t>空气渗透率（μm</w:t>
            </w:r>
            <w:r>
              <w:rPr>
                <w:rFonts w:hint="eastAsia"/>
                <w:color w:val="auto"/>
                <w:highlight w:val="none"/>
                <w:vertAlign w:val="superscript"/>
              </w:rPr>
              <w:t>2</w:t>
            </w:r>
            <w:r>
              <w:rPr>
                <w:color w:val="auto"/>
                <w:highlight w:val="none"/>
              </w:rPr>
              <w:t>）</w:t>
            </w:r>
          </w:p>
        </w:tc>
        <w:tc>
          <w:tcPr>
            <w:tcW w:w="823" w:type="dxa"/>
            <w:tcBorders>
              <w:tl2br w:val="nil"/>
              <w:tr2bl w:val="nil"/>
            </w:tcBorders>
            <w:vAlign w:val="center"/>
          </w:tcPr>
          <w:p>
            <w:pPr>
              <w:pStyle w:val="41"/>
              <w:rPr>
                <w:color w:val="auto"/>
                <w:highlight w:val="none"/>
              </w:rPr>
            </w:pPr>
            <w:r>
              <w:rPr>
                <w:rFonts w:hint="eastAsia"/>
                <w:color w:val="auto"/>
                <w:highlight w:val="none"/>
                <w:lang w:eastAsia="zh-CN"/>
              </w:rPr>
              <w:t>&lt;</w:t>
            </w:r>
            <w:r>
              <w:rPr>
                <w:color w:val="auto"/>
                <w:highlight w:val="none"/>
              </w:rPr>
              <w:t>0.01</w:t>
            </w:r>
          </w:p>
        </w:tc>
        <w:tc>
          <w:tcPr>
            <w:tcW w:w="1465" w:type="dxa"/>
            <w:tcBorders>
              <w:tl2br w:val="nil"/>
              <w:tr2bl w:val="nil"/>
            </w:tcBorders>
            <w:vAlign w:val="center"/>
          </w:tcPr>
          <w:p>
            <w:pPr>
              <w:pStyle w:val="41"/>
              <w:rPr>
                <w:color w:val="auto"/>
                <w:highlight w:val="none"/>
              </w:rPr>
            </w:pPr>
            <w:r>
              <w:rPr>
                <w:rFonts w:hint="eastAsia"/>
                <w:color w:val="auto"/>
                <w:highlight w:val="none"/>
              </w:rPr>
              <w:t>〔</w:t>
            </w:r>
            <w:r>
              <w:rPr>
                <w:color w:val="auto"/>
                <w:highlight w:val="none"/>
              </w:rPr>
              <w:t>0.01</w:t>
            </w:r>
            <w:r>
              <w:rPr>
                <w:rFonts w:hint="eastAsia"/>
                <w:color w:val="auto"/>
                <w:highlight w:val="none"/>
                <w:lang w:eastAsia="zh-CN"/>
              </w:rPr>
              <w:t>,</w:t>
            </w:r>
            <w:r>
              <w:rPr>
                <w:color w:val="auto"/>
                <w:highlight w:val="none"/>
              </w:rPr>
              <w:t>0.05</w:t>
            </w:r>
            <w:r>
              <w:rPr>
                <w:rFonts w:hint="eastAsia"/>
                <w:color w:val="auto"/>
                <w:highlight w:val="none"/>
              </w:rPr>
              <w:t>）</w:t>
            </w:r>
          </w:p>
        </w:tc>
        <w:tc>
          <w:tcPr>
            <w:tcW w:w="1361" w:type="dxa"/>
            <w:tcBorders>
              <w:tl2br w:val="nil"/>
              <w:tr2bl w:val="nil"/>
            </w:tcBorders>
            <w:vAlign w:val="center"/>
          </w:tcPr>
          <w:p>
            <w:pPr>
              <w:pStyle w:val="41"/>
              <w:rPr>
                <w:color w:val="auto"/>
                <w:highlight w:val="none"/>
              </w:rPr>
            </w:pPr>
            <w:r>
              <w:rPr>
                <w:rFonts w:hint="eastAsia"/>
                <w:color w:val="auto"/>
                <w:highlight w:val="none"/>
              </w:rPr>
              <w:t>〔</w:t>
            </w:r>
            <w:r>
              <w:rPr>
                <w:color w:val="auto"/>
                <w:highlight w:val="none"/>
              </w:rPr>
              <w:t>0.05</w:t>
            </w:r>
            <w:r>
              <w:rPr>
                <w:rFonts w:hint="eastAsia"/>
                <w:color w:val="auto"/>
                <w:highlight w:val="none"/>
                <w:lang w:eastAsia="zh-CN"/>
              </w:rPr>
              <w:t>,</w:t>
            </w:r>
            <w:r>
              <w:rPr>
                <w:color w:val="auto"/>
                <w:highlight w:val="none"/>
              </w:rPr>
              <w:t>0.5</w:t>
            </w:r>
            <w:r>
              <w:rPr>
                <w:rFonts w:hint="eastAsia"/>
                <w:color w:val="auto"/>
                <w:highlight w:val="none"/>
              </w:rPr>
              <w:t>）</w:t>
            </w:r>
          </w:p>
        </w:tc>
        <w:tc>
          <w:tcPr>
            <w:tcW w:w="1258" w:type="dxa"/>
            <w:tcBorders>
              <w:tl2br w:val="nil"/>
              <w:tr2bl w:val="nil"/>
            </w:tcBorders>
            <w:vAlign w:val="center"/>
          </w:tcPr>
          <w:p>
            <w:pPr>
              <w:pStyle w:val="41"/>
              <w:rPr>
                <w:color w:val="auto"/>
                <w:highlight w:val="none"/>
              </w:rPr>
            </w:pPr>
            <w:r>
              <w:rPr>
                <w:rFonts w:hint="eastAsia"/>
                <w:color w:val="auto"/>
                <w:highlight w:val="none"/>
              </w:rPr>
              <w:t>〔</w:t>
            </w:r>
            <w:r>
              <w:rPr>
                <w:color w:val="auto"/>
                <w:highlight w:val="none"/>
              </w:rPr>
              <w:t>0.5</w:t>
            </w:r>
            <w:r>
              <w:rPr>
                <w:rFonts w:hint="eastAsia"/>
                <w:color w:val="auto"/>
                <w:highlight w:val="none"/>
                <w:lang w:eastAsia="zh-CN"/>
              </w:rPr>
              <w:t>,</w:t>
            </w:r>
            <w:r>
              <w:rPr>
                <w:rFonts w:hint="eastAsia"/>
                <w:color w:val="auto"/>
                <w:highlight w:val="none"/>
              </w:rPr>
              <w:t>2</w:t>
            </w:r>
            <w:r>
              <w:rPr>
                <w:color w:val="auto"/>
                <w:highlight w:val="none"/>
              </w:rPr>
              <w:t>.0）</w:t>
            </w:r>
          </w:p>
        </w:tc>
        <w:tc>
          <w:tcPr>
            <w:tcW w:w="927" w:type="dxa"/>
            <w:tcBorders>
              <w:tl2br w:val="nil"/>
              <w:tr2bl w:val="nil"/>
            </w:tcBorders>
            <w:vAlign w:val="center"/>
          </w:tcPr>
          <w:p>
            <w:pPr>
              <w:pStyle w:val="41"/>
              <w:rPr>
                <w:color w:val="auto"/>
                <w:highlight w:val="none"/>
              </w:rPr>
            </w:pPr>
            <w:r>
              <w:rPr>
                <w:rFonts w:hint="eastAsia"/>
                <w:color w:val="auto"/>
                <w:highlight w:val="none"/>
              </w:rPr>
              <w:t>≥</w:t>
            </w:r>
            <w:r>
              <w:rPr>
                <w:color w:val="auto"/>
                <w:highlight w:val="none"/>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pPr>
              <w:pStyle w:val="41"/>
              <w:rPr>
                <w:color w:val="auto"/>
                <w:highlight w:val="none"/>
              </w:rPr>
            </w:pPr>
            <w:r>
              <w:rPr>
                <w:rFonts w:hint="eastAsia"/>
                <w:color w:val="auto"/>
                <w:highlight w:val="none"/>
              </w:rPr>
              <w:t>水质标准分级</w:t>
            </w:r>
          </w:p>
        </w:tc>
        <w:tc>
          <w:tcPr>
            <w:tcW w:w="823" w:type="dxa"/>
            <w:tcBorders>
              <w:tl2br w:val="nil"/>
              <w:tr2bl w:val="nil"/>
            </w:tcBorders>
            <w:vAlign w:val="center"/>
          </w:tcPr>
          <w:p>
            <w:pPr>
              <w:pStyle w:val="41"/>
              <w:rPr>
                <w:color w:val="auto"/>
                <w:highlight w:val="none"/>
              </w:rPr>
            </w:pPr>
            <w:r>
              <w:rPr>
                <w:rFonts w:hint="eastAsia"/>
                <w:color w:val="auto"/>
                <w:highlight w:val="none"/>
              </w:rPr>
              <w:t>I</w:t>
            </w:r>
          </w:p>
        </w:tc>
        <w:tc>
          <w:tcPr>
            <w:tcW w:w="1465" w:type="dxa"/>
            <w:tcBorders>
              <w:tl2br w:val="nil"/>
              <w:tr2bl w:val="nil"/>
            </w:tcBorders>
            <w:vAlign w:val="center"/>
          </w:tcPr>
          <w:p>
            <w:pPr>
              <w:pStyle w:val="41"/>
              <w:rPr>
                <w:color w:val="auto"/>
                <w:highlight w:val="none"/>
              </w:rPr>
            </w:pPr>
            <w:r>
              <w:rPr>
                <w:rFonts w:hint="eastAsia"/>
                <w:color w:val="auto"/>
                <w:highlight w:val="none"/>
              </w:rPr>
              <w:t>I</w:t>
            </w:r>
            <w:r>
              <w:rPr>
                <w:color w:val="auto"/>
                <w:highlight w:val="none"/>
              </w:rPr>
              <w:t>I</w:t>
            </w:r>
          </w:p>
        </w:tc>
        <w:tc>
          <w:tcPr>
            <w:tcW w:w="1361" w:type="dxa"/>
            <w:tcBorders>
              <w:tl2br w:val="nil"/>
              <w:tr2bl w:val="nil"/>
            </w:tcBorders>
            <w:vAlign w:val="center"/>
          </w:tcPr>
          <w:p>
            <w:pPr>
              <w:pStyle w:val="41"/>
              <w:rPr>
                <w:color w:val="auto"/>
                <w:highlight w:val="none"/>
              </w:rPr>
            </w:pPr>
            <w:r>
              <w:rPr>
                <w:rFonts w:hint="default" w:ascii="Times New Roman" w:hAnsi="Times New Roman" w:cs="Times New Roman"/>
                <w:color w:val="auto"/>
                <w:highlight w:val="none"/>
                <w:lang w:eastAsia="zh-CN"/>
              </w:rPr>
              <w:t>Ⅲ</w:t>
            </w:r>
          </w:p>
        </w:tc>
        <w:tc>
          <w:tcPr>
            <w:tcW w:w="1258" w:type="dxa"/>
            <w:tcBorders>
              <w:tl2br w:val="nil"/>
              <w:tr2bl w:val="nil"/>
            </w:tcBorders>
            <w:vAlign w:val="center"/>
          </w:tcPr>
          <w:p>
            <w:pPr>
              <w:pStyle w:val="41"/>
              <w:rPr>
                <w:color w:val="auto"/>
                <w:highlight w:val="none"/>
              </w:rPr>
            </w:pPr>
            <w:r>
              <w:rPr>
                <w:rFonts w:hint="eastAsia"/>
                <w:color w:val="auto"/>
                <w:highlight w:val="none"/>
              </w:rPr>
              <w:t>I</w:t>
            </w:r>
            <w:r>
              <w:rPr>
                <w:color w:val="auto"/>
                <w:highlight w:val="none"/>
              </w:rPr>
              <w:t>V</w:t>
            </w:r>
          </w:p>
        </w:tc>
        <w:tc>
          <w:tcPr>
            <w:tcW w:w="927" w:type="dxa"/>
            <w:tcBorders>
              <w:tl2br w:val="nil"/>
              <w:tr2bl w:val="nil"/>
            </w:tcBorders>
            <w:vAlign w:val="center"/>
          </w:tcPr>
          <w:p>
            <w:pPr>
              <w:pStyle w:val="41"/>
              <w:rPr>
                <w:color w:val="auto"/>
                <w:highlight w:val="none"/>
              </w:rPr>
            </w:pPr>
            <w:r>
              <w:rPr>
                <w:rFonts w:hint="eastAsia"/>
                <w:color w:val="auto"/>
                <w:highlight w:val="none"/>
              </w:rPr>
              <w:t>V</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pPr>
              <w:pStyle w:val="41"/>
              <w:rPr>
                <w:color w:val="auto"/>
                <w:highlight w:val="none"/>
              </w:rPr>
            </w:pPr>
            <w:r>
              <w:rPr>
                <w:rFonts w:hint="eastAsia"/>
                <w:color w:val="auto"/>
                <w:highlight w:val="none"/>
              </w:rPr>
              <w:t>悬浮固体含量mg</w:t>
            </w:r>
            <w:r>
              <w:rPr>
                <w:color w:val="auto"/>
                <w:highlight w:val="none"/>
              </w:rPr>
              <w:t>/L</w:t>
            </w:r>
          </w:p>
        </w:tc>
        <w:tc>
          <w:tcPr>
            <w:tcW w:w="823" w:type="dxa"/>
            <w:tcBorders>
              <w:tl2br w:val="nil"/>
              <w:tr2bl w:val="nil"/>
            </w:tcBorders>
            <w:vAlign w:val="center"/>
          </w:tcPr>
          <w:p>
            <w:pPr>
              <w:pStyle w:val="41"/>
              <w:rPr>
                <w:color w:val="auto"/>
                <w:highlight w:val="none"/>
              </w:rPr>
            </w:pPr>
            <w:r>
              <w:rPr>
                <w:rFonts w:hint="eastAsia"/>
                <w:color w:val="auto"/>
                <w:highlight w:val="none"/>
              </w:rPr>
              <w:t>≤8</w:t>
            </w:r>
            <w:r>
              <w:rPr>
                <w:color w:val="auto"/>
                <w:highlight w:val="none"/>
              </w:rPr>
              <w:t>.0</w:t>
            </w:r>
          </w:p>
        </w:tc>
        <w:tc>
          <w:tcPr>
            <w:tcW w:w="1465" w:type="dxa"/>
            <w:tcBorders>
              <w:tl2br w:val="nil"/>
              <w:tr2bl w:val="nil"/>
            </w:tcBorders>
            <w:vAlign w:val="center"/>
          </w:tcPr>
          <w:p>
            <w:pPr>
              <w:pStyle w:val="41"/>
              <w:rPr>
                <w:color w:val="auto"/>
                <w:highlight w:val="none"/>
              </w:rPr>
            </w:pPr>
            <w:r>
              <w:rPr>
                <w:rFonts w:hint="eastAsia"/>
                <w:color w:val="auto"/>
                <w:highlight w:val="none"/>
              </w:rPr>
              <w:t>≤1</w:t>
            </w:r>
            <w:r>
              <w:rPr>
                <w:color w:val="auto"/>
                <w:highlight w:val="none"/>
              </w:rPr>
              <w:t>5.0</w:t>
            </w:r>
          </w:p>
        </w:tc>
        <w:tc>
          <w:tcPr>
            <w:tcW w:w="1361" w:type="dxa"/>
            <w:tcBorders>
              <w:tl2br w:val="nil"/>
              <w:tr2bl w:val="nil"/>
            </w:tcBorders>
            <w:vAlign w:val="center"/>
          </w:tcPr>
          <w:p>
            <w:pPr>
              <w:pStyle w:val="41"/>
              <w:rPr>
                <w:color w:val="auto"/>
                <w:highlight w:val="none"/>
              </w:rPr>
            </w:pPr>
            <w:r>
              <w:rPr>
                <w:rFonts w:hint="eastAsia"/>
                <w:color w:val="auto"/>
                <w:highlight w:val="none"/>
              </w:rPr>
              <w:t>≤2</w:t>
            </w:r>
            <w:r>
              <w:rPr>
                <w:color w:val="auto"/>
                <w:highlight w:val="none"/>
              </w:rPr>
              <w:t>0.0</w:t>
            </w:r>
          </w:p>
        </w:tc>
        <w:tc>
          <w:tcPr>
            <w:tcW w:w="1258" w:type="dxa"/>
            <w:tcBorders>
              <w:tl2br w:val="nil"/>
              <w:tr2bl w:val="nil"/>
            </w:tcBorders>
            <w:vAlign w:val="center"/>
          </w:tcPr>
          <w:p>
            <w:pPr>
              <w:pStyle w:val="41"/>
              <w:rPr>
                <w:color w:val="auto"/>
                <w:highlight w:val="none"/>
              </w:rPr>
            </w:pPr>
            <w:r>
              <w:rPr>
                <w:rFonts w:hint="eastAsia"/>
                <w:color w:val="auto"/>
                <w:highlight w:val="none"/>
              </w:rPr>
              <w:t>≤2</w:t>
            </w:r>
            <w:r>
              <w:rPr>
                <w:color w:val="auto"/>
                <w:highlight w:val="none"/>
              </w:rPr>
              <w:t>5.0</w:t>
            </w:r>
          </w:p>
        </w:tc>
        <w:tc>
          <w:tcPr>
            <w:tcW w:w="927" w:type="dxa"/>
            <w:tcBorders>
              <w:tl2br w:val="nil"/>
              <w:tr2bl w:val="nil"/>
            </w:tcBorders>
            <w:vAlign w:val="center"/>
          </w:tcPr>
          <w:p>
            <w:pPr>
              <w:pStyle w:val="41"/>
              <w:rPr>
                <w:color w:val="auto"/>
                <w:highlight w:val="none"/>
              </w:rPr>
            </w:pPr>
            <w:r>
              <w:rPr>
                <w:rFonts w:hint="eastAsia"/>
                <w:color w:val="auto"/>
                <w:highlight w:val="none"/>
              </w:rPr>
              <w:t>≤3</w:t>
            </w:r>
            <w:r>
              <w:rPr>
                <w:color w:val="auto"/>
                <w:highlight w:val="none"/>
              </w:rPr>
              <w:t>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pPr>
              <w:pStyle w:val="41"/>
              <w:rPr>
                <w:color w:val="auto"/>
                <w:highlight w:val="none"/>
              </w:rPr>
            </w:pPr>
            <w:r>
              <w:rPr>
                <w:rFonts w:hint="eastAsia"/>
                <w:color w:val="auto"/>
                <w:highlight w:val="none"/>
              </w:rPr>
              <w:t>悬浮物颗粒直径中值</w:t>
            </w:r>
          </w:p>
        </w:tc>
        <w:tc>
          <w:tcPr>
            <w:tcW w:w="823" w:type="dxa"/>
            <w:tcBorders>
              <w:tl2br w:val="nil"/>
              <w:tr2bl w:val="nil"/>
            </w:tcBorders>
            <w:vAlign w:val="center"/>
          </w:tcPr>
          <w:p>
            <w:pPr>
              <w:pStyle w:val="41"/>
              <w:rPr>
                <w:color w:val="auto"/>
                <w:highlight w:val="none"/>
              </w:rPr>
            </w:pPr>
            <w:r>
              <w:rPr>
                <w:rFonts w:hint="eastAsia"/>
                <w:color w:val="auto"/>
                <w:highlight w:val="none"/>
              </w:rPr>
              <w:t>≤3</w:t>
            </w:r>
            <w:r>
              <w:rPr>
                <w:color w:val="auto"/>
                <w:highlight w:val="none"/>
              </w:rPr>
              <w:t>.0</w:t>
            </w:r>
          </w:p>
        </w:tc>
        <w:tc>
          <w:tcPr>
            <w:tcW w:w="1465" w:type="dxa"/>
            <w:tcBorders>
              <w:tl2br w:val="nil"/>
              <w:tr2bl w:val="nil"/>
            </w:tcBorders>
            <w:vAlign w:val="center"/>
          </w:tcPr>
          <w:p>
            <w:pPr>
              <w:pStyle w:val="41"/>
              <w:rPr>
                <w:color w:val="auto"/>
                <w:highlight w:val="none"/>
              </w:rPr>
            </w:pPr>
            <w:r>
              <w:rPr>
                <w:rFonts w:hint="eastAsia"/>
                <w:color w:val="auto"/>
                <w:highlight w:val="none"/>
              </w:rPr>
              <w:t>≤5</w:t>
            </w:r>
            <w:r>
              <w:rPr>
                <w:color w:val="auto"/>
                <w:highlight w:val="none"/>
              </w:rPr>
              <w:t>.0</w:t>
            </w:r>
          </w:p>
        </w:tc>
        <w:tc>
          <w:tcPr>
            <w:tcW w:w="1361" w:type="dxa"/>
            <w:tcBorders>
              <w:tl2br w:val="nil"/>
              <w:tr2bl w:val="nil"/>
            </w:tcBorders>
            <w:vAlign w:val="center"/>
          </w:tcPr>
          <w:p>
            <w:pPr>
              <w:pStyle w:val="41"/>
              <w:rPr>
                <w:color w:val="auto"/>
                <w:highlight w:val="none"/>
              </w:rPr>
            </w:pPr>
            <w:r>
              <w:rPr>
                <w:rFonts w:hint="eastAsia"/>
                <w:color w:val="auto"/>
                <w:highlight w:val="none"/>
              </w:rPr>
              <w:t>≤5</w:t>
            </w:r>
            <w:r>
              <w:rPr>
                <w:color w:val="auto"/>
                <w:highlight w:val="none"/>
              </w:rPr>
              <w:t>.0</w:t>
            </w:r>
          </w:p>
        </w:tc>
        <w:tc>
          <w:tcPr>
            <w:tcW w:w="1258" w:type="dxa"/>
            <w:tcBorders>
              <w:tl2br w:val="nil"/>
              <w:tr2bl w:val="nil"/>
            </w:tcBorders>
            <w:vAlign w:val="center"/>
          </w:tcPr>
          <w:p>
            <w:pPr>
              <w:pStyle w:val="41"/>
              <w:rPr>
                <w:color w:val="auto"/>
                <w:highlight w:val="none"/>
              </w:rPr>
            </w:pPr>
            <w:r>
              <w:rPr>
                <w:rFonts w:hint="eastAsia"/>
                <w:color w:val="auto"/>
                <w:highlight w:val="none"/>
              </w:rPr>
              <w:t>≤5</w:t>
            </w:r>
            <w:r>
              <w:rPr>
                <w:color w:val="auto"/>
                <w:highlight w:val="none"/>
              </w:rPr>
              <w:t>.0</w:t>
            </w:r>
          </w:p>
        </w:tc>
        <w:tc>
          <w:tcPr>
            <w:tcW w:w="927" w:type="dxa"/>
            <w:tcBorders>
              <w:tl2br w:val="nil"/>
              <w:tr2bl w:val="nil"/>
            </w:tcBorders>
            <w:vAlign w:val="center"/>
          </w:tcPr>
          <w:p>
            <w:pPr>
              <w:pStyle w:val="41"/>
              <w:rPr>
                <w:color w:val="auto"/>
                <w:highlight w:val="none"/>
              </w:rPr>
            </w:pPr>
            <w:r>
              <w:rPr>
                <w:rFonts w:hint="eastAsia"/>
                <w:color w:val="auto"/>
                <w:highlight w:val="none"/>
              </w:rPr>
              <w:t>≤5</w:t>
            </w:r>
            <w:r>
              <w:rPr>
                <w:color w:val="auto"/>
                <w:highlight w:val="none"/>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pPr>
              <w:pStyle w:val="41"/>
              <w:rPr>
                <w:color w:val="auto"/>
                <w:highlight w:val="none"/>
              </w:rPr>
            </w:pPr>
            <w:r>
              <w:rPr>
                <w:rFonts w:hint="eastAsia"/>
                <w:color w:val="auto"/>
                <w:highlight w:val="none"/>
              </w:rPr>
              <w:t>含油量mg</w:t>
            </w:r>
            <w:r>
              <w:rPr>
                <w:color w:val="auto"/>
                <w:highlight w:val="none"/>
              </w:rPr>
              <w:t>/L</w:t>
            </w:r>
          </w:p>
        </w:tc>
        <w:tc>
          <w:tcPr>
            <w:tcW w:w="823" w:type="dxa"/>
            <w:tcBorders>
              <w:tl2br w:val="nil"/>
              <w:tr2bl w:val="nil"/>
            </w:tcBorders>
            <w:vAlign w:val="center"/>
          </w:tcPr>
          <w:p>
            <w:pPr>
              <w:pStyle w:val="41"/>
              <w:rPr>
                <w:color w:val="auto"/>
                <w:highlight w:val="none"/>
              </w:rPr>
            </w:pPr>
            <w:r>
              <w:rPr>
                <w:rFonts w:hint="eastAsia"/>
                <w:color w:val="auto"/>
                <w:highlight w:val="none"/>
              </w:rPr>
              <w:t>≤5</w:t>
            </w:r>
            <w:r>
              <w:rPr>
                <w:color w:val="auto"/>
                <w:highlight w:val="none"/>
              </w:rPr>
              <w:t>.0</w:t>
            </w:r>
          </w:p>
        </w:tc>
        <w:tc>
          <w:tcPr>
            <w:tcW w:w="1465" w:type="dxa"/>
            <w:tcBorders>
              <w:tl2br w:val="nil"/>
              <w:tr2bl w:val="nil"/>
            </w:tcBorders>
            <w:vAlign w:val="center"/>
          </w:tcPr>
          <w:p>
            <w:pPr>
              <w:pStyle w:val="41"/>
              <w:rPr>
                <w:color w:val="auto"/>
                <w:highlight w:val="none"/>
              </w:rPr>
            </w:pPr>
            <w:r>
              <w:rPr>
                <w:rFonts w:hint="eastAsia"/>
                <w:color w:val="auto"/>
                <w:highlight w:val="none"/>
              </w:rPr>
              <w:t>≤1</w:t>
            </w:r>
            <w:r>
              <w:rPr>
                <w:color w:val="auto"/>
                <w:highlight w:val="none"/>
              </w:rPr>
              <w:t>0.0</w:t>
            </w:r>
          </w:p>
        </w:tc>
        <w:tc>
          <w:tcPr>
            <w:tcW w:w="1361" w:type="dxa"/>
            <w:tcBorders>
              <w:tl2br w:val="nil"/>
              <w:tr2bl w:val="nil"/>
            </w:tcBorders>
            <w:vAlign w:val="center"/>
          </w:tcPr>
          <w:p>
            <w:pPr>
              <w:pStyle w:val="41"/>
              <w:rPr>
                <w:color w:val="auto"/>
                <w:highlight w:val="none"/>
              </w:rPr>
            </w:pPr>
            <w:r>
              <w:rPr>
                <w:rFonts w:hint="eastAsia"/>
                <w:color w:val="auto"/>
                <w:highlight w:val="none"/>
              </w:rPr>
              <w:t>≤1</w:t>
            </w:r>
            <w:r>
              <w:rPr>
                <w:color w:val="auto"/>
                <w:highlight w:val="none"/>
              </w:rPr>
              <w:t>5.0</w:t>
            </w:r>
          </w:p>
        </w:tc>
        <w:tc>
          <w:tcPr>
            <w:tcW w:w="1258" w:type="dxa"/>
            <w:tcBorders>
              <w:tl2br w:val="nil"/>
              <w:tr2bl w:val="nil"/>
            </w:tcBorders>
            <w:vAlign w:val="center"/>
          </w:tcPr>
          <w:p>
            <w:pPr>
              <w:pStyle w:val="41"/>
              <w:rPr>
                <w:color w:val="auto"/>
                <w:highlight w:val="none"/>
              </w:rPr>
            </w:pPr>
            <w:r>
              <w:rPr>
                <w:rFonts w:hint="eastAsia"/>
                <w:color w:val="auto"/>
                <w:highlight w:val="none"/>
              </w:rPr>
              <w:t>≤3</w:t>
            </w:r>
            <w:r>
              <w:rPr>
                <w:color w:val="auto"/>
                <w:highlight w:val="none"/>
              </w:rPr>
              <w:t>0.0</w:t>
            </w:r>
          </w:p>
        </w:tc>
        <w:tc>
          <w:tcPr>
            <w:tcW w:w="927" w:type="dxa"/>
            <w:tcBorders>
              <w:tl2br w:val="nil"/>
              <w:tr2bl w:val="nil"/>
            </w:tcBorders>
            <w:vAlign w:val="center"/>
          </w:tcPr>
          <w:p>
            <w:pPr>
              <w:pStyle w:val="41"/>
              <w:rPr>
                <w:color w:val="auto"/>
                <w:highlight w:val="none"/>
              </w:rPr>
            </w:pPr>
            <w:r>
              <w:rPr>
                <w:rFonts w:hint="eastAsia"/>
                <w:color w:val="auto"/>
                <w:highlight w:val="none"/>
              </w:rPr>
              <w:t>≤1</w:t>
            </w:r>
            <w:r>
              <w:rPr>
                <w:color w:val="auto"/>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62" w:type="dxa"/>
            <w:tcBorders>
              <w:tl2br w:val="nil"/>
              <w:tr2bl w:val="nil"/>
            </w:tcBorders>
            <w:vAlign w:val="center"/>
          </w:tcPr>
          <w:p>
            <w:pPr>
              <w:pStyle w:val="41"/>
              <w:rPr>
                <w:color w:val="auto"/>
                <w:highlight w:val="none"/>
              </w:rPr>
            </w:pPr>
            <w:r>
              <w:rPr>
                <w:color w:val="auto"/>
                <w:highlight w:val="none"/>
              </w:rPr>
              <w:t>平均腐蚀率mm/a</w:t>
            </w:r>
          </w:p>
        </w:tc>
        <w:tc>
          <w:tcPr>
            <w:tcW w:w="5834" w:type="dxa"/>
            <w:gridSpan w:val="5"/>
            <w:tcBorders>
              <w:tl2br w:val="nil"/>
              <w:tr2bl w:val="nil"/>
            </w:tcBorders>
            <w:vAlign w:val="center"/>
          </w:tcPr>
          <w:p>
            <w:pPr>
              <w:pStyle w:val="41"/>
              <w:rPr>
                <w:color w:val="auto"/>
                <w:highlight w:val="none"/>
              </w:rPr>
            </w:pPr>
            <w:r>
              <w:rPr>
                <w:rFonts w:hint="eastAsia"/>
                <w:color w:val="auto"/>
                <w:highlight w:val="none"/>
              </w:rPr>
              <w:t>≤</w:t>
            </w:r>
            <w:r>
              <w:rPr>
                <w:color w:val="auto"/>
                <w:highlight w:val="none"/>
              </w:rPr>
              <w:t>0.076</w:t>
            </w:r>
          </w:p>
        </w:tc>
      </w:tr>
    </w:tbl>
    <w:p>
      <w:pPr>
        <w:pStyle w:val="57"/>
        <w:rPr>
          <w:color w:val="auto"/>
          <w:highlight w:val="none"/>
        </w:rPr>
      </w:pPr>
      <w:r>
        <w:rPr>
          <w:color w:val="auto"/>
          <w:highlight w:val="none"/>
        </w:rPr>
        <w:t>（3）噪声</w:t>
      </w:r>
    </w:p>
    <w:p>
      <w:pPr>
        <w:pStyle w:val="57"/>
        <w:rPr>
          <w:color w:val="auto"/>
          <w:highlight w:val="none"/>
        </w:rPr>
      </w:pPr>
      <w:r>
        <w:rPr>
          <w:color w:val="auto"/>
          <w:highlight w:val="none"/>
        </w:rPr>
        <w:t>施工期采用《建筑施工场界环境噪声排放标准》（GB12523-2011）（即昼间70dB（A），夜间55dB；</w:t>
      </w:r>
    </w:p>
    <w:p>
      <w:pPr>
        <w:pStyle w:val="57"/>
        <w:rPr>
          <w:color w:val="auto"/>
          <w:highlight w:val="none"/>
        </w:rPr>
      </w:pPr>
      <w:r>
        <w:rPr>
          <w:color w:val="auto"/>
          <w:highlight w:val="none"/>
        </w:rPr>
        <w:t>运营期采用《工业企业厂界环境噪声排放标准》（GB12348-2008）中2类标准即昼间60dB（A），夜间50dB（A）。</w:t>
      </w:r>
    </w:p>
    <w:p>
      <w:pPr>
        <w:pStyle w:val="57"/>
        <w:rPr>
          <w:color w:val="auto"/>
          <w:highlight w:val="none"/>
        </w:rPr>
      </w:pPr>
      <w:r>
        <w:rPr>
          <w:color w:val="auto"/>
          <w:highlight w:val="none"/>
        </w:rPr>
        <w:t>（4）固体废物</w:t>
      </w:r>
    </w:p>
    <w:p>
      <w:pPr>
        <w:pStyle w:val="57"/>
        <w:rPr>
          <w:color w:val="auto"/>
          <w:highlight w:val="none"/>
        </w:rPr>
      </w:pPr>
      <w:r>
        <w:rPr>
          <w:rFonts w:hint="default" w:ascii="Times New Roman" w:hAnsi="Times New Roman" w:cs="Times New Roman"/>
          <w:color w:val="auto"/>
          <w:kern w:val="24"/>
          <w:sz w:val="24"/>
          <w:szCs w:val="24"/>
          <w:highlight w:val="none"/>
          <w:shd w:val="clear" w:color="auto" w:fill="auto"/>
        </w:rPr>
        <w:t>本工程新钻井井身结构为</w:t>
      </w:r>
      <w:r>
        <w:rPr>
          <w:rFonts w:hint="eastAsia" w:cs="Times New Roman"/>
          <w:color w:val="auto"/>
          <w:kern w:val="24"/>
          <w:sz w:val="24"/>
          <w:szCs w:val="24"/>
          <w:highlight w:val="none"/>
          <w:shd w:val="clear" w:color="auto" w:fill="auto"/>
          <w:lang w:val="en-US" w:eastAsia="zh-CN"/>
        </w:rPr>
        <w:t>三</w:t>
      </w:r>
      <w:r>
        <w:rPr>
          <w:rFonts w:hint="default" w:ascii="Times New Roman" w:hAnsi="Times New Roman" w:cs="Times New Roman"/>
          <w:color w:val="auto"/>
          <w:kern w:val="24"/>
          <w:sz w:val="24"/>
          <w:szCs w:val="24"/>
          <w:highlight w:val="none"/>
          <w:shd w:val="clear" w:color="auto" w:fill="auto"/>
        </w:rPr>
        <w:t>开，采用</w:t>
      </w:r>
      <w:r>
        <w:rPr>
          <w:rFonts w:hint="eastAsia" w:ascii="Times New Roman" w:hAnsi="Times New Roman" w:cs="Times New Roman"/>
          <w:color w:val="auto"/>
          <w:kern w:val="24"/>
          <w:sz w:val="24"/>
          <w:szCs w:val="24"/>
          <w:highlight w:val="none"/>
          <w:shd w:val="clear" w:color="auto" w:fill="auto"/>
          <w:lang w:val="en-US" w:eastAsia="zh-CN"/>
        </w:rPr>
        <w:t>非磺化</w:t>
      </w:r>
      <w:r>
        <w:rPr>
          <w:rFonts w:hint="default" w:ascii="Times New Roman" w:hAnsi="Times New Roman" w:cs="Times New Roman"/>
          <w:color w:val="auto"/>
          <w:kern w:val="24"/>
          <w:sz w:val="24"/>
          <w:szCs w:val="24"/>
          <w:highlight w:val="none"/>
          <w:shd w:val="clear" w:color="auto" w:fill="auto"/>
        </w:rPr>
        <w:t>泥浆。</w:t>
      </w:r>
      <w:r>
        <w:rPr>
          <w:rFonts w:hint="eastAsia" w:ascii="Times New Roman" w:hAnsi="Times New Roman" w:cs="Times New Roman"/>
          <w:color w:val="auto"/>
          <w:kern w:val="24"/>
          <w:sz w:val="24"/>
          <w:szCs w:val="24"/>
          <w:highlight w:val="none"/>
          <w:shd w:val="clear" w:color="auto" w:fill="auto"/>
          <w:lang w:val="en-US" w:eastAsia="zh-CN"/>
        </w:rPr>
        <w:t>本工程</w:t>
      </w:r>
      <w:r>
        <w:rPr>
          <w:rFonts w:hint="eastAsia"/>
          <w:color w:val="auto"/>
          <w:spacing w:val="-6"/>
          <w:sz w:val="24"/>
          <w:highlight w:val="none"/>
          <w:shd w:val="clear" w:color="auto" w:fill="auto"/>
          <w:lang w:val="en-US" w:eastAsia="zh-CN"/>
        </w:rPr>
        <w:t>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r>
        <w:rPr>
          <w:rFonts w:hint="eastAsia"/>
          <w:bCs/>
          <w:snapToGrid w:val="0"/>
          <w:color w:val="auto"/>
          <w:sz w:val="24"/>
          <w:szCs w:val="22"/>
          <w:highlight w:val="none"/>
          <w:shd w:val="clear" w:color="auto" w:fill="auto"/>
          <w:lang w:val="zh-CN"/>
        </w:rPr>
        <w:t>。</w:t>
      </w:r>
    </w:p>
    <w:p>
      <w:pPr>
        <w:pStyle w:val="57"/>
        <w:rPr>
          <w:rFonts w:hint="default" w:ascii="Times New Roman" w:hAnsi="Times New Roman" w:eastAsia="宋体" w:cs="Times New Roman"/>
          <w:color w:val="auto"/>
          <w:sz w:val="24"/>
          <w:szCs w:val="24"/>
          <w:highlight w:val="none"/>
          <w:shd w:val="clear" w:color="auto" w:fill="auto"/>
          <w:lang w:val="en-US" w:eastAsia="zh-CN"/>
        </w:rPr>
      </w:pPr>
      <w:r>
        <w:rPr>
          <w:color w:val="auto"/>
          <w:highlight w:val="none"/>
        </w:rPr>
        <w:t>根据项目产生的各种固体废物的性质和去向，</w:t>
      </w:r>
      <w:r>
        <w:rPr>
          <w:rFonts w:hint="eastAsia"/>
          <w:color w:val="auto"/>
          <w:highlight w:val="none"/>
          <w:lang w:val="en-US" w:eastAsia="zh-CN"/>
        </w:rPr>
        <w:t>生</w:t>
      </w:r>
      <w:r>
        <w:rPr>
          <w:rFonts w:hint="eastAsia"/>
          <w:color w:val="auto"/>
          <w:highlight w:val="none"/>
        </w:rPr>
        <w:t>活垃圾执行《</w:t>
      </w:r>
      <w:r>
        <w:rPr>
          <w:rFonts w:hint="eastAsia"/>
          <w:color w:val="auto"/>
          <w:highlight w:val="none"/>
          <w:lang w:eastAsia="zh-CN"/>
        </w:rPr>
        <w:t>生活垃圾填埋场污染控制标准</w:t>
      </w:r>
      <w:r>
        <w:rPr>
          <w:rFonts w:hint="eastAsia"/>
          <w:color w:val="auto"/>
          <w:highlight w:val="none"/>
        </w:rPr>
        <w:t>》（GB16889-20</w:t>
      </w:r>
      <w:r>
        <w:rPr>
          <w:color w:val="auto"/>
          <w:highlight w:val="none"/>
        </w:rPr>
        <w:t>24</w:t>
      </w:r>
      <w:r>
        <w:rPr>
          <w:rFonts w:hint="eastAsia"/>
          <w:color w:val="auto"/>
          <w:highlight w:val="none"/>
        </w:rPr>
        <w:t>）；</w:t>
      </w:r>
      <w:r>
        <w:rPr>
          <w:color w:val="auto"/>
          <w:highlight w:val="none"/>
        </w:rPr>
        <w:t>一般工业固体废物贮存执行《一般工业固体废物贮存和填埋污染控制标准》（GB 18599-2020）；</w:t>
      </w:r>
      <w:r>
        <w:rPr>
          <w:rFonts w:hint="default" w:ascii="Times New Roman" w:hAnsi="Times New Roman" w:cs="Times New Roman"/>
          <w:color w:val="auto"/>
          <w:kern w:val="24"/>
          <w:sz w:val="24"/>
          <w:szCs w:val="24"/>
          <w:highlight w:val="none"/>
          <w:shd w:val="clear" w:color="auto" w:fill="auto"/>
        </w:rPr>
        <w:t>钻井岩屑执行《油气田钻井固体废物综合利用污染控制要求》（DB65/T 3997-2017）要求</w:t>
      </w:r>
      <w:r>
        <w:rPr>
          <w:rFonts w:hint="default" w:ascii="Times New Roman" w:hAnsi="Times New Roman" w:eastAsia="宋体" w:cs="Times New Roman"/>
          <w:color w:val="auto"/>
          <w:sz w:val="24"/>
          <w:szCs w:val="24"/>
          <w:highlight w:val="none"/>
          <w:shd w:val="clear" w:color="auto" w:fill="auto"/>
          <w:lang w:val="en-US" w:eastAsia="zh-CN"/>
        </w:rPr>
        <w:t>。</w:t>
      </w:r>
    </w:p>
    <w:p>
      <w:pPr>
        <w:pStyle w:val="57"/>
        <w:rPr>
          <w:color w:val="auto"/>
          <w:highlight w:val="none"/>
        </w:rPr>
      </w:pPr>
      <w:r>
        <w:rPr>
          <w:rFonts w:hint="default" w:ascii="Times New Roman" w:hAnsi="Times New Roman" w:eastAsia="宋体" w:cs="Times New Roman"/>
          <w:color w:val="auto"/>
          <w:sz w:val="24"/>
          <w:szCs w:val="24"/>
          <w:highlight w:val="none"/>
          <w:shd w:val="clear" w:color="auto" w:fill="auto"/>
          <w:lang w:val="en-US" w:eastAsia="zh-CN"/>
        </w:rPr>
        <w:t>危险废物鉴别执行</w:t>
      </w:r>
      <w:r>
        <w:rPr>
          <w:rFonts w:hint="default" w:ascii="Times New Roman" w:hAnsi="Times New Roman" w:eastAsia="宋体" w:cs="Times New Roman"/>
          <w:color w:val="auto"/>
          <w:spacing w:val="-6"/>
          <w:sz w:val="24"/>
          <w:szCs w:val="24"/>
          <w:highlight w:val="none"/>
          <w:shd w:val="clear" w:color="auto" w:fill="auto"/>
          <w:lang w:val="en-US" w:eastAsia="zh-CN"/>
        </w:rPr>
        <w:t>《危险废物鉴别标准》</w:t>
      </w:r>
      <w:r>
        <w:rPr>
          <w:rFonts w:hint="eastAsia" w:cs="Times New Roman"/>
          <w:color w:val="auto"/>
          <w:spacing w:val="-6"/>
          <w:sz w:val="24"/>
          <w:szCs w:val="24"/>
          <w:highlight w:val="none"/>
          <w:shd w:val="clear" w:color="auto" w:fill="auto"/>
          <w:lang w:val="en-US" w:eastAsia="zh-CN"/>
        </w:rPr>
        <w:t>（</w:t>
      </w:r>
      <w:r>
        <w:rPr>
          <w:rFonts w:hint="default" w:ascii="Times New Roman" w:hAnsi="Times New Roman" w:eastAsia="宋体" w:cs="Times New Roman"/>
          <w:color w:val="auto"/>
          <w:spacing w:val="-6"/>
          <w:sz w:val="24"/>
          <w:szCs w:val="24"/>
          <w:highlight w:val="none"/>
          <w:shd w:val="clear" w:color="auto" w:fill="auto"/>
          <w:lang w:val="en-US" w:eastAsia="zh-CN"/>
        </w:rPr>
        <w:t>GB5085.1～7</w:t>
      </w:r>
      <w:r>
        <w:rPr>
          <w:rFonts w:hint="eastAsia" w:cs="Times New Roman"/>
          <w:color w:val="auto"/>
          <w:spacing w:val="-6"/>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，危险废物的贮存执行《危险废物贮存污染控制标准》（GB18597-2023）、危险废物的转移依照《危险废物转移管理办法》及</w:t>
      </w:r>
      <w:r>
        <w:rPr>
          <w:rFonts w:hint="default" w:ascii="Times New Roman" w:hAnsi="Times New Roman" w:eastAsia="宋体" w:cs="Times New Roman"/>
          <w:color w:val="auto"/>
          <w:spacing w:val="-6"/>
          <w:sz w:val="24"/>
          <w:szCs w:val="24"/>
          <w:highlight w:val="none"/>
          <w:shd w:val="clear" w:color="auto" w:fill="auto"/>
          <w:lang w:val="en-US" w:eastAsia="zh-CN"/>
        </w:rPr>
        <w:t>《危险废物收集贮存运输技术规范》（HJ2025-2012）</w:t>
      </w:r>
      <w:r>
        <w:rPr>
          <w:rFonts w:hint="default" w:ascii="Times New Roman" w:hAnsi="Times New Roman" w:eastAsia="宋体" w:cs="Times New Roman"/>
          <w:color w:val="auto"/>
          <w:sz w:val="24"/>
          <w:szCs w:val="24"/>
          <w:highlight w:val="none"/>
          <w:shd w:val="clear" w:color="auto" w:fill="auto"/>
          <w:lang w:val="en-US" w:eastAsia="zh-CN"/>
        </w:rPr>
        <w:t>进行监督和管理。含油污泥满足《陆上石油天然气开采含油污泥资源化综合利用及污染控制技术要求》（SY/T7301-2016）相关要求及《关于含油污泥处置有关事宜的通知》（新环办发〔2018〕20号）、《危险废物环境管理指南 陆上石油天然气开采》（生态环境部公告2021年第74号）要求</w:t>
      </w:r>
      <w:r>
        <w:rPr>
          <w:color w:val="auto"/>
          <w:highlight w:val="none"/>
        </w:rPr>
        <w:t>。</w:t>
      </w:r>
    </w:p>
    <w:p>
      <w:pPr>
        <w:pStyle w:val="57"/>
        <w:rPr>
          <w:color w:val="auto"/>
          <w:highlight w:val="none"/>
        </w:rPr>
      </w:pPr>
      <w:r>
        <w:rPr>
          <w:color w:val="auto"/>
          <w:highlight w:val="none"/>
        </w:rPr>
        <w:t>（5）重大危险源识别标准</w:t>
      </w:r>
    </w:p>
    <w:p>
      <w:pPr>
        <w:pStyle w:val="57"/>
        <w:rPr>
          <w:color w:val="auto"/>
          <w:highlight w:val="none"/>
        </w:rPr>
      </w:pPr>
      <w:r>
        <w:rPr>
          <w:rFonts w:hint="eastAsia"/>
          <w:color w:val="auto"/>
          <w:highlight w:val="none"/>
        </w:rPr>
        <w:t>本工程</w:t>
      </w:r>
      <w:r>
        <w:rPr>
          <w:color w:val="auto"/>
          <w:highlight w:val="none"/>
        </w:rPr>
        <w:t>涉及危险物质主要是天然气</w:t>
      </w:r>
      <w:r>
        <w:rPr>
          <w:rFonts w:hint="eastAsia"/>
          <w:color w:val="auto"/>
          <w:highlight w:val="none"/>
        </w:rPr>
        <w:t>、</w:t>
      </w:r>
      <w:r>
        <w:rPr>
          <w:rFonts w:hint="eastAsia"/>
          <w:color w:val="auto"/>
          <w:highlight w:val="none"/>
          <w:lang w:val="en-US" w:eastAsia="zh-CN"/>
        </w:rPr>
        <w:t>原油</w:t>
      </w:r>
      <w:r>
        <w:rPr>
          <w:color w:val="auto"/>
          <w:highlight w:val="none"/>
        </w:rPr>
        <w:t>，其具体风险性执行《危险化学品重大危险源辨识》（GB18218-2018）相关标准。</w:t>
      </w:r>
    </w:p>
    <w:p>
      <w:pPr>
        <w:pStyle w:val="49"/>
        <w:rPr>
          <w:color w:val="auto"/>
          <w:highlight w:val="none"/>
        </w:rPr>
      </w:pPr>
      <w:bookmarkStart w:id="162" w:name="_Toc173941801"/>
      <w:bookmarkStart w:id="163" w:name="_Toc173941715"/>
      <w:bookmarkStart w:id="164" w:name="_Toc32512"/>
      <w:bookmarkStart w:id="165" w:name="_Toc12812"/>
      <w:bookmarkStart w:id="166" w:name="_Toc173942669"/>
      <w:bookmarkStart w:id="167" w:name="_Toc15812"/>
      <w:r>
        <w:rPr>
          <w:color w:val="auto"/>
          <w:highlight w:val="none"/>
        </w:rPr>
        <w:t>2.</w:t>
      </w:r>
      <w:r>
        <w:rPr>
          <w:rFonts w:hint="eastAsia"/>
          <w:color w:val="auto"/>
          <w:highlight w:val="none"/>
        </w:rPr>
        <w:t>5</w:t>
      </w:r>
      <w:r>
        <w:rPr>
          <w:color w:val="auto"/>
          <w:highlight w:val="none"/>
        </w:rPr>
        <w:t>评价工作等级和评价范围</w:t>
      </w:r>
      <w:bookmarkEnd w:id="162"/>
      <w:bookmarkEnd w:id="163"/>
      <w:bookmarkEnd w:id="164"/>
      <w:bookmarkEnd w:id="165"/>
      <w:bookmarkEnd w:id="166"/>
      <w:bookmarkEnd w:id="167"/>
    </w:p>
    <w:p>
      <w:pPr>
        <w:pStyle w:val="53"/>
        <w:rPr>
          <w:color w:val="auto"/>
          <w:highlight w:val="none"/>
        </w:rPr>
      </w:pPr>
      <w:bookmarkStart w:id="168" w:name="_Toc173941805"/>
      <w:bookmarkStart w:id="169" w:name="_Hlk69832293"/>
      <w:bookmarkStart w:id="170" w:name="_Hlk68964072"/>
      <w:bookmarkStart w:id="171" w:name="_Toc173941802"/>
      <w:bookmarkStart w:id="172" w:name="_Hlk69381725"/>
      <w:r>
        <w:rPr>
          <w:color w:val="auto"/>
          <w:highlight w:val="none"/>
        </w:rPr>
        <w:t>2.</w:t>
      </w:r>
      <w:r>
        <w:rPr>
          <w:rFonts w:hint="eastAsia"/>
          <w:color w:val="auto"/>
          <w:highlight w:val="none"/>
        </w:rPr>
        <w:t>5</w:t>
      </w:r>
      <w:r>
        <w:rPr>
          <w:color w:val="auto"/>
          <w:highlight w:val="none"/>
        </w:rPr>
        <w:t>.</w:t>
      </w:r>
      <w:r>
        <w:rPr>
          <w:rFonts w:hint="eastAsia"/>
          <w:color w:val="auto"/>
          <w:highlight w:val="none"/>
        </w:rPr>
        <w:t>1</w:t>
      </w:r>
      <w:bookmarkEnd w:id="168"/>
      <w:r>
        <w:rPr>
          <w:rFonts w:hint="eastAsia"/>
          <w:color w:val="auto"/>
          <w:highlight w:val="none"/>
        </w:rPr>
        <w:t>生态影响评价等级和评价范围</w:t>
      </w:r>
    </w:p>
    <w:bookmarkEnd w:id="169"/>
    <w:p>
      <w:pPr>
        <w:pStyle w:val="57"/>
        <w:rPr>
          <w:color w:val="auto"/>
          <w:highlight w:val="none"/>
        </w:rPr>
      </w:pPr>
      <w:r>
        <w:rPr>
          <w:color w:val="auto"/>
          <w:highlight w:val="none"/>
        </w:rPr>
        <w:t>（1）评价等级</w:t>
      </w:r>
      <w:r>
        <w:rPr>
          <w:rFonts w:hint="eastAsia"/>
          <w:color w:val="auto"/>
          <w:highlight w:val="none"/>
        </w:rPr>
        <w:t>判定</w:t>
      </w:r>
    </w:p>
    <w:bookmarkEnd w:id="170"/>
    <w:p>
      <w:pPr>
        <w:pStyle w:val="57"/>
        <w:rPr>
          <w:color w:val="auto"/>
          <w:highlight w:val="none"/>
        </w:rPr>
      </w:pPr>
      <w:r>
        <w:rPr>
          <w:color w:val="auto"/>
          <w:highlight w:val="none"/>
        </w:rPr>
        <w:t>根据《环境影响评价技术导则  生态影响》（HJ19-2022），</w:t>
      </w:r>
      <w:r>
        <w:rPr>
          <w:rFonts w:hint="eastAsia"/>
          <w:color w:val="auto"/>
          <w:highlight w:val="none"/>
        </w:rPr>
        <w:t>判定等级如下：</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表2.5-1  生态环境评价等级判定</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1"/>
        <w:gridCol w:w="5186"/>
        <w:gridCol w:w="2126"/>
        <w:gridCol w:w="9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pPr>
              <w:pStyle w:val="41"/>
              <w:rPr>
                <w:color w:val="auto"/>
                <w:highlight w:val="none"/>
              </w:rPr>
            </w:pPr>
            <w:r>
              <w:rPr>
                <w:color w:val="auto"/>
                <w:highlight w:val="none"/>
              </w:rPr>
              <w:t>序号</w:t>
            </w:r>
          </w:p>
        </w:tc>
        <w:tc>
          <w:tcPr>
            <w:tcW w:w="2934" w:type="pct"/>
            <w:tcBorders>
              <w:tl2br w:val="nil"/>
              <w:tr2bl w:val="nil"/>
            </w:tcBorders>
            <w:vAlign w:val="center"/>
          </w:tcPr>
          <w:p>
            <w:pPr>
              <w:pStyle w:val="41"/>
              <w:rPr>
                <w:color w:val="auto"/>
                <w:highlight w:val="none"/>
              </w:rPr>
            </w:pPr>
            <w:r>
              <w:rPr>
                <w:color w:val="auto"/>
                <w:highlight w:val="none"/>
              </w:rPr>
              <w:t>导则规定</w:t>
            </w:r>
          </w:p>
        </w:tc>
        <w:tc>
          <w:tcPr>
            <w:tcW w:w="1203" w:type="pct"/>
            <w:tcBorders>
              <w:tl2br w:val="nil"/>
              <w:tr2bl w:val="nil"/>
            </w:tcBorders>
            <w:vAlign w:val="center"/>
          </w:tcPr>
          <w:p>
            <w:pPr>
              <w:pStyle w:val="41"/>
              <w:rPr>
                <w:color w:val="auto"/>
                <w:highlight w:val="none"/>
              </w:rPr>
            </w:pPr>
            <w:r>
              <w:rPr>
                <w:color w:val="auto"/>
                <w:highlight w:val="none"/>
              </w:rPr>
              <w:t>本项目情况</w:t>
            </w:r>
          </w:p>
        </w:tc>
        <w:tc>
          <w:tcPr>
            <w:tcW w:w="549" w:type="pct"/>
            <w:tcBorders>
              <w:tl2br w:val="nil"/>
              <w:tr2bl w:val="nil"/>
            </w:tcBorders>
            <w:vAlign w:val="center"/>
          </w:tcPr>
          <w:p>
            <w:pPr>
              <w:pStyle w:val="41"/>
              <w:rPr>
                <w:color w:val="auto"/>
                <w:highlight w:val="none"/>
              </w:rPr>
            </w:pPr>
            <w:r>
              <w:rPr>
                <w:color w:val="auto"/>
                <w:highlight w:val="none"/>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restart"/>
            <w:tcBorders>
              <w:tl2br w:val="nil"/>
              <w:tr2bl w:val="nil"/>
            </w:tcBorders>
            <w:vAlign w:val="center"/>
          </w:tcPr>
          <w:p>
            <w:pPr>
              <w:pStyle w:val="41"/>
              <w:rPr>
                <w:color w:val="auto"/>
                <w:highlight w:val="none"/>
              </w:rPr>
            </w:pPr>
            <w:r>
              <w:rPr>
                <w:color w:val="auto"/>
                <w:highlight w:val="none"/>
              </w:rPr>
              <w:t>1</w:t>
            </w:r>
          </w:p>
        </w:tc>
        <w:tc>
          <w:tcPr>
            <w:tcW w:w="2934" w:type="pct"/>
            <w:tcBorders>
              <w:tl2br w:val="nil"/>
              <w:tr2bl w:val="nil"/>
            </w:tcBorders>
            <w:vAlign w:val="center"/>
          </w:tcPr>
          <w:p>
            <w:pPr>
              <w:pStyle w:val="41"/>
              <w:rPr>
                <w:color w:val="auto"/>
                <w:highlight w:val="none"/>
              </w:rPr>
            </w:pPr>
            <w:r>
              <w:rPr>
                <w:color w:val="auto"/>
                <w:highlight w:val="none"/>
              </w:rPr>
              <w:t>a）涉及国家公园、自然保护区、世界自然遗产、重要生境时，评价等级为一级</w:t>
            </w:r>
          </w:p>
        </w:tc>
        <w:tc>
          <w:tcPr>
            <w:tcW w:w="1203"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不涉及</w:t>
            </w:r>
          </w:p>
        </w:tc>
        <w:tc>
          <w:tcPr>
            <w:tcW w:w="549"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pPr>
              <w:pStyle w:val="41"/>
              <w:rPr>
                <w:color w:val="auto"/>
                <w:highlight w:val="none"/>
              </w:rPr>
            </w:pPr>
          </w:p>
        </w:tc>
        <w:tc>
          <w:tcPr>
            <w:tcW w:w="2934" w:type="pct"/>
            <w:tcBorders>
              <w:tl2br w:val="nil"/>
              <w:tr2bl w:val="nil"/>
            </w:tcBorders>
            <w:vAlign w:val="center"/>
          </w:tcPr>
          <w:p>
            <w:pPr>
              <w:pStyle w:val="41"/>
              <w:rPr>
                <w:color w:val="auto"/>
                <w:highlight w:val="none"/>
              </w:rPr>
            </w:pPr>
            <w:r>
              <w:rPr>
                <w:color w:val="auto"/>
                <w:highlight w:val="none"/>
              </w:rPr>
              <w:t>b）涉及自然公园时，评价等级为二级</w:t>
            </w:r>
          </w:p>
        </w:tc>
        <w:tc>
          <w:tcPr>
            <w:tcW w:w="1203"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不涉及</w:t>
            </w:r>
          </w:p>
        </w:tc>
        <w:tc>
          <w:tcPr>
            <w:tcW w:w="549"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pPr>
              <w:pStyle w:val="41"/>
              <w:rPr>
                <w:color w:val="auto"/>
                <w:highlight w:val="none"/>
              </w:rPr>
            </w:pPr>
          </w:p>
        </w:tc>
        <w:tc>
          <w:tcPr>
            <w:tcW w:w="2934" w:type="pct"/>
            <w:tcBorders>
              <w:tl2br w:val="nil"/>
              <w:tr2bl w:val="nil"/>
            </w:tcBorders>
            <w:vAlign w:val="center"/>
          </w:tcPr>
          <w:p>
            <w:pPr>
              <w:pStyle w:val="41"/>
              <w:rPr>
                <w:color w:val="auto"/>
                <w:highlight w:val="none"/>
              </w:rPr>
            </w:pPr>
            <w:r>
              <w:rPr>
                <w:color w:val="auto"/>
                <w:highlight w:val="none"/>
              </w:rPr>
              <w:t>c）涉及生态保护红线时，评价等级不低于二级</w:t>
            </w:r>
          </w:p>
        </w:tc>
        <w:tc>
          <w:tcPr>
            <w:tcW w:w="1203"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不涉及</w:t>
            </w:r>
          </w:p>
        </w:tc>
        <w:tc>
          <w:tcPr>
            <w:tcW w:w="549"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pPr>
              <w:pStyle w:val="41"/>
              <w:rPr>
                <w:color w:val="auto"/>
                <w:highlight w:val="none"/>
              </w:rPr>
            </w:pPr>
          </w:p>
        </w:tc>
        <w:tc>
          <w:tcPr>
            <w:tcW w:w="2934" w:type="pct"/>
            <w:tcBorders>
              <w:tl2br w:val="nil"/>
              <w:tr2bl w:val="nil"/>
            </w:tcBorders>
            <w:vAlign w:val="center"/>
          </w:tcPr>
          <w:p>
            <w:pPr>
              <w:pStyle w:val="41"/>
              <w:rPr>
                <w:color w:val="auto"/>
                <w:highlight w:val="none"/>
              </w:rPr>
            </w:pPr>
            <w:r>
              <w:rPr>
                <w:color w:val="auto"/>
                <w:highlight w:val="none"/>
              </w:rPr>
              <w:t>d）根据HJ2.3判断属于水文要素影响型且地表水评价等级不低于二级的建设项目，生态影响评价等级不低于二级</w:t>
            </w:r>
          </w:p>
        </w:tc>
        <w:tc>
          <w:tcPr>
            <w:tcW w:w="1203"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地表水为三级B</w:t>
            </w:r>
          </w:p>
        </w:tc>
        <w:tc>
          <w:tcPr>
            <w:tcW w:w="549"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pPr>
              <w:pStyle w:val="41"/>
              <w:rPr>
                <w:color w:val="auto"/>
                <w:highlight w:val="none"/>
              </w:rPr>
            </w:pPr>
          </w:p>
        </w:tc>
        <w:tc>
          <w:tcPr>
            <w:tcW w:w="2934" w:type="pct"/>
            <w:tcBorders>
              <w:tl2br w:val="nil"/>
              <w:tr2bl w:val="nil"/>
            </w:tcBorders>
            <w:vAlign w:val="center"/>
          </w:tcPr>
          <w:p>
            <w:pPr>
              <w:pStyle w:val="41"/>
              <w:rPr>
                <w:color w:val="auto"/>
                <w:highlight w:val="none"/>
              </w:rPr>
            </w:pPr>
            <w:r>
              <w:rPr>
                <w:color w:val="auto"/>
                <w:highlight w:val="none"/>
              </w:rPr>
              <w:t>e）根据HJ610、HJ964判断地下水水位或土壤影响范围内分布有天然林、公益林、湿地等生态保护目标的建设项目，生态影响评价等级不低于二级</w:t>
            </w:r>
          </w:p>
        </w:tc>
        <w:tc>
          <w:tcPr>
            <w:tcW w:w="1203"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不涉及</w:t>
            </w:r>
          </w:p>
        </w:tc>
        <w:tc>
          <w:tcPr>
            <w:tcW w:w="549"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pPr>
              <w:pStyle w:val="41"/>
              <w:rPr>
                <w:color w:val="auto"/>
                <w:highlight w:val="none"/>
              </w:rPr>
            </w:pPr>
          </w:p>
        </w:tc>
        <w:tc>
          <w:tcPr>
            <w:tcW w:w="2934" w:type="pct"/>
            <w:tcBorders>
              <w:tl2br w:val="nil"/>
              <w:tr2bl w:val="nil"/>
            </w:tcBorders>
            <w:vAlign w:val="center"/>
          </w:tcPr>
          <w:p>
            <w:pPr>
              <w:pStyle w:val="41"/>
              <w:rPr>
                <w:color w:val="auto"/>
                <w:highlight w:val="none"/>
              </w:rPr>
            </w:pPr>
            <w:r>
              <w:rPr>
                <w:color w:val="auto"/>
                <w:highlight w:val="none"/>
              </w:rPr>
              <w:t>f）当工程占地规模大于20km</w:t>
            </w:r>
            <w:r>
              <w:rPr>
                <w:color w:val="auto"/>
                <w:highlight w:val="none"/>
                <w:vertAlign w:val="superscript"/>
              </w:rPr>
              <w:t>2</w:t>
            </w:r>
            <w:r>
              <w:rPr>
                <w:color w:val="auto"/>
                <w:highlight w:val="none"/>
              </w:rPr>
              <w:t>时（包括永久和临时占用陆域和水域），评价等级不低于二级；改扩建项目的占地范围以新增占地（包括陆域和水域）确定</w:t>
            </w:r>
          </w:p>
        </w:tc>
        <w:tc>
          <w:tcPr>
            <w:tcW w:w="1203"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本工程新增占地规模小于20km</w:t>
            </w:r>
            <w:r>
              <w:rPr>
                <w:rFonts w:hint="eastAsia"/>
                <w:color w:val="auto"/>
                <w:highlight w:val="none"/>
                <w:vertAlign w:val="superscript"/>
              </w:rPr>
              <w:t>2</w:t>
            </w:r>
          </w:p>
        </w:tc>
        <w:tc>
          <w:tcPr>
            <w:tcW w:w="549"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pPr>
              <w:pStyle w:val="41"/>
              <w:rPr>
                <w:color w:val="auto"/>
                <w:highlight w:val="none"/>
              </w:rPr>
            </w:pPr>
          </w:p>
        </w:tc>
        <w:tc>
          <w:tcPr>
            <w:tcW w:w="2934" w:type="pct"/>
            <w:tcBorders>
              <w:tl2br w:val="nil"/>
              <w:tr2bl w:val="nil"/>
            </w:tcBorders>
            <w:vAlign w:val="center"/>
          </w:tcPr>
          <w:p>
            <w:pPr>
              <w:pStyle w:val="41"/>
              <w:rPr>
                <w:color w:val="auto"/>
                <w:highlight w:val="none"/>
              </w:rPr>
            </w:pPr>
            <w:r>
              <w:rPr>
                <w:color w:val="auto"/>
                <w:highlight w:val="none"/>
              </w:rPr>
              <w:t>g）除本条a）、b）、c）、d）、e）、f）以外的情况，评价等级为三级</w:t>
            </w:r>
          </w:p>
        </w:tc>
        <w:tc>
          <w:tcPr>
            <w:tcW w:w="1203"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w:t>
            </w:r>
          </w:p>
        </w:tc>
        <w:tc>
          <w:tcPr>
            <w:tcW w:w="549"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vMerge w:val="continue"/>
            <w:tcBorders>
              <w:tl2br w:val="nil"/>
              <w:tr2bl w:val="nil"/>
            </w:tcBorders>
            <w:vAlign w:val="center"/>
          </w:tcPr>
          <w:p>
            <w:pPr>
              <w:pStyle w:val="41"/>
              <w:rPr>
                <w:color w:val="auto"/>
                <w:highlight w:val="none"/>
              </w:rPr>
            </w:pPr>
          </w:p>
        </w:tc>
        <w:tc>
          <w:tcPr>
            <w:tcW w:w="2934" w:type="pct"/>
            <w:tcBorders>
              <w:tl2br w:val="nil"/>
              <w:tr2bl w:val="nil"/>
            </w:tcBorders>
            <w:vAlign w:val="center"/>
          </w:tcPr>
          <w:p>
            <w:pPr>
              <w:pStyle w:val="41"/>
              <w:rPr>
                <w:color w:val="auto"/>
                <w:highlight w:val="none"/>
              </w:rPr>
            </w:pPr>
            <w:r>
              <w:rPr>
                <w:color w:val="auto"/>
                <w:highlight w:val="none"/>
              </w:rPr>
              <w:t>h）当评价等级判定同时符合上述多种情况时，应采用其中最高的评价等级</w:t>
            </w:r>
          </w:p>
        </w:tc>
        <w:tc>
          <w:tcPr>
            <w:tcW w:w="1203"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三级</w:t>
            </w:r>
          </w:p>
        </w:tc>
        <w:tc>
          <w:tcPr>
            <w:tcW w:w="549" w:type="pct"/>
            <w:tcBorders>
              <w:tl2br w:val="nil"/>
              <w:tr2bl w:val="nil"/>
            </w:tcBorders>
            <w:shd w:val="clear" w:color="auto" w:fill="auto"/>
            <w:vAlign w:val="center"/>
          </w:tcPr>
          <w:p>
            <w:pPr>
              <w:pStyle w:val="41"/>
              <w:widowControl w:val="0"/>
              <w:rPr>
                <w:color w:val="auto"/>
                <w:highlight w:val="none"/>
              </w:rPr>
            </w:pPr>
            <w:r>
              <w:rPr>
                <w:rFonts w:hint="eastAsia"/>
                <w:color w:val="auto"/>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pPr>
              <w:pStyle w:val="41"/>
              <w:rPr>
                <w:color w:val="auto"/>
                <w:highlight w:val="none"/>
              </w:rPr>
            </w:pPr>
            <w:r>
              <w:rPr>
                <w:color w:val="auto"/>
                <w:highlight w:val="none"/>
              </w:rPr>
              <w:t>2</w:t>
            </w:r>
          </w:p>
        </w:tc>
        <w:tc>
          <w:tcPr>
            <w:tcW w:w="2934" w:type="pct"/>
            <w:tcBorders>
              <w:tl2br w:val="nil"/>
              <w:tr2bl w:val="nil"/>
            </w:tcBorders>
            <w:vAlign w:val="center"/>
          </w:tcPr>
          <w:p>
            <w:pPr>
              <w:pStyle w:val="41"/>
              <w:rPr>
                <w:color w:val="auto"/>
                <w:highlight w:val="none"/>
              </w:rPr>
            </w:pPr>
            <w:r>
              <w:rPr>
                <w:color w:val="auto"/>
                <w:highlight w:val="none"/>
              </w:rPr>
              <w:t>建设项目涉及经论证对保护生物多样性具有重要意义的区域时，可适当上调评价等级</w:t>
            </w:r>
          </w:p>
        </w:tc>
        <w:tc>
          <w:tcPr>
            <w:tcW w:w="1203" w:type="pct"/>
            <w:tcBorders>
              <w:tl2br w:val="nil"/>
              <w:tr2bl w:val="nil"/>
            </w:tcBorders>
            <w:vAlign w:val="center"/>
          </w:tcPr>
          <w:p>
            <w:pPr>
              <w:pStyle w:val="41"/>
              <w:rPr>
                <w:color w:val="auto"/>
                <w:highlight w:val="none"/>
              </w:rPr>
            </w:pPr>
            <w:r>
              <w:rPr>
                <w:rFonts w:hint="eastAsia"/>
                <w:color w:val="auto"/>
                <w:highlight w:val="none"/>
              </w:rPr>
              <w:t>不涉及</w:t>
            </w:r>
          </w:p>
        </w:tc>
        <w:tc>
          <w:tcPr>
            <w:tcW w:w="549" w:type="pct"/>
            <w:tcBorders>
              <w:tl2br w:val="nil"/>
              <w:tr2bl w:val="nil"/>
            </w:tcBorders>
            <w:vAlign w:val="center"/>
          </w:tcPr>
          <w:p>
            <w:pPr>
              <w:pStyle w:val="41"/>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pPr>
              <w:pStyle w:val="41"/>
              <w:rPr>
                <w:color w:val="auto"/>
                <w:highlight w:val="none"/>
              </w:rPr>
            </w:pPr>
            <w:r>
              <w:rPr>
                <w:color w:val="auto"/>
                <w:highlight w:val="none"/>
              </w:rPr>
              <w:t>3</w:t>
            </w:r>
          </w:p>
        </w:tc>
        <w:tc>
          <w:tcPr>
            <w:tcW w:w="2934" w:type="pct"/>
            <w:tcBorders>
              <w:tl2br w:val="nil"/>
              <w:tr2bl w:val="nil"/>
            </w:tcBorders>
            <w:vAlign w:val="center"/>
          </w:tcPr>
          <w:p>
            <w:pPr>
              <w:pStyle w:val="41"/>
              <w:rPr>
                <w:color w:val="auto"/>
                <w:highlight w:val="none"/>
              </w:rPr>
            </w:pPr>
            <w:r>
              <w:rPr>
                <w:color w:val="auto"/>
                <w:highlight w:val="none"/>
              </w:rPr>
              <w:t>建设项目同时涉及陆生、水生生态影响时，可针对陆生生态、水生生态分别判定评价等级</w:t>
            </w:r>
          </w:p>
        </w:tc>
        <w:tc>
          <w:tcPr>
            <w:tcW w:w="1203" w:type="pct"/>
            <w:tcBorders>
              <w:tl2br w:val="nil"/>
              <w:tr2bl w:val="nil"/>
            </w:tcBorders>
            <w:vAlign w:val="center"/>
          </w:tcPr>
          <w:p>
            <w:pPr>
              <w:pStyle w:val="41"/>
              <w:rPr>
                <w:color w:val="auto"/>
                <w:highlight w:val="none"/>
              </w:rPr>
            </w:pPr>
            <w:r>
              <w:rPr>
                <w:rFonts w:hint="eastAsia"/>
                <w:color w:val="auto"/>
                <w:highlight w:val="none"/>
              </w:rPr>
              <w:t>不涉及</w:t>
            </w:r>
          </w:p>
        </w:tc>
        <w:tc>
          <w:tcPr>
            <w:tcW w:w="549" w:type="pct"/>
            <w:tcBorders>
              <w:tl2br w:val="nil"/>
              <w:tr2bl w:val="nil"/>
            </w:tcBorders>
            <w:vAlign w:val="center"/>
          </w:tcPr>
          <w:p>
            <w:pPr>
              <w:pStyle w:val="41"/>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pPr>
              <w:pStyle w:val="41"/>
              <w:rPr>
                <w:color w:val="auto"/>
                <w:highlight w:val="none"/>
              </w:rPr>
            </w:pPr>
            <w:r>
              <w:rPr>
                <w:color w:val="auto"/>
                <w:highlight w:val="none"/>
              </w:rPr>
              <w:t>4</w:t>
            </w:r>
          </w:p>
        </w:tc>
        <w:tc>
          <w:tcPr>
            <w:tcW w:w="2934" w:type="pct"/>
            <w:tcBorders>
              <w:tl2br w:val="nil"/>
              <w:tr2bl w:val="nil"/>
            </w:tcBorders>
            <w:vAlign w:val="center"/>
          </w:tcPr>
          <w:p>
            <w:pPr>
              <w:pStyle w:val="41"/>
              <w:rPr>
                <w:color w:val="auto"/>
                <w:highlight w:val="none"/>
              </w:rPr>
            </w:pPr>
            <w:r>
              <w:rPr>
                <w:color w:val="auto"/>
                <w:highlight w:val="none"/>
              </w:rPr>
              <w:t>在矿山开采可能导致矿区土地利用类型明显改变，或拦河闸坝建设可能明显改变水文情势等情况下，评价等级应上调一级</w:t>
            </w:r>
          </w:p>
        </w:tc>
        <w:tc>
          <w:tcPr>
            <w:tcW w:w="1203" w:type="pct"/>
            <w:tcBorders>
              <w:tl2br w:val="nil"/>
              <w:tr2bl w:val="nil"/>
            </w:tcBorders>
            <w:vAlign w:val="center"/>
          </w:tcPr>
          <w:p>
            <w:pPr>
              <w:pStyle w:val="41"/>
              <w:rPr>
                <w:color w:val="auto"/>
                <w:highlight w:val="none"/>
              </w:rPr>
            </w:pPr>
            <w:r>
              <w:rPr>
                <w:rFonts w:hint="eastAsia"/>
                <w:color w:val="auto"/>
                <w:highlight w:val="none"/>
              </w:rPr>
              <w:t>不涉及</w:t>
            </w:r>
          </w:p>
        </w:tc>
        <w:tc>
          <w:tcPr>
            <w:tcW w:w="549" w:type="pct"/>
            <w:tcBorders>
              <w:tl2br w:val="nil"/>
              <w:tr2bl w:val="nil"/>
            </w:tcBorders>
            <w:vAlign w:val="center"/>
          </w:tcPr>
          <w:p>
            <w:pPr>
              <w:pStyle w:val="41"/>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pPr>
              <w:pStyle w:val="41"/>
              <w:rPr>
                <w:color w:val="auto"/>
                <w:highlight w:val="none"/>
              </w:rPr>
            </w:pPr>
            <w:r>
              <w:rPr>
                <w:color w:val="auto"/>
                <w:highlight w:val="none"/>
              </w:rPr>
              <w:t>5</w:t>
            </w:r>
          </w:p>
        </w:tc>
        <w:tc>
          <w:tcPr>
            <w:tcW w:w="2934" w:type="pct"/>
            <w:tcBorders>
              <w:tl2br w:val="nil"/>
              <w:tr2bl w:val="nil"/>
            </w:tcBorders>
            <w:vAlign w:val="center"/>
          </w:tcPr>
          <w:p>
            <w:pPr>
              <w:pStyle w:val="41"/>
              <w:rPr>
                <w:color w:val="auto"/>
                <w:highlight w:val="none"/>
              </w:rPr>
            </w:pPr>
            <w:r>
              <w:rPr>
                <w:color w:val="auto"/>
                <w:highlight w:val="none"/>
              </w:rPr>
              <w:t>线性工程可分段确定评价等级。线性工程地下穿越或地表跨越生态敏感区，在生态敏感区范围内无永久、临时占地时，评价等级可下调一级</w:t>
            </w:r>
          </w:p>
        </w:tc>
        <w:tc>
          <w:tcPr>
            <w:tcW w:w="1203" w:type="pct"/>
            <w:tcBorders>
              <w:tl2br w:val="nil"/>
              <w:tr2bl w:val="nil"/>
            </w:tcBorders>
            <w:vAlign w:val="center"/>
          </w:tcPr>
          <w:p>
            <w:pPr>
              <w:pStyle w:val="41"/>
              <w:rPr>
                <w:color w:val="auto"/>
                <w:highlight w:val="none"/>
              </w:rPr>
            </w:pPr>
            <w:r>
              <w:rPr>
                <w:rFonts w:hint="eastAsia"/>
                <w:color w:val="auto"/>
                <w:highlight w:val="none"/>
              </w:rPr>
              <w:t>不涉及</w:t>
            </w:r>
          </w:p>
        </w:tc>
        <w:tc>
          <w:tcPr>
            <w:tcW w:w="549" w:type="pct"/>
            <w:tcBorders>
              <w:tl2br w:val="nil"/>
              <w:tr2bl w:val="nil"/>
            </w:tcBorders>
            <w:vAlign w:val="center"/>
          </w:tcPr>
          <w:p>
            <w:pPr>
              <w:pStyle w:val="41"/>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12" w:type="pct"/>
            <w:tcBorders>
              <w:tl2br w:val="nil"/>
              <w:tr2bl w:val="nil"/>
            </w:tcBorders>
            <w:vAlign w:val="center"/>
          </w:tcPr>
          <w:p>
            <w:pPr>
              <w:pStyle w:val="41"/>
              <w:rPr>
                <w:color w:val="auto"/>
                <w:highlight w:val="none"/>
              </w:rPr>
            </w:pPr>
            <w:r>
              <w:rPr>
                <w:color w:val="auto"/>
                <w:highlight w:val="none"/>
              </w:rPr>
              <w:t>6</w:t>
            </w:r>
          </w:p>
        </w:tc>
        <w:tc>
          <w:tcPr>
            <w:tcW w:w="2934" w:type="pct"/>
            <w:tcBorders>
              <w:tl2br w:val="nil"/>
              <w:tr2bl w:val="nil"/>
            </w:tcBorders>
            <w:vAlign w:val="center"/>
          </w:tcPr>
          <w:p>
            <w:pPr>
              <w:pStyle w:val="41"/>
              <w:rPr>
                <w:color w:val="auto"/>
                <w:highlight w:val="none"/>
              </w:rPr>
            </w:pPr>
            <w:r>
              <w:rPr>
                <w:color w:val="auto"/>
                <w:highlight w:val="none"/>
              </w:rPr>
              <w:t>涉海工程评价等级判定参照GB/T19485</w:t>
            </w:r>
          </w:p>
        </w:tc>
        <w:tc>
          <w:tcPr>
            <w:tcW w:w="1203" w:type="pct"/>
            <w:tcBorders>
              <w:tl2br w:val="nil"/>
              <w:tr2bl w:val="nil"/>
            </w:tcBorders>
            <w:vAlign w:val="center"/>
          </w:tcPr>
          <w:p>
            <w:pPr>
              <w:pStyle w:val="41"/>
              <w:rPr>
                <w:color w:val="auto"/>
                <w:highlight w:val="none"/>
              </w:rPr>
            </w:pPr>
            <w:r>
              <w:rPr>
                <w:rFonts w:hint="eastAsia"/>
                <w:color w:val="auto"/>
                <w:highlight w:val="none"/>
              </w:rPr>
              <w:t>不涉及</w:t>
            </w:r>
          </w:p>
        </w:tc>
        <w:tc>
          <w:tcPr>
            <w:tcW w:w="549" w:type="pct"/>
            <w:tcBorders>
              <w:tl2br w:val="nil"/>
              <w:tr2bl w:val="nil"/>
            </w:tcBorders>
            <w:vAlign w:val="center"/>
          </w:tcPr>
          <w:p>
            <w:pPr>
              <w:pStyle w:val="41"/>
              <w:rPr>
                <w:color w:val="auto"/>
                <w:highlight w:val="none"/>
              </w:rPr>
            </w:pPr>
            <w:r>
              <w:rPr>
                <w:rFonts w:hint="eastAsia"/>
                <w:color w:val="auto"/>
                <w:highlight w:val="none"/>
              </w:rPr>
              <w:t>/</w:t>
            </w:r>
          </w:p>
        </w:tc>
      </w:tr>
    </w:tbl>
    <w:p>
      <w:pPr>
        <w:pStyle w:val="57"/>
        <w:rPr>
          <w:color w:val="auto"/>
          <w:highlight w:val="none"/>
        </w:rPr>
      </w:pPr>
      <w:r>
        <w:rPr>
          <w:rFonts w:hint="eastAsia"/>
          <w:color w:val="auto"/>
          <w:highlight w:val="none"/>
        </w:rPr>
        <w:t>由上表可见，本工程</w:t>
      </w:r>
      <w:r>
        <w:rPr>
          <w:color w:val="auto"/>
          <w:highlight w:val="none"/>
        </w:rPr>
        <w:t>生态环境影响评价工作等级确定为</w:t>
      </w:r>
      <w:r>
        <w:rPr>
          <w:rFonts w:hint="eastAsia"/>
          <w:color w:val="auto"/>
          <w:highlight w:val="none"/>
        </w:rPr>
        <w:t>三</w:t>
      </w:r>
      <w:r>
        <w:rPr>
          <w:color w:val="auto"/>
          <w:highlight w:val="none"/>
        </w:rPr>
        <w:t>级。</w:t>
      </w:r>
    </w:p>
    <w:p>
      <w:pPr>
        <w:pStyle w:val="57"/>
        <w:rPr>
          <w:color w:val="auto"/>
          <w:highlight w:val="none"/>
        </w:rPr>
      </w:pPr>
      <w:r>
        <w:rPr>
          <w:color w:val="auto"/>
          <w:highlight w:val="none"/>
        </w:rPr>
        <w:t>（2）评价范围</w:t>
      </w:r>
      <w:r>
        <w:rPr>
          <w:rFonts w:hint="eastAsia"/>
          <w:color w:val="auto"/>
          <w:highlight w:val="none"/>
        </w:rPr>
        <w:t>确定</w:t>
      </w:r>
    </w:p>
    <w:p>
      <w:pPr>
        <w:pStyle w:val="57"/>
        <w:rPr>
          <w:color w:val="auto"/>
          <w:highlight w:val="none"/>
        </w:rPr>
      </w:pPr>
      <w:r>
        <w:rPr>
          <w:rFonts w:hint="eastAsia"/>
          <w:color w:val="auto"/>
          <w:highlight w:val="none"/>
        </w:rPr>
        <w:t>根据《环境影响评价技术导则 生态影响》（HJ19-2022）及《</w:t>
      </w:r>
      <w:r>
        <w:rPr>
          <w:rFonts w:hint="eastAsia"/>
          <w:color w:val="auto"/>
          <w:highlight w:val="none"/>
          <w:lang w:eastAsia="zh-CN"/>
        </w:rPr>
        <w:t>环境影响评价技术导则 陆地石油天然气开发建设项目</w:t>
      </w:r>
      <w:r>
        <w:rPr>
          <w:rFonts w:hint="eastAsia"/>
          <w:color w:val="auto"/>
          <w:highlight w:val="none"/>
        </w:rPr>
        <w:t>》（HJ349-2023），本工程以井场、站场场界周围50m范围、集输管道等线性工程两侧外延300m为评价范围。生态评价范围见图2.5-1</w:t>
      </w:r>
      <w:r>
        <w:rPr>
          <w:color w:val="auto"/>
          <w:highlight w:val="none"/>
        </w:rPr>
        <w:t>。</w:t>
      </w:r>
    </w:p>
    <w:p>
      <w:pPr>
        <w:pStyle w:val="53"/>
        <w:rPr>
          <w:rFonts w:eastAsia="宋体"/>
          <w:color w:val="auto"/>
          <w:highlight w:val="none"/>
        </w:rPr>
      </w:pPr>
      <w:bookmarkStart w:id="173" w:name="_Toc173941803"/>
      <w:r>
        <w:rPr>
          <w:color w:val="auto"/>
          <w:highlight w:val="none"/>
        </w:rPr>
        <w:t>2.</w:t>
      </w:r>
      <w:r>
        <w:rPr>
          <w:rFonts w:hint="eastAsia"/>
          <w:color w:val="auto"/>
          <w:highlight w:val="none"/>
        </w:rPr>
        <w:t>5</w:t>
      </w:r>
      <w:r>
        <w:rPr>
          <w:color w:val="auto"/>
          <w:highlight w:val="none"/>
        </w:rPr>
        <w:t>.2地下水</w:t>
      </w:r>
      <w:bookmarkEnd w:id="173"/>
      <w:r>
        <w:rPr>
          <w:rFonts w:hint="eastAsia"/>
          <w:color w:val="auto"/>
          <w:highlight w:val="none"/>
        </w:rPr>
        <w:t>环境影响评价等级和评价范围</w:t>
      </w:r>
    </w:p>
    <w:p>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（1）评价等级判定</w:t>
      </w:r>
    </w:p>
    <w:p>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①建设项目地下水环境影响评价行业分类</w:t>
      </w:r>
    </w:p>
    <w:p>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根据《环境影响评价技术导则 陆地石油天然气开发建设项目》</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 349-2023</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，本工程井场、站场建设属于Ⅰ类项目，集输管线建设属于Ⅱ类项目。</w:t>
      </w:r>
    </w:p>
    <w:p>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②地下水环境敏感程度</w:t>
      </w:r>
    </w:p>
    <w:p>
      <w:pPr>
        <w:pStyle w:val="57"/>
        <w:rPr>
          <w:rFonts w:hint="default" w:ascii="Times New Roman" w:hAnsi="Times New Roman" w:cs="Times New Roman"/>
          <w:color w:val="auto"/>
          <w:highlight w:val="none"/>
        </w:rPr>
      </w:pPr>
      <w:r>
        <w:rPr>
          <w:rFonts w:hint="default" w:ascii="Times New Roman" w:hAnsi="Times New Roman" w:cs="Times New Roman"/>
          <w:color w:val="auto"/>
          <w:highlight w:val="none"/>
        </w:rPr>
        <w:t>根据《</w:t>
      </w:r>
      <w:r>
        <w:rPr>
          <w:rFonts w:hint="default" w:ascii="Times New Roman" w:hAnsi="Times New Roman" w:cs="Times New Roman"/>
          <w:color w:val="auto"/>
          <w:highlight w:val="none"/>
          <w:lang w:eastAsia="zh-CN"/>
        </w:rPr>
        <w:t>环境影响评价技术导则 地下水环境</w:t>
      </w:r>
      <w:r>
        <w:rPr>
          <w:rFonts w:hint="default" w:ascii="Times New Roman" w:hAnsi="Times New Roman" w:cs="Times New Roman"/>
          <w:color w:val="auto"/>
          <w:highlight w:val="none"/>
        </w:rPr>
        <w:t>》</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HJ610-2016</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项目所在区域不涉及集中式饮用水水源地准保护区及其补给径流区，亦无国家或地方政府设定的与地下水环境相关的其他保护区等，亦不属于水源地准保护区以外的补给径流区和特殊地下水资源保护区以外的分布区，且项目场地不涉及农村居民取水井等分散式饮用水水源地。因此，本工程地下水环境敏感程度分级为“不敏感”。</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表2.5-2          地下水环境敏感程度分级</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80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35" w:type="pct"/>
            <w:tcBorders>
              <w:tl2br w:val="nil"/>
              <w:tr2bl w:val="nil"/>
            </w:tcBorders>
            <w:vAlign w:val="center"/>
          </w:tcPr>
          <w:p>
            <w:pPr>
              <w:pStyle w:val="41"/>
              <w:rPr>
                <w:color w:val="auto"/>
                <w:highlight w:val="none"/>
              </w:rPr>
            </w:pPr>
            <w:r>
              <w:rPr>
                <w:color w:val="auto"/>
                <w:highlight w:val="none"/>
              </w:rPr>
              <w:t>分级</w:t>
            </w:r>
          </w:p>
        </w:tc>
        <w:tc>
          <w:tcPr>
            <w:tcW w:w="4564" w:type="pct"/>
            <w:tcBorders>
              <w:tl2br w:val="nil"/>
              <w:tr2bl w:val="nil"/>
            </w:tcBorders>
            <w:vAlign w:val="center"/>
          </w:tcPr>
          <w:p>
            <w:pPr>
              <w:pStyle w:val="41"/>
              <w:rPr>
                <w:color w:val="auto"/>
                <w:highlight w:val="none"/>
              </w:rPr>
            </w:pPr>
            <w:r>
              <w:rPr>
                <w:color w:val="auto"/>
                <w:highlight w:val="none"/>
              </w:rPr>
              <w:t>项目场地的地下水环境敏感特征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pStyle w:val="41"/>
              <w:rPr>
                <w:color w:val="auto"/>
                <w:highlight w:val="none"/>
              </w:rPr>
            </w:pPr>
            <w:r>
              <w:rPr>
                <w:color w:val="auto"/>
                <w:highlight w:val="none"/>
              </w:rPr>
              <w:t>敏感</w:t>
            </w:r>
          </w:p>
        </w:tc>
        <w:tc>
          <w:tcPr>
            <w:tcW w:w="4564" w:type="pct"/>
            <w:tcBorders>
              <w:tl2br w:val="nil"/>
              <w:tr2bl w:val="nil"/>
            </w:tcBorders>
            <w:vAlign w:val="center"/>
          </w:tcPr>
          <w:p>
            <w:pPr>
              <w:pStyle w:val="41"/>
              <w:rPr>
                <w:color w:val="auto"/>
                <w:highlight w:val="none"/>
              </w:rPr>
            </w:pPr>
            <w:r>
              <w:rPr>
                <w:color w:val="auto"/>
                <w:highlight w:val="none"/>
              </w:rPr>
              <w:t>集中式饮用水水源</w:t>
            </w:r>
            <w:r>
              <w:rPr>
                <w:rFonts w:hint="eastAsia"/>
                <w:color w:val="auto"/>
                <w:highlight w:val="none"/>
              </w:rPr>
              <w:t>（</w:t>
            </w:r>
            <w:r>
              <w:rPr>
                <w:color w:val="auto"/>
                <w:highlight w:val="none"/>
              </w:rPr>
              <w:t>包括已建成的在用、备用、应急水源地，在建和规划的饮用水水源</w:t>
            </w:r>
            <w:r>
              <w:rPr>
                <w:rFonts w:hint="eastAsia"/>
                <w:color w:val="auto"/>
                <w:highlight w:val="none"/>
              </w:rPr>
              <w:t>）</w:t>
            </w:r>
            <w:r>
              <w:rPr>
                <w:color w:val="auto"/>
                <w:highlight w:val="none"/>
              </w:rPr>
              <w:t>准保护区；除集中式饮用水水源以外的国家或地方政府设定的与地下水环境</w:t>
            </w:r>
            <w:r>
              <w:rPr>
                <w:rFonts w:hint="eastAsia"/>
                <w:color w:val="auto"/>
                <w:highlight w:val="none"/>
              </w:rPr>
              <w:t>相关的其他</w:t>
            </w:r>
            <w:r>
              <w:rPr>
                <w:color w:val="auto"/>
                <w:highlight w:val="none"/>
              </w:rPr>
              <w:t>保护区，如热水、矿泉水、温泉等特殊地下水资源保护区。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pStyle w:val="41"/>
              <w:rPr>
                <w:color w:val="auto"/>
                <w:highlight w:val="none"/>
              </w:rPr>
            </w:pPr>
            <w:r>
              <w:rPr>
                <w:color w:val="auto"/>
                <w:highlight w:val="none"/>
              </w:rPr>
              <w:t>较敏感</w:t>
            </w:r>
          </w:p>
        </w:tc>
        <w:tc>
          <w:tcPr>
            <w:tcW w:w="4564" w:type="pct"/>
            <w:tcBorders>
              <w:tl2br w:val="nil"/>
              <w:tr2bl w:val="nil"/>
            </w:tcBorders>
            <w:vAlign w:val="center"/>
          </w:tcPr>
          <w:p>
            <w:pPr>
              <w:pStyle w:val="41"/>
              <w:rPr>
                <w:color w:val="auto"/>
                <w:highlight w:val="none"/>
              </w:rPr>
            </w:pPr>
            <w:r>
              <w:rPr>
                <w:color w:val="auto"/>
                <w:highlight w:val="none"/>
              </w:rPr>
              <w:t>集中式饮用水水源</w:t>
            </w:r>
            <w:r>
              <w:rPr>
                <w:rFonts w:hint="eastAsia"/>
                <w:color w:val="auto"/>
                <w:highlight w:val="none"/>
              </w:rPr>
              <w:t>（</w:t>
            </w:r>
            <w:r>
              <w:rPr>
                <w:color w:val="auto"/>
                <w:highlight w:val="none"/>
              </w:rPr>
              <w:t>包括已建成的在用、备用、应急水源，在建和规划的饮用水水源</w:t>
            </w:r>
            <w:r>
              <w:rPr>
                <w:rFonts w:hint="eastAsia"/>
                <w:color w:val="auto"/>
                <w:highlight w:val="none"/>
              </w:rPr>
              <w:t>）</w:t>
            </w:r>
            <w:r>
              <w:rPr>
                <w:color w:val="auto"/>
                <w:highlight w:val="none"/>
              </w:rPr>
              <w:t>准保护区以外的补给径流区；未划定准保护区的集中式饮用水水源，其保护区以外的补给径流区；分散式饮用水水源地；特殊地下水资源（矿泉水、温泉等）保护区以外的分布区等</w:t>
            </w:r>
            <w:r>
              <w:rPr>
                <w:rFonts w:hint="eastAsia"/>
                <w:color w:val="auto"/>
                <w:highlight w:val="none"/>
              </w:rPr>
              <w:t>其他未</w:t>
            </w:r>
            <w:r>
              <w:rPr>
                <w:color w:val="auto"/>
                <w:highlight w:val="none"/>
              </w:rPr>
              <w:t>列入上述敏感分级的环境敏感区。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35" w:type="pct"/>
            <w:tcBorders>
              <w:tl2br w:val="nil"/>
              <w:tr2bl w:val="nil"/>
            </w:tcBorders>
            <w:vAlign w:val="center"/>
          </w:tcPr>
          <w:p>
            <w:pPr>
              <w:pStyle w:val="41"/>
              <w:rPr>
                <w:color w:val="auto"/>
                <w:highlight w:val="none"/>
              </w:rPr>
            </w:pPr>
            <w:r>
              <w:rPr>
                <w:color w:val="auto"/>
                <w:highlight w:val="none"/>
              </w:rPr>
              <w:t>不敏感</w:t>
            </w:r>
          </w:p>
        </w:tc>
        <w:tc>
          <w:tcPr>
            <w:tcW w:w="4564" w:type="pct"/>
            <w:tcBorders>
              <w:tl2br w:val="nil"/>
              <w:tr2bl w:val="nil"/>
            </w:tcBorders>
            <w:vAlign w:val="center"/>
          </w:tcPr>
          <w:p>
            <w:pPr>
              <w:pStyle w:val="41"/>
              <w:rPr>
                <w:color w:val="auto"/>
                <w:highlight w:val="none"/>
              </w:rPr>
            </w:pPr>
            <w:r>
              <w:rPr>
                <w:color w:val="auto"/>
                <w:highlight w:val="none"/>
              </w:rPr>
              <w:t>上述地区之外</w:t>
            </w:r>
            <w:r>
              <w:rPr>
                <w:rFonts w:hint="eastAsia"/>
                <w:color w:val="auto"/>
                <w:highlight w:val="none"/>
              </w:rPr>
              <w:t>的其他</w:t>
            </w:r>
            <w:r>
              <w:rPr>
                <w:color w:val="auto"/>
                <w:highlight w:val="none"/>
              </w:rPr>
              <w:t>地区。</w:t>
            </w:r>
          </w:p>
        </w:tc>
      </w:tr>
    </w:tbl>
    <w:p>
      <w:pPr>
        <w:pStyle w:val="57"/>
        <w:rPr>
          <w:color w:val="auto"/>
          <w:highlight w:val="none"/>
        </w:rPr>
      </w:pPr>
      <w:r>
        <w:rPr>
          <w:rFonts w:hint="eastAsia"/>
          <w:color w:val="auto"/>
          <w:highlight w:val="none"/>
        </w:rPr>
        <w:t>③评价等级判定</w:t>
      </w:r>
    </w:p>
    <w:p>
      <w:pPr>
        <w:pStyle w:val="57"/>
        <w:rPr>
          <w:color w:val="auto"/>
          <w:highlight w:val="none"/>
        </w:rPr>
      </w:pPr>
      <w:r>
        <w:rPr>
          <w:color w:val="auto"/>
          <w:highlight w:val="none"/>
        </w:rPr>
        <w:t>依据《</w:t>
      </w:r>
      <w:r>
        <w:rPr>
          <w:rFonts w:hint="eastAsia"/>
          <w:color w:val="auto"/>
          <w:highlight w:val="none"/>
          <w:lang w:eastAsia="zh-CN"/>
        </w:rPr>
        <w:t>环境影响评价技术导则 地下水环境</w:t>
      </w:r>
      <w:r>
        <w:rPr>
          <w:color w:val="auto"/>
          <w:highlight w:val="none"/>
        </w:rPr>
        <w:t>》（HJ610-2016）中建设项目评价工作等级分级表（表2.</w:t>
      </w:r>
      <w:r>
        <w:rPr>
          <w:rFonts w:hint="eastAsia"/>
          <w:color w:val="auto"/>
          <w:highlight w:val="none"/>
        </w:rPr>
        <w:t>5-3</w:t>
      </w:r>
      <w:r>
        <w:rPr>
          <w:color w:val="auto"/>
          <w:highlight w:val="none"/>
        </w:rPr>
        <w:t>），确定</w:t>
      </w:r>
      <w:r>
        <w:rPr>
          <w:rFonts w:hint="eastAsia"/>
          <w:color w:val="auto"/>
          <w:highlight w:val="none"/>
        </w:rPr>
        <w:t>本工程</w:t>
      </w:r>
      <w:r>
        <w:rPr>
          <w:color w:val="auto"/>
          <w:highlight w:val="none"/>
        </w:rPr>
        <w:t>地下水评价等级</w:t>
      </w:r>
      <w:r>
        <w:rPr>
          <w:rFonts w:hint="eastAsia"/>
          <w:color w:val="auto"/>
          <w:highlight w:val="none"/>
        </w:rPr>
        <w:t>见表2.5-4</w:t>
      </w:r>
      <w:r>
        <w:rPr>
          <w:color w:val="auto"/>
          <w:highlight w:val="none"/>
        </w:rPr>
        <w:t>。</w:t>
      </w:r>
      <w:r>
        <w:rPr>
          <w:rFonts w:hint="eastAsia"/>
          <w:color w:val="auto"/>
          <w:highlight w:val="none"/>
        </w:rPr>
        <w:t>综上，本工程地下水环境影响评价工作等级为</w:t>
      </w:r>
      <w:r>
        <w:rPr>
          <w:rFonts w:hint="eastAsia"/>
          <w:color w:val="auto"/>
          <w:highlight w:val="none"/>
          <w:lang w:val="en-US" w:eastAsia="zh-CN"/>
        </w:rPr>
        <w:t>二</w:t>
      </w:r>
      <w:r>
        <w:rPr>
          <w:rFonts w:hint="eastAsia"/>
          <w:color w:val="auto"/>
          <w:highlight w:val="none"/>
        </w:rPr>
        <w:t>级。</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表2.5-3     地下水环境影响评价工作等级划分依据</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27"/>
        <w:gridCol w:w="1475"/>
        <w:gridCol w:w="1819"/>
        <w:gridCol w:w="2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7" w:hRule="atLeast"/>
          <w:jc w:val="center"/>
        </w:trPr>
        <w:tc>
          <w:tcPr>
            <w:tcW w:w="1827" w:type="pct"/>
            <w:tcBorders>
              <w:tl2br w:val="nil"/>
              <w:tr2bl w:val="nil"/>
            </w:tcBorders>
            <w:vAlign w:val="center"/>
            <mc:AlternateContent>
              <mc:Choice Requires="wpsCustomData">
                <wpsCustomData:diagonals>
                  <wpsCustomData:diagonal from="10000" to="30000">
                    <wpsCustomData:border w:val="single" w:color="auto" w:sz="12" w:space="0"/>
                  </wpsCustomData:diagonal>
                </wpsCustomData:diagonals>
              </mc:Choice>
            </mc:AlternateContent>
          </w:tcPr>
          <w:p>
            <w:pPr>
              <w:pStyle w:val="41"/>
              <w:snapToGrid w:val="0"/>
              <w:spacing w:line="240" w:lineRule="auto"/>
              <w:ind w:firstLine="630" w:firstLineChars="300"/>
              <w:jc w:val="both"/>
              <mc:AlternateContent>
                <mc:Choice Requires="wpsCustomData">
                  <wpsCustomData:diagonalParaType/>
                </mc:Choice>
              </mc:AlternateContent>
              <w:rPr>
                <w:color w:val="auto"/>
                <w:highlight w:val="none"/>
              </w:rPr>
            </w:pPr>
            <w:r>
              <w:rPr>
                <w:rFonts w:hint="eastAsia"/>
                <w:color w:val="auto"/>
                <w:highlight w:val="none"/>
                <w:lang w:val="en-US" w:eastAsia="zh-CN"/>
              </w:rPr>
              <w:t xml:space="preserve">  </w:t>
            </w:r>
            <w:r>
              <w:rPr>
                <w:color w:val="auto"/>
                <w:highlight w:val="none"/>
              </w:rPr>
              <w:t>环境敏感程度</w:t>
            </w:r>
          </w:p>
          <w:p>
            <w:pPr>
              <w:pStyle w:val="41"/>
              <w:jc w:val="center"/>
              <w:rPr>
                <w:color w:val="auto"/>
                <w:highlight w:val="none"/>
              </w:rPr>
            </w:pPr>
            <w:r>
              <w:rPr>
                <w:color w:val="auto"/>
                <w:highlight w:val="none"/>
              </w:rPr>
              <w:t>项目类别</w:t>
            </w:r>
          </w:p>
        </w:tc>
        <w:tc>
          <w:tcPr>
            <w:tcW w:w="835" w:type="pct"/>
            <w:tcBorders>
              <w:tl2br w:val="nil"/>
              <w:tr2bl w:val="nil"/>
            </w:tcBorders>
            <w:vAlign w:val="center"/>
          </w:tcPr>
          <w:p>
            <w:pPr>
              <w:pStyle w:val="41"/>
              <w:jc w:val="center"/>
              <w:rPr>
                <w:color w:val="auto"/>
                <w:highlight w:val="none"/>
              </w:rPr>
            </w:pPr>
            <w:r>
              <w:rPr>
                <w:rFonts w:hint="eastAsia" w:ascii="微软雅黑" w:hAnsi="微软雅黑" w:eastAsia="微软雅黑" w:cs="微软雅黑"/>
                <w:color w:val="auto"/>
                <w:highlight w:val="none"/>
              </w:rPr>
              <w:t>Ⅰ</w:t>
            </w:r>
            <w:r>
              <w:rPr>
                <w:color w:val="auto"/>
                <w:highlight w:val="none"/>
              </w:rPr>
              <w:t>类项目</w:t>
            </w:r>
          </w:p>
        </w:tc>
        <w:tc>
          <w:tcPr>
            <w:tcW w:w="1030" w:type="pct"/>
            <w:tcBorders>
              <w:tl2br w:val="nil"/>
              <w:tr2bl w:val="nil"/>
            </w:tcBorders>
            <w:vAlign w:val="center"/>
          </w:tcPr>
          <w:p>
            <w:pPr>
              <w:pStyle w:val="41"/>
              <w:jc w:val="center"/>
              <w:rPr>
                <w:color w:val="auto"/>
                <w:highlight w:val="none"/>
              </w:rPr>
            </w:pPr>
            <w:r>
              <w:rPr>
                <w:rFonts w:hint="eastAsia" w:ascii="微软雅黑" w:hAnsi="微软雅黑" w:eastAsia="微软雅黑" w:cs="微软雅黑"/>
                <w:color w:val="auto"/>
                <w:highlight w:val="none"/>
              </w:rPr>
              <w:t>Ⅱ</w:t>
            </w:r>
            <w:r>
              <w:rPr>
                <w:rFonts w:hint="eastAsia"/>
                <w:color w:val="auto"/>
                <w:highlight w:val="none"/>
              </w:rPr>
              <w:t>类</w:t>
            </w:r>
            <w:r>
              <w:rPr>
                <w:color w:val="auto"/>
                <w:highlight w:val="none"/>
              </w:rPr>
              <w:t>项目</w:t>
            </w:r>
          </w:p>
        </w:tc>
        <w:tc>
          <w:tcPr>
            <w:tcW w:w="1306" w:type="pct"/>
            <w:tcBorders>
              <w:tl2br w:val="nil"/>
              <w:tr2bl w:val="nil"/>
            </w:tcBorders>
            <w:vAlign w:val="center"/>
          </w:tcPr>
          <w:p>
            <w:pPr>
              <w:pStyle w:val="41"/>
              <w:jc w:val="center"/>
              <w:rPr>
                <w:color w:val="auto"/>
                <w:highlight w:val="none"/>
              </w:rPr>
            </w:pPr>
            <w:r>
              <w:rPr>
                <w:rFonts w:hint="eastAsia" w:ascii="微软雅黑" w:hAnsi="微软雅黑" w:eastAsia="微软雅黑" w:cs="微软雅黑"/>
                <w:color w:val="auto"/>
                <w:highlight w:val="none"/>
              </w:rPr>
              <w:t>Ⅲ</w:t>
            </w:r>
            <w:r>
              <w:rPr>
                <w:color w:val="auto"/>
                <w:highlight w:val="none"/>
              </w:rPr>
              <w:t>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pct"/>
            <w:tcBorders>
              <w:tl2br w:val="nil"/>
              <w:tr2bl w:val="nil"/>
            </w:tcBorders>
            <w:vAlign w:val="center"/>
          </w:tcPr>
          <w:p>
            <w:pPr>
              <w:pStyle w:val="41"/>
              <w:jc w:val="center"/>
              <w:rPr>
                <w:color w:val="auto"/>
                <w:highlight w:val="none"/>
              </w:rPr>
            </w:pPr>
            <w:r>
              <w:rPr>
                <w:color w:val="auto"/>
                <w:highlight w:val="none"/>
              </w:rPr>
              <w:t>敏感</w:t>
            </w:r>
          </w:p>
        </w:tc>
        <w:tc>
          <w:tcPr>
            <w:tcW w:w="835" w:type="pct"/>
            <w:tcBorders>
              <w:tl2br w:val="nil"/>
              <w:tr2bl w:val="nil"/>
            </w:tcBorders>
            <w:vAlign w:val="center"/>
          </w:tcPr>
          <w:p>
            <w:pPr>
              <w:pStyle w:val="41"/>
              <w:jc w:val="center"/>
              <w:rPr>
                <w:color w:val="auto"/>
                <w:highlight w:val="none"/>
              </w:rPr>
            </w:pPr>
            <w:r>
              <w:rPr>
                <w:color w:val="auto"/>
                <w:highlight w:val="none"/>
              </w:rPr>
              <w:t>一</w:t>
            </w:r>
          </w:p>
        </w:tc>
        <w:tc>
          <w:tcPr>
            <w:tcW w:w="1030" w:type="pct"/>
            <w:tcBorders>
              <w:tl2br w:val="nil"/>
              <w:tr2bl w:val="nil"/>
            </w:tcBorders>
            <w:vAlign w:val="center"/>
          </w:tcPr>
          <w:p>
            <w:pPr>
              <w:pStyle w:val="41"/>
              <w:jc w:val="center"/>
              <w:rPr>
                <w:color w:val="auto"/>
                <w:highlight w:val="none"/>
              </w:rPr>
            </w:pPr>
            <w:r>
              <w:rPr>
                <w:color w:val="auto"/>
                <w:highlight w:val="none"/>
              </w:rPr>
              <w:t>一</w:t>
            </w:r>
          </w:p>
        </w:tc>
        <w:tc>
          <w:tcPr>
            <w:tcW w:w="1306" w:type="pct"/>
            <w:tcBorders>
              <w:tl2br w:val="nil"/>
              <w:tr2bl w:val="nil"/>
            </w:tcBorders>
            <w:vAlign w:val="center"/>
          </w:tcPr>
          <w:p>
            <w:pPr>
              <w:pStyle w:val="41"/>
              <w:jc w:val="center"/>
              <w:rPr>
                <w:color w:val="auto"/>
                <w:highlight w:val="none"/>
              </w:rPr>
            </w:pPr>
            <w:r>
              <w:rPr>
                <w:color w:val="auto"/>
                <w:highlight w:val="none"/>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pct"/>
            <w:tcBorders>
              <w:tl2br w:val="nil"/>
              <w:tr2bl w:val="nil"/>
            </w:tcBorders>
            <w:vAlign w:val="center"/>
          </w:tcPr>
          <w:p>
            <w:pPr>
              <w:pStyle w:val="41"/>
              <w:jc w:val="center"/>
              <w:rPr>
                <w:color w:val="auto"/>
                <w:highlight w:val="none"/>
              </w:rPr>
            </w:pPr>
            <w:r>
              <w:rPr>
                <w:color w:val="auto"/>
                <w:highlight w:val="none"/>
              </w:rPr>
              <w:t>较敏感</w:t>
            </w:r>
          </w:p>
        </w:tc>
        <w:tc>
          <w:tcPr>
            <w:tcW w:w="835" w:type="pct"/>
            <w:tcBorders>
              <w:tl2br w:val="nil"/>
              <w:tr2bl w:val="nil"/>
            </w:tcBorders>
            <w:vAlign w:val="center"/>
          </w:tcPr>
          <w:p>
            <w:pPr>
              <w:pStyle w:val="41"/>
              <w:jc w:val="center"/>
              <w:rPr>
                <w:color w:val="auto"/>
                <w:highlight w:val="none"/>
              </w:rPr>
            </w:pPr>
            <w:r>
              <w:rPr>
                <w:color w:val="auto"/>
                <w:highlight w:val="none"/>
              </w:rPr>
              <w:t>一</w:t>
            </w:r>
          </w:p>
        </w:tc>
        <w:tc>
          <w:tcPr>
            <w:tcW w:w="1030" w:type="pct"/>
            <w:tcBorders>
              <w:tl2br w:val="nil"/>
              <w:tr2bl w:val="nil"/>
            </w:tcBorders>
            <w:vAlign w:val="center"/>
          </w:tcPr>
          <w:p>
            <w:pPr>
              <w:pStyle w:val="41"/>
              <w:jc w:val="center"/>
              <w:rPr>
                <w:color w:val="auto"/>
                <w:highlight w:val="none"/>
              </w:rPr>
            </w:pPr>
            <w:r>
              <w:rPr>
                <w:color w:val="auto"/>
                <w:highlight w:val="none"/>
              </w:rPr>
              <w:t>二</w:t>
            </w:r>
          </w:p>
        </w:tc>
        <w:tc>
          <w:tcPr>
            <w:tcW w:w="1306" w:type="pct"/>
            <w:tcBorders>
              <w:tl2br w:val="nil"/>
              <w:tr2bl w:val="nil"/>
            </w:tcBorders>
            <w:vAlign w:val="center"/>
          </w:tcPr>
          <w:p>
            <w:pPr>
              <w:pStyle w:val="41"/>
              <w:jc w:val="center"/>
              <w:rPr>
                <w:color w:val="auto"/>
                <w:highlight w:val="none"/>
              </w:rPr>
            </w:pPr>
            <w:r>
              <w:rPr>
                <w:color w:val="auto"/>
                <w:highlight w:val="none"/>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827" w:type="pct"/>
            <w:tcBorders>
              <w:tl2br w:val="nil"/>
              <w:tr2bl w:val="nil"/>
            </w:tcBorders>
            <w:vAlign w:val="center"/>
          </w:tcPr>
          <w:p>
            <w:pPr>
              <w:pStyle w:val="41"/>
              <w:jc w:val="center"/>
              <w:rPr>
                <w:color w:val="auto"/>
                <w:highlight w:val="none"/>
              </w:rPr>
            </w:pPr>
            <w:r>
              <w:rPr>
                <w:color w:val="auto"/>
                <w:highlight w:val="none"/>
              </w:rPr>
              <w:t>不敏感</w:t>
            </w:r>
          </w:p>
        </w:tc>
        <w:tc>
          <w:tcPr>
            <w:tcW w:w="835" w:type="pct"/>
            <w:tcBorders>
              <w:tl2br w:val="nil"/>
              <w:tr2bl w:val="nil"/>
            </w:tcBorders>
            <w:vAlign w:val="center"/>
          </w:tcPr>
          <w:p>
            <w:pPr>
              <w:pStyle w:val="41"/>
              <w:jc w:val="center"/>
              <w:rPr>
                <w:color w:val="auto"/>
                <w:highlight w:val="none"/>
              </w:rPr>
            </w:pPr>
            <w:r>
              <w:rPr>
                <w:color w:val="auto"/>
                <w:highlight w:val="none"/>
              </w:rPr>
              <w:t>二</w:t>
            </w:r>
          </w:p>
        </w:tc>
        <w:tc>
          <w:tcPr>
            <w:tcW w:w="1030" w:type="pct"/>
            <w:tcBorders>
              <w:tl2br w:val="nil"/>
              <w:tr2bl w:val="nil"/>
            </w:tcBorders>
            <w:vAlign w:val="center"/>
          </w:tcPr>
          <w:p>
            <w:pPr>
              <w:pStyle w:val="41"/>
              <w:jc w:val="center"/>
              <w:rPr>
                <w:color w:val="auto"/>
                <w:highlight w:val="none"/>
              </w:rPr>
            </w:pPr>
            <w:r>
              <w:rPr>
                <w:b/>
                <w:bCs/>
                <w:color w:val="auto"/>
                <w:highlight w:val="none"/>
              </w:rPr>
              <w:t>三</w:t>
            </w:r>
          </w:p>
        </w:tc>
        <w:tc>
          <w:tcPr>
            <w:tcW w:w="1306" w:type="pct"/>
            <w:tcBorders>
              <w:tl2br w:val="nil"/>
              <w:tr2bl w:val="nil"/>
            </w:tcBorders>
            <w:vAlign w:val="center"/>
          </w:tcPr>
          <w:p>
            <w:pPr>
              <w:pStyle w:val="41"/>
              <w:jc w:val="center"/>
              <w:rPr>
                <w:color w:val="auto"/>
                <w:highlight w:val="none"/>
              </w:rPr>
            </w:pPr>
            <w:r>
              <w:rPr>
                <w:color w:val="auto"/>
                <w:highlight w:val="none"/>
              </w:rPr>
              <w:t>三</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bidi="ar"/>
        </w:rPr>
      </w:pPr>
      <w:r>
        <w:rPr>
          <w:rFonts w:hint="eastAsia" w:cs="Times New Roman"/>
          <w:color w:val="auto"/>
          <w:highlight w:val="none"/>
          <w:lang w:bidi="ar"/>
        </w:rPr>
        <w:t>表2.5-4       本工程地下水评价工作等级一览表</w:t>
      </w:r>
    </w:p>
    <w:tbl>
      <w:tblPr>
        <w:tblStyle w:val="34"/>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546"/>
        <w:gridCol w:w="942"/>
        <w:gridCol w:w="4083"/>
        <w:gridCol w:w="848"/>
        <w:gridCol w:w="12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1" w:type="pct"/>
            <w:tcBorders>
              <w:tl2br w:val="nil"/>
              <w:tr2bl w:val="nil"/>
            </w:tcBorders>
            <w:vAlign w:val="center"/>
          </w:tcPr>
          <w:p>
            <w:pPr>
              <w:pStyle w:val="41"/>
              <w:rPr>
                <w:color w:val="auto"/>
                <w:highlight w:val="none"/>
              </w:rPr>
            </w:pPr>
            <w:r>
              <w:rPr>
                <w:rFonts w:hint="eastAsia"/>
                <w:color w:val="auto"/>
                <w:highlight w:val="none"/>
              </w:rPr>
              <w:t>工程内容</w:t>
            </w:r>
          </w:p>
        </w:tc>
        <w:tc>
          <w:tcPr>
            <w:tcW w:w="543" w:type="pct"/>
            <w:tcBorders>
              <w:tl2br w:val="nil"/>
              <w:tr2bl w:val="nil"/>
            </w:tcBorders>
            <w:vAlign w:val="center"/>
          </w:tcPr>
          <w:p>
            <w:pPr>
              <w:pStyle w:val="41"/>
              <w:rPr>
                <w:color w:val="auto"/>
                <w:highlight w:val="none"/>
              </w:rPr>
            </w:pPr>
            <w:r>
              <w:rPr>
                <w:rFonts w:hint="eastAsia"/>
                <w:color w:val="auto"/>
                <w:highlight w:val="none"/>
              </w:rPr>
              <w:t>项目类别</w:t>
            </w:r>
          </w:p>
        </w:tc>
        <w:tc>
          <w:tcPr>
            <w:tcW w:w="2354" w:type="pct"/>
            <w:tcBorders>
              <w:tl2br w:val="nil"/>
              <w:tr2bl w:val="nil"/>
            </w:tcBorders>
            <w:vAlign w:val="center"/>
          </w:tcPr>
          <w:p>
            <w:pPr>
              <w:pStyle w:val="41"/>
              <w:rPr>
                <w:color w:val="auto"/>
                <w:highlight w:val="none"/>
              </w:rPr>
            </w:pPr>
            <w:r>
              <w:rPr>
                <w:rFonts w:hint="eastAsia"/>
                <w:color w:val="auto"/>
                <w:highlight w:val="none"/>
              </w:rPr>
              <w:t>和周边水源地关系</w:t>
            </w:r>
          </w:p>
        </w:tc>
        <w:tc>
          <w:tcPr>
            <w:tcW w:w="489" w:type="pct"/>
            <w:tcBorders>
              <w:tl2br w:val="nil"/>
              <w:tr2bl w:val="nil"/>
            </w:tcBorders>
            <w:vAlign w:val="center"/>
          </w:tcPr>
          <w:p>
            <w:pPr>
              <w:pStyle w:val="41"/>
              <w:rPr>
                <w:color w:val="auto"/>
                <w:highlight w:val="none"/>
              </w:rPr>
            </w:pPr>
            <w:r>
              <w:rPr>
                <w:rFonts w:hint="eastAsia"/>
                <w:color w:val="auto"/>
                <w:highlight w:val="none"/>
              </w:rPr>
              <w:t>环境敏感程度</w:t>
            </w:r>
          </w:p>
        </w:tc>
        <w:tc>
          <w:tcPr>
            <w:tcW w:w="721" w:type="pct"/>
            <w:tcBorders>
              <w:tl2br w:val="nil"/>
              <w:tr2bl w:val="nil"/>
            </w:tcBorders>
            <w:vAlign w:val="center"/>
          </w:tcPr>
          <w:p>
            <w:pPr>
              <w:pStyle w:val="41"/>
              <w:rPr>
                <w:color w:val="auto"/>
                <w:highlight w:val="none"/>
              </w:rPr>
            </w:pPr>
            <w:r>
              <w:rPr>
                <w:rFonts w:hint="eastAsia"/>
                <w:color w:val="auto"/>
                <w:highlight w:val="none"/>
              </w:rPr>
              <w:t>评价等级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1" w:type="pct"/>
            <w:tcBorders>
              <w:tl2br w:val="nil"/>
              <w:tr2bl w:val="nil"/>
            </w:tcBorders>
            <w:vAlign w:val="center"/>
          </w:tcPr>
          <w:p>
            <w:pPr>
              <w:pStyle w:val="41"/>
              <w:rPr>
                <w:color w:val="auto"/>
                <w:highlight w:val="none"/>
              </w:rPr>
            </w:pPr>
            <w:r>
              <w:rPr>
                <w:rFonts w:hint="eastAsia" w:hAnsi="宋体" w:cs="宋体"/>
                <w:color w:val="auto"/>
                <w:highlight w:val="none"/>
                <w:lang w:eastAsia="zh-CN"/>
              </w:rPr>
              <w:t>采油井场</w:t>
            </w:r>
            <w:r>
              <w:rPr>
                <w:rFonts w:hint="eastAsia" w:hAnsi="宋体" w:cs="宋体"/>
                <w:color w:val="auto"/>
                <w:highlight w:val="none"/>
              </w:rPr>
              <w:t>、站场、</w:t>
            </w:r>
          </w:p>
        </w:tc>
        <w:tc>
          <w:tcPr>
            <w:tcW w:w="543" w:type="pct"/>
            <w:tcBorders>
              <w:tl2br w:val="nil"/>
              <w:tr2bl w:val="nil"/>
            </w:tcBorders>
            <w:vAlign w:val="center"/>
          </w:tcPr>
          <w:p>
            <w:pPr>
              <w:pStyle w:val="41"/>
              <w:rPr>
                <w:color w:val="auto"/>
                <w:highlight w:val="none"/>
              </w:rPr>
            </w:pPr>
            <w:r>
              <w:rPr>
                <w:rFonts w:hint="eastAsia" w:ascii="微软雅黑" w:hAnsi="微软雅黑" w:eastAsia="微软雅黑" w:cs="微软雅黑"/>
                <w:color w:val="auto"/>
                <w:highlight w:val="none"/>
              </w:rPr>
              <w:t>Ⅰ</w:t>
            </w:r>
          </w:p>
        </w:tc>
        <w:tc>
          <w:tcPr>
            <w:tcW w:w="2354" w:type="pct"/>
            <w:tcBorders>
              <w:tl2br w:val="nil"/>
              <w:tr2bl w:val="nil"/>
            </w:tcBorders>
            <w:vAlign w:val="center"/>
          </w:tcPr>
          <w:p>
            <w:pPr>
              <w:pStyle w:val="41"/>
              <w:rPr>
                <w:color w:val="auto"/>
                <w:highlight w:val="none"/>
              </w:rPr>
            </w:pPr>
            <w:r>
              <w:rPr>
                <w:rFonts w:hint="eastAsia"/>
                <w:color w:val="auto"/>
                <w:highlight w:val="none"/>
              </w:rPr>
              <w:t>不涉及集中式及分散式饮用水水源地等</w:t>
            </w:r>
          </w:p>
        </w:tc>
        <w:tc>
          <w:tcPr>
            <w:tcW w:w="489" w:type="pct"/>
            <w:tcBorders>
              <w:tl2br w:val="nil"/>
              <w:tr2bl w:val="nil"/>
            </w:tcBorders>
            <w:vAlign w:val="center"/>
          </w:tcPr>
          <w:p>
            <w:pPr>
              <w:pStyle w:val="41"/>
              <w:rPr>
                <w:color w:val="auto"/>
                <w:highlight w:val="none"/>
              </w:rPr>
            </w:pPr>
            <w:r>
              <w:rPr>
                <w:rFonts w:hint="eastAsia"/>
                <w:color w:val="auto"/>
                <w:highlight w:val="none"/>
              </w:rPr>
              <w:t>不敏感</w:t>
            </w:r>
          </w:p>
        </w:tc>
        <w:tc>
          <w:tcPr>
            <w:tcW w:w="721" w:type="pct"/>
            <w:tcBorders>
              <w:tl2br w:val="nil"/>
              <w:tr2bl w:val="nil"/>
            </w:tcBorders>
            <w:vAlign w:val="center"/>
          </w:tcPr>
          <w:p>
            <w:pPr>
              <w:pStyle w:val="41"/>
              <w:rPr>
                <w:rFonts w:hint="eastAsia" w:eastAsia="宋体"/>
                <w:color w:val="auto"/>
                <w:highlight w:val="none"/>
                <w:lang w:eastAsia="zh-CN"/>
              </w:rPr>
            </w:pPr>
            <w:r>
              <w:rPr>
                <w:rFonts w:hint="eastAsia"/>
                <w:color w:val="auto"/>
                <w:highlight w:val="none"/>
                <w:lang w:val="en-US" w:eastAsia="zh-CN"/>
              </w:rPr>
              <w:t>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91"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各类集输管线</w:t>
            </w:r>
          </w:p>
        </w:tc>
        <w:tc>
          <w:tcPr>
            <w:tcW w:w="543" w:type="pct"/>
            <w:tcBorders>
              <w:tl2br w:val="nil"/>
              <w:tr2bl w:val="nil"/>
            </w:tcBorders>
            <w:vAlign w:val="center"/>
          </w:tcPr>
          <w:p>
            <w:pPr>
              <w:pStyle w:val="41"/>
              <w:rPr>
                <w:color w:val="auto"/>
                <w:highlight w:val="none"/>
              </w:rPr>
            </w:pPr>
            <w:r>
              <w:rPr>
                <w:rFonts w:hint="eastAsia" w:ascii="微软雅黑" w:hAnsi="微软雅黑" w:eastAsia="微软雅黑" w:cs="微软雅黑"/>
                <w:color w:val="auto"/>
                <w:highlight w:val="none"/>
              </w:rPr>
              <w:t>Ⅱ</w:t>
            </w:r>
          </w:p>
        </w:tc>
        <w:tc>
          <w:tcPr>
            <w:tcW w:w="2354" w:type="pct"/>
            <w:tcBorders>
              <w:tl2br w:val="nil"/>
              <w:tr2bl w:val="nil"/>
            </w:tcBorders>
            <w:vAlign w:val="center"/>
          </w:tcPr>
          <w:p>
            <w:pPr>
              <w:pStyle w:val="41"/>
              <w:rPr>
                <w:color w:val="auto"/>
                <w:highlight w:val="none"/>
              </w:rPr>
            </w:pPr>
            <w:r>
              <w:rPr>
                <w:rFonts w:hint="eastAsia"/>
                <w:color w:val="auto"/>
                <w:highlight w:val="none"/>
              </w:rPr>
              <w:t>不涉及集中式及分散式饮用水水源地等</w:t>
            </w:r>
          </w:p>
        </w:tc>
        <w:tc>
          <w:tcPr>
            <w:tcW w:w="489" w:type="pct"/>
            <w:tcBorders>
              <w:tl2br w:val="nil"/>
              <w:tr2bl w:val="nil"/>
            </w:tcBorders>
            <w:vAlign w:val="center"/>
          </w:tcPr>
          <w:p>
            <w:pPr>
              <w:pStyle w:val="41"/>
              <w:rPr>
                <w:color w:val="auto"/>
                <w:highlight w:val="none"/>
              </w:rPr>
            </w:pPr>
            <w:r>
              <w:rPr>
                <w:rFonts w:hint="eastAsia"/>
                <w:color w:val="auto"/>
                <w:highlight w:val="none"/>
              </w:rPr>
              <w:t>不敏感</w:t>
            </w:r>
          </w:p>
        </w:tc>
        <w:tc>
          <w:tcPr>
            <w:tcW w:w="721" w:type="pct"/>
            <w:tcBorders>
              <w:tl2br w:val="nil"/>
              <w:tr2bl w:val="nil"/>
            </w:tcBorders>
            <w:vAlign w:val="center"/>
          </w:tcPr>
          <w:p>
            <w:pPr>
              <w:pStyle w:val="41"/>
              <w:rPr>
                <w:color w:val="auto"/>
                <w:highlight w:val="none"/>
              </w:rPr>
            </w:pPr>
            <w:r>
              <w:rPr>
                <w:rFonts w:hint="eastAsia"/>
                <w:color w:val="auto"/>
                <w:highlight w:val="none"/>
              </w:rPr>
              <w:t>三</w:t>
            </w:r>
          </w:p>
        </w:tc>
      </w:tr>
    </w:tbl>
    <w:p>
      <w:pPr>
        <w:pStyle w:val="57"/>
        <w:rPr>
          <w:color w:val="auto"/>
          <w:highlight w:val="none"/>
        </w:rPr>
      </w:pPr>
      <w:r>
        <w:rPr>
          <w:color w:val="auto"/>
          <w:highlight w:val="none"/>
        </w:rPr>
        <w:t>（2）评价范围</w:t>
      </w:r>
      <w:r>
        <w:rPr>
          <w:rFonts w:hint="eastAsia"/>
          <w:color w:val="auto"/>
          <w:highlight w:val="none"/>
        </w:rPr>
        <w:t>确定</w:t>
      </w:r>
    </w:p>
    <w:p>
      <w:pPr>
        <w:pStyle w:val="57"/>
        <w:rPr>
          <w:color w:val="auto"/>
          <w:highlight w:val="none"/>
        </w:rPr>
      </w:pPr>
      <w:r>
        <w:rPr>
          <w:rFonts w:hint="default" w:ascii="Times New Roman" w:hAnsi="Times New Roman" w:cs="Times New Roman"/>
          <w:snapToGrid w:val="0"/>
          <w:color w:val="auto"/>
          <w:szCs w:val="22"/>
          <w:highlight w:val="none"/>
          <w:shd w:val="clear" w:color="auto" w:fill="auto"/>
        </w:rPr>
        <w:t>根据《环境影响评价技术导则 地下水环境》（HJ610-2016）“8.2.2调查评价范围确定”章节的相关要求，本次评价以查表法确定地下水评价范围，《环境影响评价技术导则 地下水环境》（HJ610-2016）“表3地下水环境现状调查评价范围参照表”规定二级评价调查面积为6~20km</w:t>
      </w:r>
      <w:r>
        <w:rPr>
          <w:rFonts w:hint="default" w:ascii="Times New Roman" w:hAnsi="Times New Roman" w:cs="Times New Roman"/>
          <w:snapToGrid w:val="0"/>
          <w:color w:val="auto"/>
          <w:szCs w:val="22"/>
          <w:highlight w:val="none"/>
          <w:shd w:val="clear" w:color="auto" w:fill="auto"/>
          <w:vertAlign w:val="superscript"/>
        </w:rPr>
        <w:t>2</w:t>
      </w:r>
      <w:r>
        <w:rPr>
          <w:rFonts w:hint="default" w:ascii="Times New Roman" w:hAnsi="Times New Roman" w:cs="Times New Roman"/>
          <w:snapToGrid w:val="0"/>
          <w:color w:val="auto"/>
          <w:szCs w:val="22"/>
          <w:highlight w:val="none"/>
          <w:shd w:val="clear" w:color="auto" w:fill="auto"/>
        </w:rPr>
        <w:t>，结合项目实际建设内容，本次地下水评价范围</w:t>
      </w:r>
      <w:r>
        <w:rPr>
          <w:rFonts w:hint="default" w:ascii="Times New Roman" w:hAnsi="Times New Roman" w:cs="Times New Roman"/>
          <w:color w:val="auto"/>
          <w:highlight w:val="none"/>
          <w:shd w:val="clear" w:color="auto" w:fill="auto"/>
        </w:rPr>
        <w:t>为</w:t>
      </w:r>
      <w:bookmarkStart w:id="174" w:name="_Hlk111798118"/>
      <w:r>
        <w:rPr>
          <w:rFonts w:hint="default" w:ascii="Times New Roman" w:hAnsi="Times New Roman" w:cs="Times New Roman"/>
          <w:color w:val="auto"/>
          <w:highlight w:val="none"/>
          <w:shd w:val="clear" w:color="auto" w:fill="auto"/>
          <w:lang w:bidi="ar"/>
        </w:rPr>
        <w:t>以地下水流向为长轴，为新建</w:t>
      </w:r>
      <w:r>
        <w:rPr>
          <w:rFonts w:hint="eastAsia" w:ascii="Times New Roman" w:hAnsi="Times New Roman" w:cs="Times New Roman"/>
          <w:color w:val="auto"/>
          <w:highlight w:val="none"/>
          <w:shd w:val="clear" w:color="auto" w:fill="auto"/>
          <w:lang w:val="en-US" w:eastAsia="zh-CN" w:bidi="ar"/>
        </w:rPr>
        <w:t>井场、站场</w:t>
      </w:r>
      <w:r>
        <w:rPr>
          <w:rFonts w:hint="default" w:ascii="Times New Roman" w:hAnsi="Times New Roman" w:cs="Times New Roman"/>
          <w:color w:val="auto"/>
          <w:highlight w:val="none"/>
          <w:shd w:val="clear" w:color="auto" w:fill="auto"/>
          <w:lang w:bidi="ar"/>
        </w:rPr>
        <w:t>中心四周边界上游1km、下游2km，</w:t>
      </w:r>
      <w:r>
        <w:rPr>
          <w:rFonts w:hint="default" w:ascii="Times New Roman" w:hAnsi="Times New Roman" w:cs="Times New Roman"/>
          <w:color w:val="auto"/>
          <w:highlight w:val="none"/>
          <w:shd w:val="clear" w:color="auto" w:fill="auto"/>
        </w:rPr>
        <w:t>水流垂直方向分别外扩1km</w:t>
      </w:r>
      <w:bookmarkEnd w:id="174"/>
      <w:r>
        <w:rPr>
          <w:rFonts w:hint="default" w:ascii="Times New Roman" w:hAnsi="Times New Roman" w:cs="Times New Roman"/>
          <w:color w:val="auto"/>
          <w:highlight w:val="none"/>
          <w:shd w:val="clear" w:color="auto" w:fill="auto"/>
        </w:rPr>
        <w:t>，</w:t>
      </w:r>
      <w:r>
        <w:rPr>
          <w:rFonts w:hint="eastAsia" w:ascii="Times New Roman" w:hAnsi="Times New Roman" w:cs="Times New Roman"/>
          <w:color w:val="auto"/>
          <w:highlight w:val="none"/>
          <w:shd w:val="clear" w:color="auto" w:fill="auto"/>
          <w:lang w:val="en-US" w:eastAsia="zh-CN"/>
        </w:rPr>
        <w:t>集输</w:t>
      </w:r>
      <w:r>
        <w:rPr>
          <w:rFonts w:hint="default" w:ascii="Times New Roman" w:hAnsi="Times New Roman" w:cs="Times New Roman"/>
          <w:color w:val="auto"/>
          <w:highlight w:val="none"/>
          <w:shd w:val="clear" w:color="auto" w:fill="auto"/>
        </w:rPr>
        <w:t>管线</w:t>
      </w:r>
      <w:r>
        <w:rPr>
          <w:rFonts w:hint="default" w:ascii="Times New Roman" w:hAnsi="Times New Roman" w:cs="Times New Roman"/>
          <w:color w:val="auto"/>
          <w:highlight w:val="none"/>
          <w:shd w:val="clear" w:color="auto" w:fill="auto"/>
          <w:lang w:val="en-US" w:eastAsia="zh-CN"/>
        </w:rPr>
        <w:t>边界</w:t>
      </w:r>
      <w:r>
        <w:rPr>
          <w:rFonts w:hint="default" w:ascii="Times New Roman" w:hAnsi="Times New Roman" w:cs="Times New Roman"/>
          <w:color w:val="auto"/>
          <w:highlight w:val="none"/>
          <w:shd w:val="clear" w:color="auto" w:fill="auto"/>
        </w:rPr>
        <w:t>两侧</w:t>
      </w:r>
      <w:r>
        <w:rPr>
          <w:rFonts w:hint="default" w:ascii="Times New Roman" w:hAnsi="Times New Roman" w:cs="Times New Roman"/>
          <w:color w:val="auto"/>
          <w:highlight w:val="none"/>
          <w:shd w:val="clear" w:color="auto" w:fill="auto"/>
          <w:lang w:val="en-US" w:eastAsia="zh-CN"/>
        </w:rPr>
        <w:t>外延</w:t>
      </w:r>
      <w:r>
        <w:rPr>
          <w:rFonts w:hint="default" w:ascii="Times New Roman" w:hAnsi="Times New Roman" w:cs="Times New Roman"/>
          <w:color w:val="auto"/>
          <w:highlight w:val="none"/>
          <w:shd w:val="clear" w:color="auto" w:fill="auto"/>
        </w:rPr>
        <w:t>200m。</w:t>
      </w:r>
      <w:r>
        <w:rPr>
          <w:color w:val="auto"/>
          <w:highlight w:val="none"/>
        </w:rPr>
        <w:t>评价范围见图2.</w:t>
      </w:r>
      <w:r>
        <w:rPr>
          <w:rFonts w:hint="eastAsia"/>
          <w:color w:val="auto"/>
          <w:highlight w:val="none"/>
        </w:rPr>
        <w:t>5</w:t>
      </w:r>
      <w:r>
        <w:rPr>
          <w:color w:val="auto"/>
          <w:highlight w:val="none"/>
        </w:rPr>
        <w:t>-1。</w:t>
      </w:r>
    </w:p>
    <w:p>
      <w:pPr>
        <w:pStyle w:val="53"/>
        <w:rPr>
          <w:color w:val="auto"/>
          <w:highlight w:val="none"/>
        </w:rPr>
      </w:pPr>
      <w:bookmarkStart w:id="175" w:name="_Toc173941804"/>
      <w:r>
        <w:rPr>
          <w:color w:val="auto"/>
          <w:highlight w:val="none"/>
        </w:rPr>
        <w:t>2.</w:t>
      </w:r>
      <w:r>
        <w:rPr>
          <w:rFonts w:hint="eastAsia"/>
          <w:color w:val="auto"/>
          <w:highlight w:val="none"/>
        </w:rPr>
        <w:t>5</w:t>
      </w:r>
      <w:r>
        <w:rPr>
          <w:color w:val="auto"/>
          <w:highlight w:val="none"/>
        </w:rPr>
        <w:t>.3地表水</w:t>
      </w:r>
      <w:bookmarkEnd w:id="175"/>
      <w:r>
        <w:rPr>
          <w:rFonts w:hint="eastAsia"/>
          <w:color w:val="auto"/>
          <w:highlight w:val="none"/>
        </w:rPr>
        <w:t>环境影响评价等级和评价范围</w:t>
      </w:r>
    </w:p>
    <w:p>
      <w:pPr>
        <w:pStyle w:val="57"/>
        <w:rPr>
          <w:color w:val="auto"/>
          <w:highlight w:val="none"/>
        </w:rPr>
      </w:pPr>
      <w:r>
        <w:rPr>
          <w:color w:val="auto"/>
          <w:highlight w:val="none"/>
        </w:rPr>
        <w:t>按照《环境影响评价技术导则</w:t>
      </w:r>
      <w:r>
        <w:rPr>
          <w:rFonts w:hint="eastAsia"/>
          <w:color w:val="auto"/>
          <w:highlight w:val="none"/>
        </w:rPr>
        <w:t xml:space="preserve">  </w:t>
      </w:r>
      <w:r>
        <w:rPr>
          <w:color w:val="auto"/>
          <w:highlight w:val="none"/>
        </w:rPr>
        <w:t>地表水环境》（HJ2.3-2018），</w:t>
      </w:r>
      <w:r>
        <w:rPr>
          <w:rFonts w:hint="eastAsia"/>
          <w:color w:val="auto"/>
          <w:highlight w:val="none"/>
        </w:rPr>
        <w:t>本工程</w:t>
      </w:r>
      <w:r>
        <w:rPr>
          <w:color w:val="auto"/>
          <w:highlight w:val="none"/>
        </w:rPr>
        <w:t>属于水污染影响型建设项目。在</w:t>
      </w:r>
      <w:r>
        <w:rPr>
          <w:rFonts w:hint="eastAsia"/>
          <w:color w:val="auto"/>
          <w:highlight w:val="none"/>
          <w:lang w:val="en-US" w:eastAsia="zh-CN"/>
        </w:rPr>
        <w:t>油气田</w:t>
      </w:r>
      <w:r>
        <w:rPr>
          <w:color w:val="auto"/>
          <w:highlight w:val="none"/>
        </w:rPr>
        <w:t>正常开采及油气集输过程中，</w:t>
      </w:r>
      <w:r>
        <w:rPr>
          <w:rFonts w:hint="eastAsia"/>
          <w:color w:val="auto"/>
          <w:highlight w:val="none"/>
        </w:rPr>
        <w:t>本工程</w:t>
      </w:r>
      <w:r>
        <w:rPr>
          <w:color w:val="auto"/>
          <w:highlight w:val="none"/>
        </w:rPr>
        <w:t>产生的</w:t>
      </w:r>
      <w:r>
        <w:rPr>
          <w:rFonts w:hint="eastAsia"/>
          <w:color w:val="auto"/>
          <w:highlight w:val="none"/>
        </w:rPr>
        <w:t>生产废水、生活污水</w:t>
      </w:r>
      <w:r>
        <w:rPr>
          <w:color w:val="auto"/>
          <w:highlight w:val="none"/>
        </w:rPr>
        <w:t>不外排，不与周边地表水体发生水力联系，项目地表水环境影响评价等级为三级B。本次地表水环境影响评价重点论证项目废水综合利用不外排的可行性和可靠性，污</w:t>
      </w:r>
      <w:r>
        <w:rPr>
          <w:rFonts w:hint="eastAsia"/>
          <w:color w:val="auto"/>
          <w:highlight w:val="none"/>
        </w:rPr>
        <w:t>（</w:t>
      </w:r>
      <w:r>
        <w:rPr>
          <w:color w:val="auto"/>
          <w:highlight w:val="none"/>
        </w:rPr>
        <w:t>废</w:t>
      </w:r>
      <w:r>
        <w:rPr>
          <w:rFonts w:hint="eastAsia"/>
          <w:color w:val="auto"/>
          <w:highlight w:val="none"/>
        </w:rPr>
        <w:t>）</w:t>
      </w:r>
      <w:r>
        <w:rPr>
          <w:color w:val="auto"/>
          <w:highlight w:val="none"/>
        </w:rPr>
        <w:t>水处理设施的依托可行性。</w:t>
      </w:r>
    </w:p>
    <w:p>
      <w:pPr>
        <w:pStyle w:val="53"/>
        <w:rPr>
          <w:rFonts w:eastAsia="宋体"/>
          <w:color w:val="auto"/>
          <w:highlight w:val="none"/>
        </w:rPr>
      </w:pPr>
      <w:bookmarkStart w:id="176" w:name="_Toc173941808"/>
      <w:bookmarkStart w:id="177" w:name="_Hlk48603751"/>
      <w:r>
        <w:rPr>
          <w:color w:val="auto"/>
          <w:highlight w:val="none"/>
        </w:rPr>
        <w:t>2.</w:t>
      </w:r>
      <w:r>
        <w:rPr>
          <w:rFonts w:hint="eastAsia"/>
          <w:color w:val="auto"/>
          <w:highlight w:val="none"/>
        </w:rPr>
        <w:t>5.4</w:t>
      </w:r>
      <w:r>
        <w:rPr>
          <w:color w:val="auto"/>
          <w:highlight w:val="none"/>
        </w:rPr>
        <w:t>土壤环境</w:t>
      </w:r>
      <w:bookmarkEnd w:id="176"/>
      <w:r>
        <w:rPr>
          <w:rFonts w:hint="eastAsia"/>
          <w:color w:val="auto"/>
          <w:highlight w:val="none"/>
        </w:rPr>
        <w:t>影响评价等级和评价范围</w:t>
      </w:r>
    </w:p>
    <w:p>
      <w:pPr>
        <w:pStyle w:val="57"/>
        <w:rPr>
          <w:color w:val="auto"/>
          <w:highlight w:val="none"/>
        </w:rPr>
      </w:pPr>
      <w:r>
        <w:rPr>
          <w:rFonts w:hint="eastAsia"/>
          <w:color w:val="auto"/>
          <w:highlight w:val="none"/>
        </w:rPr>
        <w:t>根据《环境影响评价技术导则 土壤环境</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HJ964-2018</w:t>
      </w:r>
      <w:r>
        <w:rPr>
          <w:rFonts w:hint="eastAsia"/>
          <w:color w:val="auto"/>
          <w:highlight w:val="none"/>
          <w:lang w:eastAsia="zh-CN"/>
        </w:rPr>
        <w:t>）</w:t>
      </w:r>
      <w:r>
        <w:rPr>
          <w:rFonts w:hint="eastAsia"/>
          <w:color w:val="auto"/>
          <w:highlight w:val="none"/>
        </w:rPr>
        <w:t>和《环境影响评价技术导则 陆地石油天然气开发建设项目》</w:t>
      </w:r>
      <w:r>
        <w:rPr>
          <w:rFonts w:hint="eastAsia"/>
          <w:color w:val="auto"/>
          <w:highlight w:val="none"/>
          <w:lang w:eastAsia="zh-CN"/>
        </w:rPr>
        <w:t>（</w:t>
      </w:r>
      <w:r>
        <w:rPr>
          <w:rFonts w:hint="eastAsia"/>
          <w:color w:val="auto"/>
          <w:highlight w:val="none"/>
        </w:rPr>
        <w:t>HJ349-2023</w:t>
      </w:r>
      <w:r>
        <w:rPr>
          <w:rFonts w:hint="eastAsia"/>
          <w:color w:val="auto"/>
          <w:highlight w:val="none"/>
          <w:lang w:eastAsia="zh-CN"/>
        </w:rPr>
        <w:t>）</w:t>
      </w:r>
      <w:r>
        <w:rPr>
          <w:rFonts w:hint="eastAsia"/>
          <w:color w:val="auto"/>
          <w:highlight w:val="none"/>
        </w:rPr>
        <w:t>以及本次现状监测数据，工程所在区域</w:t>
      </w:r>
      <w:r>
        <w:rPr>
          <w:rFonts w:hint="eastAsia" w:ascii="Times New Roman" w:hAnsi="Times New Roman" w:eastAsia="宋体" w:cs="Times New Roman"/>
          <w:color w:val="auto"/>
          <w:sz w:val="24"/>
          <w:szCs w:val="24"/>
          <w:highlight w:val="none"/>
          <w:shd w:val="clear" w:color="auto" w:fill="auto"/>
          <w:lang w:val="en-US" w:eastAsia="zh-CN"/>
        </w:rPr>
        <w:t>土壤pH值为7.56~9.48，</w:t>
      </w:r>
      <w:r>
        <w:rPr>
          <w:rFonts w:hint="eastAsia"/>
          <w:color w:val="auto"/>
          <w:highlight w:val="none"/>
          <w:lang w:val="en-US" w:eastAsia="zh-CN"/>
        </w:rPr>
        <w:t>存在</w:t>
      </w:r>
      <w:r>
        <w:rPr>
          <w:rFonts w:cs="Times New Roman"/>
          <w:color w:val="auto"/>
          <w:spacing w:val="-2"/>
          <w:highlight w:val="none"/>
        </w:rPr>
        <w:t>无酸化或碱化</w:t>
      </w:r>
      <w:r>
        <w:rPr>
          <w:rFonts w:hint="eastAsia" w:cs="Times New Roman"/>
          <w:color w:val="auto"/>
          <w:spacing w:val="-2"/>
          <w:highlight w:val="none"/>
          <w:lang w:eastAsia="zh-CN"/>
        </w:rPr>
        <w:t>、</w:t>
      </w:r>
      <w:r>
        <w:rPr>
          <w:rFonts w:cs="Times New Roman"/>
          <w:color w:val="auto"/>
          <w:spacing w:val="-2"/>
          <w:highlight w:val="none"/>
        </w:rPr>
        <w:t>轻度碱化</w:t>
      </w:r>
      <w:r>
        <w:rPr>
          <w:rFonts w:hint="eastAsia" w:cs="Times New Roman"/>
          <w:color w:val="auto"/>
          <w:spacing w:val="-2"/>
          <w:highlight w:val="none"/>
          <w:lang w:eastAsia="zh-CN"/>
        </w:rPr>
        <w:t>、</w:t>
      </w:r>
      <w:r>
        <w:rPr>
          <w:rFonts w:cs="Times New Roman"/>
          <w:color w:val="auto"/>
          <w:spacing w:val="-6"/>
          <w:highlight w:val="none"/>
        </w:rPr>
        <w:t>中度碱化</w:t>
      </w:r>
      <w:r>
        <w:rPr>
          <w:rFonts w:hint="eastAsia"/>
          <w:color w:val="auto"/>
          <w:highlight w:val="none"/>
        </w:rPr>
        <w:t>，</w:t>
      </w:r>
      <w:r>
        <w:rPr>
          <w:rFonts w:hint="eastAsia" w:ascii="Times New Roman" w:hAnsi="Times New Roman" w:eastAsia="宋体" w:cs="Times New Roman"/>
          <w:color w:val="auto"/>
          <w:kern w:val="10"/>
          <w:szCs w:val="24"/>
          <w:highlight w:val="none"/>
          <w:shd w:val="clear" w:color="auto" w:fill="auto"/>
          <w:lang w:val="en-US" w:eastAsia="zh-CN"/>
        </w:rPr>
        <w:t>土壤中含盐量为0.3g/kg~31.4g/kg，</w:t>
      </w:r>
      <w:r>
        <w:rPr>
          <w:rFonts w:hint="eastAsia"/>
          <w:color w:val="auto"/>
          <w:highlight w:val="none"/>
          <w:lang w:val="en-US" w:eastAsia="zh-CN"/>
        </w:rPr>
        <w:t>土壤盐化程度不均，存在未盐化、轻度盐化、重度盐化、极重度盐化的情况，</w:t>
      </w:r>
      <w:r>
        <w:rPr>
          <w:rFonts w:hint="eastAsia"/>
          <w:color w:val="auto"/>
          <w:highlight w:val="none"/>
        </w:rPr>
        <w:t>部分用地土壤盐分含量大于</w:t>
      </w:r>
      <w:r>
        <w:rPr>
          <w:rFonts w:hint="eastAsia"/>
          <w:color w:val="auto"/>
          <w:highlight w:val="none"/>
          <w:lang w:val="en-US" w:eastAsia="zh-CN"/>
        </w:rPr>
        <w:t>4</w:t>
      </w:r>
      <w:r>
        <w:rPr>
          <w:rFonts w:hint="eastAsia"/>
          <w:color w:val="auto"/>
          <w:highlight w:val="none"/>
        </w:rPr>
        <w:t>g/kg，</w:t>
      </w:r>
      <w:r>
        <w:rPr>
          <w:rFonts w:hint="eastAsia"/>
          <w:color w:val="auto"/>
          <w:highlight w:val="none"/>
          <w:lang w:val="en-US" w:eastAsia="zh-CN"/>
        </w:rPr>
        <w:t>故项目所在区域</w:t>
      </w:r>
      <w:r>
        <w:rPr>
          <w:rFonts w:hint="eastAsia"/>
          <w:color w:val="auto"/>
          <w:highlight w:val="none"/>
        </w:rPr>
        <w:t>属于土壤盐化</w:t>
      </w:r>
      <w:r>
        <w:rPr>
          <w:rFonts w:hint="eastAsia"/>
          <w:color w:val="auto"/>
          <w:highlight w:val="none"/>
          <w:lang w:eastAsia="zh-CN"/>
        </w:rPr>
        <w:t>、</w:t>
      </w:r>
      <w:r>
        <w:rPr>
          <w:rFonts w:hint="eastAsia"/>
          <w:color w:val="auto"/>
          <w:highlight w:val="none"/>
          <w:lang w:val="en-US" w:eastAsia="zh-CN"/>
        </w:rPr>
        <w:t>碱化</w:t>
      </w:r>
      <w:r>
        <w:rPr>
          <w:rFonts w:hint="eastAsia"/>
          <w:color w:val="auto"/>
          <w:highlight w:val="none"/>
        </w:rPr>
        <w:t>地区。因此，本工程类别同时按照生态影响型项目和污染影响型项目考虑，并根据不同项目类型类别分别判定评价等级。</w:t>
      </w:r>
    </w:p>
    <w:p>
      <w:pPr>
        <w:pStyle w:val="57"/>
        <w:rPr>
          <w:color w:val="auto"/>
          <w:highlight w:val="none"/>
        </w:rPr>
      </w:pPr>
      <w:r>
        <w:rPr>
          <w:rFonts w:hint="eastAsia"/>
          <w:color w:val="auto"/>
          <w:highlight w:val="none"/>
        </w:rPr>
        <w:t>（1）建设项目类别</w:t>
      </w:r>
    </w:p>
    <w:p>
      <w:pPr>
        <w:pStyle w:val="57"/>
        <w:rPr>
          <w:color w:val="auto"/>
          <w:highlight w:val="none"/>
        </w:rPr>
      </w:pPr>
      <w:r>
        <w:rPr>
          <w:rFonts w:hint="eastAsia"/>
          <w:color w:val="auto"/>
          <w:highlight w:val="none"/>
        </w:rPr>
        <w:t>本工程土壤项目类别按照</w:t>
      </w:r>
      <w:r>
        <w:rPr>
          <w:color w:val="auto"/>
          <w:highlight w:val="none"/>
        </w:rPr>
        <w:t>采</w:t>
      </w:r>
      <w:r>
        <w:rPr>
          <w:rFonts w:hint="eastAsia"/>
          <w:color w:val="auto"/>
          <w:highlight w:val="none"/>
          <w:lang w:val="en-US" w:eastAsia="zh-CN"/>
        </w:rPr>
        <w:t>油</w:t>
      </w:r>
      <w:r>
        <w:rPr>
          <w:rFonts w:hint="eastAsia"/>
          <w:color w:val="auto"/>
          <w:highlight w:val="none"/>
        </w:rPr>
        <w:t>进行考虑。根据《环境影响评价技术导则 陆地石油天然气开发建设项目》</w:t>
      </w:r>
      <w:r>
        <w:rPr>
          <w:rFonts w:hint="eastAsia"/>
          <w:color w:val="auto"/>
          <w:highlight w:val="none"/>
          <w:lang w:eastAsia="zh-CN"/>
        </w:rPr>
        <w:t>（</w:t>
      </w:r>
      <w:r>
        <w:rPr>
          <w:rFonts w:hint="eastAsia"/>
          <w:color w:val="auto"/>
          <w:highlight w:val="none"/>
        </w:rPr>
        <w:t>HJ 349-2023</w:t>
      </w:r>
      <w:r>
        <w:rPr>
          <w:rFonts w:hint="eastAsia"/>
          <w:color w:val="auto"/>
          <w:highlight w:val="none"/>
          <w:lang w:eastAsia="zh-CN"/>
        </w:rPr>
        <w:t>）</w:t>
      </w:r>
      <w:r>
        <w:rPr>
          <w:rFonts w:hint="eastAsia"/>
          <w:color w:val="auto"/>
          <w:highlight w:val="none"/>
        </w:rPr>
        <w:t>，本工程井场、站场建设属于Ⅰ类项目，</w:t>
      </w:r>
      <w:r>
        <w:rPr>
          <w:rFonts w:hint="eastAsia"/>
          <w:color w:val="auto"/>
          <w:highlight w:val="none"/>
          <w:lang w:val="en-US" w:eastAsia="zh-CN"/>
        </w:rPr>
        <w:t>各类集输</w:t>
      </w:r>
      <w:r>
        <w:rPr>
          <w:rFonts w:hint="eastAsia"/>
          <w:color w:val="auto"/>
          <w:highlight w:val="none"/>
        </w:rPr>
        <w:t>管线建设属于Ⅱ类项目。</w:t>
      </w:r>
    </w:p>
    <w:p>
      <w:pPr>
        <w:pStyle w:val="57"/>
        <w:rPr>
          <w:color w:val="auto"/>
          <w:highlight w:val="none"/>
        </w:rPr>
      </w:pPr>
      <w:r>
        <w:rPr>
          <w:rFonts w:hint="eastAsia"/>
          <w:color w:val="auto"/>
          <w:highlight w:val="none"/>
        </w:rPr>
        <w:t>（2）占地规模</w:t>
      </w:r>
    </w:p>
    <w:p>
      <w:pPr>
        <w:pStyle w:val="57"/>
        <w:rPr>
          <w:color w:val="auto"/>
          <w:highlight w:val="none"/>
        </w:rPr>
      </w:pPr>
      <w:r>
        <w:rPr>
          <w:rFonts w:hint="eastAsia"/>
          <w:color w:val="auto"/>
          <w:highlight w:val="none"/>
        </w:rPr>
        <w:t>根据《环境影响评价技术导则 土壤环境（试行）》</w:t>
      </w:r>
      <w:r>
        <w:rPr>
          <w:rFonts w:hint="eastAsia"/>
          <w:color w:val="auto"/>
          <w:highlight w:val="none"/>
          <w:lang w:eastAsia="zh-CN"/>
        </w:rPr>
        <w:t>（</w:t>
      </w:r>
      <w:r>
        <w:rPr>
          <w:rFonts w:hint="eastAsia"/>
          <w:color w:val="auto"/>
          <w:highlight w:val="none"/>
        </w:rPr>
        <w:t>HJ964-2018</w:t>
      </w:r>
      <w:r>
        <w:rPr>
          <w:rFonts w:hint="eastAsia"/>
          <w:color w:val="auto"/>
          <w:highlight w:val="none"/>
          <w:lang w:eastAsia="zh-CN"/>
        </w:rPr>
        <w:t>）</w:t>
      </w:r>
      <w:r>
        <w:rPr>
          <w:rFonts w:hint="eastAsia"/>
          <w:color w:val="auto"/>
          <w:highlight w:val="none"/>
        </w:rPr>
        <w:t>，“建设项目占地规模分为大型（≥50hm</w:t>
      </w:r>
      <w:r>
        <w:rPr>
          <w:rFonts w:hint="eastAsia"/>
          <w:color w:val="auto"/>
          <w:highlight w:val="none"/>
          <w:vertAlign w:val="superscript"/>
        </w:rPr>
        <w:t>2</w:t>
      </w:r>
      <w:r>
        <w:rPr>
          <w:rFonts w:hint="eastAsia"/>
          <w:color w:val="auto"/>
          <w:highlight w:val="none"/>
        </w:rPr>
        <w:t>）、中型（5～50hm</w:t>
      </w:r>
      <w:r>
        <w:rPr>
          <w:rFonts w:hint="eastAsia"/>
          <w:color w:val="auto"/>
          <w:highlight w:val="none"/>
          <w:vertAlign w:val="superscript"/>
        </w:rPr>
        <w:t>2</w:t>
      </w:r>
      <w:r>
        <w:rPr>
          <w:rFonts w:hint="eastAsia"/>
          <w:color w:val="auto"/>
          <w:highlight w:val="none"/>
        </w:rPr>
        <w:t>）和小型（≤5hm</w:t>
      </w:r>
      <w:r>
        <w:rPr>
          <w:rFonts w:hint="eastAsia"/>
          <w:color w:val="auto"/>
          <w:highlight w:val="none"/>
          <w:vertAlign w:val="superscript"/>
        </w:rPr>
        <w:t>2</w:t>
      </w:r>
      <w:r>
        <w:rPr>
          <w:rFonts w:hint="eastAsia"/>
          <w:color w:val="auto"/>
          <w:highlight w:val="none"/>
        </w:rPr>
        <w:t>）”。</w:t>
      </w:r>
    </w:p>
    <w:p>
      <w:pPr>
        <w:pStyle w:val="57"/>
        <w:rPr>
          <w:color w:val="auto"/>
          <w:highlight w:val="none"/>
        </w:rPr>
      </w:pPr>
      <w:r>
        <w:rPr>
          <w:rFonts w:hint="eastAsia"/>
          <w:color w:val="auto"/>
          <w:highlight w:val="none"/>
        </w:rPr>
        <w:t>本工程永久占地面积不足5hm</w:t>
      </w:r>
      <w:r>
        <w:rPr>
          <w:rFonts w:hint="eastAsia"/>
          <w:color w:val="auto"/>
          <w:highlight w:val="none"/>
          <w:vertAlign w:val="superscript"/>
        </w:rPr>
        <w:t>2</w:t>
      </w:r>
      <w:r>
        <w:rPr>
          <w:rFonts w:hint="eastAsia"/>
          <w:color w:val="auto"/>
          <w:highlight w:val="none"/>
        </w:rPr>
        <w:t>，占地规模为小型。</w:t>
      </w:r>
    </w:p>
    <w:p>
      <w:pPr>
        <w:pStyle w:val="57"/>
        <w:rPr>
          <w:color w:val="auto"/>
          <w:highlight w:val="none"/>
        </w:rPr>
      </w:pPr>
      <w:r>
        <w:rPr>
          <w:rFonts w:hint="eastAsia"/>
          <w:color w:val="auto"/>
          <w:highlight w:val="none"/>
        </w:rPr>
        <w:t>（3）建设项目敏感程度</w:t>
      </w:r>
    </w:p>
    <w:p>
      <w:pPr>
        <w:pStyle w:val="57"/>
        <w:rPr>
          <w:color w:val="auto"/>
          <w:highlight w:val="none"/>
        </w:rPr>
      </w:pPr>
      <w:r>
        <w:rPr>
          <w:rFonts w:hint="eastAsia"/>
          <w:color w:val="auto"/>
          <w:highlight w:val="none"/>
        </w:rPr>
        <w:t>①污染影响型</w:t>
      </w:r>
    </w:p>
    <w:p>
      <w:pPr>
        <w:pStyle w:val="57"/>
        <w:rPr>
          <w:color w:val="auto"/>
          <w:highlight w:val="none"/>
        </w:rPr>
      </w:pPr>
      <w:r>
        <w:rPr>
          <w:rFonts w:hint="default" w:ascii="Times New Roman" w:hAnsi="Times New Roman" w:cs="Times New Roman"/>
          <w:color w:val="auto"/>
          <w:sz w:val="24"/>
          <w:szCs w:val="32"/>
          <w:highlight w:val="none"/>
          <w:shd w:val="clear" w:color="auto" w:fill="auto"/>
        </w:rPr>
        <w:t>本工程占地类型</w:t>
      </w:r>
      <w:r>
        <w:rPr>
          <w:rFonts w:hint="default" w:ascii="Times New Roman" w:hAnsi="Times New Roman" w:cs="Times New Roman"/>
          <w:color w:val="auto"/>
          <w:sz w:val="24"/>
          <w:szCs w:val="32"/>
          <w:highlight w:val="none"/>
          <w:shd w:val="clear" w:color="auto" w:fill="auto"/>
          <w:lang w:val="en-US" w:eastAsia="zh-CN"/>
        </w:rPr>
        <w:t>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cs="Times New Roman"/>
          <w:color w:val="auto"/>
          <w:sz w:val="24"/>
          <w:szCs w:val="32"/>
          <w:highlight w:val="none"/>
          <w:shd w:val="clear" w:color="auto" w:fill="auto"/>
          <w:lang w:val="en-US" w:eastAsia="zh-CN"/>
        </w:rPr>
        <w:t>，占地范围内及周边土壤均为</w:t>
      </w:r>
      <w:r>
        <w:rPr>
          <w:rFonts w:ascii="宋体" w:hAnsi="宋体" w:eastAsia="宋体" w:cs="宋体"/>
          <w:color w:val="auto"/>
          <w:sz w:val="24"/>
          <w:szCs w:val="24"/>
        </w:rPr>
        <w:t>灰棕漠土</w:t>
      </w:r>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草甸土</w:t>
      </w:r>
      <w:r>
        <w:rPr>
          <w:rFonts w:hint="eastAsia" w:ascii="Times New Roman" w:hAnsi="Times New Roman" w:cs="Times New Roman"/>
          <w:color w:val="auto"/>
          <w:sz w:val="24"/>
          <w:szCs w:val="32"/>
          <w:highlight w:val="none"/>
          <w:shd w:val="clear" w:color="auto" w:fill="auto"/>
          <w:lang w:val="en-US" w:eastAsia="zh-CN"/>
        </w:rPr>
        <w:t>，故</w:t>
      </w:r>
      <w:r>
        <w:rPr>
          <w:rFonts w:hint="default" w:ascii="Times New Roman" w:hAnsi="Times New Roman" w:cs="Times New Roman"/>
          <w:color w:val="auto"/>
          <w:sz w:val="24"/>
          <w:szCs w:val="32"/>
          <w:highlight w:val="none"/>
          <w:shd w:val="clear" w:color="auto" w:fill="auto"/>
          <w:lang w:val="en-US" w:eastAsia="zh-CN"/>
        </w:rPr>
        <w:t>土壤敏感程度为不敏感</w:t>
      </w:r>
      <w:r>
        <w:rPr>
          <w:rFonts w:hint="eastAsia"/>
          <w:color w:val="auto"/>
          <w:highlight w:val="none"/>
        </w:rPr>
        <w:t>。</w:t>
      </w:r>
    </w:p>
    <w:p>
      <w:pPr>
        <w:pStyle w:val="57"/>
        <w:rPr>
          <w:color w:val="auto"/>
          <w:highlight w:val="none"/>
        </w:rPr>
      </w:pPr>
      <w:r>
        <w:rPr>
          <w:rFonts w:hint="eastAsia"/>
          <w:color w:val="auto"/>
          <w:highlight w:val="none"/>
        </w:rPr>
        <w:t>②生态影响型</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r>
        <w:rPr>
          <w:rFonts w:hint="default" w:cs="Times New Roman"/>
          <w:color w:val="auto"/>
          <w:highlight w:val="none"/>
          <w:lang w:val="en-US" w:eastAsia="zh-CN" w:bidi="ar"/>
        </w:rPr>
        <w:t>表</w:t>
      </w:r>
      <w:r>
        <w:rPr>
          <w:rFonts w:hint="eastAsia" w:cs="Times New Roman"/>
          <w:color w:val="auto"/>
          <w:highlight w:val="none"/>
          <w:lang w:val="en-US" w:eastAsia="zh-CN" w:bidi="ar"/>
        </w:rPr>
        <w:t xml:space="preserve">2.5-5  </w:t>
      </w:r>
      <w:r>
        <w:rPr>
          <w:rFonts w:hint="default" w:cs="Times New Roman"/>
          <w:color w:val="auto"/>
          <w:highlight w:val="none"/>
          <w:lang w:val="en-US" w:eastAsia="zh-CN" w:bidi="ar"/>
        </w:rPr>
        <w:t>生态影响型敏感程度分级表</w:t>
      </w:r>
    </w:p>
    <w:tbl>
      <w:tblPr>
        <w:tblStyle w:val="34"/>
        <w:tblW w:w="5101" w:type="pct"/>
        <w:tblInd w:w="-74"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autofit"/>
        <w:tblCellMar>
          <w:top w:w="0" w:type="dxa"/>
          <w:left w:w="0" w:type="dxa"/>
          <w:bottom w:w="0" w:type="dxa"/>
          <w:right w:w="0" w:type="dxa"/>
        </w:tblCellMar>
      </w:tblPr>
      <w:tblGrid>
        <w:gridCol w:w="898"/>
        <w:gridCol w:w="5842"/>
        <w:gridCol w:w="1041"/>
        <w:gridCol w:w="1041"/>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vMerge w:val="restar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敏感程度</w:t>
            </w:r>
          </w:p>
        </w:tc>
        <w:tc>
          <w:tcPr>
            <w:tcW w:w="4476" w:type="pct"/>
            <w:gridSpan w:val="3"/>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判别依据</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vMerge w:val="continue"/>
            <w:tcBorders>
              <w:tl2br w:val="nil"/>
              <w:tr2bl w:val="nil"/>
            </w:tcBorders>
            <w:noWrap w:val="0"/>
            <w:vAlign w:val="center"/>
          </w:tcPr>
          <w:p>
            <w:pPr>
              <w:pStyle w:val="41"/>
              <w:jc w:val="center"/>
              <w:rPr>
                <w:rFonts w:hint="default" w:ascii="Times New Roman" w:hAnsi="Times New Roman" w:eastAsia="宋体" w:cs="Times New Roman"/>
                <w:color w:val="auto"/>
                <w:highlight w:val="none"/>
                <w:lang w:eastAsia="en-US"/>
              </w:rPr>
            </w:pPr>
          </w:p>
        </w:tc>
        <w:tc>
          <w:tcPr>
            <w:tcW w:w="3325"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盐化</w:t>
            </w:r>
          </w:p>
        </w:tc>
        <w:tc>
          <w:tcPr>
            <w:tcW w:w="604"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酸化</w:t>
            </w:r>
          </w:p>
        </w:tc>
        <w:tc>
          <w:tcPr>
            <w:tcW w:w="546"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碱化</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敏感</w:t>
            </w:r>
          </w:p>
        </w:tc>
        <w:tc>
          <w:tcPr>
            <w:tcW w:w="3325"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建设项目所在地干燥度a＞2.5且常年地下水位平均埋深＜1.5m的地势平坦区域；或土壤含盐量＞4g/kg的区域</w:t>
            </w:r>
          </w:p>
        </w:tc>
        <w:tc>
          <w:tcPr>
            <w:tcW w:w="604"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pH≤4.5</w:t>
            </w:r>
          </w:p>
        </w:tc>
        <w:tc>
          <w:tcPr>
            <w:tcW w:w="546"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pH≥9.0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较敏感</w:t>
            </w:r>
          </w:p>
        </w:tc>
        <w:tc>
          <w:tcPr>
            <w:tcW w:w="3325"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建设项目所在地干燥度＞2.5且常年地下水位平均埋深≥1.5m的，或1.8＜干燥度≤2.5且常年地下水位平均埋深＜1.8m的地势平坦区域；建设项目所在地干燥度＞2.5或常年地下水位平均埋深＜1.5m的平原区；或2g/kg＜土壤含盐量≤4g/kg的区域</w:t>
            </w:r>
          </w:p>
        </w:tc>
        <w:tc>
          <w:tcPr>
            <w:tcW w:w="604"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4.5</w:t>
            </w:r>
            <w:r>
              <w:rPr>
                <w:rFonts w:hint="eastAsia"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lang w:val="en-US" w:eastAsia="en-US"/>
              </w:rPr>
              <w:t>pH≤5.5</w:t>
            </w:r>
          </w:p>
        </w:tc>
        <w:tc>
          <w:tcPr>
            <w:tcW w:w="546"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8.5≤pH</w:t>
            </w:r>
            <w:r>
              <w:rPr>
                <w:rFonts w:hint="eastAsia"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lang w:val="en-US" w:eastAsia="en-US"/>
              </w:rPr>
              <w:t>9.0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23"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不敏感</w:t>
            </w:r>
          </w:p>
        </w:tc>
        <w:tc>
          <w:tcPr>
            <w:tcW w:w="3325" w:type="pct"/>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其他</w:t>
            </w:r>
          </w:p>
        </w:tc>
        <w:tc>
          <w:tcPr>
            <w:tcW w:w="1151" w:type="pct"/>
            <w:gridSpan w:val="2"/>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5.5</w:t>
            </w:r>
            <w:r>
              <w:rPr>
                <w:rFonts w:hint="eastAsia"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lang w:val="en-US" w:eastAsia="en-US"/>
              </w:rPr>
              <w:t>pH</w:t>
            </w:r>
            <w:r>
              <w:rPr>
                <w:rFonts w:hint="eastAsia" w:ascii="Times New Roman" w:hAnsi="Times New Roman" w:eastAsia="宋体" w:cs="Times New Roman"/>
                <w:color w:val="auto"/>
                <w:highlight w:val="none"/>
                <w:lang w:val="en-US" w:eastAsia="zh-CN"/>
              </w:rPr>
              <w:t>&lt;</w:t>
            </w:r>
            <w:r>
              <w:rPr>
                <w:rFonts w:hint="default" w:ascii="Times New Roman" w:hAnsi="Times New Roman" w:eastAsia="宋体" w:cs="Times New Roman"/>
                <w:color w:val="auto"/>
                <w:highlight w:val="none"/>
                <w:lang w:val="en-US" w:eastAsia="en-US"/>
              </w:rPr>
              <w:t>8.5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5000" w:type="pct"/>
            <w:gridSpan w:val="4"/>
            <w:tcBorders>
              <w:tl2br w:val="nil"/>
              <w:tr2bl w:val="nil"/>
            </w:tcBorders>
            <w:noWrap w:val="0"/>
            <w:vAlign w:val="center"/>
          </w:tcPr>
          <w:p>
            <w:pPr>
              <w:pStyle w:val="41"/>
              <w:jc w:val="center"/>
              <w:rPr>
                <w:rFonts w:hint="default" w:ascii="Times New Roman" w:hAnsi="Times New Roman" w:eastAsia="宋体" w:cs="Times New Roman"/>
                <w:color w:val="auto"/>
                <w:highlight w:val="none"/>
                <w:lang w:val="en-US" w:eastAsia="en-US"/>
              </w:rPr>
            </w:pPr>
            <w:r>
              <w:rPr>
                <w:rFonts w:hint="default" w:ascii="Times New Roman" w:hAnsi="Times New Roman" w:eastAsia="宋体" w:cs="Times New Roman"/>
                <w:color w:val="auto"/>
                <w:highlight w:val="none"/>
                <w:lang w:val="en-US" w:eastAsia="en-US"/>
              </w:rPr>
              <w:t>a是指采用E601观测的多年平均水面蒸发量与降水量的比值，即蒸降比值。</w:t>
            </w:r>
          </w:p>
        </w:tc>
      </w:tr>
    </w:tbl>
    <w:p>
      <w:pPr>
        <w:pStyle w:val="57"/>
        <w:rPr>
          <w:rFonts w:hint="eastAsia"/>
          <w:color w:val="auto"/>
          <w:highlight w:val="none"/>
        </w:rPr>
      </w:pPr>
      <w:r>
        <w:rPr>
          <w:rFonts w:hint="eastAsia" w:ascii="Times New Roman" w:hAnsi="Times New Roman" w:eastAsia="宋体" w:cs="Times New Roman"/>
          <w:color w:val="auto"/>
          <w:highlight w:val="none"/>
        </w:rPr>
        <w:t>根据</w:t>
      </w:r>
      <w:r>
        <w:rPr>
          <w:rFonts w:hint="eastAsia" w:ascii="Times New Roman" w:hAnsi="Times New Roman" w:eastAsia="宋体" w:cs="Times New Roman"/>
          <w:color w:val="auto"/>
          <w:highlight w:val="none"/>
          <w:lang w:val="en-US" w:eastAsia="zh-CN"/>
        </w:rPr>
        <w:t>本次土壤监</w:t>
      </w:r>
      <w:r>
        <w:rPr>
          <w:rFonts w:hint="eastAsia" w:ascii="Times New Roman" w:hAnsi="Times New Roman" w:eastAsia="宋体" w:cs="Times New Roman"/>
          <w:color w:val="auto"/>
          <w:highlight w:val="none"/>
        </w:rPr>
        <w:t>测数据，</w:t>
      </w:r>
      <w:r>
        <w:rPr>
          <w:rFonts w:hint="eastAsia" w:ascii="Times New Roman" w:hAnsi="Times New Roman" w:eastAsia="宋体" w:cs="Times New Roman"/>
          <w:color w:val="auto"/>
          <w:highlight w:val="none"/>
          <w:lang w:val="en-US" w:eastAsia="zh-CN"/>
        </w:rPr>
        <w:t>本工程项目区土壤</w:t>
      </w:r>
      <w:r>
        <w:rPr>
          <w:rFonts w:hint="eastAsia"/>
          <w:color w:val="auto"/>
          <w:highlight w:val="none"/>
        </w:rPr>
        <w:t>工程所在</w:t>
      </w:r>
      <w:r>
        <w:rPr>
          <w:rFonts w:hint="eastAsia" w:ascii="Times New Roman" w:hAnsi="Times New Roman" w:eastAsia="宋体" w:cs="Times New Roman"/>
          <w:color w:val="auto"/>
          <w:sz w:val="24"/>
          <w:szCs w:val="24"/>
          <w:highlight w:val="none"/>
          <w:shd w:val="clear" w:color="auto" w:fill="auto"/>
          <w:lang w:val="en-US" w:eastAsia="zh-CN"/>
        </w:rPr>
        <w:t>土壤pH值为7.56~9.48</w:t>
      </w:r>
      <w:r>
        <w:rPr>
          <w:rFonts w:hint="eastAsia"/>
          <w:color w:val="auto"/>
          <w:highlight w:val="none"/>
        </w:rPr>
        <w:t>，</w:t>
      </w:r>
      <w:r>
        <w:rPr>
          <w:rFonts w:hint="eastAsia" w:ascii="Times New Roman" w:hAnsi="Times New Roman" w:eastAsia="宋体" w:cs="Times New Roman"/>
          <w:color w:val="auto"/>
          <w:kern w:val="10"/>
          <w:szCs w:val="24"/>
          <w:highlight w:val="none"/>
          <w:shd w:val="clear" w:color="auto" w:fill="auto"/>
          <w:lang w:val="en-US" w:eastAsia="zh-CN"/>
        </w:rPr>
        <w:t>壤中含盐量为0.3g/kg~31.4g/kg</w:t>
      </w:r>
      <w:r>
        <w:rPr>
          <w:rFonts w:hint="eastAsia" w:ascii="Times New Roman" w:hAnsi="Times New Roman" w:eastAsia="宋体" w:cs="Times New Roman"/>
          <w:color w:val="auto"/>
          <w:highlight w:val="none"/>
          <w:lang w:val="en-US" w:eastAsia="zh-CN"/>
        </w:rPr>
        <w:t>，</w:t>
      </w:r>
      <w:r>
        <w:rPr>
          <w:rFonts w:hint="eastAsia"/>
          <w:color w:val="auto"/>
          <w:highlight w:val="none"/>
        </w:rPr>
        <w:t>大于4g/kg</w:t>
      </w:r>
      <w:r>
        <w:rPr>
          <w:rFonts w:hint="eastAsia" w:ascii="Times New Roman" w:hAnsi="Times New Roman" w:eastAsia="宋体" w:cs="Times New Roman"/>
          <w:color w:val="auto"/>
          <w:highlight w:val="none"/>
        </w:rPr>
        <w:t>，生态影响型土壤敏感程度为“敏感”。</w:t>
      </w:r>
    </w:p>
    <w:p>
      <w:pPr>
        <w:pStyle w:val="57"/>
        <w:rPr>
          <w:color w:val="auto"/>
          <w:highlight w:val="none"/>
        </w:rPr>
      </w:pPr>
      <w:r>
        <w:rPr>
          <w:rFonts w:hint="eastAsia"/>
          <w:color w:val="auto"/>
          <w:highlight w:val="none"/>
        </w:rPr>
        <w:t>（4）评价工作等级判定</w:t>
      </w:r>
    </w:p>
    <w:p>
      <w:pPr>
        <w:pStyle w:val="57"/>
        <w:rPr>
          <w:color w:val="auto"/>
          <w:highlight w:val="none"/>
        </w:rPr>
      </w:pPr>
      <w:r>
        <w:rPr>
          <w:rFonts w:hint="eastAsia"/>
          <w:color w:val="auto"/>
          <w:highlight w:val="none"/>
        </w:rPr>
        <w:t>根据《环境影响评价技术导则 土壤环境（试行）》</w:t>
      </w:r>
      <w:r>
        <w:rPr>
          <w:rFonts w:hint="eastAsia"/>
          <w:color w:val="auto"/>
          <w:highlight w:val="none"/>
          <w:lang w:eastAsia="zh-CN"/>
        </w:rPr>
        <w:t>（</w:t>
      </w:r>
      <w:r>
        <w:rPr>
          <w:rFonts w:hint="eastAsia"/>
          <w:color w:val="auto"/>
          <w:highlight w:val="none"/>
        </w:rPr>
        <w:t>HJ964-2018</w:t>
      </w:r>
      <w:r>
        <w:rPr>
          <w:rFonts w:hint="eastAsia"/>
          <w:color w:val="auto"/>
          <w:highlight w:val="none"/>
          <w:lang w:eastAsia="zh-CN"/>
        </w:rPr>
        <w:t>）</w:t>
      </w:r>
      <w:r>
        <w:rPr>
          <w:rFonts w:hint="eastAsia"/>
          <w:color w:val="auto"/>
          <w:highlight w:val="none"/>
        </w:rPr>
        <w:t>，生态影响型和污染影响型土壤环境影响评价工作等级划分见表2.5-</w:t>
      </w:r>
      <w:r>
        <w:rPr>
          <w:rFonts w:hint="eastAsia"/>
          <w:color w:val="auto"/>
          <w:highlight w:val="none"/>
          <w:lang w:val="en-US" w:eastAsia="zh-CN"/>
        </w:rPr>
        <w:t>6</w:t>
      </w:r>
      <w:r>
        <w:rPr>
          <w:rFonts w:hint="eastAsia"/>
          <w:color w:val="auto"/>
          <w:highlight w:val="none"/>
        </w:rPr>
        <w:t>和表2.5-</w:t>
      </w:r>
      <w:r>
        <w:rPr>
          <w:rFonts w:hint="eastAsia"/>
          <w:color w:val="auto"/>
          <w:highlight w:val="none"/>
          <w:lang w:val="en-US" w:eastAsia="zh-CN"/>
        </w:rPr>
        <w:t>7</w:t>
      </w:r>
      <w:r>
        <w:rPr>
          <w:rFonts w:hint="eastAsia"/>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bookmarkStart w:id="178" w:name="_Toc21856"/>
      <w:r>
        <w:rPr>
          <w:rFonts w:hint="eastAsia" w:cs="Times New Roman"/>
          <w:color w:val="auto"/>
          <w:highlight w:val="none"/>
          <w:lang w:val="en-US" w:eastAsia="zh-CN" w:bidi="ar"/>
        </w:rPr>
        <w:t>表2.5-6     生态影响型土壤环境评价工作等级划分依据一览表</w:t>
      </w:r>
      <w:bookmarkEnd w:id="178"/>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666"/>
        <w:gridCol w:w="1669"/>
        <w:gridCol w:w="2169"/>
        <w:gridCol w:w="21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20" w:hRule="atLeast"/>
          <w:jc w:val="center"/>
        </w:trPr>
        <w:tc>
          <w:tcPr>
            <w:tcW w:w="1537" w:type="pct"/>
            <w:tcBorders>
              <w:tl2br w:val="nil"/>
              <w:tr2bl w:val="nil"/>
            </w:tcBorders>
            <w:vAlign w:val="center"/>
            <mc:AlternateContent>
              <mc:Choice Requires="wpsCustomData">
                <wpsCustomData:diagonals>
                  <wpsCustomData:diagonal from="30000" to="10000">
                    <wpsCustomData:border w:val="single" w:color="auto" w:sz="12" w:space="0"/>
                  </wpsCustomData:diagonal>
                </wpsCustomData:diagonals>
              </mc:Choice>
            </mc:AlternateContent>
          </w:tcPr>
          <w:p>
            <w:pPr>
              <w:pStyle w:val="41"/>
              <w:rPr>
                <w:color w:val="auto"/>
                <w:highlight w:val="none"/>
              </w:rPr>
            </w:pPr>
            <w:r>
              <w:rPr>
                <w:rFonts w:hint="eastAsia"/>
                <w:color w:val="auto"/>
                <w:highlight w:val="none"/>
              </w:rPr>
              <w:t xml:space="preserve">            </w:t>
            </w:r>
          </w:p>
          <w:p>
            <w:pPr>
              <w:pStyle w:val="41"/>
              <w:snapToGrid w:val="0"/>
              <w:spacing w:line="240" w:lineRule="auto"/>
              <mc:AlternateContent>
                <mc:Choice Requires="wpsCustomData">
                  <wpsCustomData:diagonalParaType/>
                </mc:Choice>
              </mc:AlternateContent>
              <w:rPr>
                <w:color w:val="auto"/>
                <w:highlight w:val="none"/>
              </w:rPr>
            </w:pPr>
            <w:r>
              <w:rPr>
                <w:rFonts w:hint="eastAsia"/>
                <w:color w:val="auto"/>
                <w:highlight w:val="none"/>
                <w:lang w:val="en-US" w:eastAsia="zh-CN"/>
              </w:rPr>
              <w:t xml:space="preserve">      </w:t>
            </w:r>
            <w:r>
              <w:rPr>
                <w:rFonts w:hint="eastAsia"/>
                <w:color w:val="auto"/>
                <w:highlight w:val="none"/>
              </w:rPr>
              <w:t>环境敏感程度</w:t>
            </w:r>
          </w:p>
          <w:p>
            <w:pPr>
              <w:pStyle w:val="41"/>
              <w:rPr>
                <w:color w:val="auto"/>
                <w:highlight w:val="none"/>
              </w:rPr>
            </w:pPr>
            <w:r>
              <w:rPr>
                <w:rFonts w:hint="eastAsia"/>
                <w:color w:val="auto"/>
                <w:highlight w:val="none"/>
              </w:rPr>
              <w:t>项目类别</w:t>
            </w:r>
          </w:p>
        </w:tc>
        <w:tc>
          <w:tcPr>
            <w:tcW w:w="962" w:type="pct"/>
            <w:tcBorders>
              <w:tl2br w:val="nil"/>
              <w:tr2bl w:val="nil"/>
            </w:tcBorders>
            <w:shd w:val="clear" w:color="auto" w:fill="D7D7D7" w:themeFill="background1" w:themeFillShade="D8"/>
            <w:vAlign w:val="center"/>
          </w:tcPr>
          <w:p>
            <w:pPr>
              <w:pStyle w:val="41"/>
              <w:rPr>
                <w:color w:val="auto"/>
                <w:highlight w:val="none"/>
                <w:shd w:val="clear" w:color="auto" w:fill="auto"/>
              </w:rPr>
            </w:pPr>
            <w:r>
              <w:rPr>
                <w:rFonts w:hint="eastAsia"/>
                <w:color w:val="auto"/>
                <w:highlight w:val="none"/>
                <w:shd w:val="clear" w:color="auto" w:fill="auto"/>
              </w:rPr>
              <w:t>Ⅰ类项目</w:t>
            </w:r>
          </w:p>
        </w:tc>
        <w:tc>
          <w:tcPr>
            <w:tcW w:w="1250" w:type="pct"/>
            <w:tcBorders>
              <w:tl2br w:val="nil"/>
              <w:tr2bl w:val="nil"/>
            </w:tcBorders>
            <w:shd w:val="clear" w:color="auto" w:fill="D7D7D7" w:themeFill="background1" w:themeFillShade="D8"/>
            <w:vAlign w:val="center"/>
          </w:tcPr>
          <w:p>
            <w:pPr>
              <w:pStyle w:val="41"/>
              <w:rPr>
                <w:color w:val="auto"/>
                <w:highlight w:val="none"/>
                <w:shd w:val="clear" w:color="auto" w:fill="auto"/>
              </w:rPr>
            </w:pPr>
            <w:r>
              <w:rPr>
                <w:rFonts w:hint="eastAsia"/>
                <w:color w:val="auto"/>
                <w:highlight w:val="none"/>
                <w:shd w:val="clear" w:color="auto" w:fill="auto"/>
              </w:rPr>
              <w:t>Ⅱ类项目</w:t>
            </w:r>
          </w:p>
        </w:tc>
        <w:tc>
          <w:tcPr>
            <w:tcW w:w="1250" w:type="pct"/>
            <w:tcBorders>
              <w:tl2br w:val="nil"/>
              <w:tr2bl w:val="nil"/>
            </w:tcBorders>
            <w:vAlign w:val="center"/>
          </w:tcPr>
          <w:p>
            <w:pPr>
              <w:pStyle w:val="41"/>
              <w:rPr>
                <w:color w:val="auto"/>
                <w:highlight w:val="none"/>
              </w:rPr>
            </w:pPr>
            <w:r>
              <w:rPr>
                <w:rFonts w:hint="eastAsia"/>
                <w:color w:val="auto"/>
                <w:highlight w:val="none"/>
              </w:rPr>
              <w:t>Ⅲ类项目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7" w:type="pct"/>
            <w:tcBorders>
              <w:tl2br w:val="nil"/>
              <w:tr2bl w:val="nil"/>
            </w:tcBorders>
            <w:shd w:val="clear" w:color="auto" w:fill="D7D7D7" w:themeFill="background1" w:themeFillShade="D8"/>
            <w:vAlign w:val="center"/>
          </w:tcPr>
          <w:p>
            <w:pPr>
              <w:pStyle w:val="41"/>
              <w:rPr>
                <w:color w:val="auto"/>
                <w:highlight w:val="none"/>
              </w:rPr>
            </w:pPr>
            <w:r>
              <w:rPr>
                <w:rFonts w:hint="eastAsia"/>
                <w:color w:val="auto"/>
                <w:highlight w:val="none"/>
              </w:rPr>
              <w:t>敏感</w:t>
            </w:r>
          </w:p>
        </w:tc>
        <w:tc>
          <w:tcPr>
            <w:tcW w:w="962" w:type="pct"/>
            <w:tcBorders>
              <w:tl2br w:val="nil"/>
              <w:tr2bl w:val="nil"/>
            </w:tcBorders>
            <w:shd w:val="clear" w:color="auto" w:fill="D7D7D7" w:themeFill="background1" w:themeFillShade="D8"/>
            <w:vAlign w:val="center"/>
          </w:tcPr>
          <w:p>
            <w:pPr>
              <w:pStyle w:val="41"/>
              <w:rPr>
                <w:color w:val="auto"/>
                <w:highlight w:val="none"/>
              </w:rPr>
            </w:pPr>
            <w:r>
              <w:rPr>
                <w:rFonts w:hint="eastAsia"/>
                <w:color w:val="auto"/>
                <w:highlight w:val="none"/>
              </w:rPr>
              <w:t>一</w:t>
            </w:r>
          </w:p>
        </w:tc>
        <w:tc>
          <w:tcPr>
            <w:tcW w:w="1250" w:type="pct"/>
            <w:tcBorders>
              <w:tl2br w:val="nil"/>
              <w:tr2bl w:val="nil"/>
            </w:tcBorders>
            <w:shd w:val="clear" w:color="auto" w:fill="D7D7D7" w:themeFill="background1" w:themeFillShade="D8"/>
            <w:vAlign w:val="center"/>
          </w:tcPr>
          <w:p>
            <w:pPr>
              <w:pStyle w:val="41"/>
              <w:rPr>
                <w:color w:val="auto"/>
                <w:highlight w:val="none"/>
              </w:rPr>
            </w:pPr>
            <w:r>
              <w:rPr>
                <w:rFonts w:hint="eastAsia"/>
                <w:color w:val="auto"/>
                <w:highlight w:val="none"/>
              </w:rPr>
              <w:t>二</w:t>
            </w:r>
          </w:p>
        </w:tc>
        <w:tc>
          <w:tcPr>
            <w:tcW w:w="1250" w:type="pct"/>
            <w:tcBorders>
              <w:tl2br w:val="nil"/>
              <w:tr2bl w:val="nil"/>
            </w:tcBorders>
            <w:vAlign w:val="center"/>
          </w:tcPr>
          <w:p>
            <w:pPr>
              <w:pStyle w:val="41"/>
              <w:rPr>
                <w:color w:val="auto"/>
                <w:highlight w:val="none"/>
              </w:rPr>
            </w:pPr>
            <w:r>
              <w:rPr>
                <w:rFonts w:hint="eastAsia"/>
                <w:color w:val="auto"/>
                <w:highlight w:val="none"/>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7" w:type="pct"/>
            <w:tcBorders>
              <w:tl2br w:val="nil"/>
              <w:tr2bl w:val="nil"/>
            </w:tcBorders>
            <w:vAlign w:val="center"/>
          </w:tcPr>
          <w:p>
            <w:pPr>
              <w:pStyle w:val="41"/>
              <w:rPr>
                <w:color w:val="auto"/>
                <w:highlight w:val="none"/>
              </w:rPr>
            </w:pPr>
            <w:r>
              <w:rPr>
                <w:rFonts w:hint="eastAsia"/>
                <w:color w:val="auto"/>
                <w:highlight w:val="none"/>
              </w:rPr>
              <w:t>较敏感</w:t>
            </w:r>
          </w:p>
        </w:tc>
        <w:tc>
          <w:tcPr>
            <w:tcW w:w="962" w:type="pct"/>
            <w:tcBorders>
              <w:tl2br w:val="nil"/>
              <w:tr2bl w:val="nil"/>
            </w:tcBorders>
            <w:vAlign w:val="center"/>
          </w:tcPr>
          <w:p>
            <w:pPr>
              <w:pStyle w:val="41"/>
              <w:rPr>
                <w:color w:val="auto"/>
                <w:highlight w:val="none"/>
              </w:rPr>
            </w:pPr>
            <w:r>
              <w:rPr>
                <w:rFonts w:hint="eastAsia"/>
                <w:color w:val="auto"/>
                <w:highlight w:val="none"/>
              </w:rPr>
              <w:t>二</w:t>
            </w:r>
          </w:p>
        </w:tc>
        <w:tc>
          <w:tcPr>
            <w:tcW w:w="1250" w:type="pct"/>
            <w:tcBorders>
              <w:tl2br w:val="nil"/>
              <w:tr2bl w:val="nil"/>
            </w:tcBorders>
            <w:vAlign w:val="center"/>
          </w:tcPr>
          <w:p>
            <w:pPr>
              <w:pStyle w:val="41"/>
              <w:rPr>
                <w:color w:val="auto"/>
                <w:highlight w:val="none"/>
              </w:rPr>
            </w:pPr>
            <w:r>
              <w:rPr>
                <w:rFonts w:hint="eastAsia"/>
                <w:color w:val="auto"/>
                <w:highlight w:val="none"/>
              </w:rPr>
              <w:t>二</w:t>
            </w:r>
          </w:p>
        </w:tc>
        <w:tc>
          <w:tcPr>
            <w:tcW w:w="1250" w:type="pct"/>
            <w:tcBorders>
              <w:tl2br w:val="nil"/>
              <w:tr2bl w:val="nil"/>
            </w:tcBorders>
            <w:vAlign w:val="center"/>
          </w:tcPr>
          <w:p>
            <w:pPr>
              <w:pStyle w:val="41"/>
              <w:rPr>
                <w:color w:val="auto"/>
                <w:highlight w:val="none"/>
              </w:rPr>
            </w:pPr>
            <w:r>
              <w:rPr>
                <w:rFonts w:hint="eastAsia"/>
                <w:color w:val="auto"/>
                <w:highlight w:val="none"/>
              </w:rPr>
              <w:t>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37" w:type="pct"/>
            <w:tcBorders>
              <w:tl2br w:val="nil"/>
              <w:tr2bl w:val="nil"/>
            </w:tcBorders>
            <w:vAlign w:val="center"/>
          </w:tcPr>
          <w:p>
            <w:pPr>
              <w:pStyle w:val="41"/>
              <w:rPr>
                <w:color w:val="auto"/>
                <w:highlight w:val="none"/>
              </w:rPr>
            </w:pPr>
            <w:r>
              <w:rPr>
                <w:rFonts w:hint="eastAsia"/>
                <w:color w:val="auto"/>
                <w:highlight w:val="none"/>
              </w:rPr>
              <w:t>不敏感</w:t>
            </w:r>
          </w:p>
        </w:tc>
        <w:tc>
          <w:tcPr>
            <w:tcW w:w="962" w:type="pct"/>
            <w:tcBorders>
              <w:tl2br w:val="nil"/>
              <w:tr2bl w:val="nil"/>
            </w:tcBorders>
            <w:vAlign w:val="center"/>
          </w:tcPr>
          <w:p>
            <w:pPr>
              <w:pStyle w:val="41"/>
              <w:rPr>
                <w:color w:val="auto"/>
                <w:highlight w:val="none"/>
              </w:rPr>
            </w:pPr>
            <w:r>
              <w:rPr>
                <w:rFonts w:hint="eastAsia"/>
                <w:color w:val="auto"/>
                <w:highlight w:val="none"/>
              </w:rPr>
              <w:t>二</w:t>
            </w:r>
          </w:p>
        </w:tc>
        <w:tc>
          <w:tcPr>
            <w:tcW w:w="1250" w:type="pct"/>
            <w:tcBorders>
              <w:tl2br w:val="nil"/>
              <w:tr2bl w:val="nil"/>
            </w:tcBorders>
            <w:vAlign w:val="center"/>
          </w:tcPr>
          <w:p>
            <w:pPr>
              <w:pStyle w:val="41"/>
              <w:rPr>
                <w:color w:val="auto"/>
                <w:highlight w:val="none"/>
              </w:rPr>
            </w:pPr>
            <w:r>
              <w:rPr>
                <w:rFonts w:hint="eastAsia"/>
                <w:color w:val="auto"/>
                <w:highlight w:val="none"/>
              </w:rPr>
              <w:t>三</w:t>
            </w:r>
          </w:p>
        </w:tc>
        <w:tc>
          <w:tcPr>
            <w:tcW w:w="1250" w:type="pct"/>
            <w:tcBorders>
              <w:tl2br w:val="nil"/>
              <w:tr2bl w:val="nil"/>
            </w:tcBorders>
            <w:vAlign w:val="center"/>
          </w:tcPr>
          <w:p>
            <w:pPr>
              <w:pStyle w:val="41"/>
              <w:rPr>
                <w:color w:val="auto"/>
                <w:highlight w:val="none"/>
              </w:rPr>
            </w:pPr>
            <w:r>
              <w:rPr>
                <w:rFonts w:hint="eastAsia"/>
                <w:color w:val="auto"/>
                <w:highlight w:val="none"/>
              </w:rPr>
              <w:t>/</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val="en-US" w:eastAsia="zh-CN" w:bidi="ar"/>
        </w:rPr>
      </w:pPr>
      <w:r>
        <w:rPr>
          <w:rFonts w:hint="eastAsia" w:cs="Times New Roman"/>
          <w:color w:val="auto"/>
          <w:highlight w:val="none"/>
          <w:lang w:val="en-US" w:eastAsia="zh-CN" w:bidi="ar"/>
        </w:rPr>
        <w:t>表2.5-7     污染影响型土壤环境评价工作等级划分依据一览表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605"/>
        <w:gridCol w:w="829"/>
        <w:gridCol w:w="654"/>
        <w:gridCol w:w="656"/>
        <w:gridCol w:w="654"/>
        <w:gridCol w:w="654"/>
        <w:gridCol w:w="656"/>
        <w:gridCol w:w="654"/>
        <w:gridCol w:w="654"/>
        <w:gridCol w:w="6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vMerge w:val="restart"/>
            <w:tcBorders>
              <w:tl2br w:val="nil"/>
              <w:tr2bl w:val="nil"/>
            </w:tcBorders>
            <w:vAlign w:val="center"/>
            <mc:AlternateContent>
              <mc:Choice Requires="wpsCustomData">
                <wpsCustomData:diagonals>
                  <wpsCustomData:diagonal from="30000" to="10000">
                    <wpsCustomData:border w:val="single" w:color="auto" w:sz="12" w:space="0"/>
                  </wpsCustomData:diagonal>
                </wpsCustomData:diagonals>
              </mc:Choice>
            </mc:AlternateContent>
          </w:tcPr>
          <w:p>
            <w:pPr>
              <w:pStyle w:val="41"/>
              <w:rPr>
                <w:color w:val="auto"/>
                <w:highlight w:val="none"/>
              </w:rPr>
            </w:pPr>
            <w:r>
              <w:rPr>
                <w:rFonts w:hint="eastAsia"/>
                <w:color w:val="auto"/>
                <w:highlight w:val="none"/>
              </w:rPr>
              <w:t xml:space="preserve">            </w:t>
            </w:r>
          </w:p>
          <w:p>
            <w:pPr>
              <w:pStyle w:val="41"/>
              <w:snapToGrid w:val="0"/>
              <w:spacing w:line="240" w:lineRule="auto"/>
              <mc:AlternateContent>
                <mc:Choice Requires="wpsCustomData">
                  <wpsCustomData:diagonalParaType/>
                </mc:Choice>
              </mc:AlternateContent>
              <w:rPr>
                <w:color w:val="auto"/>
                <w:highlight w:val="none"/>
              </w:rPr>
            </w:pPr>
            <w:r>
              <w:rPr>
                <w:rFonts w:hint="eastAsia"/>
                <w:color w:val="auto"/>
                <w:highlight w:val="none"/>
                <w:lang w:val="en-US" w:eastAsia="zh-CN"/>
              </w:rPr>
              <w:t xml:space="preserve">      </w:t>
            </w:r>
            <w:r>
              <w:rPr>
                <w:rFonts w:hint="eastAsia"/>
                <w:color w:val="auto"/>
                <w:highlight w:val="none"/>
              </w:rPr>
              <w:t>敏感程度</w:t>
            </w:r>
          </w:p>
          <w:p>
            <w:pPr>
              <w:pStyle w:val="41"/>
              <w:rPr>
                <w:color w:val="auto"/>
                <w:highlight w:val="none"/>
              </w:rPr>
            </w:pPr>
            <w:r>
              <w:rPr>
                <w:rFonts w:hint="eastAsia"/>
                <w:color w:val="auto"/>
                <w:highlight w:val="none"/>
              </w:rPr>
              <w:t>占地规模</w:t>
            </w:r>
          </w:p>
        </w:tc>
        <w:tc>
          <w:tcPr>
            <w:tcW w:w="2220" w:type="dxa"/>
            <w:gridSpan w:val="3"/>
            <w:tcBorders>
              <w:tl2br w:val="nil"/>
              <w:tr2bl w:val="nil"/>
            </w:tcBorders>
            <w:shd w:val="clear" w:color="auto" w:fill="D7D7D7" w:themeFill="background1" w:themeFillShade="D8"/>
            <w:vAlign w:val="center"/>
          </w:tcPr>
          <w:p>
            <w:pPr>
              <w:pStyle w:val="41"/>
              <w:rPr>
                <w:color w:val="auto"/>
                <w:highlight w:val="none"/>
              </w:rPr>
            </w:pPr>
            <w:r>
              <w:rPr>
                <w:rFonts w:hint="eastAsia"/>
                <w:color w:val="auto"/>
                <w:highlight w:val="none"/>
              </w:rPr>
              <w:t>Ⅰ类</w:t>
            </w:r>
          </w:p>
        </w:tc>
        <w:tc>
          <w:tcPr>
            <w:tcW w:w="2036" w:type="dxa"/>
            <w:gridSpan w:val="3"/>
            <w:tcBorders>
              <w:tl2br w:val="nil"/>
              <w:tr2bl w:val="nil"/>
            </w:tcBorders>
            <w:shd w:val="clear" w:color="auto" w:fill="D7D7D7" w:themeFill="background1" w:themeFillShade="D8"/>
            <w:vAlign w:val="center"/>
          </w:tcPr>
          <w:p>
            <w:pPr>
              <w:pStyle w:val="41"/>
              <w:rPr>
                <w:color w:val="auto"/>
                <w:highlight w:val="none"/>
              </w:rPr>
            </w:pPr>
            <w:r>
              <w:rPr>
                <w:rFonts w:hint="eastAsia"/>
                <w:color w:val="auto"/>
                <w:highlight w:val="none"/>
              </w:rPr>
              <w:t>Ⅱ类</w:t>
            </w:r>
          </w:p>
        </w:tc>
        <w:tc>
          <w:tcPr>
            <w:tcW w:w="2036" w:type="dxa"/>
            <w:gridSpan w:val="3"/>
            <w:tcBorders>
              <w:tl2br w:val="nil"/>
              <w:tr2bl w:val="nil"/>
            </w:tcBorders>
            <w:vAlign w:val="center"/>
          </w:tcPr>
          <w:p>
            <w:pPr>
              <w:pStyle w:val="41"/>
              <w:rPr>
                <w:color w:val="auto"/>
                <w:highlight w:val="none"/>
              </w:rPr>
            </w:pPr>
            <w:r>
              <w:rPr>
                <w:rFonts w:hint="eastAsia"/>
                <w:color w:val="auto"/>
                <w:highlight w:val="none"/>
              </w:rPr>
              <w:t>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vMerge w:val="continue"/>
            <w:tcBorders>
              <w:tl2br w:val="nil"/>
              <w:tr2bl w:val="nil"/>
            </w:tcBorders>
            <w:vAlign w:val="center"/>
          </w:tcPr>
          <w:p>
            <w:pPr>
              <w:pStyle w:val="41"/>
              <w:rPr>
                <w:color w:val="auto"/>
                <w:highlight w:val="none"/>
              </w:rPr>
            </w:pPr>
          </w:p>
        </w:tc>
        <w:tc>
          <w:tcPr>
            <w:tcW w:w="862" w:type="dxa"/>
            <w:tcBorders>
              <w:tl2br w:val="nil"/>
              <w:tr2bl w:val="nil"/>
            </w:tcBorders>
            <w:vAlign w:val="center"/>
          </w:tcPr>
          <w:p>
            <w:pPr>
              <w:pStyle w:val="41"/>
              <w:rPr>
                <w:color w:val="auto"/>
                <w:highlight w:val="none"/>
              </w:rPr>
            </w:pPr>
            <w:r>
              <w:rPr>
                <w:rFonts w:hint="eastAsia"/>
                <w:color w:val="auto"/>
                <w:highlight w:val="none"/>
              </w:rPr>
              <w:t>大</w:t>
            </w:r>
          </w:p>
        </w:tc>
        <w:tc>
          <w:tcPr>
            <w:tcW w:w="678" w:type="dxa"/>
            <w:tcBorders>
              <w:tl2br w:val="nil"/>
              <w:tr2bl w:val="nil"/>
            </w:tcBorders>
            <w:vAlign w:val="center"/>
          </w:tcPr>
          <w:p>
            <w:pPr>
              <w:pStyle w:val="41"/>
              <w:rPr>
                <w:color w:val="auto"/>
                <w:highlight w:val="none"/>
              </w:rPr>
            </w:pPr>
            <w:r>
              <w:rPr>
                <w:rFonts w:hint="eastAsia"/>
                <w:color w:val="auto"/>
                <w:highlight w:val="none"/>
              </w:rPr>
              <w:t>中</w:t>
            </w:r>
          </w:p>
        </w:tc>
        <w:tc>
          <w:tcPr>
            <w:tcW w:w="680" w:type="dxa"/>
            <w:tcBorders>
              <w:tl2br w:val="nil"/>
              <w:tr2bl w:val="nil"/>
            </w:tcBorders>
            <w:vAlign w:val="center"/>
          </w:tcPr>
          <w:p>
            <w:pPr>
              <w:pStyle w:val="41"/>
              <w:rPr>
                <w:color w:val="auto"/>
                <w:highlight w:val="none"/>
              </w:rPr>
            </w:pPr>
            <w:r>
              <w:rPr>
                <w:rFonts w:hint="eastAsia"/>
                <w:color w:val="auto"/>
                <w:highlight w:val="none"/>
              </w:rPr>
              <w:t>小</w:t>
            </w:r>
          </w:p>
        </w:tc>
        <w:tc>
          <w:tcPr>
            <w:tcW w:w="678" w:type="dxa"/>
            <w:tcBorders>
              <w:tl2br w:val="nil"/>
              <w:tr2bl w:val="nil"/>
            </w:tcBorders>
            <w:vAlign w:val="center"/>
          </w:tcPr>
          <w:p>
            <w:pPr>
              <w:pStyle w:val="41"/>
              <w:rPr>
                <w:color w:val="auto"/>
                <w:highlight w:val="none"/>
              </w:rPr>
            </w:pPr>
            <w:r>
              <w:rPr>
                <w:rFonts w:hint="eastAsia"/>
                <w:color w:val="auto"/>
                <w:highlight w:val="none"/>
              </w:rPr>
              <w:t>大</w:t>
            </w:r>
          </w:p>
        </w:tc>
        <w:tc>
          <w:tcPr>
            <w:tcW w:w="678" w:type="dxa"/>
            <w:tcBorders>
              <w:tl2br w:val="nil"/>
              <w:tr2bl w:val="nil"/>
            </w:tcBorders>
            <w:vAlign w:val="center"/>
          </w:tcPr>
          <w:p>
            <w:pPr>
              <w:pStyle w:val="41"/>
              <w:rPr>
                <w:color w:val="auto"/>
                <w:highlight w:val="none"/>
              </w:rPr>
            </w:pPr>
            <w:r>
              <w:rPr>
                <w:rFonts w:hint="eastAsia"/>
                <w:color w:val="auto"/>
                <w:highlight w:val="none"/>
              </w:rPr>
              <w:t>中</w:t>
            </w:r>
          </w:p>
        </w:tc>
        <w:tc>
          <w:tcPr>
            <w:tcW w:w="680" w:type="dxa"/>
            <w:tcBorders>
              <w:tl2br w:val="nil"/>
              <w:tr2bl w:val="nil"/>
            </w:tcBorders>
            <w:vAlign w:val="center"/>
          </w:tcPr>
          <w:p>
            <w:pPr>
              <w:pStyle w:val="41"/>
              <w:rPr>
                <w:color w:val="auto"/>
                <w:highlight w:val="none"/>
              </w:rPr>
            </w:pPr>
            <w:r>
              <w:rPr>
                <w:rFonts w:hint="eastAsia"/>
                <w:color w:val="auto"/>
                <w:highlight w:val="none"/>
              </w:rPr>
              <w:t>小</w:t>
            </w:r>
          </w:p>
        </w:tc>
        <w:tc>
          <w:tcPr>
            <w:tcW w:w="678" w:type="dxa"/>
            <w:tcBorders>
              <w:tl2br w:val="nil"/>
              <w:tr2bl w:val="nil"/>
            </w:tcBorders>
            <w:vAlign w:val="center"/>
          </w:tcPr>
          <w:p>
            <w:pPr>
              <w:pStyle w:val="41"/>
              <w:rPr>
                <w:color w:val="auto"/>
                <w:highlight w:val="none"/>
              </w:rPr>
            </w:pPr>
            <w:r>
              <w:rPr>
                <w:rFonts w:hint="eastAsia"/>
                <w:color w:val="auto"/>
                <w:highlight w:val="none"/>
              </w:rPr>
              <w:t>大</w:t>
            </w:r>
          </w:p>
        </w:tc>
        <w:tc>
          <w:tcPr>
            <w:tcW w:w="678" w:type="dxa"/>
            <w:tcBorders>
              <w:tl2br w:val="nil"/>
              <w:tr2bl w:val="nil"/>
            </w:tcBorders>
            <w:vAlign w:val="center"/>
          </w:tcPr>
          <w:p>
            <w:pPr>
              <w:pStyle w:val="41"/>
              <w:rPr>
                <w:color w:val="auto"/>
                <w:highlight w:val="none"/>
              </w:rPr>
            </w:pPr>
            <w:r>
              <w:rPr>
                <w:rFonts w:hint="eastAsia"/>
                <w:color w:val="auto"/>
                <w:highlight w:val="none"/>
              </w:rPr>
              <w:t>中</w:t>
            </w:r>
          </w:p>
        </w:tc>
        <w:tc>
          <w:tcPr>
            <w:tcW w:w="680" w:type="dxa"/>
            <w:tcBorders>
              <w:tl2br w:val="nil"/>
              <w:tr2bl w:val="nil"/>
            </w:tcBorders>
            <w:vAlign w:val="center"/>
          </w:tcPr>
          <w:p>
            <w:pPr>
              <w:pStyle w:val="41"/>
              <w:rPr>
                <w:color w:val="auto"/>
                <w:highlight w:val="none"/>
              </w:rPr>
            </w:pPr>
            <w:r>
              <w:rPr>
                <w:rFonts w:hint="eastAsia"/>
                <w:color w:val="auto"/>
                <w:highlight w:val="none"/>
              </w:rPr>
              <w:t>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tcBorders>
              <w:tl2br w:val="nil"/>
              <w:tr2bl w:val="nil"/>
            </w:tcBorders>
            <w:vAlign w:val="center"/>
          </w:tcPr>
          <w:p>
            <w:pPr>
              <w:pStyle w:val="41"/>
              <w:rPr>
                <w:color w:val="auto"/>
                <w:highlight w:val="none"/>
              </w:rPr>
            </w:pPr>
            <w:r>
              <w:rPr>
                <w:rFonts w:hint="eastAsia"/>
                <w:color w:val="auto"/>
                <w:highlight w:val="none"/>
              </w:rPr>
              <w:t>敏感</w:t>
            </w:r>
          </w:p>
        </w:tc>
        <w:tc>
          <w:tcPr>
            <w:tcW w:w="862" w:type="dxa"/>
            <w:tcBorders>
              <w:tl2br w:val="nil"/>
              <w:tr2bl w:val="nil"/>
            </w:tcBorders>
            <w:vAlign w:val="center"/>
          </w:tcPr>
          <w:p>
            <w:pPr>
              <w:pStyle w:val="41"/>
              <w:rPr>
                <w:color w:val="auto"/>
                <w:highlight w:val="none"/>
              </w:rPr>
            </w:pPr>
            <w:r>
              <w:rPr>
                <w:rFonts w:hint="eastAsia"/>
                <w:color w:val="auto"/>
                <w:highlight w:val="none"/>
              </w:rPr>
              <w:t>一级</w:t>
            </w:r>
          </w:p>
        </w:tc>
        <w:tc>
          <w:tcPr>
            <w:tcW w:w="678" w:type="dxa"/>
            <w:tcBorders>
              <w:tl2br w:val="nil"/>
              <w:tr2bl w:val="nil"/>
            </w:tcBorders>
            <w:vAlign w:val="center"/>
          </w:tcPr>
          <w:p>
            <w:pPr>
              <w:pStyle w:val="41"/>
              <w:rPr>
                <w:color w:val="auto"/>
                <w:highlight w:val="none"/>
              </w:rPr>
            </w:pPr>
            <w:r>
              <w:rPr>
                <w:rFonts w:hint="eastAsia"/>
                <w:color w:val="auto"/>
                <w:highlight w:val="none"/>
              </w:rPr>
              <w:t>一级</w:t>
            </w:r>
          </w:p>
        </w:tc>
        <w:tc>
          <w:tcPr>
            <w:tcW w:w="680" w:type="dxa"/>
            <w:tcBorders>
              <w:tl2br w:val="nil"/>
              <w:tr2bl w:val="nil"/>
            </w:tcBorders>
            <w:vAlign w:val="center"/>
          </w:tcPr>
          <w:p>
            <w:pPr>
              <w:pStyle w:val="41"/>
              <w:rPr>
                <w:color w:val="auto"/>
                <w:highlight w:val="none"/>
              </w:rPr>
            </w:pPr>
            <w:r>
              <w:rPr>
                <w:rFonts w:hint="eastAsia"/>
                <w:color w:val="auto"/>
                <w:highlight w:val="none"/>
              </w:rPr>
              <w:t>一级</w:t>
            </w:r>
          </w:p>
        </w:tc>
        <w:tc>
          <w:tcPr>
            <w:tcW w:w="678" w:type="dxa"/>
            <w:tcBorders>
              <w:tl2br w:val="nil"/>
              <w:tr2bl w:val="nil"/>
            </w:tcBorders>
            <w:vAlign w:val="center"/>
          </w:tcPr>
          <w:p>
            <w:pPr>
              <w:pStyle w:val="41"/>
              <w:rPr>
                <w:color w:val="auto"/>
                <w:highlight w:val="none"/>
              </w:rPr>
            </w:pPr>
            <w:r>
              <w:rPr>
                <w:rFonts w:hint="eastAsia"/>
                <w:color w:val="auto"/>
                <w:highlight w:val="none"/>
              </w:rPr>
              <w:t>二级</w:t>
            </w:r>
          </w:p>
        </w:tc>
        <w:tc>
          <w:tcPr>
            <w:tcW w:w="678" w:type="dxa"/>
            <w:tcBorders>
              <w:tl2br w:val="nil"/>
              <w:tr2bl w:val="nil"/>
            </w:tcBorders>
            <w:vAlign w:val="center"/>
          </w:tcPr>
          <w:p>
            <w:pPr>
              <w:pStyle w:val="41"/>
              <w:rPr>
                <w:color w:val="auto"/>
                <w:highlight w:val="none"/>
              </w:rPr>
            </w:pPr>
            <w:r>
              <w:rPr>
                <w:rFonts w:hint="eastAsia"/>
                <w:color w:val="auto"/>
                <w:highlight w:val="none"/>
              </w:rPr>
              <w:t>二级</w:t>
            </w:r>
          </w:p>
        </w:tc>
        <w:tc>
          <w:tcPr>
            <w:tcW w:w="680" w:type="dxa"/>
            <w:tcBorders>
              <w:tl2br w:val="nil"/>
              <w:tr2bl w:val="nil"/>
            </w:tcBorders>
            <w:vAlign w:val="center"/>
          </w:tcPr>
          <w:p>
            <w:pPr>
              <w:pStyle w:val="41"/>
              <w:rPr>
                <w:color w:val="auto"/>
                <w:highlight w:val="none"/>
              </w:rPr>
            </w:pPr>
            <w:r>
              <w:rPr>
                <w:rFonts w:hint="eastAsia"/>
                <w:color w:val="auto"/>
                <w:highlight w:val="none"/>
              </w:rPr>
              <w:t>二级</w:t>
            </w:r>
          </w:p>
        </w:tc>
        <w:tc>
          <w:tcPr>
            <w:tcW w:w="678" w:type="dxa"/>
            <w:tcBorders>
              <w:tl2br w:val="nil"/>
              <w:tr2bl w:val="nil"/>
            </w:tcBorders>
            <w:vAlign w:val="center"/>
          </w:tcPr>
          <w:p>
            <w:pPr>
              <w:pStyle w:val="41"/>
              <w:rPr>
                <w:color w:val="auto"/>
                <w:highlight w:val="none"/>
              </w:rPr>
            </w:pPr>
            <w:r>
              <w:rPr>
                <w:rFonts w:hint="eastAsia"/>
                <w:color w:val="auto"/>
                <w:highlight w:val="none"/>
              </w:rPr>
              <w:t>三级</w:t>
            </w:r>
          </w:p>
        </w:tc>
        <w:tc>
          <w:tcPr>
            <w:tcW w:w="678" w:type="dxa"/>
            <w:tcBorders>
              <w:tl2br w:val="nil"/>
              <w:tr2bl w:val="nil"/>
            </w:tcBorders>
            <w:vAlign w:val="center"/>
          </w:tcPr>
          <w:p>
            <w:pPr>
              <w:pStyle w:val="41"/>
              <w:rPr>
                <w:color w:val="auto"/>
                <w:highlight w:val="none"/>
              </w:rPr>
            </w:pPr>
            <w:r>
              <w:rPr>
                <w:rFonts w:hint="eastAsia"/>
                <w:color w:val="auto"/>
                <w:highlight w:val="none"/>
              </w:rPr>
              <w:t>三级</w:t>
            </w:r>
          </w:p>
        </w:tc>
        <w:tc>
          <w:tcPr>
            <w:tcW w:w="680" w:type="dxa"/>
            <w:tcBorders>
              <w:tl2br w:val="nil"/>
              <w:tr2bl w:val="nil"/>
            </w:tcBorders>
            <w:vAlign w:val="center"/>
          </w:tcPr>
          <w:p>
            <w:pPr>
              <w:pStyle w:val="41"/>
              <w:rPr>
                <w:color w:val="auto"/>
                <w:highlight w:val="none"/>
              </w:rPr>
            </w:pPr>
            <w:r>
              <w:rPr>
                <w:rFonts w:hint="eastAsia"/>
                <w:color w:val="auto"/>
                <w:highlight w:val="none"/>
              </w:rPr>
              <w:t>三级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tcBorders>
              <w:tl2br w:val="nil"/>
              <w:tr2bl w:val="nil"/>
            </w:tcBorders>
            <w:vAlign w:val="center"/>
          </w:tcPr>
          <w:p>
            <w:pPr>
              <w:pStyle w:val="41"/>
              <w:rPr>
                <w:color w:val="auto"/>
                <w:highlight w:val="none"/>
              </w:rPr>
            </w:pPr>
            <w:r>
              <w:rPr>
                <w:rFonts w:hint="eastAsia"/>
                <w:color w:val="auto"/>
                <w:highlight w:val="none"/>
              </w:rPr>
              <w:t>较敏感</w:t>
            </w:r>
          </w:p>
        </w:tc>
        <w:tc>
          <w:tcPr>
            <w:tcW w:w="862" w:type="dxa"/>
            <w:tcBorders>
              <w:tl2br w:val="nil"/>
              <w:tr2bl w:val="nil"/>
            </w:tcBorders>
            <w:vAlign w:val="center"/>
          </w:tcPr>
          <w:p>
            <w:pPr>
              <w:pStyle w:val="41"/>
              <w:rPr>
                <w:color w:val="auto"/>
                <w:highlight w:val="none"/>
              </w:rPr>
            </w:pPr>
            <w:r>
              <w:rPr>
                <w:rFonts w:hint="eastAsia"/>
                <w:color w:val="auto"/>
                <w:highlight w:val="none"/>
              </w:rPr>
              <w:t>一级</w:t>
            </w:r>
          </w:p>
        </w:tc>
        <w:tc>
          <w:tcPr>
            <w:tcW w:w="678" w:type="dxa"/>
            <w:tcBorders>
              <w:tl2br w:val="nil"/>
              <w:tr2bl w:val="nil"/>
            </w:tcBorders>
            <w:vAlign w:val="center"/>
          </w:tcPr>
          <w:p>
            <w:pPr>
              <w:pStyle w:val="41"/>
              <w:rPr>
                <w:color w:val="auto"/>
                <w:highlight w:val="none"/>
              </w:rPr>
            </w:pPr>
            <w:r>
              <w:rPr>
                <w:rFonts w:hint="eastAsia"/>
                <w:color w:val="auto"/>
                <w:highlight w:val="none"/>
              </w:rPr>
              <w:t>一级</w:t>
            </w:r>
          </w:p>
        </w:tc>
        <w:tc>
          <w:tcPr>
            <w:tcW w:w="680" w:type="dxa"/>
            <w:tcBorders>
              <w:tl2br w:val="nil"/>
              <w:tr2bl w:val="nil"/>
            </w:tcBorders>
            <w:vAlign w:val="center"/>
          </w:tcPr>
          <w:p>
            <w:pPr>
              <w:pStyle w:val="41"/>
              <w:rPr>
                <w:color w:val="auto"/>
                <w:highlight w:val="none"/>
              </w:rPr>
            </w:pPr>
            <w:r>
              <w:rPr>
                <w:rFonts w:hint="eastAsia"/>
                <w:color w:val="auto"/>
                <w:highlight w:val="none"/>
              </w:rPr>
              <w:t>二级</w:t>
            </w:r>
          </w:p>
        </w:tc>
        <w:tc>
          <w:tcPr>
            <w:tcW w:w="678" w:type="dxa"/>
            <w:tcBorders>
              <w:tl2br w:val="nil"/>
              <w:tr2bl w:val="nil"/>
            </w:tcBorders>
            <w:vAlign w:val="center"/>
          </w:tcPr>
          <w:p>
            <w:pPr>
              <w:pStyle w:val="41"/>
              <w:rPr>
                <w:color w:val="auto"/>
                <w:highlight w:val="none"/>
              </w:rPr>
            </w:pPr>
            <w:r>
              <w:rPr>
                <w:rFonts w:hint="eastAsia"/>
                <w:color w:val="auto"/>
                <w:highlight w:val="none"/>
              </w:rPr>
              <w:t>二级</w:t>
            </w:r>
          </w:p>
        </w:tc>
        <w:tc>
          <w:tcPr>
            <w:tcW w:w="678" w:type="dxa"/>
            <w:tcBorders>
              <w:tl2br w:val="nil"/>
              <w:tr2bl w:val="nil"/>
            </w:tcBorders>
            <w:vAlign w:val="center"/>
          </w:tcPr>
          <w:p>
            <w:pPr>
              <w:pStyle w:val="41"/>
              <w:rPr>
                <w:color w:val="auto"/>
                <w:highlight w:val="none"/>
              </w:rPr>
            </w:pPr>
            <w:r>
              <w:rPr>
                <w:rFonts w:hint="eastAsia"/>
                <w:color w:val="auto"/>
                <w:highlight w:val="none"/>
              </w:rPr>
              <w:t>二级</w:t>
            </w:r>
          </w:p>
        </w:tc>
        <w:tc>
          <w:tcPr>
            <w:tcW w:w="680" w:type="dxa"/>
            <w:tcBorders>
              <w:tl2br w:val="nil"/>
              <w:tr2bl w:val="nil"/>
            </w:tcBorders>
            <w:vAlign w:val="center"/>
          </w:tcPr>
          <w:p>
            <w:pPr>
              <w:pStyle w:val="41"/>
              <w:rPr>
                <w:color w:val="auto"/>
                <w:highlight w:val="none"/>
              </w:rPr>
            </w:pPr>
            <w:r>
              <w:rPr>
                <w:rFonts w:hint="eastAsia"/>
                <w:color w:val="auto"/>
                <w:highlight w:val="none"/>
              </w:rPr>
              <w:t>三级</w:t>
            </w:r>
          </w:p>
        </w:tc>
        <w:tc>
          <w:tcPr>
            <w:tcW w:w="678" w:type="dxa"/>
            <w:tcBorders>
              <w:tl2br w:val="nil"/>
              <w:tr2bl w:val="nil"/>
            </w:tcBorders>
            <w:vAlign w:val="center"/>
          </w:tcPr>
          <w:p>
            <w:pPr>
              <w:pStyle w:val="41"/>
              <w:rPr>
                <w:color w:val="auto"/>
                <w:highlight w:val="none"/>
              </w:rPr>
            </w:pPr>
            <w:r>
              <w:rPr>
                <w:rFonts w:hint="eastAsia"/>
                <w:color w:val="auto"/>
                <w:highlight w:val="none"/>
              </w:rPr>
              <w:t>三级</w:t>
            </w:r>
          </w:p>
        </w:tc>
        <w:tc>
          <w:tcPr>
            <w:tcW w:w="678" w:type="dxa"/>
            <w:tcBorders>
              <w:tl2br w:val="nil"/>
              <w:tr2bl w:val="nil"/>
            </w:tcBorders>
            <w:vAlign w:val="center"/>
          </w:tcPr>
          <w:p>
            <w:pPr>
              <w:pStyle w:val="41"/>
              <w:rPr>
                <w:color w:val="auto"/>
                <w:highlight w:val="none"/>
              </w:rPr>
            </w:pPr>
            <w:r>
              <w:rPr>
                <w:rFonts w:hint="eastAsia"/>
                <w:color w:val="auto"/>
                <w:highlight w:val="none"/>
              </w:rPr>
              <w:t>三级</w:t>
            </w:r>
          </w:p>
        </w:tc>
        <w:tc>
          <w:tcPr>
            <w:tcW w:w="680" w:type="dxa"/>
            <w:tcBorders>
              <w:tl2br w:val="nil"/>
              <w:tr2bl w:val="nil"/>
            </w:tcBorders>
            <w:vAlign w:val="center"/>
          </w:tcPr>
          <w:p>
            <w:pPr>
              <w:pStyle w:val="41"/>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723" w:type="dxa"/>
            <w:tcBorders>
              <w:tl2br w:val="nil"/>
              <w:tr2bl w:val="nil"/>
            </w:tcBorders>
            <w:vAlign w:val="center"/>
          </w:tcPr>
          <w:p>
            <w:pPr>
              <w:pStyle w:val="41"/>
              <w:rPr>
                <w:color w:val="auto"/>
                <w:highlight w:val="none"/>
              </w:rPr>
            </w:pPr>
            <w:r>
              <w:rPr>
                <w:rFonts w:hint="eastAsia"/>
                <w:color w:val="auto"/>
                <w:highlight w:val="none"/>
              </w:rPr>
              <w:t>不敏感</w:t>
            </w:r>
          </w:p>
        </w:tc>
        <w:tc>
          <w:tcPr>
            <w:tcW w:w="862" w:type="dxa"/>
            <w:tcBorders>
              <w:tl2br w:val="nil"/>
              <w:tr2bl w:val="nil"/>
            </w:tcBorders>
            <w:vAlign w:val="center"/>
          </w:tcPr>
          <w:p>
            <w:pPr>
              <w:pStyle w:val="41"/>
              <w:rPr>
                <w:color w:val="auto"/>
                <w:highlight w:val="none"/>
              </w:rPr>
            </w:pPr>
            <w:r>
              <w:rPr>
                <w:rFonts w:hint="eastAsia"/>
                <w:color w:val="auto"/>
                <w:highlight w:val="none"/>
              </w:rPr>
              <w:t>一级</w:t>
            </w:r>
          </w:p>
        </w:tc>
        <w:tc>
          <w:tcPr>
            <w:tcW w:w="678" w:type="dxa"/>
            <w:tcBorders>
              <w:tl2br w:val="nil"/>
              <w:tr2bl w:val="nil"/>
            </w:tcBorders>
            <w:vAlign w:val="center"/>
          </w:tcPr>
          <w:p>
            <w:pPr>
              <w:pStyle w:val="41"/>
              <w:rPr>
                <w:color w:val="auto"/>
                <w:highlight w:val="none"/>
              </w:rPr>
            </w:pPr>
            <w:r>
              <w:rPr>
                <w:rFonts w:hint="eastAsia"/>
                <w:color w:val="auto"/>
                <w:highlight w:val="none"/>
              </w:rPr>
              <w:t>二级</w:t>
            </w:r>
          </w:p>
        </w:tc>
        <w:tc>
          <w:tcPr>
            <w:tcW w:w="680" w:type="dxa"/>
            <w:tcBorders>
              <w:tl2br w:val="nil"/>
              <w:tr2bl w:val="nil"/>
            </w:tcBorders>
            <w:vAlign w:val="center"/>
          </w:tcPr>
          <w:p>
            <w:pPr>
              <w:pStyle w:val="41"/>
              <w:rPr>
                <w:color w:val="auto"/>
                <w:highlight w:val="none"/>
              </w:rPr>
            </w:pPr>
            <w:r>
              <w:rPr>
                <w:rFonts w:hint="eastAsia"/>
                <w:color w:val="auto"/>
                <w:highlight w:val="none"/>
                <w:shd w:val="clear" w:color="FFFFFF" w:fill="D9D9D9"/>
              </w:rPr>
              <w:t>二级</w:t>
            </w:r>
          </w:p>
        </w:tc>
        <w:tc>
          <w:tcPr>
            <w:tcW w:w="678" w:type="dxa"/>
            <w:tcBorders>
              <w:tl2br w:val="nil"/>
              <w:tr2bl w:val="nil"/>
            </w:tcBorders>
            <w:vAlign w:val="center"/>
          </w:tcPr>
          <w:p>
            <w:pPr>
              <w:pStyle w:val="41"/>
              <w:rPr>
                <w:color w:val="auto"/>
                <w:highlight w:val="none"/>
              </w:rPr>
            </w:pPr>
            <w:r>
              <w:rPr>
                <w:rFonts w:hint="eastAsia"/>
                <w:color w:val="auto"/>
                <w:highlight w:val="none"/>
              </w:rPr>
              <w:t>二级</w:t>
            </w:r>
          </w:p>
        </w:tc>
        <w:tc>
          <w:tcPr>
            <w:tcW w:w="678" w:type="dxa"/>
            <w:tcBorders>
              <w:tl2br w:val="nil"/>
              <w:tr2bl w:val="nil"/>
            </w:tcBorders>
            <w:vAlign w:val="center"/>
          </w:tcPr>
          <w:p>
            <w:pPr>
              <w:pStyle w:val="41"/>
              <w:rPr>
                <w:color w:val="auto"/>
                <w:highlight w:val="none"/>
              </w:rPr>
            </w:pPr>
            <w:r>
              <w:rPr>
                <w:rFonts w:hint="eastAsia"/>
                <w:color w:val="auto"/>
                <w:highlight w:val="none"/>
              </w:rPr>
              <w:t>三级</w:t>
            </w:r>
          </w:p>
        </w:tc>
        <w:tc>
          <w:tcPr>
            <w:tcW w:w="680" w:type="dxa"/>
            <w:tcBorders>
              <w:tl2br w:val="nil"/>
              <w:tr2bl w:val="nil"/>
            </w:tcBorders>
            <w:vAlign w:val="center"/>
          </w:tcPr>
          <w:p>
            <w:pPr>
              <w:pStyle w:val="41"/>
              <w:rPr>
                <w:color w:val="auto"/>
                <w:highlight w:val="none"/>
              </w:rPr>
            </w:pPr>
            <w:r>
              <w:rPr>
                <w:rFonts w:hint="eastAsia"/>
                <w:color w:val="auto"/>
                <w:highlight w:val="none"/>
                <w:shd w:val="clear" w:color="FFFFFF" w:fill="D9D9D9"/>
              </w:rPr>
              <w:t>三级</w:t>
            </w:r>
          </w:p>
        </w:tc>
        <w:tc>
          <w:tcPr>
            <w:tcW w:w="678" w:type="dxa"/>
            <w:tcBorders>
              <w:tl2br w:val="nil"/>
              <w:tr2bl w:val="nil"/>
            </w:tcBorders>
            <w:vAlign w:val="center"/>
          </w:tcPr>
          <w:p>
            <w:pPr>
              <w:pStyle w:val="41"/>
              <w:rPr>
                <w:color w:val="auto"/>
                <w:highlight w:val="none"/>
              </w:rPr>
            </w:pPr>
            <w:r>
              <w:rPr>
                <w:rFonts w:hint="eastAsia"/>
                <w:color w:val="auto"/>
                <w:highlight w:val="none"/>
              </w:rPr>
              <w:t>三级</w:t>
            </w:r>
          </w:p>
        </w:tc>
        <w:tc>
          <w:tcPr>
            <w:tcW w:w="678" w:type="dxa"/>
            <w:tcBorders>
              <w:tl2br w:val="nil"/>
              <w:tr2bl w:val="nil"/>
            </w:tcBorders>
            <w:vAlign w:val="center"/>
          </w:tcPr>
          <w:p>
            <w:pPr>
              <w:pStyle w:val="41"/>
              <w:rPr>
                <w:color w:val="auto"/>
                <w:highlight w:val="none"/>
              </w:rPr>
            </w:pPr>
            <w:r>
              <w:rPr>
                <w:rFonts w:hint="eastAsia"/>
                <w:color w:val="auto"/>
                <w:highlight w:val="none"/>
              </w:rPr>
              <w:t>—</w:t>
            </w:r>
          </w:p>
        </w:tc>
        <w:tc>
          <w:tcPr>
            <w:tcW w:w="680" w:type="dxa"/>
            <w:tcBorders>
              <w:tl2br w:val="nil"/>
              <w:tr2bl w:val="nil"/>
            </w:tcBorders>
            <w:vAlign w:val="center"/>
          </w:tcPr>
          <w:p>
            <w:pPr>
              <w:pStyle w:val="41"/>
              <w:rPr>
                <w:color w:val="auto"/>
                <w:highlight w:val="none"/>
              </w:rPr>
            </w:pPr>
            <w:r>
              <w:rPr>
                <w:rFonts w:hint="eastAsia"/>
                <w:color w:val="auto"/>
                <w:highlight w:val="none"/>
              </w:rPr>
              <w:t>—</w:t>
            </w:r>
          </w:p>
        </w:tc>
      </w:tr>
    </w:tbl>
    <w:p>
      <w:pPr>
        <w:pStyle w:val="57"/>
        <w:rPr>
          <w:color w:val="auto"/>
          <w:highlight w:val="none"/>
        </w:rPr>
      </w:pPr>
      <w:r>
        <w:rPr>
          <w:rFonts w:hint="default" w:ascii="Times New Roman" w:hAnsi="Times New Roman" w:eastAsia="宋体" w:cs="Times New Roman"/>
          <w:snapToGrid w:val="0"/>
          <w:color w:val="auto"/>
          <w:highlight w:val="none"/>
          <w:shd w:val="clear" w:color="auto" w:fill="auto"/>
        </w:rPr>
        <w:t>本</w:t>
      </w:r>
      <w:r>
        <w:rPr>
          <w:rFonts w:hint="eastAsia" w:ascii="Times New Roman" w:hAnsi="Times New Roman" w:eastAsia="宋体" w:cs="Times New Roman"/>
          <w:snapToGrid w:val="0"/>
          <w:color w:val="auto"/>
          <w:highlight w:val="none"/>
          <w:shd w:val="clear" w:color="auto" w:fill="auto"/>
          <w:lang w:val="en-US" w:eastAsia="zh-CN"/>
        </w:rPr>
        <w:t>工程</w:t>
      </w:r>
      <w:r>
        <w:rPr>
          <w:rFonts w:hint="default" w:ascii="Times New Roman" w:hAnsi="Times New Roman" w:eastAsia="宋体" w:cs="Times New Roman"/>
          <w:snapToGrid w:val="0"/>
          <w:color w:val="auto"/>
          <w:highlight w:val="none"/>
          <w:shd w:val="clear" w:color="auto" w:fill="auto"/>
        </w:rPr>
        <w:t>土壤项目类别为Ⅰ类</w:t>
      </w:r>
      <w:r>
        <w:rPr>
          <w:rFonts w:hint="default" w:ascii="Times New Roman" w:hAnsi="Times New Roman" w:eastAsia="宋体" w:cs="Times New Roman"/>
          <w:snapToGrid w:val="0"/>
          <w:color w:val="auto"/>
          <w:highlight w:val="none"/>
          <w:shd w:val="clear" w:color="auto" w:fill="auto"/>
          <w:lang w:eastAsia="zh-CN"/>
        </w:rPr>
        <w:t>（</w:t>
      </w:r>
      <w:r>
        <w:rPr>
          <w:rFonts w:hint="default" w:ascii="Times New Roman" w:hAnsi="Times New Roman" w:eastAsia="宋体" w:cs="Times New Roman"/>
          <w:snapToGrid w:val="0"/>
          <w:color w:val="auto"/>
          <w:highlight w:val="none"/>
          <w:shd w:val="clear" w:color="auto" w:fill="auto"/>
          <w:lang w:val="en-US" w:eastAsia="zh-CN"/>
        </w:rPr>
        <w:t>井场、站场</w:t>
      </w:r>
      <w:r>
        <w:rPr>
          <w:rFonts w:hint="default" w:ascii="Times New Roman" w:hAnsi="Times New Roman" w:eastAsia="宋体" w:cs="Times New Roman"/>
          <w:snapToGrid w:val="0"/>
          <w:color w:val="auto"/>
          <w:highlight w:val="none"/>
          <w:shd w:val="clear" w:color="auto" w:fill="auto"/>
          <w:lang w:eastAsia="zh-CN"/>
        </w:rPr>
        <w:t>）</w:t>
      </w:r>
      <w:r>
        <w:rPr>
          <w:rFonts w:hint="default" w:ascii="Times New Roman" w:hAnsi="Times New Roman" w:eastAsia="宋体" w:cs="Times New Roman"/>
          <w:snapToGrid w:val="0"/>
          <w:color w:val="auto"/>
          <w:highlight w:val="none"/>
          <w:shd w:val="clear" w:color="auto" w:fill="auto"/>
        </w:rPr>
        <w:t>、Ⅱ类</w:t>
      </w:r>
      <w:r>
        <w:rPr>
          <w:rFonts w:hint="default" w:ascii="Times New Roman" w:hAnsi="Times New Roman" w:eastAsia="宋体" w:cs="Times New Roman"/>
          <w:snapToGrid w:val="0"/>
          <w:color w:val="auto"/>
          <w:highlight w:val="none"/>
          <w:shd w:val="clear" w:color="auto" w:fill="auto"/>
          <w:lang w:eastAsia="zh-CN"/>
        </w:rPr>
        <w:t>（</w:t>
      </w:r>
      <w:r>
        <w:rPr>
          <w:rFonts w:hint="default" w:ascii="Times New Roman" w:hAnsi="Times New Roman" w:eastAsia="宋体" w:cs="Times New Roman"/>
          <w:snapToGrid w:val="0"/>
          <w:color w:val="auto"/>
          <w:highlight w:val="none"/>
          <w:shd w:val="clear" w:color="auto" w:fill="auto"/>
          <w:lang w:val="en-US" w:eastAsia="zh-CN"/>
        </w:rPr>
        <w:t>集输管线</w:t>
      </w:r>
      <w:r>
        <w:rPr>
          <w:rFonts w:hint="default" w:ascii="Times New Roman" w:hAnsi="Times New Roman" w:eastAsia="宋体" w:cs="Times New Roman"/>
          <w:snapToGrid w:val="0"/>
          <w:color w:val="auto"/>
          <w:highlight w:val="none"/>
          <w:shd w:val="clear" w:color="auto" w:fill="auto"/>
          <w:lang w:eastAsia="zh-CN"/>
        </w:rPr>
        <w:t>）</w:t>
      </w:r>
      <w:r>
        <w:rPr>
          <w:rFonts w:hint="default" w:ascii="Times New Roman" w:hAnsi="Times New Roman" w:eastAsia="宋体" w:cs="Times New Roman"/>
          <w:snapToGrid w:val="0"/>
          <w:color w:val="auto"/>
          <w:highlight w:val="none"/>
          <w:shd w:val="clear" w:color="auto" w:fill="auto"/>
        </w:rPr>
        <w:t>，生态影响型环境敏感程度为敏感；项目占地规模为</w:t>
      </w:r>
      <w:r>
        <w:rPr>
          <w:rFonts w:hint="eastAsia" w:cs="Times New Roman"/>
          <w:snapToGrid w:val="0"/>
          <w:color w:val="auto"/>
          <w:highlight w:val="none"/>
          <w:shd w:val="clear" w:color="auto" w:fill="auto"/>
          <w:lang w:val="en-US" w:eastAsia="zh-CN"/>
        </w:rPr>
        <w:t>小</w:t>
      </w:r>
      <w:r>
        <w:rPr>
          <w:rFonts w:hint="default" w:ascii="Times New Roman" w:hAnsi="Times New Roman" w:eastAsia="宋体" w:cs="Times New Roman"/>
          <w:snapToGrid w:val="0"/>
          <w:color w:val="auto"/>
          <w:highlight w:val="none"/>
          <w:shd w:val="clear" w:color="auto" w:fill="auto"/>
        </w:rPr>
        <w:t>型、污染影响型环境敏感程度为</w:t>
      </w:r>
      <w:r>
        <w:rPr>
          <w:rFonts w:hint="default" w:ascii="Times New Roman" w:hAnsi="Times New Roman" w:eastAsia="宋体" w:cs="Times New Roman"/>
          <w:snapToGrid w:val="0"/>
          <w:color w:val="auto"/>
          <w:highlight w:val="none"/>
          <w:shd w:val="clear" w:color="auto" w:fill="auto"/>
          <w:lang w:val="en-US" w:eastAsia="zh-CN"/>
        </w:rPr>
        <w:t>不敏感</w:t>
      </w:r>
      <w:r>
        <w:rPr>
          <w:rFonts w:hint="eastAsia"/>
          <w:color w:val="auto"/>
          <w:highlight w:val="none"/>
        </w:rPr>
        <w:t>。</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综上，本工程井场、站场</w:t>
      </w:r>
      <w:r>
        <w:rPr>
          <w:rFonts w:hint="default" w:ascii="Times New Roman" w:hAnsi="Times New Roman" w:eastAsia="宋体" w:cs="Times New Roman"/>
          <w:color w:val="auto"/>
          <w:highlight w:val="none"/>
        </w:rPr>
        <w:t>生态影响型土壤环境影响评价工作等级为</w:t>
      </w:r>
      <w:r>
        <w:rPr>
          <w:rFonts w:hint="eastAsia" w:ascii="Times New Roman" w:hAnsi="Times New Roman" w:eastAsia="宋体" w:cs="Times New Roman"/>
          <w:color w:val="auto"/>
          <w:highlight w:val="none"/>
          <w:lang w:val="en-US" w:eastAsia="zh-CN"/>
        </w:rPr>
        <w:t>一</w:t>
      </w:r>
      <w:r>
        <w:rPr>
          <w:rFonts w:hint="default" w:ascii="Times New Roman" w:hAnsi="Times New Roman" w:eastAsia="宋体" w:cs="Times New Roman"/>
          <w:color w:val="auto"/>
          <w:highlight w:val="none"/>
        </w:rPr>
        <w:t>级</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输油管线</w:t>
      </w:r>
      <w:r>
        <w:rPr>
          <w:rFonts w:hint="default" w:ascii="Times New Roman" w:hAnsi="Times New Roman" w:eastAsia="宋体" w:cs="Times New Roman"/>
          <w:color w:val="auto"/>
          <w:highlight w:val="none"/>
        </w:rPr>
        <w:t>生态影响型土壤环境影响评价工作等级为</w:t>
      </w:r>
      <w:r>
        <w:rPr>
          <w:rFonts w:hint="eastAsia" w:ascii="Times New Roman" w:hAnsi="Times New Roman" w:eastAsia="宋体" w:cs="Times New Roman"/>
          <w:color w:val="auto"/>
          <w:highlight w:val="none"/>
          <w:lang w:val="en-US" w:eastAsia="zh-CN"/>
        </w:rPr>
        <w:t>二</w:t>
      </w:r>
      <w:r>
        <w:rPr>
          <w:rFonts w:hint="default" w:ascii="Times New Roman" w:hAnsi="Times New Roman" w:eastAsia="宋体" w:cs="Times New Roman"/>
          <w:color w:val="auto"/>
          <w:highlight w:val="none"/>
        </w:rPr>
        <w:t>级</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本工程井场、站场</w:t>
      </w:r>
      <w:r>
        <w:rPr>
          <w:rFonts w:hint="default" w:ascii="Times New Roman" w:hAnsi="Times New Roman" w:eastAsia="宋体" w:cs="Times New Roman"/>
          <w:color w:val="auto"/>
          <w:highlight w:val="none"/>
        </w:rPr>
        <w:t>污染影响型土壤环境影响评价工作等级为</w:t>
      </w:r>
      <w:r>
        <w:rPr>
          <w:rFonts w:hint="default" w:ascii="Times New Roman" w:hAnsi="Times New Roman" w:eastAsia="宋体" w:cs="Times New Roman"/>
          <w:color w:val="auto"/>
          <w:highlight w:val="none"/>
          <w:lang w:val="en-US" w:eastAsia="zh-CN"/>
        </w:rPr>
        <w:t>二</w:t>
      </w:r>
      <w:r>
        <w:rPr>
          <w:rFonts w:hint="default" w:ascii="Times New Roman" w:hAnsi="Times New Roman" w:eastAsia="宋体" w:cs="Times New Roman"/>
          <w:color w:val="auto"/>
          <w:highlight w:val="none"/>
        </w:rPr>
        <w:t>级</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输油管线</w:t>
      </w:r>
      <w:r>
        <w:rPr>
          <w:rFonts w:hint="default" w:ascii="Times New Roman" w:hAnsi="Times New Roman" w:eastAsia="宋体" w:cs="Times New Roman"/>
          <w:color w:val="auto"/>
          <w:highlight w:val="none"/>
        </w:rPr>
        <w:t>污染影响型土壤环境影响评价工作等级为</w:t>
      </w:r>
      <w:r>
        <w:rPr>
          <w:rFonts w:hint="eastAsia" w:ascii="Times New Roman" w:hAnsi="Times New Roman" w:eastAsia="宋体" w:cs="Times New Roman"/>
          <w:color w:val="auto"/>
          <w:highlight w:val="none"/>
          <w:lang w:val="en-US" w:eastAsia="zh-CN"/>
        </w:rPr>
        <w:t>三</w:t>
      </w:r>
      <w:r>
        <w:rPr>
          <w:rFonts w:hint="default" w:ascii="Times New Roman" w:hAnsi="Times New Roman" w:eastAsia="宋体" w:cs="Times New Roman"/>
          <w:color w:val="auto"/>
          <w:highlight w:val="none"/>
        </w:rPr>
        <w:t>级</w:t>
      </w:r>
      <w:r>
        <w:rPr>
          <w:rFonts w:hint="eastAsia" w:ascii="Times New Roman" w:hAnsi="Times New Roman" w:eastAsia="宋体" w:cs="Times New Roman"/>
          <w:color w:val="auto"/>
          <w:highlight w:val="none"/>
        </w:rPr>
        <w:t>。</w:t>
      </w:r>
    </w:p>
    <w:p>
      <w:pPr>
        <w:pStyle w:val="5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）评价范围</w:t>
      </w:r>
    </w:p>
    <w:p>
      <w:pPr>
        <w:pStyle w:val="57"/>
        <w:rPr>
          <w:rFonts w:hint="eastAsia"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根据导则要求，土壤环境污染影响型评价范围为井场</w:t>
      </w:r>
      <w:r>
        <w:rPr>
          <w:rFonts w:hint="eastAsia" w:ascii="Times New Roman" w:hAnsi="Times New Roman" w:eastAsia="宋体" w:cs="Times New Roman"/>
          <w:color w:val="auto"/>
          <w:highlight w:val="none"/>
          <w:lang w:val="en-US" w:eastAsia="zh-CN"/>
        </w:rPr>
        <w:t>、站场</w:t>
      </w:r>
      <w:r>
        <w:rPr>
          <w:rFonts w:hint="default" w:ascii="Times New Roman" w:hAnsi="Times New Roman" w:eastAsia="宋体" w:cs="Times New Roman"/>
          <w:color w:val="auto"/>
          <w:highlight w:val="none"/>
          <w:lang w:val="en-US" w:eastAsia="zh-CN"/>
        </w:rPr>
        <w:t>占地范围内全部以及占地范围</w:t>
      </w:r>
      <w:r>
        <w:rPr>
          <w:rFonts w:hint="eastAsia" w:ascii="Times New Roman" w:hAnsi="Times New Roman" w:eastAsia="宋体" w:cs="Times New Roman"/>
          <w:color w:val="auto"/>
          <w:highlight w:val="none"/>
          <w:lang w:val="en-US" w:eastAsia="zh-CN"/>
        </w:rPr>
        <w:t>外0.2</w:t>
      </w:r>
      <w:r>
        <w:rPr>
          <w:rFonts w:hint="default" w:ascii="Times New Roman" w:hAnsi="Times New Roman" w:eastAsia="宋体" w:cs="Times New Roman"/>
          <w:color w:val="auto"/>
          <w:highlight w:val="none"/>
          <w:lang w:val="en-US" w:eastAsia="zh-CN"/>
        </w:rPr>
        <w:t>km范围，土壤环境生态影响型评价范围为井场</w:t>
      </w:r>
      <w:r>
        <w:rPr>
          <w:rFonts w:hint="eastAsia" w:ascii="Times New Roman" w:hAnsi="Times New Roman" w:eastAsia="宋体" w:cs="Times New Roman"/>
          <w:color w:val="auto"/>
          <w:highlight w:val="none"/>
          <w:lang w:val="en-US" w:eastAsia="zh-CN"/>
        </w:rPr>
        <w:t>、站场</w:t>
      </w:r>
      <w:r>
        <w:rPr>
          <w:rFonts w:hint="default" w:ascii="Times New Roman" w:hAnsi="Times New Roman" w:eastAsia="宋体" w:cs="Times New Roman"/>
          <w:color w:val="auto"/>
          <w:highlight w:val="none"/>
          <w:lang w:val="en-US" w:eastAsia="zh-CN"/>
        </w:rPr>
        <w:t>占地范围内全部以及占地范围外</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en-US" w:eastAsia="zh-CN"/>
        </w:rPr>
        <w:t>km范围，同时兼顾油气集输管线两侧向外延伸0.2km作为调查评价范围。</w:t>
      </w:r>
      <w:r>
        <w:rPr>
          <w:color w:val="auto"/>
          <w:highlight w:val="none"/>
        </w:rPr>
        <w:t>评价范围见图2.</w:t>
      </w:r>
      <w:r>
        <w:rPr>
          <w:rFonts w:hint="eastAsia"/>
          <w:color w:val="auto"/>
          <w:highlight w:val="none"/>
        </w:rPr>
        <w:t>5</w:t>
      </w:r>
      <w:r>
        <w:rPr>
          <w:color w:val="auto"/>
          <w:highlight w:val="none"/>
        </w:rPr>
        <w:t>-1</w:t>
      </w:r>
      <w:r>
        <w:rPr>
          <w:rFonts w:hint="eastAsia"/>
          <w:color w:val="auto"/>
          <w:highlight w:val="none"/>
          <w:lang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bidi="ar"/>
        </w:rPr>
      </w:pPr>
      <w:r>
        <w:rPr>
          <w:rFonts w:hint="eastAsia" w:cs="Times New Roman"/>
          <w:color w:val="auto"/>
          <w:highlight w:val="none"/>
          <w:lang w:val="en-US" w:eastAsia="zh-CN" w:bidi="ar"/>
        </w:rPr>
        <w:t>表2.5-8  本项目土壤评价等级及范围</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560"/>
        <w:gridCol w:w="823"/>
        <w:gridCol w:w="1066"/>
        <w:gridCol w:w="2765"/>
        <w:gridCol w:w="1057"/>
        <w:gridCol w:w="256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17" w:type="pct"/>
            <w:vMerge w:val="restar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序号</w:t>
            </w:r>
          </w:p>
        </w:tc>
        <w:tc>
          <w:tcPr>
            <w:tcW w:w="466" w:type="pct"/>
            <w:vMerge w:val="restar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建设内容</w:t>
            </w:r>
          </w:p>
        </w:tc>
        <w:tc>
          <w:tcPr>
            <w:tcW w:w="2168" w:type="pct"/>
            <w:gridSpan w:val="2"/>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生态影响型</w:t>
            </w:r>
          </w:p>
        </w:tc>
        <w:tc>
          <w:tcPr>
            <w:tcW w:w="2048" w:type="pct"/>
            <w:gridSpan w:val="2"/>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污染影响型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17" w:type="pct"/>
            <w:vMerge w:val="continue"/>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rPr>
            </w:pPr>
          </w:p>
        </w:tc>
        <w:tc>
          <w:tcPr>
            <w:tcW w:w="466" w:type="pct"/>
            <w:vMerge w:val="continue"/>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rPr>
            </w:pPr>
          </w:p>
        </w:tc>
        <w:tc>
          <w:tcPr>
            <w:tcW w:w="603"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评价等级</w:t>
            </w:r>
          </w:p>
        </w:tc>
        <w:tc>
          <w:tcPr>
            <w:tcW w:w="1564"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调查评价范围</w:t>
            </w:r>
          </w:p>
        </w:tc>
        <w:tc>
          <w:tcPr>
            <w:tcW w:w="598"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评价等级</w:t>
            </w:r>
          </w:p>
        </w:tc>
        <w:tc>
          <w:tcPr>
            <w:tcW w:w="1449"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调查评价范围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17"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w:t>
            </w:r>
          </w:p>
        </w:tc>
        <w:tc>
          <w:tcPr>
            <w:tcW w:w="466"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井场、站场</w:t>
            </w:r>
          </w:p>
        </w:tc>
        <w:tc>
          <w:tcPr>
            <w:tcW w:w="603"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一级</w:t>
            </w:r>
          </w:p>
        </w:tc>
        <w:tc>
          <w:tcPr>
            <w:tcW w:w="1564"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井场、站场占地范围内全部以及占地范围外5km范围</w:t>
            </w:r>
          </w:p>
        </w:tc>
        <w:tc>
          <w:tcPr>
            <w:tcW w:w="598"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二级</w:t>
            </w:r>
          </w:p>
        </w:tc>
        <w:tc>
          <w:tcPr>
            <w:tcW w:w="1449"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井场、站场占地范围内全部以及占地范围外0.2km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83" w:hRule="atLeast"/>
          <w:jc w:val="center"/>
        </w:trPr>
        <w:tc>
          <w:tcPr>
            <w:tcW w:w="317"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2</w:t>
            </w:r>
          </w:p>
        </w:tc>
        <w:tc>
          <w:tcPr>
            <w:tcW w:w="466"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管线</w:t>
            </w:r>
          </w:p>
        </w:tc>
        <w:tc>
          <w:tcPr>
            <w:tcW w:w="603"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二级</w:t>
            </w:r>
          </w:p>
        </w:tc>
        <w:tc>
          <w:tcPr>
            <w:tcW w:w="1564"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油气集输管线两侧向外延伸0.2km</w:t>
            </w:r>
          </w:p>
        </w:tc>
        <w:tc>
          <w:tcPr>
            <w:tcW w:w="598"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三级</w:t>
            </w:r>
          </w:p>
        </w:tc>
        <w:tc>
          <w:tcPr>
            <w:tcW w:w="1449" w:type="pct"/>
            <w:tcBorders>
              <w:tl2br w:val="nil"/>
              <w:tr2bl w:val="nil"/>
            </w:tcBorders>
            <w:noWrap w:val="0"/>
            <w:vAlign w:val="center"/>
          </w:tcPr>
          <w:p>
            <w:pPr>
              <w:pStyle w:val="65"/>
              <w:bidi w:val="0"/>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油气集输管线两侧向外延伸0.2km</w:t>
            </w:r>
          </w:p>
        </w:tc>
      </w:tr>
      <w:bookmarkEnd w:id="177"/>
    </w:tbl>
    <w:p>
      <w:pPr>
        <w:pStyle w:val="53"/>
        <w:pageBreakBefore w:val="0"/>
        <w:widowControl/>
        <w:kinsoku/>
        <w:wordWrap/>
        <w:overflowPunct/>
        <w:topLinePunct w:val="0"/>
        <w:autoSpaceDE/>
        <w:autoSpaceDN/>
        <w:bidi w:val="0"/>
        <w:spacing w:line="480" w:lineRule="exact"/>
        <w:textAlignment w:val="auto"/>
        <w:rPr>
          <w:rFonts w:eastAsia="宋体"/>
          <w:color w:val="auto"/>
          <w:highlight w:val="none"/>
        </w:rPr>
      </w:pPr>
      <w:r>
        <w:rPr>
          <w:color w:val="auto"/>
          <w:highlight w:val="none"/>
        </w:rPr>
        <w:t>2.</w:t>
      </w:r>
      <w:r>
        <w:rPr>
          <w:rFonts w:hint="eastAsia"/>
          <w:color w:val="auto"/>
          <w:highlight w:val="none"/>
        </w:rPr>
        <w:t>5.5</w:t>
      </w:r>
      <w:r>
        <w:rPr>
          <w:color w:val="auto"/>
          <w:highlight w:val="none"/>
        </w:rPr>
        <w:t>环境空气</w:t>
      </w:r>
      <w:bookmarkEnd w:id="171"/>
      <w:r>
        <w:rPr>
          <w:rFonts w:hint="eastAsia"/>
          <w:color w:val="auto"/>
          <w:highlight w:val="none"/>
        </w:rPr>
        <w:t>环境影响评价等级和评价范围</w:t>
      </w:r>
    </w:p>
    <w:bookmarkEnd w:id="172"/>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（1）评价等级</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本工程新增废气排放源主要为井场、站场非甲烷总烃以及集输过程中非甲烷总烃的无组织排放。根据工程特点、污染特征及周围环境状况，采用《环境影响评价技术导则 大气环境》（HJ2.2-2018）附录A推荐的估算模型AERSCREEN计算项目污染源的最大环境影响，选非甲烷总烃（NMHC）、甲醇为候选因子核算，计算出其最大地面浓度占标率Pi（第i个污染物，简称“最大浓度占标率”）及其地面浓度达标准值10%时所对应的最远距离D10%。其中Pi定义为：</w:t>
      </w:r>
    </w:p>
    <w:p>
      <w:pPr>
        <w:pStyle w:val="57"/>
        <w:ind w:firstLine="0" w:firstLineChars="0"/>
        <w:jc w:val="both"/>
        <w:rPr>
          <w:color w:val="auto"/>
          <w:highlight w:val="none"/>
        </w:rPr>
      </w:pPr>
    </w:p>
    <w:p>
      <w:pPr>
        <w:pStyle w:val="57"/>
        <w:ind w:firstLine="0" w:firstLineChars="0"/>
        <w:jc w:val="center"/>
        <w:rPr>
          <w:color w:val="auto"/>
          <w:highlight w:val="none"/>
        </w:rPr>
      </w:pPr>
      <w:r>
        <w:rPr>
          <w:rFonts w:hint="eastAsia"/>
          <w:color w:val="auto"/>
          <w:highlight w:val="none"/>
        </w:rPr>
        <w:drawing>
          <wp:anchor distT="0" distB="0" distL="0" distR="0" simplePos="0" relativeHeight="251696128" behindDoc="0" locked="0" layoutInCell="1" allowOverlap="1">
            <wp:simplePos x="0" y="0"/>
            <wp:positionH relativeFrom="column">
              <wp:posOffset>2183130</wp:posOffset>
            </wp:positionH>
            <wp:positionV relativeFrom="paragraph">
              <wp:posOffset>-118110</wp:posOffset>
            </wp:positionV>
            <wp:extent cx="1093470" cy="358140"/>
            <wp:effectExtent l="0" t="0" r="11430" b="3810"/>
            <wp:wrapNone/>
            <wp:docPr id="40" name="图片 40" descr="wps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wps22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1093470" cy="358140"/>
                    </a:xfrm>
                    <a:prstGeom prst="rect">
                      <a:avLst/>
                    </a:prstGeom>
                    <a:noFill/>
                    <a:ln>
                      <a:noFill/>
                    </a:ln>
                  </pic:spPr>
                </pic:pic>
              </a:graphicData>
            </a:graphic>
          </wp:anchor>
        </w:drawing>
      </w:r>
    </w:p>
    <w:p>
      <w:pPr>
        <w:pStyle w:val="57"/>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式中：Pi——第i个污染物的最大地面空气质量浓度占标率，%；</w:t>
      </w:r>
    </w:p>
    <w:p>
      <w:pPr>
        <w:pStyle w:val="57"/>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ρ</w:t>
      </w:r>
      <w:r>
        <w:rPr>
          <w:rFonts w:hint="eastAsia"/>
          <w:color w:val="auto"/>
          <w:highlight w:val="none"/>
          <w:vertAlign w:val="subscript"/>
        </w:rPr>
        <w:t>i</w:t>
      </w:r>
      <w:r>
        <w:rPr>
          <w:rFonts w:hint="eastAsia"/>
          <w:color w:val="auto"/>
          <w:highlight w:val="none"/>
        </w:rPr>
        <w:t>——采用估算模式计算出的第i个污染物的最大1h地面空气质量浓度，µg/m</w:t>
      </w:r>
      <w:r>
        <w:rPr>
          <w:rFonts w:hint="eastAsia"/>
          <w:color w:val="auto"/>
          <w:highlight w:val="none"/>
          <w:vertAlign w:val="superscript"/>
        </w:rPr>
        <w:t>3</w:t>
      </w:r>
      <w:r>
        <w:rPr>
          <w:rFonts w:hint="eastAsia"/>
          <w:color w:val="auto"/>
          <w:highlight w:val="none"/>
        </w:rPr>
        <w:t>；</w:t>
      </w:r>
    </w:p>
    <w:p>
      <w:pPr>
        <w:pStyle w:val="57"/>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ρ</w:t>
      </w:r>
      <w:r>
        <w:rPr>
          <w:rFonts w:hint="eastAsia"/>
          <w:color w:val="auto"/>
          <w:highlight w:val="none"/>
          <w:vertAlign w:val="subscript"/>
        </w:rPr>
        <w:t>0i</w:t>
      </w:r>
      <w:r>
        <w:rPr>
          <w:rFonts w:hint="eastAsia"/>
          <w:color w:val="auto"/>
          <w:highlight w:val="none"/>
        </w:rPr>
        <w:t>——第i个污染物的环境空气质量标准，µg/m</w:t>
      </w:r>
      <w:r>
        <w:rPr>
          <w:rFonts w:hint="eastAsia"/>
          <w:color w:val="auto"/>
          <w:highlight w:val="none"/>
          <w:vertAlign w:val="superscript"/>
        </w:rPr>
        <w:t>3</w:t>
      </w:r>
      <w:r>
        <w:rPr>
          <w:rFonts w:hint="eastAsia"/>
          <w:color w:val="auto"/>
          <w:highlight w:val="none"/>
        </w:rPr>
        <w:t>。一般选用GB3095中1h平均质量浓度的二级浓度限值，如项目位于一类环境空气功能区，应选择相应的一级浓度限值；对该标准中未包含的污染物，使用5.2确定的各评价因子1h平均质量浓度限值。对仅有8h平均质量浓度限值、日平均质量浓度限值或年平均质量浓度限值的，可分别按2倍、3倍、6倍折算为1h平均质量浓度限值。</w:t>
      </w:r>
    </w:p>
    <w:p>
      <w:pPr>
        <w:pStyle w:val="57"/>
        <w:keepNext w:val="0"/>
        <w:keepLines w:val="0"/>
        <w:pageBreakBefore w:val="0"/>
        <w:kinsoku/>
        <w:wordWrap/>
        <w:overflowPunct/>
        <w:topLinePunct w:val="0"/>
        <w:autoSpaceDE/>
        <w:autoSpaceDN/>
        <w:bidi w:val="0"/>
        <w:adjustRightInd/>
        <w:snapToGrid/>
        <w:rPr>
          <w:color w:val="auto"/>
          <w:highlight w:val="none"/>
        </w:rPr>
      </w:pPr>
      <w:r>
        <w:rPr>
          <w:rFonts w:hint="eastAsia"/>
          <w:color w:val="auto"/>
          <w:highlight w:val="none"/>
        </w:rPr>
        <w:t>大气评价工作级别详见表2.5-7。</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val="en-US" w:eastAsia="zh-CN" w:bidi="ar"/>
        </w:rPr>
      </w:pPr>
      <w:r>
        <w:rPr>
          <w:rFonts w:hint="eastAsia" w:cs="Times New Roman"/>
          <w:color w:val="auto"/>
          <w:highlight w:val="none"/>
          <w:lang w:val="en-US" w:eastAsia="zh-CN" w:bidi="ar"/>
        </w:rPr>
        <w:t>表2.5-7  评价工作等级</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22"/>
        <w:gridCol w:w="611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pPr>
              <w:pStyle w:val="41"/>
              <w:rPr>
                <w:color w:val="auto"/>
                <w:highlight w:val="none"/>
              </w:rPr>
            </w:pPr>
            <w:r>
              <w:rPr>
                <w:color w:val="auto"/>
                <w:highlight w:val="none"/>
              </w:rPr>
              <w:t>评价工作等级</w:t>
            </w:r>
          </w:p>
        </w:tc>
        <w:tc>
          <w:tcPr>
            <w:tcW w:w="3459" w:type="pct"/>
            <w:tcBorders>
              <w:tl2br w:val="nil"/>
              <w:tr2bl w:val="nil"/>
            </w:tcBorders>
            <w:vAlign w:val="center"/>
          </w:tcPr>
          <w:p>
            <w:pPr>
              <w:pStyle w:val="41"/>
              <w:rPr>
                <w:color w:val="auto"/>
                <w:highlight w:val="none"/>
              </w:rPr>
            </w:pPr>
            <w:r>
              <w:rPr>
                <w:color w:val="auto"/>
                <w:highlight w:val="none"/>
              </w:rPr>
              <w:t>评价工作分级判据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pPr>
              <w:pStyle w:val="41"/>
              <w:rPr>
                <w:color w:val="auto"/>
                <w:highlight w:val="none"/>
              </w:rPr>
            </w:pPr>
            <w:r>
              <w:rPr>
                <w:color w:val="auto"/>
                <w:highlight w:val="none"/>
              </w:rPr>
              <w:t>一级评价</w:t>
            </w:r>
          </w:p>
        </w:tc>
        <w:tc>
          <w:tcPr>
            <w:tcW w:w="3459" w:type="pct"/>
            <w:tcBorders>
              <w:tl2br w:val="nil"/>
              <w:tr2bl w:val="nil"/>
            </w:tcBorders>
            <w:vAlign w:val="center"/>
          </w:tcPr>
          <w:p>
            <w:pPr>
              <w:pStyle w:val="41"/>
              <w:rPr>
                <w:color w:val="auto"/>
                <w:highlight w:val="none"/>
              </w:rPr>
            </w:pPr>
            <w:r>
              <w:rPr>
                <w:i/>
                <w:color w:val="auto"/>
                <w:highlight w:val="none"/>
              </w:rPr>
              <w:t>P</w:t>
            </w:r>
            <w:r>
              <w:rPr>
                <w:i/>
                <w:color w:val="auto"/>
                <w:highlight w:val="none"/>
                <w:vertAlign w:val="subscript"/>
              </w:rPr>
              <w:t>max</w:t>
            </w:r>
            <w:r>
              <w:rPr>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pPr>
              <w:pStyle w:val="41"/>
              <w:rPr>
                <w:color w:val="auto"/>
                <w:highlight w:val="none"/>
              </w:rPr>
            </w:pPr>
            <w:r>
              <w:rPr>
                <w:color w:val="auto"/>
                <w:highlight w:val="none"/>
              </w:rPr>
              <w:t>二级评价</w:t>
            </w:r>
          </w:p>
        </w:tc>
        <w:tc>
          <w:tcPr>
            <w:tcW w:w="3459" w:type="pct"/>
            <w:tcBorders>
              <w:tl2br w:val="nil"/>
              <w:tr2bl w:val="nil"/>
            </w:tcBorders>
            <w:vAlign w:val="center"/>
          </w:tcPr>
          <w:p>
            <w:pPr>
              <w:pStyle w:val="41"/>
              <w:rPr>
                <w:color w:val="auto"/>
                <w:highlight w:val="none"/>
              </w:rPr>
            </w:pPr>
            <w:r>
              <w:rPr>
                <w:color w:val="auto"/>
                <w:highlight w:val="none"/>
              </w:rPr>
              <w:t>1%≤</w:t>
            </w:r>
            <w:r>
              <w:rPr>
                <w:i/>
                <w:color w:val="auto"/>
                <w:highlight w:val="none"/>
              </w:rPr>
              <w:t>P</w:t>
            </w:r>
            <w:r>
              <w:rPr>
                <w:i/>
                <w:color w:val="auto"/>
                <w:highlight w:val="none"/>
                <w:vertAlign w:val="subscript"/>
              </w:rPr>
              <w:t>max</w:t>
            </w:r>
            <w:r>
              <w:rPr>
                <w:color w:val="auto"/>
                <w:highlight w:val="none"/>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541" w:type="pct"/>
            <w:tcBorders>
              <w:tl2br w:val="nil"/>
              <w:tr2bl w:val="nil"/>
            </w:tcBorders>
            <w:vAlign w:val="center"/>
          </w:tcPr>
          <w:p>
            <w:pPr>
              <w:pStyle w:val="41"/>
              <w:rPr>
                <w:color w:val="auto"/>
                <w:highlight w:val="none"/>
              </w:rPr>
            </w:pPr>
            <w:r>
              <w:rPr>
                <w:color w:val="auto"/>
                <w:highlight w:val="none"/>
              </w:rPr>
              <w:t>三级评价</w:t>
            </w:r>
          </w:p>
        </w:tc>
        <w:tc>
          <w:tcPr>
            <w:tcW w:w="3459" w:type="pct"/>
            <w:tcBorders>
              <w:tl2br w:val="nil"/>
              <w:tr2bl w:val="nil"/>
            </w:tcBorders>
            <w:vAlign w:val="center"/>
          </w:tcPr>
          <w:p>
            <w:pPr>
              <w:pStyle w:val="41"/>
              <w:rPr>
                <w:color w:val="auto"/>
                <w:highlight w:val="none"/>
              </w:rPr>
            </w:pPr>
            <w:r>
              <w:rPr>
                <w:color w:val="auto"/>
                <w:highlight w:val="none"/>
              </w:rPr>
              <w:t>P</w:t>
            </w:r>
            <w:r>
              <w:rPr>
                <w:color w:val="auto"/>
                <w:highlight w:val="none"/>
                <w:vertAlign w:val="subscript"/>
              </w:rPr>
              <w:t>max</w:t>
            </w:r>
            <w:r>
              <w:rPr>
                <w:color w:val="auto"/>
                <w:highlight w:val="none"/>
              </w:rPr>
              <w:t>＜1%</w:t>
            </w:r>
          </w:p>
        </w:tc>
      </w:tr>
    </w:tbl>
    <w:p>
      <w:pPr>
        <w:pStyle w:val="57"/>
        <w:rPr>
          <w:color w:val="auto"/>
          <w:highlight w:val="none"/>
        </w:rPr>
      </w:pPr>
      <w:r>
        <w:rPr>
          <w:color w:val="auto"/>
          <w:highlight w:val="none"/>
        </w:rPr>
        <w:t>估算模式所用参数见表2.</w:t>
      </w:r>
      <w:r>
        <w:rPr>
          <w:rFonts w:hint="eastAsia"/>
          <w:color w:val="auto"/>
          <w:highlight w:val="none"/>
        </w:rPr>
        <w:t>5-8</w:t>
      </w:r>
      <w:r>
        <w:rPr>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val="en-US" w:eastAsia="zh-CN"/>
        </w:rPr>
      </w:pPr>
      <w:r>
        <w:rPr>
          <w:rFonts w:hint="eastAsia" w:cs="Times New Roman"/>
          <w:color w:val="auto"/>
          <w:highlight w:val="none"/>
          <w:lang w:val="en-US" w:eastAsia="zh-CN"/>
        </w:rPr>
        <w:t>表2.5-8   估算模型参数表</w:t>
      </w:r>
    </w:p>
    <w:tbl>
      <w:tblPr>
        <w:tblStyle w:val="34"/>
        <w:tblW w:w="4999"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735"/>
        <w:gridCol w:w="2736"/>
        <w:gridCol w:w="33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097" w:type="pct"/>
            <w:gridSpan w:val="2"/>
            <w:tcBorders>
              <w:tl2br w:val="nil"/>
              <w:tr2bl w:val="nil"/>
            </w:tcBorders>
            <w:shd w:val="clear" w:color="auto" w:fill="auto"/>
            <w:vAlign w:val="center"/>
          </w:tcPr>
          <w:p>
            <w:pPr>
              <w:pStyle w:val="41"/>
              <w:rPr>
                <w:rFonts w:eastAsia="Times New Roman"/>
                <w:color w:val="auto"/>
                <w:highlight w:val="none"/>
              </w:rPr>
            </w:pPr>
            <w:r>
              <w:rPr>
                <w:color w:val="auto"/>
                <w:highlight w:val="none"/>
              </w:rPr>
              <w:t>参数</w:t>
            </w:r>
          </w:p>
        </w:tc>
        <w:tc>
          <w:tcPr>
            <w:tcW w:w="1902" w:type="pct"/>
            <w:tcBorders>
              <w:tl2br w:val="nil"/>
              <w:tr2bl w:val="nil"/>
            </w:tcBorders>
            <w:shd w:val="clear" w:color="auto" w:fill="auto"/>
            <w:vAlign w:val="center"/>
          </w:tcPr>
          <w:p>
            <w:pPr>
              <w:pStyle w:val="41"/>
              <w:rPr>
                <w:rFonts w:eastAsia="Times New Roman"/>
                <w:color w:val="auto"/>
                <w:highlight w:val="none"/>
              </w:rPr>
            </w:pPr>
            <w:r>
              <w:rPr>
                <w:color w:val="auto"/>
                <w:highlight w:val="none"/>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restart"/>
            <w:tcBorders>
              <w:tl2br w:val="nil"/>
              <w:tr2bl w:val="nil"/>
            </w:tcBorders>
            <w:shd w:val="clear" w:color="auto" w:fill="auto"/>
            <w:vAlign w:val="center"/>
          </w:tcPr>
          <w:p>
            <w:pPr>
              <w:pStyle w:val="41"/>
              <w:rPr>
                <w:rFonts w:eastAsia="Times New Roman"/>
                <w:color w:val="auto"/>
                <w:highlight w:val="none"/>
              </w:rPr>
            </w:pPr>
            <w:r>
              <w:rPr>
                <w:color w:val="auto"/>
                <w:highlight w:val="none"/>
              </w:rPr>
              <w:t>城市农村</w:t>
            </w:r>
            <w:r>
              <w:rPr>
                <w:rFonts w:eastAsia="Times New Roman"/>
                <w:color w:val="auto"/>
                <w:highlight w:val="none"/>
              </w:rPr>
              <w:t>/</w:t>
            </w:r>
            <w:r>
              <w:rPr>
                <w:color w:val="auto"/>
                <w:highlight w:val="none"/>
              </w:rPr>
              <w:t>选项</w:t>
            </w:r>
          </w:p>
        </w:tc>
        <w:tc>
          <w:tcPr>
            <w:tcW w:w="1548" w:type="pct"/>
            <w:tcBorders>
              <w:tl2br w:val="nil"/>
              <w:tr2bl w:val="nil"/>
            </w:tcBorders>
            <w:shd w:val="clear" w:color="auto" w:fill="auto"/>
            <w:vAlign w:val="center"/>
          </w:tcPr>
          <w:p>
            <w:pPr>
              <w:pStyle w:val="41"/>
              <w:rPr>
                <w:rFonts w:eastAsia="Times New Roman"/>
                <w:color w:val="auto"/>
                <w:highlight w:val="none"/>
              </w:rPr>
            </w:pPr>
            <w:r>
              <w:rPr>
                <w:color w:val="auto"/>
                <w:highlight w:val="none"/>
              </w:rPr>
              <w:t>城市</w:t>
            </w:r>
            <w:r>
              <w:rPr>
                <w:rFonts w:eastAsia="Times New Roman"/>
                <w:color w:val="auto"/>
                <w:highlight w:val="none"/>
              </w:rPr>
              <w:t>/</w:t>
            </w:r>
            <w:r>
              <w:rPr>
                <w:color w:val="auto"/>
                <w:highlight w:val="none"/>
              </w:rPr>
              <w:t>农村</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color w:val="auto"/>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continue"/>
            <w:tcBorders>
              <w:tl2br w:val="nil"/>
              <w:tr2bl w:val="nil"/>
            </w:tcBorders>
            <w:shd w:val="clear" w:color="auto" w:fill="auto"/>
            <w:vAlign w:val="center"/>
          </w:tcPr>
          <w:p>
            <w:pPr>
              <w:pStyle w:val="41"/>
              <w:rPr>
                <w:color w:val="auto"/>
                <w:highlight w:val="none"/>
              </w:rPr>
            </w:pPr>
          </w:p>
        </w:tc>
        <w:tc>
          <w:tcPr>
            <w:tcW w:w="1548" w:type="pct"/>
            <w:tcBorders>
              <w:tl2br w:val="nil"/>
              <w:tr2bl w:val="nil"/>
            </w:tcBorders>
            <w:shd w:val="clear" w:color="auto" w:fill="auto"/>
            <w:vAlign w:val="center"/>
          </w:tcPr>
          <w:p>
            <w:pPr>
              <w:pStyle w:val="41"/>
              <w:rPr>
                <w:rFonts w:eastAsia="Times New Roman"/>
                <w:color w:val="auto"/>
                <w:highlight w:val="none"/>
              </w:rPr>
            </w:pPr>
            <w:r>
              <w:rPr>
                <w:color w:val="auto"/>
                <w:highlight w:val="none"/>
              </w:rPr>
              <w:t>人口数（城市人口数）</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7" w:type="pct"/>
            <w:gridSpan w:val="2"/>
            <w:tcBorders>
              <w:tl2br w:val="nil"/>
              <w:tr2bl w:val="nil"/>
            </w:tcBorders>
            <w:shd w:val="clear" w:color="auto" w:fill="auto"/>
            <w:vAlign w:val="center"/>
          </w:tcPr>
          <w:p>
            <w:pPr>
              <w:pStyle w:val="41"/>
              <w:rPr>
                <w:rFonts w:eastAsia="Times New Roman"/>
                <w:color w:val="auto"/>
                <w:highlight w:val="none"/>
              </w:rPr>
            </w:pPr>
            <w:r>
              <w:rPr>
                <w:color w:val="auto"/>
                <w:highlight w:val="none"/>
              </w:rPr>
              <w:t>最高环境温度（</w:t>
            </w:r>
            <w:r>
              <w:rPr>
                <w:rFonts w:eastAsia="Times New Roman"/>
                <w:color w:val="auto"/>
                <w:highlight w:val="none"/>
              </w:rPr>
              <w:t>°C</w:t>
            </w:r>
            <w:r>
              <w:rPr>
                <w:color w:val="auto"/>
                <w:highlight w:val="none"/>
              </w:rPr>
              <w:t>）</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rFonts w:hint="eastAsia"/>
                <w:color w:val="auto"/>
                <w:lang w:val="en-US" w:eastAsia="zh-CN"/>
              </w:rPr>
              <w:t>41.9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7" w:type="pct"/>
            <w:gridSpan w:val="2"/>
            <w:tcBorders>
              <w:tl2br w:val="nil"/>
              <w:tr2bl w:val="nil"/>
            </w:tcBorders>
            <w:shd w:val="clear" w:color="auto" w:fill="auto"/>
            <w:vAlign w:val="center"/>
          </w:tcPr>
          <w:p>
            <w:pPr>
              <w:pStyle w:val="41"/>
              <w:rPr>
                <w:rFonts w:eastAsia="Times New Roman"/>
                <w:color w:val="auto"/>
                <w:highlight w:val="none"/>
              </w:rPr>
            </w:pPr>
            <w:r>
              <w:rPr>
                <w:color w:val="auto"/>
                <w:highlight w:val="none"/>
              </w:rPr>
              <w:t>最低环境温度（</w:t>
            </w:r>
            <w:r>
              <w:rPr>
                <w:rFonts w:eastAsia="Times New Roman"/>
                <w:color w:val="auto"/>
                <w:highlight w:val="none"/>
              </w:rPr>
              <w:t>°C</w:t>
            </w:r>
            <w:r>
              <w:rPr>
                <w:color w:val="auto"/>
                <w:highlight w:val="none"/>
              </w:rPr>
              <w:t>）</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color w:val="auto"/>
                <w:lang w:val="en-US" w:eastAsia="zh-CN"/>
              </w:rPr>
              <w:t>-</w:t>
            </w:r>
            <w:r>
              <w:rPr>
                <w:rFonts w:hint="eastAsia"/>
                <w:color w:val="auto"/>
                <w:lang w:val="en-US" w:eastAsia="zh-CN"/>
              </w:rPr>
              <w:t>37.2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7" w:type="pct"/>
            <w:gridSpan w:val="2"/>
            <w:tcBorders>
              <w:tl2br w:val="nil"/>
              <w:tr2bl w:val="nil"/>
            </w:tcBorders>
            <w:shd w:val="clear" w:color="auto" w:fill="auto"/>
            <w:vAlign w:val="center"/>
          </w:tcPr>
          <w:p>
            <w:pPr>
              <w:pStyle w:val="41"/>
              <w:rPr>
                <w:rFonts w:eastAsia="Times New Roman"/>
                <w:color w:val="auto"/>
                <w:highlight w:val="none"/>
              </w:rPr>
            </w:pPr>
            <w:r>
              <w:rPr>
                <w:color w:val="auto"/>
                <w:highlight w:val="none"/>
              </w:rPr>
              <w:t>土地利用类型</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rFonts w:hint="eastAsia"/>
                <w:color w:val="auto"/>
                <w:lang w:val="en-US" w:eastAsia="zh-CN"/>
              </w:rPr>
              <w:t>荒漠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097" w:type="pct"/>
            <w:gridSpan w:val="2"/>
            <w:tcBorders>
              <w:tl2br w:val="nil"/>
              <w:tr2bl w:val="nil"/>
            </w:tcBorders>
            <w:shd w:val="clear" w:color="auto" w:fill="auto"/>
            <w:vAlign w:val="center"/>
          </w:tcPr>
          <w:p>
            <w:pPr>
              <w:pStyle w:val="41"/>
              <w:rPr>
                <w:rFonts w:eastAsia="Times New Roman"/>
                <w:color w:val="auto"/>
                <w:highlight w:val="none"/>
              </w:rPr>
            </w:pPr>
            <w:r>
              <w:rPr>
                <w:color w:val="auto"/>
                <w:highlight w:val="none"/>
              </w:rPr>
              <w:t>区域湿度条件</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rFonts w:hint="eastAsia"/>
                <w:color w:val="auto"/>
                <w:lang w:val="en-US" w:eastAsia="zh-CN"/>
              </w:rPr>
              <w:t>干燥气候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restart"/>
            <w:tcBorders>
              <w:tl2br w:val="nil"/>
              <w:tr2bl w:val="nil"/>
            </w:tcBorders>
            <w:shd w:val="clear" w:color="auto" w:fill="auto"/>
            <w:vAlign w:val="center"/>
          </w:tcPr>
          <w:p>
            <w:pPr>
              <w:pStyle w:val="41"/>
              <w:rPr>
                <w:rFonts w:eastAsia="Times New Roman"/>
                <w:color w:val="auto"/>
                <w:highlight w:val="none"/>
              </w:rPr>
            </w:pPr>
            <w:r>
              <w:rPr>
                <w:color w:val="auto"/>
                <w:highlight w:val="none"/>
              </w:rPr>
              <w:t>是否考虑地形</w:t>
            </w:r>
          </w:p>
        </w:tc>
        <w:tc>
          <w:tcPr>
            <w:tcW w:w="1548" w:type="pct"/>
            <w:tcBorders>
              <w:tl2br w:val="nil"/>
              <w:tr2bl w:val="nil"/>
            </w:tcBorders>
            <w:shd w:val="clear" w:color="auto" w:fill="auto"/>
            <w:vAlign w:val="center"/>
          </w:tcPr>
          <w:p>
            <w:pPr>
              <w:pStyle w:val="41"/>
              <w:rPr>
                <w:rFonts w:eastAsia="Times New Roman"/>
                <w:color w:val="auto"/>
                <w:highlight w:val="none"/>
              </w:rPr>
            </w:pPr>
            <w:r>
              <w:rPr>
                <w:color w:val="auto"/>
                <w:highlight w:val="none"/>
              </w:rPr>
              <w:t>考虑地形</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color w:val="auto"/>
              </w:rPr>
              <w:t>是</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continue"/>
            <w:tcBorders>
              <w:tl2br w:val="nil"/>
              <w:tr2bl w:val="nil"/>
            </w:tcBorders>
            <w:shd w:val="clear" w:color="auto" w:fill="auto"/>
            <w:vAlign w:val="center"/>
          </w:tcPr>
          <w:p>
            <w:pPr>
              <w:pStyle w:val="41"/>
              <w:rPr>
                <w:color w:val="auto"/>
                <w:highlight w:val="none"/>
              </w:rPr>
            </w:pPr>
          </w:p>
        </w:tc>
        <w:tc>
          <w:tcPr>
            <w:tcW w:w="1548" w:type="pct"/>
            <w:tcBorders>
              <w:tl2br w:val="nil"/>
              <w:tr2bl w:val="nil"/>
            </w:tcBorders>
            <w:shd w:val="clear" w:color="auto" w:fill="auto"/>
            <w:vAlign w:val="center"/>
          </w:tcPr>
          <w:p>
            <w:pPr>
              <w:pStyle w:val="41"/>
              <w:rPr>
                <w:rFonts w:eastAsia="Times New Roman"/>
                <w:color w:val="auto"/>
                <w:highlight w:val="none"/>
              </w:rPr>
            </w:pPr>
            <w:r>
              <w:rPr>
                <w:color w:val="auto"/>
                <w:highlight w:val="none"/>
              </w:rPr>
              <w:t>地形数据分辨率（</w:t>
            </w:r>
            <w:r>
              <w:rPr>
                <w:rFonts w:eastAsia="Times New Roman"/>
                <w:color w:val="auto"/>
                <w:highlight w:val="none"/>
              </w:rPr>
              <w:t>m</w:t>
            </w:r>
            <w:r>
              <w:rPr>
                <w:color w:val="auto"/>
                <w:highlight w:val="none"/>
              </w:rPr>
              <w:t>）</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color w:val="auto"/>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restart"/>
            <w:tcBorders>
              <w:tl2br w:val="nil"/>
              <w:tr2bl w:val="nil"/>
            </w:tcBorders>
            <w:shd w:val="clear" w:color="auto" w:fill="auto"/>
            <w:vAlign w:val="center"/>
          </w:tcPr>
          <w:p>
            <w:pPr>
              <w:pStyle w:val="41"/>
              <w:rPr>
                <w:rFonts w:eastAsia="Times New Roman"/>
                <w:color w:val="auto"/>
                <w:highlight w:val="none"/>
              </w:rPr>
            </w:pPr>
            <w:r>
              <w:rPr>
                <w:color w:val="auto"/>
                <w:highlight w:val="none"/>
              </w:rPr>
              <w:t>是否考虑海岸线熏烟</w:t>
            </w:r>
          </w:p>
        </w:tc>
        <w:tc>
          <w:tcPr>
            <w:tcW w:w="1548" w:type="pct"/>
            <w:tcBorders>
              <w:tl2br w:val="nil"/>
              <w:tr2bl w:val="nil"/>
            </w:tcBorders>
            <w:shd w:val="clear" w:color="auto" w:fill="auto"/>
            <w:vAlign w:val="center"/>
          </w:tcPr>
          <w:p>
            <w:pPr>
              <w:pStyle w:val="41"/>
              <w:rPr>
                <w:rFonts w:eastAsia="Times New Roman"/>
                <w:color w:val="auto"/>
                <w:highlight w:val="none"/>
              </w:rPr>
            </w:pPr>
            <w:r>
              <w:rPr>
                <w:color w:val="auto"/>
                <w:highlight w:val="none"/>
              </w:rPr>
              <w:t>考虑海岸线熏烟</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color w:val="auto"/>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continue"/>
            <w:tcBorders>
              <w:tl2br w:val="nil"/>
              <w:tr2bl w:val="nil"/>
            </w:tcBorders>
            <w:shd w:val="clear" w:color="auto" w:fill="auto"/>
            <w:vAlign w:val="center"/>
          </w:tcPr>
          <w:p>
            <w:pPr>
              <w:pStyle w:val="41"/>
              <w:rPr>
                <w:color w:val="auto"/>
                <w:highlight w:val="none"/>
              </w:rPr>
            </w:pPr>
          </w:p>
        </w:tc>
        <w:tc>
          <w:tcPr>
            <w:tcW w:w="1548" w:type="pct"/>
            <w:tcBorders>
              <w:tl2br w:val="nil"/>
              <w:tr2bl w:val="nil"/>
            </w:tcBorders>
            <w:shd w:val="clear" w:color="auto" w:fill="auto"/>
            <w:vAlign w:val="center"/>
          </w:tcPr>
          <w:p>
            <w:pPr>
              <w:pStyle w:val="41"/>
              <w:rPr>
                <w:rFonts w:eastAsia="Times New Roman"/>
                <w:color w:val="auto"/>
                <w:highlight w:val="none"/>
              </w:rPr>
            </w:pPr>
            <w:r>
              <w:rPr>
                <w:color w:val="auto"/>
                <w:highlight w:val="none"/>
              </w:rPr>
              <w:t>海岸线距离（</w:t>
            </w:r>
            <w:r>
              <w:rPr>
                <w:rFonts w:eastAsia="Times New Roman"/>
                <w:color w:val="auto"/>
                <w:highlight w:val="none"/>
              </w:rPr>
              <w:t>km</w:t>
            </w:r>
            <w:r>
              <w:rPr>
                <w:color w:val="auto"/>
                <w:highlight w:val="none"/>
              </w:rPr>
              <w:t>）</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color w:va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48" w:type="pct"/>
            <w:vMerge w:val="continue"/>
            <w:tcBorders>
              <w:tl2br w:val="nil"/>
              <w:tr2bl w:val="nil"/>
            </w:tcBorders>
            <w:shd w:val="clear" w:color="auto" w:fill="auto"/>
            <w:vAlign w:val="center"/>
          </w:tcPr>
          <w:p>
            <w:pPr>
              <w:pStyle w:val="41"/>
              <w:rPr>
                <w:color w:val="auto"/>
                <w:highlight w:val="none"/>
              </w:rPr>
            </w:pPr>
          </w:p>
        </w:tc>
        <w:tc>
          <w:tcPr>
            <w:tcW w:w="1548" w:type="pct"/>
            <w:tcBorders>
              <w:tl2br w:val="nil"/>
              <w:tr2bl w:val="nil"/>
            </w:tcBorders>
            <w:shd w:val="clear" w:color="auto" w:fill="auto"/>
            <w:vAlign w:val="center"/>
          </w:tcPr>
          <w:p>
            <w:pPr>
              <w:pStyle w:val="41"/>
              <w:rPr>
                <w:rFonts w:eastAsia="Times New Roman"/>
                <w:color w:val="auto"/>
                <w:highlight w:val="none"/>
              </w:rPr>
            </w:pPr>
            <w:r>
              <w:rPr>
                <w:color w:val="auto"/>
                <w:highlight w:val="none"/>
              </w:rPr>
              <w:t>海岸线方向（</w:t>
            </w:r>
            <w:r>
              <w:rPr>
                <w:rFonts w:eastAsia="Times New Roman"/>
                <w:color w:val="auto"/>
                <w:highlight w:val="none"/>
                <w:vertAlign w:val="superscript"/>
              </w:rPr>
              <w:t>o</w:t>
            </w:r>
            <w:r>
              <w:rPr>
                <w:color w:val="auto"/>
                <w:highlight w:val="none"/>
              </w:rPr>
              <w:t>）</w:t>
            </w:r>
          </w:p>
        </w:tc>
        <w:tc>
          <w:tcPr>
            <w:tcW w:w="3360" w:type="dxa"/>
            <w:tcBorders>
              <w:tl2br w:val="nil"/>
              <w:tr2bl w:val="nil"/>
            </w:tcBorders>
            <w:shd w:val="clear" w:color="auto" w:fill="auto"/>
            <w:vAlign w:val="center"/>
          </w:tcPr>
          <w:p>
            <w:pPr>
              <w:pStyle w:val="41"/>
              <w:bidi w:val="0"/>
              <w:ind w:firstLine="0" w:firstLineChars="0"/>
              <w:rPr>
                <w:color w:val="auto"/>
                <w:highlight w:val="none"/>
              </w:rPr>
            </w:pPr>
            <w:r>
              <w:rPr>
                <w:color w:val="auto"/>
              </w:rPr>
              <w:t>/</w:t>
            </w:r>
          </w:p>
        </w:tc>
      </w:tr>
    </w:tbl>
    <w:p>
      <w:pPr>
        <w:pStyle w:val="57"/>
        <w:rPr>
          <w:color w:val="auto"/>
          <w:highlight w:val="none"/>
        </w:rPr>
      </w:pPr>
      <w:r>
        <w:rPr>
          <w:rFonts w:hint="eastAsia"/>
          <w:color w:val="auto"/>
          <w:highlight w:val="none"/>
        </w:rPr>
        <w:t>本次预测估算结果详见表</w:t>
      </w:r>
      <w:r>
        <w:rPr>
          <w:color w:val="auto"/>
          <w:highlight w:val="none"/>
        </w:rPr>
        <w:t>2.</w:t>
      </w:r>
      <w:r>
        <w:rPr>
          <w:rFonts w:hint="eastAsia"/>
          <w:color w:val="auto"/>
          <w:highlight w:val="none"/>
        </w:rPr>
        <w:t>5-9。</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lang w:val="en-US" w:eastAsia="zh-CN"/>
        </w:rPr>
      </w:pPr>
      <w:r>
        <w:rPr>
          <w:rFonts w:hint="eastAsia" w:cs="Times New Roman"/>
          <w:color w:val="auto"/>
          <w:highlight w:val="none"/>
          <w:lang w:val="en-US" w:eastAsia="zh-CN"/>
        </w:rPr>
        <w:t>表2.5-9       估算模式计算结果表</w:t>
      </w:r>
    </w:p>
    <w:tbl>
      <w:tblPr>
        <w:tblStyle w:val="34"/>
        <w:tblW w:w="50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017"/>
        <w:gridCol w:w="1602"/>
        <w:gridCol w:w="1039"/>
        <w:gridCol w:w="1039"/>
        <w:gridCol w:w="1039"/>
        <w:gridCol w:w="605"/>
        <w:gridCol w:w="14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1" w:type="pct"/>
            <w:tcBorders>
              <w:tl2br w:val="nil"/>
              <w:tr2bl w:val="nil"/>
            </w:tcBorders>
            <w:vAlign w:val="center"/>
          </w:tcPr>
          <w:p>
            <w:pPr>
              <w:pStyle w:val="41"/>
              <w:jc w:val="center"/>
              <w:rPr>
                <w:color w:val="auto"/>
                <w:highlight w:val="none"/>
              </w:rPr>
            </w:pPr>
            <w:r>
              <w:rPr>
                <w:rFonts w:hint="eastAsia"/>
                <w:color w:val="auto"/>
                <w:highlight w:val="none"/>
              </w:rPr>
              <w:t>名    称</w:t>
            </w:r>
          </w:p>
        </w:tc>
        <w:tc>
          <w:tcPr>
            <w:tcW w:w="914" w:type="pct"/>
            <w:tcBorders>
              <w:tl2br w:val="nil"/>
              <w:tr2bl w:val="nil"/>
            </w:tcBorders>
            <w:vAlign w:val="center"/>
          </w:tcPr>
          <w:p>
            <w:pPr>
              <w:pStyle w:val="41"/>
              <w:jc w:val="center"/>
              <w:rPr>
                <w:color w:val="auto"/>
                <w:highlight w:val="none"/>
              </w:rPr>
            </w:pPr>
            <w:r>
              <w:rPr>
                <w:rFonts w:hint="eastAsia"/>
                <w:color w:val="auto"/>
                <w:highlight w:val="none"/>
              </w:rPr>
              <w:t>评价因子</w:t>
            </w:r>
          </w:p>
        </w:tc>
        <w:tc>
          <w:tcPr>
            <w:tcW w:w="593" w:type="pct"/>
            <w:tcBorders>
              <w:tl2br w:val="nil"/>
              <w:tr2bl w:val="nil"/>
            </w:tcBorders>
            <w:vAlign w:val="center"/>
          </w:tcPr>
          <w:p>
            <w:pPr>
              <w:pStyle w:val="41"/>
              <w:jc w:val="center"/>
              <w:rPr>
                <w:color w:val="auto"/>
                <w:highlight w:val="none"/>
              </w:rPr>
            </w:pPr>
            <w:r>
              <w:rPr>
                <w:rFonts w:hint="eastAsia"/>
                <w:color w:val="auto"/>
                <w:highlight w:val="none"/>
              </w:rPr>
              <w:t>C</w:t>
            </w:r>
            <w:r>
              <w:rPr>
                <w:rFonts w:hint="eastAsia"/>
                <w:color w:val="auto"/>
                <w:highlight w:val="none"/>
                <w:vertAlign w:val="subscript"/>
              </w:rPr>
              <w:t>i</w:t>
            </w:r>
          </w:p>
        </w:tc>
        <w:tc>
          <w:tcPr>
            <w:tcW w:w="593" w:type="pct"/>
            <w:tcBorders>
              <w:tl2br w:val="nil"/>
              <w:tr2bl w:val="nil"/>
            </w:tcBorders>
            <w:vAlign w:val="center"/>
          </w:tcPr>
          <w:p>
            <w:pPr>
              <w:pStyle w:val="41"/>
              <w:bidi w:val="0"/>
              <w:rPr>
                <w:color w:val="auto"/>
                <w:highlight w:val="none"/>
              </w:rPr>
            </w:pPr>
            <w:r>
              <w:rPr>
                <w:rFonts w:hint="eastAsia"/>
                <w:color w:val="auto"/>
                <w:highlight w:val="none"/>
              </w:rPr>
              <w:t>评价标准</w:t>
            </w:r>
          </w:p>
        </w:tc>
        <w:tc>
          <w:tcPr>
            <w:tcW w:w="593" w:type="pct"/>
            <w:tcBorders>
              <w:tl2br w:val="nil"/>
              <w:tr2bl w:val="nil"/>
            </w:tcBorders>
            <w:vAlign w:val="center"/>
          </w:tcPr>
          <w:p>
            <w:pPr>
              <w:pStyle w:val="41"/>
              <w:bidi w:val="0"/>
              <w:rPr>
                <w:color w:val="auto"/>
                <w:highlight w:val="none"/>
              </w:rPr>
            </w:pPr>
            <w:r>
              <w:rPr>
                <w:rFonts w:hint="eastAsia"/>
                <w:color w:val="auto"/>
                <w:highlight w:val="none"/>
              </w:rPr>
              <w:t>P</w:t>
            </w:r>
            <w:r>
              <w:rPr>
                <w:rFonts w:hint="eastAsia"/>
                <w:color w:val="auto"/>
                <w:highlight w:val="none"/>
                <w:vertAlign w:val="subscript"/>
              </w:rPr>
              <w:t>i</w:t>
            </w:r>
          </w:p>
        </w:tc>
        <w:tc>
          <w:tcPr>
            <w:tcW w:w="345" w:type="pct"/>
            <w:tcBorders>
              <w:tl2br w:val="nil"/>
              <w:tr2bl w:val="nil"/>
            </w:tcBorders>
            <w:vAlign w:val="center"/>
          </w:tcPr>
          <w:p>
            <w:pPr>
              <w:pStyle w:val="41"/>
              <w:bidi w:val="0"/>
              <w:rPr>
                <w:color w:val="auto"/>
                <w:highlight w:val="none"/>
              </w:rPr>
            </w:pPr>
            <w:r>
              <w:rPr>
                <w:rFonts w:hint="eastAsia"/>
                <w:color w:val="auto"/>
                <w:highlight w:val="none"/>
              </w:rPr>
              <w:t>P</w:t>
            </w:r>
            <w:r>
              <w:rPr>
                <w:rFonts w:hint="eastAsia"/>
                <w:color w:val="auto"/>
                <w:highlight w:val="none"/>
                <w:vertAlign w:val="subscript"/>
              </w:rPr>
              <w:t>max</w:t>
            </w:r>
          </w:p>
        </w:tc>
        <w:tc>
          <w:tcPr>
            <w:tcW w:w="808" w:type="pct"/>
            <w:tcBorders>
              <w:tl2br w:val="nil"/>
              <w:tr2bl w:val="nil"/>
            </w:tcBorders>
            <w:vAlign w:val="center"/>
          </w:tcPr>
          <w:p>
            <w:pPr>
              <w:pStyle w:val="41"/>
              <w:bidi w:val="0"/>
              <w:rPr>
                <w:color w:val="auto"/>
                <w:highlight w:val="none"/>
              </w:rPr>
            </w:pPr>
            <w:r>
              <w:rPr>
                <w:rFonts w:hint="eastAsia"/>
                <w:color w:val="auto"/>
                <w:highlight w:val="none"/>
              </w:rPr>
              <w:t>最大浓度出现距离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1" w:type="pct"/>
            <w:tcBorders>
              <w:tl2br w:val="nil"/>
              <w:tr2bl w:val="nil"/>
            </w:tcBorders>
            <w:vAlign w:val="center"/>
          </w:tcPr>
          <w:p>
            <w:pPr>
              <w:pStyle w:val="41"/>
              <w:jc w:val="center"/>
              <w:rPr>
                <w:color w:val="auto"/>
                <w:highlight w:val="none"/>
              </w:rPr>
            </w:pPr>
            <w:r>
              <w:rPr>
                <w:rFonts w:hint="eastAsia"/>
                <w:color w:val="auto"/>
                <w:highlight w:val="none"/>
              </w:rPr>
              <w:t>单    位</w:t>
            </w:r>
          </w:p>
        </w:tc>
        <w:tc>
          <w:tcPr>
            <w:tcW w:w="914" w:type="pct"/>
            <w:tcBorders>
              <w:tl2br w:val="nil"/>
              <w:tr2bl w:val="nil"/>
            </w:tcBorders>
            <w:vAlign w:val="center"/>
          </w:tcPr>
          <w:p>
            <w:pPr>
              <w:pStyle w:val="41"/>
              <w:jc w:val="center"/>
              <w:rPr>
                <w:color w:val="auto"/>
                <w:highlight w:val="none"/>
              </w:rPr>
            </w:pPr>
            <w:r>
              <w:rPr>
                <w:rFonts w:hint="eastAsia"/>
                <w:color w:val="auto"/>
                <w:highlight w:val="none"/>
              </w:rPr>
              <w:t>--</w:t>
            </w:r>
          </w:p>
        </w:tc>
        <w:tc>
          <w:tcPr>
            <w:tcW w:w="593" w:type="pct"/>
            <w:tcBorders>
              <w:tl2br w:val="nil"/>
              <w:tr2bl w:val="nil"/>
            </w:tcBorders>
            <w:vAlign w:val="center"/>
          </w:tcPr>
          <w:p>
            <w:pPr>
              <w:pStyle w:val="41"/>
              <w:jc w:val="center"/>
              <w:rPr>
                <w:color w:val="auto"/>
                <w:highlight w:val="none"/>
              </w:rPr>
            </w:pPr>
            <w:r>
              <w:rPr>
                <w:color w:val="auto"/>
                <w:highlight w:val="none"/>
              </w:rPr>
              <w:t>μ</w:t>
            </w:r>
            <w:r>
              <w:rPr>
                <w:rFonts w:hint="eastAsia"/>
                <w:color w:val="auto"/>
                <w:highlight w:val="none"/>
              </w:rPr>
              <w:t>g/m</w:t>
            </w:r>
            <w:r>
              <w:rPr>
                <w:rFonts w:hint="eastAsia"/>
                <w:color w:val="auto"/>
                <w:highlight w:val="none"/>
                <w:vertAlign w:val="superscript"/>
              </w:rPr>
              <w:t>3</w:t>
            </w:r>
          </w:p>
        </w:tc>
        <w:tc>
          <w:tcPr>
            <w:tcW w:w="593" w:type="pct"/>
            <w:tcBorders>
              <w:tl2br w:val="nil"/>
              <w:tr2bl w:val="nil"/>
            </w:tcBorders>
            <w:vAlign w:val="center"/>
          </w:tcPr>
          <w:p>
            <w:pPr>
              <w:pStyle w:val="41"/>
              <w:bidi w:val="0"/>
              <w:rPr>
                <w:color w:val="auto"/>
                <w:highlight w:val="none"/>
              </w:rPr>
            </w:pPr>
            <w:r>
              <w:rPr>
                <w:color w:val="auto"/>
                <w:highlight w:val="none"/>
              </w:rPr>
              <w:t>μ</w:t>
            </w:r>
            <w:r>
              <w:rPr>
                <w:rFonts w:hint="eastAsia"/>
                <w:color w:val="auto"/>
                <w:highlight w:val="none"/>
              </w:rPr>
              <w:t>g/m</w:t>
            </w:r>
            <w:r>
              <w:rPr>
                <w:rFonts w:hint="eastAsia"/>
                <w:color w:val="auto"/>
                <w:highlight w:val="none"/>
                <w:vertAlign w:val="superscript"/>
              </w:rPr>
              <w:t>3</w:t>
            </w:r>
          </w:p>
        </w:tc>
        <w:tc>
          <w:tcPr>
            <w:tcW w:w="593" w:type="pct"/>
            <w:tcBorders>
              <w:tl2br w:val="nil"/>
              <w:tr2bl w:val="nil"/>
            </w:tcBorders>
            <w:vAlign w:val="center"/>
          </w:tcPr>
          <w:p>
            <w:pPr>
              <w:pStyle w:val="41"/>
              <w:bidi w:val="0"/>
              <w:rPr>
                <w:color w:val="auto"/>
                <w:highlight w:val="none"/>
              </w:rPr>
            </w:pPr>
            <w:r>
              <w:rPr>
                <w:rFonts w:hint="eastAsia"/>
                <w:color w:val="auto"/>
                <w:highlight w:val="none"/>
              </w:rPr>
              <w:t>%</w:t>
            </w:r>
          </w:p>
        </w:tc>
        <w:tc>
          <w:tcPr>
            <w:tcW w:w="345" w:type="pct"/>
            <w:tcBorders>
              <w:tl2br w:val="nil"/>
              <w:tr2bl w:val="nil"/>
            </w:tcBorders>
            <w:vAlign w:val="center"/>
          </w:tcPr>
          <w:p>
            <w:pPr>
              <w:pStyle w:val="41"/>
              <w:bidi w:val="0"/>
              <w:rPr>
                <w:color w:val="auto"/>
                <w:highlight w:val="none"/>
              </w:rPr>
            </w:pPr>
            <w:r>
              <w:rPr>
                <w:rFonts w:hint="eastAsia"/>
                <w:color w:val="auto"/>
                <w:highlight w:val="none"/>
              </w:rPr>
              <w:t>%</w:t>
            </w:r>
          </w:p>
        </w:tc>
        <w:tc>
          <w:tcPr>
            <w:tcW w:w="808" w:type="pct"/>
            <w:tcBorders>
              <w:tl2br w:val="nil"/>
              <w:tr2bl w:val="nil"/>
            </w:tcBorders>
            <w:vAlign w:val="center"/>
          </w:tcPr>
          <w:p>
            <w:pPr>
              <w:pStyle w:val="41"/>
              <w:bidi w:val="0"/>
              <w:rPr>
                <w:color w:val="auto"/>
                <w:highlight w:val="none"/>
              </w:rPr>
            </w:pPr>
            <w:r>
              <w:rPr>
                <w:rFonts w:hint="eastAsia"/>
                <w:color w:val="auto"/>
                <w:highlight w:val="none"/>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31" w:type="dxa"/>
            <w:tcBorders>
              <w:tl2br w:val="nil"/>
              <w:tr2bl w:val="nil"/>
            </w:tcBorders>
            <w:vAlign w:val="center"/>
          </w:tcPr>
          <w:p>
            <w:pPr>
              <w:pStyle w:val="41"/>
              <w:bidi w:val="0"/>
              <w:rPr>
                <w:rFonts w:hint="eastAsia"/>
                <w:color w:val="auto"/>
                <w:highlight w:val="none"/>
                <w:lang w:val="en-US" w:eastAsia="zh-CN"/>
              </w:rPr>
            </w:pPr>
            <w:r>
              <w:rPr>
                <w:rFonts w:hint="eastAsia"/>
                <w:color w:val="auto"/>
                <w:highlight w:val="none"/>
                <w:lang w:val="en-US" w:eastAsia="zh-CN"/>
              </w:rPr>
              <w:t>单井井场</w:t>
            </w:r>
          </w:p>
          <w:p>
            <w:pPr>
              <w:pStyle w:val="41"/>
              <w:bidi w:val="0"/>
              <w:ind w:firstLine="0" w:firstLineChars="0"/>
              <w:rPr>
                <w:rFonts w:hint="eastAsia" w:eastAsia="宋体"/>
                <w:color w:val="auto"/>
                <w:highlight w:val="none"/>
                <w:lang w:eastAsia="zh-CN"/>
              </w:rPr>
            </w:pPr>
            <w:r>
              <w:rPr>
                <w:rFonts w:hint="eastAsia"/>
                <w:color w:val="auto"/>
                <w:highlight w:val="none"/>
                <w:lang w:val="en-US" w:eastAsia="zh-CN"/>
              </w:rPr>
              <w:t>（集输）</w:t>
            </w:r>
          </w:p>
        </w:tc>
        <w:tc>
          <w:tcPr>
            <w:tcW w:w="914" w:type="pct"/>
            <w:tcBorders>
              <w:tl2br w:val="nil"/>
              <w:tr2bl w:val="nil"/>
            </w:tcBorders>
            <w:vAlign w:val="center"/>
          </w:tcPr>
          <w:p>
            <w:pPr>
              <w:pStyle w:val="41"/>
              <w:jc w:val="center"/>
              <w:rPr>
                <w:color w:val="auto"/>
                <w:highlight w:val="none"/>
              </w:rPr>
            </w:pPr>
            <w:r>
              <w:rPr>
                <w:rFonts w:hint="eastAsia"/>
                <w:color w:val="auto"/>
                <w:highlight w:val="none"/>
              </w:rPr>
              <w:t>非甲烷总烃</w:t>
            </w:r>
          </w:p>
        </w:tc>
        <w:tc>
          <w:tcPr>
            <w:tcW w:w="1046" w:type="dxa"/>
            <w:tcBorders>
              <w:tl2br w:val="nil"/>
              <w:tr2bl w:val="nil"/>
            </w:tcBorders>
            <w:vAlign w:val="center"/>
          </w:tcPr>
          <w:p>
            <w:pPr>
              <w:pStyle w:val="41"/>
              <w:bidi w:val="0"/>
              <w:ind w:firstLine="0" w:firstLineChars="0"/>
              <w:rPr>
                <w:color w:val="auto"/>
                <w:highlight w:val="none"/>
              </w:rPr>
            </w:pPr>
            <w:r>
              <w:rPr>
                <w:rFonts w:hint="eastAsia"/>
                <w:color w:val="auto"/>
                <w:highlight w:val="none"/>
                <w:lang w:val="en-US" w:eastAsia="zh-CN"/>
              </w:rPr>
              <w:t>4.7472</w:t>
            </w:r>
          </w:p>
        </w:tc>
        <w:tc>
          <w:tcPr>
            <w:tcW w:w="1046" w:type="dxa"/>
            <w:tcBorders>
              <w:tl2br w:val="nil"/>
              <w:tr2bl w:val="nil"/>
            </w:tcBorders>
            <w:vAlign w:val="center"/>
          </w:tcPr>
          <w:p>
            <w:pPr>
              <w:pStyle w:val="41"/>
              <w:bidi w:val="0"/>
              <w:ind w:firstLine="0" w:firstLineChars="0"/>
              <w:rPr>
                <w:color w:val="auto"/>
                <w:highlight w:val="none"/>
              </w:rPr>
            </w:pPr>
            <w:r>
              <w:rPr>
                <w:rFonts w:hint="eastAsia"/>
                <w:color w:val="auto"/>
                <w:highlight w:val="none"/>
              </w:rPr>
              <w:t>2000</w:t>
            </w:r>
          </w:p>
        </w:tc>
        <w:tc>
          <w:tcPr>
            <w:tcW w:w="1046"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0.24</w:t>
            </w:r>
          </w:p>
        </w:tc>
        <w:tc>
          <w:tcPr>
            <w:tcW w:w="345" w:type="pct"/>
            <w:vMerge w:val="restar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5.66</w:t>
            </w:r>
          </w:p>
        </w:tc>
        <w:tc>
          <w:tcPr>
            <w:tcW w:w="1426" w:type="dxa"/>
            <w:tcBorders>
              <w:tl2br w:val="nil"/>
              <w:tr2bl w:val="nil"/>
            </w:tcBorders>
            <w:vAlign w:val="center"/>
          </w:tcPr>
          <w:p>
            <w:pPr>
              <w:pStyle w:val="41"/>
              <w:bidi w:val="0"/>
              <w:ind w:firstLine="0" w:firstLineChars="0"/>
              <w:rPr>
                <w:rFonts w:hint="default"/>
                <w:color w:val="auto"/>
                <w:highlight w:val="none"/>
                <w:lang w:val="en-US" w:eastAsia="zh-CN"/>
              </w:rPr>
            </w:pPr>
            <w:r>
              <w:rPr>
                <w:rFonts w:hint="eastAsia"/>
                <w:color w:val="auto"/>
                <w:highlight w:val="none"/>
                <w:lang w:val="en-US" w:eastAsia="zh-CN"/>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31" w:type="dxa"/>
            <w:tcBorders>
              <w:tl2br w:val="nil"/>
              <w:tr2bl w:val="nil"/>
            </w:tcBorders>
            <w:vAlign w:val="center"/>
          </w:tcPr>
          <w:p>
            <w:pPr>
              <w:pStyle w:val="41"/>
              <w:bidi w:val="0"/>
              <w:rPr>
                <w:rFonts w:hint="eastAsia"/>
                <w:color w:val="auto"/>
                <w:highlight w:val="none"/>
                <w:lang w:val="en-US" w:eastAsia="zh-CN"/>
              </w:rPr>
            </w:pPr>
            <w:r>
              <w:rPr>
                <w:rFonts w:hint="eastAsia"/>
                <w:color w:val="auto"/>
                <w:highlight w:val="none"/>
                <w:lang w:val="en-US" w:eastAsia="zh-CN"/>
              </w:rPr>
              <w:t>单井井场</w:t>
            </w:r>
          </w:p>
          <w:p>
            <w:pPr>
              <w:pStyle w:val="41"/>
              <w:bidi w:val="0"/>
              <w:ind w:firstLine="0" w:firstLineChars="0"/>
              <w:rPr>
                <w:rFonts w:hint="eastAsia"/>
                <w:color w:val="auto"/>
                <w:highlight w:val="none"/>
                <w:lang w:eastAsia="zh-CN"/>
              </w:rPr>
            </w:pPr>
            <w:r>
              <w:rPr>
                <w:rFonts w:hint="eastAsia"/>
                <w:color w:val="auto"/>
                <w:highlight w:val="none"/>
                <w:lang w:val="en-US" w:eastAsia="zh-CN"/>
              </w:rPr>
              <w:t>（拉油）</w:t>
            </w:r>
          </w:p>
        </w:tc>
        <w:tc>
          <w:tcPr>
            <w:tcW w:w="914" w:type="pct"/>
            <w:tcBorders>
              <w:tl2br w:val="nil"/>
              <w:tr2bl w:val="nil"/>
            </w:tcBorders>
            <w:vAlign w:val="center"/>
          </w:tcPr>
          <w:p>
            <w:pPr>
              <w:pStyle w:val="41"/>
              <w:jc w:val="center"/>
              <w:rPr>
                <w:rFonts w:hint="eastAsia"/>
                <w:color w:val="auto"/>
                <w:highlight w:val="none"/>
              </w:rPr>
            </w:pPr>
            <w:r>
              <w:rPr>
                <w:rFonts w:hint="eastAsia"/>
                <w:color w:val="auto"/>
                <w:highlight w:val="none"/>
              </w:rPr>
              <w:t>非甲烷总烃</w:t>
            </w:r>
          </w:p>
        </w:tc>
        <w:tc>
          <w:tcPr>
            <w:tcW w:w="1046" w:type="dxa"/>
            <w:tcBorders>
              <w:tl2br w:val="nil"/>
              <w:tr2bl w:val="nil"/>
            </w:tcBorders>
            <w:vAlign w:val="center"/>
          </w:tcPr>
          <w:p>
            <w:pPr>
              <w:pStyle w:val="41"/>
              <w:bidi w:val="0"/>
              <w:ind w:firstLine="0" w:firstLineChars="0"/>
              <w:rPr>
                <w:rFonts w:hint="eastAsia"/>
                <w:color w:val="auto"/>
                <w:highlight w:val="none"/>
                <w:lang w:val="en-US" w:eastAsia="zh-CN"/>
              </w:rPr>
            </w:pPr>
            <w:r>
              <w:rPr>
                <w:rFonts w:hint="eastAsia"/>
                <w:color w:val="auto"/>
                <w:highlight w:val="none"/>
                <w:lang w:val="en-US" w:eastAsia="zh-CN"/>
              </w:rPr>
              <w:t>46.7980</w:t>
            </w:r>
          </w:p>
        </w:tc>
        <w:tc>
          <w:tcPr>
            <w:tcW w:w="1046" w:type="dxa"/>
            <w:tcBorders>
              <w:tl2br w:val="nil"/>
              <w:tr2bl w:val="nil"/>
            </w:tcBorders>
            <w:vAlign w:val="center"/>
          </w:tcPr>
          <w:p>
            <w:pPr>
              <w:pStyle w:val="41"/>
              <w:bidi w:val="0"/>
              <w:ind w:firstLine="0" w:firstLineChars="0"/>
              <w:rPr>
                <w:color w:val="auto"/>
                <w:highlight w:val="none"/>
              </w:rPr>
            </w:pPr>
            <w:r>
              <w:rPr>
                <w:rFonts w:hint="eastAsia"/>
                <w:color w:val="auto"/>
                <w:highlight w:val="none"/>
              </w:rPr>
              <w:t>2000</w:t>
            </w:r>
          </w:p>
        </w:tc>
        <w:tc>
          <w:tcPr>
            <w:tcW w:w="1046" w:type="dxa"/>
            <w:tcBorders>
              <w:tl2br w:val="nil"/>
              <w:tr2bl w:val="nil"/>
            </w:tcBorders>
            <w:vAlign w:val="center"/>
          </w:tcPr>
          <w:p>
            <w:pPr>
              <w:pStyle w:val="41"/>
              <w:bidi w:val="0"/>
              <w:ind w:firstLine="0" w:firstLineChars="0"/>
              <w:rPr>
                <w:rFonts w:hint="eastAsia"/>
                <w:color w:val="auto"/>
                <w:highlight w:val="none"/>
              </w:rPr>
            </w:pPr>
            <w:r>
              <w:rPr>
                <w:rFonts w:hint="eastAsia"/>
                <w:color w:val="auto"/>
                <w:highlight w:val="none"/>
                <w:lang w:val="en-US" w:eastAsia="zh-CN"/>
              </w:rPr>
              <w:t>2.34</w:t>
            </w:r>
          </w:p>
        </w:tc>
        <w:tc>
          <w:tcPr>
            <w:tcW w:w="345" w:type="pct"/>
            <w:vMerge w:val="continue"/>
            <w:tcBorders>
              <w:tl2br w:val="nil"/>
              <w:tr2bl w:val="nil"/>
            </w:tcBorders>
            <w:vAlign w:val="center"/>
          </w:tcPr>
          <w:p>
            <w:pPr>
              <w:pStyle w:val="41"/>
              <w:bidi w:val="0"/>
              <w:rPr>
                <w:rFonts w:hint="eastAsia"/>
                <w:color w:val="auto"/>
                <w:highlight w:val="none"/>
                <w:lang w:val="en-US" w:eastAsia="zh-CN"/>
              </w:rPr>
            </w:pPr>
          </w:p>
        </w:tc>
        <w:tc>
          <w:tcPr>
            <w:tcW w:w="1426" w:type="dxa"/>
            <w:tcBorders>
              <w:tl2br w:val="nil"/>
              <w:tr2bl w:val="nil"/>
            </w:tcBorders>
            <w:vAlign w:val="center"/>
          </w:tcPr>
          <w:p>
            <w:pPr>
              <w:pStyle w:val="41"/>
              <w:bidi w:val="0"/>
              <w:ind w:firstLine="0" w:firstLineChars="0"/>
              <w:rPr>
                <w:rFonts w:hint="eastAsia"/>
                <w:color w:val="auto"/>
                <w:highlight w:val="none"/>
                <w:lang w:val="en-US" w:eastAsia="zh-CN"/>
              </w:rPr>
            </w:pPr>
            <w:r>
              <w:rPr>
                <w:rFonts w:hint="eastAsia"/>
                <w:color w:val="auto"/>
                <w:highlight w:val="none"/>
                <w:lang w:val="en-US" w:eastAsia="zh-CN"/>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1" w:type="pct"/>
            <w:tcBorders>
              <w:tl2br w:val="nil"/>
              <w:tr2bl w:val="nil"/>
            </w:tcBorders>
            <w:vAlign w:val="center"/>
          </w:tcPr>
          <w:p>
            <w:pPr>
              <w:pStyle w:val="41"/>
              <w:bidi w:val="0"/>
              <w:ind w:firstLine="0" w:firstLineChars="0"/>
              <w:rPr>
                <w:snapToGrid w:val="0"/>
                <w:color w:val="auto"/>
                <w:highlight w:val="none"/>
              </w:rPr>
            </w:pPr>
            <w:r>
              <w:rPr>
                <w:rFonts w:hint="eastAsia" w:ascii="Times New Roman" w:hAnsi="Times New Roman" w:cs="Times New Roman"/>
                <w:color w:val="auto"/>
                <w:sz w:val="21"/>
                <w:szCs w:val="21"/>
                <w:highlight w:val="none"/>
                <w:shd w:val="clear" w:color="auto" w:fill="auto"/>
                <w:lang w:val="en-US" w:eastAsia="zh-CN"/>
              </w:rPr>
              <w:t>计量站</w:t>
            </w:r>
          </w:p>
        </w:tc>
        <w:tc>
          <w:tcPr>
            <w:tcW w:w="914" w:type="pct"/>
            <w:tcBorders>
              <w:tl2br w:val="nil"/>
              <w:tr2bl w:val="nil"/>
            </w:tcBorders>
            <w:vAlign w:val="center"/>
          </w:tcPr>
          <w:p>
            <w:pPr>
              <w:pStyle w:val="41"/>
              <w:jc w:val="center"/>
              <w:rPr>
                <w:color w:val="auto"/>
                <w:highlight w:val="none"/>
              </w:rPr>
            </w:pPr>
            <w:r>
              <w:rPr>
                <w:rFonts w:hint="eastAsia"/>
                <w:color w:val="auto"/>
                <w:highlight w:val="none"/>
              </w:rPr>
              <w:t>非甲烷总烃</w:t>
            </w:r>
          </w:p>
        </w:tc>
        <w:tc>
          <w:tcPr>
            <w:tcW w:w="1046" w:type="dxa"/>
            <w:tcBorders>
              <w:tl2br w:val="nil"/>
              <w:tr2bl w:val="nil"/>
            </w:tcBorders>
            <w:vAlign w:val="center"/>
          </w:tcPr>
          <w:p>
            <w:pPr>
              <w:pStyle w:val="41"/>
              <w:bidi w:val="0"/>
              <w:ind w:firstLine="0" w:firstLineChars="0"/>
              <w:rPr>
                <w:color w:val="auto"/>
                <w:highlight w:val="none"/>
              </w:rPr>
            </w:pPr>
            <w:r>
              <w:rPr>
                <w:rFonts w:hint="eastAsia"/>
                <w:color w:val="auto"/>
                <w:highlight w:val="none"/>
                <w:lang w:val="en-US" w:eastAsia="zh-CN"/>
              </w:rPr>
              <w:t>88.5760</w:t>
            </w:r>
          </w:p>
        </w:tc>
        <w:tc>
          <w:tcPr>
            <w:tcW w:w="1046" w:type="dxa"/>
            <w:tcBorders>
              <w:tl2br w:val="nil"/>
              <w:tr2bl w:val="nil"/>
            </w:tcBorders>
            <w:vAlign w:val="center"/>
          </w:tcPr>
          <w:p>
            <w:pPr>
              <w:pStyle w:val="41"/>
              <w:bidi w:val="0"/>
              <w:ind w:firstLine="0" w:firstLineChars="0"/>
              <w:rPr>
                <w:color w:val="auto"/>
                <w:highlight w:val="none"/>
              </w:rPr>
            </w:pPr>
            <w:r>
              <w:rPr>
                <w:rFonts w:hint="eastAsia"/>
                <w:color w:val="auto"/>
                <w:highlight w:val="none"/>
              </w:rPr>
              <w:t>2000</w:t>
            </w:r>
          </w:p>
        </w:tc>
        <w:tc>
          <w:tcPr>
            <w:tcW w:w="1046" w:type="dxa"/>
            <w:tcBorders>
              <w:tl2br w:val="nil"/>
              <w:tr2bl w:val="nil"/>
            </w:tcBorders>
            <w:vAlign w:val="center"/>
          </w:tcPr>
          <w:p>
            <w:pPr>
              <w:pStyle w:val="41"/>
              <w:bidi w:val="0"/>
              <w:ind w:firstLine="0" w:firstLineChars="0"/>
              <w:rPr>
                <w:color w:val="auto"/>
                <w:highlight w:val="none"/>
              </w:rPr>
            </w:pPr>
            <w:r>
              <w:rPr>
                <w:rFonts w:hint="eastAsia"/>
                <w:color w:val="auto"/>
                <w:highlight w:val="none"/>
                <w:lang w:val="en-US" w:eastAsia="zh-CN"/>
              </w:rPr>
              <w:t>4.43</w:t>
            </w:r>
          </w:p>
        </w:tc>
        <w:tc>
          <w:tcPr>
            <w:tcW w:w="345" w:type="pct"/>
            <w:vMerge w:val="continue"/>
            <w:tcBorders>
              <w:tl2br w:val="nil"/>
              <w:tr2bl w:val="nil"/>
            </w:tcBorders>
            <w:vAlign w:val="center"/>
          </w:tcPr>
          <w:p>
            <w:pPr>
              <w:pStyle w:val="41"/>
              <w:bidi w:val="0"/>
              <w:rPr>
                <w:color w:val="auto"/>
                <w:highlight w:val="none"/>
              </w:rPr>
            </w:pPr>
          </w:p>
        </w:tc>
        <w:tc>
          <w:tcPr>
            <w:tcW w:w="808" w:type="pc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51" w:type="pct"/>
            <w:tcBorders>
              <w:tl2br w:val="nil"/>
              <w:tr2bl w:val="nil"/>
            </w:tcBorders>
            <w:vAlign w:val="center"/>
          </w:tcPr>
          <w:p>
            <w:pPr>
              <w:pStyle w:val="41"/>
              <w:bidi w:val="0"/>
              <w:ind w:firstLine="0" w:firstLineChars="0"/>
              <w:rPr>
                <w:rFonts w:hint="eastAsia" w:eastAsia="宋体"/>
                <w:color w:val="auto"/>
                <w:highlight w:val="none"/>
                <w:lang w:val="en-US" w:eastAsia="zh-CN"/>
              </w:rPr>
            </w:pPr>
            <w:r>
              <w:rPr>
                <w:rFonts w:hint="eastAsia" w:eastAsia="宋体" w:cs="Times New Roman"/>
                <w:color w:val="auto"/>
                <w:sz w:val="21"/>
                <w:szCs w:val="21"/>
                <w:highlight w:val="none"/>
                <w:shd w:val="clear" w:color="auto" w:fill="auto"/>
                <w:lang w:val="en-US" w:eastAsia="zh-CN"/>
              </w:rPr>
              <w:t>集中拉油站</w:t>
            </w:r>
          </w:p>
        </w:tc>
        <w:tc>
          <w:tcPr>
            <w:tcW w:w="914" w:type="pct"/>
            <w:tcBorders>
              <w:tl2br w:val="nil"/>
              <w:tr2bl w:val="nil"/>
            </w:tcBorders>
            <w:vAlign w:val="center"/>
          </w:tcPr>
          <w:p>
            <w:pPr>
              <w:pStyle w:val="41"/>
              <w:jc w:val="center"/>
              <w:rPr>
                <w:rFonts w:hint="eastAsia"/>
                <w:color w:val="auto"/>
                <w:highlight w:val="none"/>
                <w:lang w:val="en-US" w:eastAsia="zh-CN"/>
              </w:rPr>
            </w:pPr>
            <w:r>
              <w:rPr>
                <w:rFonts w:hint="eastAsia"/>
                <w:color w:val="auto"/>
                <w:highlight w:val="none"/>
              </w:rPr>
              <w:t>非甲烷总烃</w:t>
            </w:r>
          </w:p>
        </w:tc>
        <w:tc>
          <w:tcPr>
            <w:tcW w:w="1046" w:type="dxa"/>
            <w:tcBorders>
              <w:tl2br w:val="nil"/>
              <w:tr2bl w:val="nil"/>
            </w:tcBorders>
            <w:vAlign w:val="center"/>
          </w:tcPr>
          <w:p>
            <w:pPr>
              <w:pStyle w:val="41"/>
              <w:bidi w:val="0"/>
              <w:ind w:firstLine="0" w:firstLineChars="0"/>
              <w:rPr>
                <w:rFonts w:hint="default"/>
                <w:color w:val="auto"/>
                <w:highlight w:val="none"/>
                <w:lang w:val="en-US"/>
              </w:rPr>
            </w:pPr>
            <w:r>
              <w:rPr>
                <w:rFonts w:hint="eastAsia"/>
                <w:color w:val="auto"/>
                <w:highlight w:val="none"/>
                <w:lang w:val="en-US" w:eastAsia="zh-CN"/>
              </w:rPr>
              <w:t>113.2500</w:t>
            </w:r>
          </w:p>
        </w:tc>
        <w:tc>
          <w:tcPr>
            <w:tcW w:w="1046" w:type="dxa"/>
            <w:tcBorders>
              <w:tl2br w:val="nil"/>
              <w:tr2bl w:val="nil"/>
            </w:tcBorders>
            <w:vAlign w:val="center"/>
          </w:tcPr>
          <w:p>
            <w:pPr>
              <w:pStyle w:val="41"/>
              <w:bidi w:val="0"/>
              <w:ind w:firstLine="0" w:firstLineChars="0"/>
              <w:rPr>
                <w:color w:val="auto"/>
                <w:highlight w:val="none"/>
              </w:rPr>
            </w:pPr>
            <w:r>
              <w:rPr>
                <w:rFonts w:hint="eastAsia"/>
                <w:color w:val="auto"/>
                <w:highlight w:val="none"/>
              </w:rPr>
              <w:t>2000</w:t>
            </w:r>
          </w:p>
        </w:tc>
        <w:tc>
          <w:tcPr>
            <w:tcW w:w="1046" w:type="dxa"/>
            <w:tcBorders>
              <w:tl2br w:val="nil"/>
              <w:tr2bl w:val="nil"/>
            </w:tcBorders>
            <w:vAlign w:val="center"/>
          </w:tcPr>
          <w:p>
            <w:pPr>
              <w:pStyle w:val="41"/>
              <w:bidi w:val="0"/>
              <w:ind w:firstLine="0" w:firstLineChars="0"/>
              <w:rPr>
                <w:rFonts w:hint="default"/>
                <w:color w:val="auto"/>
                <w:highlight w:val="none"/>
                <w:lang w:val="en-US"/>
              </w:rPr>
            </w:pPr>
            <w:r>
              <w:rPr>
                <w:rFonts w:hint="eastAsia"/>
                <w:color w:val="auto"/>
                <w:highlight w:val="none"/>
                <w:lang w:val="en-US" w:eastAsia="zh-CN"/>
              </w:rPr>
              <w:t>5.66</w:t>
            </w:r>
          </w:p>
        </w:tc>
        <w:tc>
          <w:tcPr>
            <w:tcW w:w="345" w:type="pct"/>
            <w:vMerge w:val="continue"/>
            <w:tcBorders>
              <w:tl2br w:val="nil"/>
              <w:tr2bl w:val="nil"/>
            </w:tcBorders>
            <w:vAlign w:val="center"/>
          </w:tcPr>
          <w:p>
            <w:pPr>
              <w:pStyle w:val="41"/>
              <w:bidi w:val="0"/>
              <w:rPr>
                <w:color w:val="auto"/>
                <w:highlight w:val="none"/>
              </w:rPr>
            </w:pPr>
          </w:p>
        </w:tc>
        <w:tc>
          <w:tcPr>
            <w:tcW w:w="808" w:type="pc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71</w:t>
            </w:r>
          </w:p>
        </w:tc>
      </w:tr>
    </w:tbl>
    <w:p>
      <w:pPr>
        <w:pStyle w:val="57"/>
        <w:ind w:left="0" w:leftChars="0" w:firstLine="480" w:firstLineChars="200"/>
        <w:rPr>
          <w:rFonts w:hint="eastAsia" w:ascii="Times New Roman" w:hAnsi="Times New Roman" w:eastAsia="宋体" w:cs="Times New Roman"/>
          <w:color w:val="auto"/>
          <w:highlight w:val="none"/>
        </w:rPr>
      </w:pPr>
      <w:r>
        <w:rPr>
          <w:rFonts w:hint="eastAsia"/>
          <w:color w:val="auto"/>
          <w:highlight w:val="none"/>
        </w:rPr>
        <w:t>经计算可知，</w:t>
      </w:r>
      <w:r>
        <w:rPr>
          <w:rFonts w:hint="eastAsia"/>
          <w:color w:val="auto"/>
          <w:highlight w:val="none"/>
          <w:lang w:eastAsia="zh-CN"/>
        </w:rPr>
        <w:t>本工程</w:t>
      </w:r>
      <w:r>
        <w:rPr>
          <w:rFonts w:hint="eastAsia"/>
          <w:color w:val="auto"/>
          <w:highlight w:val="none"/>
        </w:rPr>
        <w:t>最大占标率为：</w:t>
      </w:r>
      <w:r>
        <w:rPr>
          <w:rFonts w:hint="eastAsia"/>
          <w:color w:val="auto"/>
          <w:highlight w:val="none"/>
          <w:lang w:val="en-US" w:eastAsia="zh-CN"/>
        </w:rPr>
        <w:t>5.66</w:t>
      </w:r>
      <w:r>
        <w:rPr>
          <w:rFonts w:hint="eastAsia"/>
          <w:color w:val="auto"/>
          <w:highlight w:val="none"/>
        </w:rPr>
        <w:t>%（来自集中拉油站</w:t>
      </w:r>
      <w:r>
        <w:rPr>
          <w:rFonts w:hint="eastAsia"/>
          <w:color w:val="auto"/>
          <w:highlight w:val="none"/>
          <w:lang w:val="en-US" w:eastAsia="zh-CN"/>
        </w:rPr>
        <w:t>无组织排放的</w:t>
      </w:r>
      <w:r>
        <w:rPr>
          <w:rFonts w:hint="eastAsia"/>
          <w:color w:val="auto"/>
          <w:highlight w:val="none"/>
        </w:rPr>
        <w:t>非甲烷总烃），</w:t>
      </w:r>
      <w:r>
        <w:rPr>
          <w:rFonts w:hint="eastAsia"/>
          <w:color w:val="auto"/>
          <w:highlight w:val="none"/>
          <w:lang w:val="en-US" w:eastAsia="zh-CN"/>
        </w:rPr>
        <w:t>1%</w:t>
      </w:r>
      <w:r>
        <w:rPr>
          <w:rFonts w:hint="eastAsia"/>
          <w:color w:val="auto"/>
          <w:highlight w:val="none"/>
        </w:rPr>
        <w:t>≤P</w:t>
      </w:r>
      <w:r>
        <w:rPr>
          <w:rFonts w:hint="eastAsia"/>
          <w:color w:val="auto"/>
          <w:highlight w:val="none"/>
          <w:vertAlign w:val="subscript"/>
        </w:rPr>
        <w:t>max</w:t>
      </w:r>
      <w:r>
        <w:rPr>
          <w:rFonts w:hint="eastAsia"/>
          <w:color w:val="auto"/>
          <w:highlight w:val="none"/>
          <w:vertAlign w:val="baseline"/>
          <w:lang w:val="en-US" w:eastAsia="zh-CN"/>
        </w:rPr>
        <w:t>=</w:t>
      </w:r>
      <w:r>
        <w:rPr>
          <w:rFonts w:hint="eastAsia"/>
          <w:color w:val="auto"/>
          <w:highlight w:val="none"/>
          <w:lang w:val="en-US" w:eastAsia="zh-CN"/>
        </w:rPr>
        <w:t>5.66</w:t>
      </w:r>
      <w:r>
        <w:rPr>
          <w:rFonts w:hint="eastAsia"/>
          <w:color w:val="auto"/>
          <w:highlight w:val="none"/>
        </w:rPr>
        <w:t>≤1</w:t>
      </w:r>
      <w:r>
        <w:rPr>
          <w:rFonts w:hint="eastAsia"/>
          <w:color w:val="auto"/>
          <w:highlight w:val="none"/>
          <w:lang w:val="en-US" w:eastAsia="zh-CN"/>
        </w:rPr>
        <w:t>0</w:t>
      </w:r>
      <w:r>
        <w:rPr>
          <w:rFonts w:hint="eastAsia"/>
          <w:color w:val="auto"/>
          <w:highlight w:val="none"/>
        </w:rPr>
        <w:t>%，根据《环境影响评价技术导则 大气环境》（HJ2.2-2018）的要求，本次环评确定大气影响评价的工作等级为</w:t>
      </w:r>
      <w:r>
        <w:rPr>
          <w:rFonts w:hint="eastAsia"/>
          <w:color w:val="auto"/>
          <w:highlight w:val="none"/>
          <w:lang w:val="en-US" w:eastAsia="zh-CN"/>
        </w:rPr>
        <w:t>二</w:t>
      </w:r>
      <w:r>
        <w:rPr>
          <w:rFonts w:hint="eastAsia"/>
          <w:color w:val="auto"/>
          <w:highlight w:val="none"/>
        </w:rPr>
        <w:t>级</w:t>
      </w:r>
      <w:r>
        <w:rPr>
          <w:rFonts w:hint="eastAsia" w:ascii="Times New Roman" w:hAnsi="Times New Roman" w:eastAsia="宋体" w:cs="Times New Roman"/>
          <w:color w:val="auto"/>
          <w:highlight w:val="none"/>
        </w:rPr>
        <w:t>。</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（2）评价范围</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根据《环境影响评价技术导则 大气环境》（HJ2.2-2018）中评价工作分级判据，以各油井、计量站、拉油站为中心、边长2.5km的矩形范围。</w:t>
      </w:r>
    </w:p>
    <w:p>
      <w:pPr>
        <w:pStyle w:val="53"/>
        <w:rPr>
          <w:rFonts w:eastAsia="宋体"/>
          <w:color w:val="auto"/>
          <w:highlight w:val="none"/>
        </w:rPr>
      </w:pPr>
      <w:bookmarkStart w:id="179" w:name="_Toc173941807"/>
      <w:bookmarkStart w:id="180" w:name="_Toc173941806"/>
      <w:r>
        <w:rPr>
          <w:color w:val="auto"/>
          <w:highlight w:val="none"/>
        </w:rPr>
        <w:t>2.</w:t>
      </w:r>
      <w:r>
        <w:rPr>
          <w:rFonts w:hint="eastAsia"/>
          <w:color w:val="auto"/>
          <w:highlight w:val="none"/>
        </w:rPr>
        <w:t>5.6</w:t>
      </w:r>
      <w:r>
        <w:rPr>
          <w:color w:val="auto"/>
          <w:highlight w:val="none"/>
        </w:rPr>
        <w:t>声</w:t>
      </w:r>
      <w:bookmarkEnd w:id="179"/>
      <w:r>
        <w:rPr>
          <w:rFonts w:hint="eastAsia"/>
          <w:color w:val="auto"/>
          <w:highlight w:val="none"/>
        </w:rPr>
        <w:t>环境影响评价等级和评价范围</w:t>
      </w:r>
    </w:p>
    <w:p>
      <w:pPr>
        <w:pStyle w:val="57"/>
        <w:rPr>
          <w:color w:val="auto"/>
          <w:highlight w:val="none"/>
        </w:rPr>
      </w:pPr>
      <w:r>
        <w:rPr>
          <w:rFonts w:hint="eastAsia"/>
          <w:color w:val="auto"/>
          <w:highlight w:val="none"/>
        </w:rPr>
        <w:t>本工程涉及的噪声源可分为连续稳定噪声源和流动噪声源。噪声源主要包括施工期内机械噪声、生产运营期井</w:t>
      </w:r>
      <w:r>
        <w:rPr>
          <w:color w:val="auto"/>
          <w:highlight w:val="none"/>
        </w:rPr>
        <w:t>场</w:t>
      </w:r>
      <w:r>
        <w:rPr>
          <w:rFonts w:hint="eastAsia"/>
          <w:color w:val="auto"/>
          <w:highlight w:val="none"/>
        </w:rPr>
        <w:t>、站场</w:t>
      </w:r>
      <w:r>
        <w:rPr>
          <w:color w:val="auto"/>
          <w:highlight w:val="none"/>
        </w:rPr>
        <w:t>机泵</w:t>
      </w:r>
      <w:r>
        <w:rPr>
          <w:rFonts w:hint="default" w:ascii="Times New Roman" w:hAnsi="Times New Roman" w:cs="Times New Roman"/>
          <w:color w:val="auto"/>
          <w:highlight w:val="none"/>
          <w:shd w:val="clear" w:color="auto" w:fill="auto"/>
        </w:rPr>
        <w:t>和井场井下作业噪声</w:t>
      </w:r>
      <w:r>
        <w:rPr>
          <w:color w:val="auto"/>
          <w:highlight w:val="none"/>
        </w:rPr>
        <w:t>。</w:t>
      </w:r>
    </w:p>
    <w:p>
      <w:pPr>
        <w:pStyle w:val="57"/>
        <w:rPr>
          <w:color w:val="auto"/>
          <w:highlight w:val="none"/>
        </w:rPr>
      </w:pPr>
      <w:r>
        <w:rPr>
          <w:rFonts w:hint="eastAsia"/>
          <w:color w:val="auto"/>
          <w:highlight w:val="none"/>
        </w:rPr>
        <w:t>本工程</w:t>
      </w:r>
      <w:r>
        <w:rPr>
          <w:color w:val="auto"/>
          <w:highlight w:val="none"/>
        </w:rPr>
        <w:t>所在</w:t>
      </w:r>
      <w:r>
        <w:rPr>
          <w:rFonts w:hint="eastAsia"/>
          <w:color w:val="auto"/>
          <w:highlight w:val="none"/>
        </w:rPr>
        <w:t>区域声环境</w:t>
      </w:r>
      <w:r>
        <w:rPr>
          <w:color w:val="auto"/>
          <w:highlight w:val="none"/>
        </w:rPr>
        <w:t>功能区适用于《声环境质量标准》（GB3096-2008）中的2类</w:t>
      </w:r>
      <w:r>
        <w:rPr>
          <w:rFonts w:hint="eastAsia"/>
          <w:color w:val="auto"/>
          <w:highlight w:val="none"/>
        </w:rPr>
        <w:t>声环境功能区</w:t>
      </w:r>
      <w:r>
        <w:rPr>
          <w:color w:val="auto"/>
          <w:highlight w:val="none"/>
        </w:rPr>
        <w:t>，且噪声源周围200m没有固定集中的人群活动。依据《</w:t>
      </w:r>
      <w:r>
        <w:rPr>
          <w:rFonts w:hint="eastAsia"/>
          <w:color w:val="auto"/>
          <w:highlight w:val="none"/>
          <w:lang w:eastAsia="zh-CN"/>
        </w:rPr>
        <w:t>环境影响评价技术导则 声环境</w:t>
      </w:r>
      <w:r>
        <w:rPr>
          <w:color w:val="auto"/>
          <w:highlight w:val="none"/>
        </w:rPr>
        <w:t>》（HJ2.4-2021）中的规定，</w:t>
      </w:r>
      <w:r>
        <w:rPr>
          <w:rFonts w:hint="eastAsia"/>
          <w:color w:val="auto"/>
          <w:highlight w:val="none"/>
        </w:rPr>
        <w:t>本工程</w:t>
      </w:r>
      <w:r>
        <w:rPr>
          <w:color w:val="auto"/>
          <w:highlight w:val="none"/>
        </w:rPr>
        <w:t>声环境影响评价工作等级定为二级。</w:t>
      </w:r>
    </w:p>
    <w:p>
      <w:pPr>
        <w:pStyle w:val="57"/>
        <w:rPr>
          <w:color w:val="auto"/>
          <w:highlight w:val="none"/>
        </w:rPr>
      </w:pPr>
      <w:r>
        <w:rPr>
          <w:color w:val="auto"/>
          <w:highlight w:val="none"/>
        </w:rPr>
        <w:t>根据《环境影响评价技术导则  声环境》（HJ2.4-2021）要求，“满足一级评价的要求，一般以建设项目边界向外200m作为评价范围；二、三级评价范围可根据建设项目所在区域和相邻区域的声环境功能区划及敏感目标等实际情况适当缩小”，根据项目特点，本次环评声环境评价范围为各井场</w:t>
      </w:r>
      <w:r>
        <w:rPr>
          <w:rFonts w:hint="eastAsia"/>
          <w:color w:val="auto"/>
          <w:highlight w:val="none"/>
        </w:rPr>
        <w:t>、站场</w:t>
      </w:r>
      <w:r>
        <w:rPr>
          <w:color w:val="auto"/>
          <w:highlight w:val="none"/>
        </w:rPr>
        <w:t>边界外扩200m作为评价范围。评价范围见图2.</w:t>
      </w:r>
      <w:r>
        <w:rPr>
          <w:rFonts w:hint="eastAsia"/>
          <w:color w:val="auto"/>
          <w:highlight w:val="none"/>
        </w:rPr>
        <w:t>5</w:t>
      </w:r>
      <w:r>
        <w:rPr>
          <w:color w:val="auto"/>
          <w:highlight w:val="none"/>
        </w:rPr>
        <w:t>-1。</w:t>
      </w:r>
    </w:p>
    <w:bookmarkEnd w:id="180"/>
    <w:p>
      <w:pPr>
        <w:pStyle w:val="53"/>
        <w:rPr>
          <w:rFonts w:eastAsia="宋体"/>
          <w:color w:val="auto"/>
          <w:highlight w:val="none"/>
        </w:rPr>
      </w:pPr>
      <w:r>
        <w:rPr>
          <w:color w:val="auto"/>
          <w:highlight w:val="none"/>
        </w:rPr>
        <w:t>2.</w:t>
      </w:r>
      <w:r>
        <w:rPr>
          <w:rFonts w:hint="eastAsia"/>
          <w:color w:val="auto"/>
          <w:highlight w:val="none"/>
        </w:rPr>
        <w:t>5.7</w:t>
      </w:r>
      <w:r>
        <w:rPr>
          <w:color w:val="auto"/>
          <w:highlight w:val="none"/>
        </w:rPr>
        <w:t>环境风险</w:t>
      </w:r>
      <w:r>
        <w:rPr>
          <w:rFonts w:hint="eastAsia"/>
          <w:color w:val="auto"/>
          <w:highlight w:val="none"/>
        </w:rPr>
        <w:t>环境影响评价等级和评价范围</w:t>
      </w:r>
    </w:p>
    <w:p>
      <w:pPr>
        <w:pStyle w:val="57"/>
        <w:rPr>
          <w:color w:val="auto"/>
          <w:highlight w:val="none"/>
        </w:rPr>
      </w:pPr>
      <w:r>
        <w:rPr>
          <w:color w:val="auto"/>
          <w:highlight w:val="none"/>
        </w:rPr>
        <w:t>（1）风险评价等级划分依据</w:t>
      </w:r>
    </w:p>
    <w:p>
      <w:pPr>
        <w:pStyle w:val="57"/>
        <w:rPr>
          <w:color w:val="auto"/>
          <w:highlight w:val="none"/>
        </w:rPr>
      </w:pPr>
      <w:r>
        <w:rPr>
          <w:color w:val="auto"/>
          <w:highlight w:val="none"/>
        </w:rPr>
        <w:t>根据《建设项目环境风险评价技术导则》（HJ169-2018），进行环境风险评价等级的确定。环境风险评价工作等级划分为一级、二级、三级。风险评价等级划分依据见表2.</w:t>
      </w:r>
      <w:r>
        <w:rPr>
          <w:rFonts w:hint="eastAsia"/>
          <w:color w:val="auto"/>
          <w:highlight w:val="none"/>
        </w:rPr>
        <w:t>5</w:t>
      </w:r>
      <w:r>
        <w:rPr>
          <w:color w:val="auto"/>
          <w:highlight w:val="none"/>
        </w:rPr>
        <w:t>-</w:t>
      </w:r>
      <w:r>
        <w:rPr>
          <w:rFonts w:hint="eastAsia"/>
          <w:color w:val="auto"/>
          <w:highlight w:val="none"/>
        </w:rPr>
        <w:t>10</w:t>
      </w:r>
      <w:r>
        <w:rPr>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 2.</w:t>
      </w:r>
      <w:r>
        <w:rPr>
          <w:rFonts w:hint="eastAsia"/>
          <w:color w:val="auto"/>
          <w:highlight w:val="none"/>
        </w:rPr>
        <w:t xml:space="preserve">5-10  </w:t>
      </w:r>
      <w:r>
        <w:rPr>
          <w:color w:val="auto"/>
          <w:highlight w:val="none"/>
        </w:rPr>
        <w:t>环境风险评价工作等级划分依据表</w:t>
      </w:r>
    </w:p>
    <w:tbl>
      <w:tblPr>
        <w:tblStyle w:val="34"/>
        <w:tblW w:w="0" w:type="auto"/>
        <w:tblInd w:w="13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849"/>
        <w:gridCol w:w="1701"/>
        <w:gridCol w:w="1558"/>
        <w:gridCol w:w="1645"/>
        <w:gridCol w:w="156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849" w:type="dxa"/>
            <w:tcBorders>
              <w:tl2br w:val="nil"/>
              <w:tr2bl w:val="nil"/>
            </w:tcBorders>
          </w:tcPr>
          <w:p>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环境风险潜势</w:t>
            </w:r>
          </w:p>
        </w:tc>
        <w:tc>
          <w:tcPr>
            <w:tcW w:w="1701" w:type="dxa"/>
            <w:tcBorders>
              <w:tl2br w:val="nil"/>
              <w:tr2bl w:val="nil"/>
            </w:tcBorders>
          </w:tcPr>
          <w:p>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Ⅳ、Ⅳ+</w:t>
            </w:r>
          </w:p>
        </w:tc>
        <w:tc>
          <w:tcPr>
            <w:tcW w:w="1558" w:type="dxa"/>
            <w:tcBorders>
              <w:tl2br w:val="nil"/>
              <w:tr2bl w:val="nil"/>
            </w:tcBorders>
          </w:tcPr>
          <w:p>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Ⅲ</w:t>
            </w:r>
          </w:p>
        </w:tc>
        <w:tc>
          <w:tcPr>
            <w:tcW w:w="1645" w:type="dxa"/>
            <w:tcBorders>
              <w:tl2br w:val="nil"/>
              <w:tr2bl w:val="nil"/>
            </w:tcBorders>
          </w:tcPr>
          <w:p>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Ⅱ</w:t>
            </w:r>
          </w:p>
        </w:tc>
        <w:tc>
          <w:tcPr>
            <w:tcW w:w="1563" w:type="dxa"/>
            <w:tcBorders>
              <w:tl2br w:val="nil"/>
              <w:tr2bl w:val="nil"/>
            </w:tcBorders>
          </w:tcPr>
          <w:p>
            <w:pPr>
              <w:spacing w:before="42"/>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Ⅰ</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trPr>
        <w:tc>
          <w:tcPr>
            <w:tcW w:w="1849" w:type="dxa"/>
            <w:tcBorders>
              <w:tl2br w:val="nil"/>
              <w:tr2bl w:val="nil"/>
            </w:tcBorders>
          </w:tcPr>
          <w:p>
            <w:pPr>
              <w:spacing w:before="44"/>
              <w:ind w:right="3"/>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评价工作等级</w:t>
            </w:r>
          </w:p>
        </w:tc>
        <w:tc>
          <w:tcPr>
            <w:tcW w:w="1701" w:type="dxa"/>
            <w:tcBorders>
              <w:tl2br w:val="nil"/>
              <w:tr2bl w:val="nil"/>
            </w:tcBorders>
          </w:tcPr>
          <w:p>
            <w:pPr>
              <w:spacing w:before="4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一</w:t>
            </w:r>
          </w:p>
        </w:tc>
        <w:tc>
          <w:tcPr>
            <w:tcW w:w="1558" w:type="dxa"/>
            <w:tcBorders>
              <w:tl2br w:val="nil"/>
              <w:tr2bl w:val="nil"/>
            </w:tcBorders>
          </w:tcPr>
          <w:p>
            <w:pPr>
              <w:spacing w:before="44"/>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二</w:t>
            </w:r>
          </w:p>
        </w:tc>
        <w:tc>
          <w:tcPr>
            <w:tcW w:w="1645" w:type="dxa"/>
            <w:tcBorders>
              <w:tl2br w:val="nil"/>
              <w:tr2bl w:val="nil"/>
            </w:tcBorders>
          </w:tcPr>
          <w:p>
            <w:pPr>
              <w:spacing w:before="44"/>
              <w:ind w:left="712"/>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三</w:t>
            </w:r>
          </w:p>
        </w:tc>
        <w:tc>
          <w:tcPr>
            <w:tcW w:w="1563" w:type="dxa"/>
            <w:tcBorders>
              <w:tl2br w:val="nil"/>
              <w:tr2bl w:val="nil"/>
            </w:tcBorders>
          </w:tcPr>
          <w:p>
            <w:pPr>
              <w:spacing w:before="44"/>
              <w:ind w:right="1"/>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简单分析</w:t>
            </w:r>
          </w:p>
        </w:tc>
      </w:tr>
    </w:tbl>
    <w:p>
      <w:pPr>
        <w:pStyle w:val="57"/>
        <w:rPr>
          <w:color w:val="auto"/>
          <w:highlight w:val="none"/>
        </w:rPr>
      </w:pPr>
      <w:r>
        <w:rPr>
          <w:color w:val="auto"/>
          <w:highlight w:val="none"/>
        </w:rPr>
        <w:t>（2）风险评价等级划分确定</w:t>
      </w:r>
    </w:p>
    <w:p>
      <w:pPr>
        <w:pStyle w:val="57"/>
        <w:rPr>
          <w:color w:val="auto"/>
          <w:highlight w:val="none"/>
        </w:rPr>
      </w:pPr>
      <w:r>
        <w:rPr>
          <w:color w:val="auto"/>
          <w:highlight w:val="none"/>
        </w:rPr>
        <w:t>按照《建设项目环境风险评价技术导则》（HJ169-2018）附录C对本项目涉及的危险物质进行风险识别，并确定其Q值。计算所涉及的每种危险物质在</w:t>
      </w:r>
      <w:r>
        <w:rPr>
          <w:rFonts w:hint="eastAsia"/>
          <w:color w:val="auto"/>
          <w:highlight w:val="none"/>
          <w:lang w:eastAsia="zh-CN"/>
        </w:rPr>
        <w:t>厂界内</w:t>
      </w:r>
      <w:r>
        <w:rPr>
          <w:color w:val="auto"/>
          <w:highlight w:val="none"/>
        </w:rPr>
        <w:t>的最大存在总量与其在附录B中对应临界量的比值Q。在不同站场的同一种物质，按其在单个站场的最大存在量计算。当存在多种危险物质时，则按下式计算Q值：</w:t>
      </w:r>
    </w:p>
    <w:p>
      <w:pPr>
        <w:spacing w:line="240" w:lineRule="auto"/>
        <w:ind w:left="3168"/>
        <w:jc w:val="both"/>
        <w:rPr>
          <w:rFonts w:ascii="宋体" w:hAnsi="宋体" w:cs="宋体"/>
          <w:color w:val="auto"/>
          <w:sz w:val="20"/>
          <w:szCs w:val="20"/>
          <w:highlight w:val="none"/>
        </w:rPr>
      </w:pPr>
      <w:r>
        <w:rPr>
          <w:rFonts w:ascii="宋体" w:hAnsi="宋体" w:cs="宋体"/>
          <w:color w:val="auto"/>
          <w:sz w:val="20"/>
          <w:szCs w:val="20"/>
          <w:highlight w:val="none"/>
        </w:rPr>
        <w:drawing>
          <wp:inline distT="0" distB="0" distL="0" distR="0">
            <wp:extent cx="1723390" cy="452755"/>
            <wp:effectExtent l="0" t="0" r="10160" b="4445"/>
            <wp:docPr id="50"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26.jpeg"/>
                    <pic:cNvPicPr>
                      <a:picLocks noChangeAspect="1"/>
                    </pic:cNvPicPr>
                  </pic:nvPicPr>
                  <pic:blipFill>
                    <a:blip r:embed="rId13" cstate="print"/>
                    <a:stretch>
                      <a:fillRect/>
                    </a:stretch>
                  </pic:blipFill>
                  <pic:spPr>
                    <a:xfrm>
                      <a:off x="0" y="0"/>
                      <a:ext cx="1723866" cy="453009"/>
                    </a:xfrm>
                    <a:prstGeom prst="rect">
                      <a:avLst/>
                    </a:prstGeom>
                  </pic:spPr>
                </pic:pic>
              </a:graphicData>
            </a:graphic>
          </wp:inline>
        </w:drawing>
      </w:r>
    </w:p>
    <w:p>
      <w:pPr>
        <w:pStyle w:val="57"/>
        <w:rPr>
          <w:color w:val="auto"/>
          <w:highlight w:val="none"/>
        </w:rPr>
      </w:pPr>
      <w:r>
        <w:rPr>
          <w:color w:val="auto"/>
          <w:highlight w:val="none"/>
        </w:rPr>
        <w:t>式中：</w:t>
      </w:r>
      <w:r>
        <w:rPr>
          <w:i/>
          <w:color w:val="auto"/>
          <w:highlight w:val="none"/>
        </w:rPr>
        <w:t>q</w:t>
      </w:r>
      <w:r>
        <w:rPr>
          <w:i/>
          <w:color w:val="auto"/>
          <w:highlight w:val="none"/>
          <w:vertAlign w:val="subscript"/>
        </w:rPr>
        <w:t>1</w:t>
      </w:r>
      <w:r>
        <w:rPr>
          <w:i/>
          <w:color w:val="auto"/>
          <w:highlight w:val="none"/>
        </w:rPr>
        <w:t>，q</w:t>
      </w:r>
      <w:r>
        <w:rPr>
          <w:i/>
          <w:color w:val="auto"/>
          <w:highlight w:val="none"/>
          <w:vertAlign w:val="subscript"/>
        </w:rPr>
        <w:t>2</w:t>
      </w:r>
      <w:r>
        <w:rPr>
          <w:i/>
          <w:color w:val="auto"/>
          <w:highlight w:val="none"/>
        </w:rPr>
        <w:t>，...，q</w:t>
      </w:r>
      <w:r>
        <w:rPr>
          <w:i/>
          <w:color w:val="auto"/>
          <w:highlight w:val="none"/>
          <w:vertAlign w:val="subscript"/>
        </w:rPr>
        <w:t>n</w:t>
      </w:r>
      <w:r>
        <w:rPr>
          <w:color w:val="auto"/>
          <w:highlight w:val="none"/>
        </w:rPr>
        <w:t>——每种危险物质的最大存在总量，t；</w:t>
      </w:r>
    </w:p>
    <w:p>
      <w:pPr>
        <w:pStyle w:val="57"/>
        <w:ind w:firstLine="1200" w:firstLineChars="500"/>
        <w:rPr>
          <w:color w:val="auto"/>
          <w:highlight w:val="none"/>
        </w:rPr>
      </w:pPr>
      <w:r>
        <w:rPr>
          <w:i/>
          <w:color w:val="auto"/>
          <w:highlight w:val="none"/>
        </w:rPr>
        <w:t>Q</w:t>
      </w:r>
      <w:r>
        <w:rPr>
          <w:i/>
          <w:color w:val="auto"/>
          <w:highlight w:val="none"/>
          <w:vertAlign w:val="subscript"/>
        </w:rPr>
        <w:t>1</w:t>
      </w:r>
      <w:r>
        <w:rPr>
          <w:i/>
          <w:color w:val="auto"/>
          <w:highlight w:val="none"/>
        </w:rPr>
        <w:t>，Q</w:t>
      </w:r>
      <w:r>
        <w:rPr>
          <w:i/>
          <w:color w:val="auto"/>
          <w:highlight w:val="none"/>
          <w:vertAlign w:val="subscript"/>
        </w:rPr>
        <w:t>2</w:t>
      </w:r>
      <w:r>
        <w:rPr>
          <w:i/>
          <w:color w:val="auto"/>
          <w:highlight w:val="none"/>
        </w:rPr>
        <w:t>，...，Q</w:t>
      </w:r>
      <w:r>
        <w:rPr>
          <w:i/>
          <w:color w:val="auto"/>
          <w:highlight w:val="none"/>
          <w:vertAlign w:val="subscript"/>
        </w:rPr>
        <w:t>n</w:t>
      </w:r>
      <w:r>
        <w:rPr>
          <w:color w:val="auto"/>
          <w:highlight w:val="none"/>
        </w:rPr>
        <w:t>——每种危险物质的临界量，t。</w:t>
      </w:r>
    </w:p>
    <w:p>
      <w:pPr>
        <w:pStyle w:val="57"/>
        <w:ind w:firstLine="1200" w:firstLineChars="500"/>
        <w:rPr>
          <w:color w:val="auto"/>
          <w:highlight w:val="none"/>
        </w:rPr>
      </w:pPr>
      <w:r>
        <w:rPr>
          <w:color w:val="auto"/>
          <w:highlight w:val="none"/>
        </w:rPr>
        <w:t>当</w:t>
      </w:r>
      <w:r>
        <w:rPr>
          <w:i/>
          <w:color w:val="auto"/>
          <w:highlight w:val="none"/>
        </w:rPr>
        <w:t>Q</w:t>
      </w:r>
      <w:r>
        <w:rPr>
          <w:color w:val="auto"/>
          <w:highlight w:val="none"/>
        </w:rPr>
        <w:t>＜1时，该项目环境风险潜势为</w:t>
      </w:r>
      <w:r>
        <w:rPr>
          <w:rFonts w:hint="eastAsia" w:cs="宋体"/>
          <w:color w:val="auto"/>
          <w:highlight w:val="none"/>
        </w:rPr>
        <w:t>Ⅰ</w:t>
      </w:r>
      <w:r>
        <w:rPr>
          <w:color w:val="auto"/>
          <w:highlight w:val="none"/>
        </w:rPr>
        <w:t>。</w:t>
      </w:r>
    </w:p>
    <w:p>
      <w:pPr>
        <w:pStyle w:val="57"/>
        <w:ind w:firstLine="1200" w:firstLineChars="500"/>
        <w:rPr>
          <w:color w:val="auto"/>
          <w:highlight w:val="none"/>
        </w:rPr>
      </w:pPr>
      <w:r>
        <w:rPr>
          <w:color w:val="auto"/>
          <w:highlight w:val="none"/>
        </w:rPr>
        <w:t>当</w:t>
      </w:r>
      <w:r>
        <w:rPr>
          <w:i/>
          <w:color w:val="auto"/>
          <w:highlight w:val="none"/>
        </w:rPr>
        <w:t>Q</w:t>
      </w:r>
      <w:r>
        <w:rPr>
          <w:color w:val="auto"/>
          <w:highlight w:val="none"/>
        </w:rPr>
        <w:t>≥1时，将</w:t>
      </w:r>
      <w:r>
        <w:rPr>
          <w:i/>
          <w:color w:val="auto"/>
          <w:highlight w:val="none"/>
        </w:rPr>
        <w:t>Q</w:t>
      </w:r>
      <w:r>
        <w:rPr>
          <w:color w:val="auto"/>
          <w:highlight w:val="none"/>
        </w:rPr>
        <w:t>值划分为：（1）1≤</w:t>
      </w:r>
      <w:r>
        <w:rPr>
          <w:i/>
          <w:color w:val="auto"/>
          <w:highlight w:val="none"/>
        </w:rPr>
        <w:t>Q</w:t>
      </w:r>
      <w:r>
        <w:rPr>
          <w:color w:val="auto"/>
          <w:highlight w:val="none"/>
        </w:rPr>
        <w:t>＜10；（2）10≤</w:t>
      </w:r>
      <w:r>
        <w:rPr>
          <w:i/>
          <w:color w:val="auto"/>
          <w:highlight w:val="none"/>
        </w:rPr>
        <w:t>Q</w:t>
      </w:r>
      <w:r>
        <w:rPr>
          <w:color w:val="auto"/>
          <w:highlight w:val="none"/>
        </w:rPr>
        <w:t>＜100；（3）</w:t>
      </w:r>
      <w:r>
        <w:rPr>
          <w:i/>
          <w:color w:val="auto"/>
          <w:highlight w:val="none"/>
        </w:rPr>
        <w:t>Q</w:t>
      </w:r>
      <w:r>
        <w:rPr>
          <w:color w:val="auto"/>
          <w:highlight w:val="none"/>
        </w:rPr>
        <w:t>≥100。</w:t>
      </w:r>
    </w:p>
    <w:p>
      <w:pPr>
        <w:pStyle w:val="57"/>
        <w:bidi w:val="0"/>
        <w:rPr>
          <w:rFonts w:hint="eastAsia" w:ascii="Times New Roman" w:hAnsi="Times New Roman" w:cs="Times New Roman"/>
          <w:color w:val="auto"/>
          <w:highlight w:val="none"/>
          <w:lang w:val="en-US" w:eastAsia="zh-CN"/>
        </w:rPr>
      </w:pPr>
      <w:r>
        <w:rPr>
          <w:rFonts w:hint="eastAsia"/>
          <w:color w:val="auto"/>
          <w:highlight w:val="none"/>
        </w:rPr>
        <w:t>根据工程可研及工程分析以及《建设项目环境风险评价技术导则》（HJ 169-2018）附录B，本工程施工期</w:t>
      </w:r>
      <w:r>
        <w:rPr>
          <w:rFonts w:hint="eastAsia"/>
          <w:color w:val="auto"/>
          <w:highlight w:val="none"/>
          <w:lang w:val="en-US" w:eastAsia="zh-CN"/>
        </w:rPr>
        <w:t>涉及的危险物质主要为柴油；</w:t>
      </w:r>
      <w:r>
        <w:rPr>
          <w:rFonts w:hint="eastAsia"/>
          <w:color w:val="auto"/>
          <w:highlight w:val="none"/>
        </w:rPr>
        <w:t>运营期涉及的危险物质主要为</w:t>
      </w:r>
      <w:r>
        <w:rPr>
          <w:rFonts w:hint="eastAsia"/>
          <w:color w:val="auto"/>
          <w:highlight w:val="none"/>
          <w:lang w:val="en-US" w:eastAsia="zh-CN"/>
        </w:rPr>
        <w:t>原油、天然气</w:t>
      </w:r>
      <w:r>
        <w:rPr>
          <w:rFonts w:hint="eastAsia"/>
          <w:color w:val="auto"/>
          <w:highlight w:val="none"/>
          <w:lang w:eastAsia="zh-CN"/>
        </w:rPr>
        <w:t>；</w:t>
      </w:r>
      <w:r>
        <w:rPr>
          <w:rFonts w:hint="eastAsia"/>
          <w:color w:val="auto"/>
          <w:highlight w:val="none"/>
        </w:rPr>
        <w:t>退役期不涉及危险物质。</w:t>
      </w:r>
      <w:r>
        <w:rPr>
          <w:rFonts w:hint="eastAsia"/>
          <w:color w:val="auto"/>
          <w:highlight w:val="none"/>
          <w:lang w:val="en-US" w:eastAsia="zh-CN"/>
        </w:rPr>
        <w:t>施工期柴油主要存储于井场柴油罐内；运营期原油主要存储于新建的单井拉油井场、集中拉油站、单井集输管线、集油支线、净化油外输管线内；</w:t>
      </w:r>
      <w:r>
        <w:rPr>
          <w:rFonts w:hint="eastAsia"/>
          <w:color w:val="auto"/>
          <w:highlight w:val="none"/>
        </w:rPr>
        <w:t>天然气主要存在于新建的</w:t>
      </w:r>
      <w:r>
        <w:rPr>
          <w:rFonts w:hint="eastAsia"/>
          <w:color w:val="auto"/>
          <w:highlight w:val="none"/>
          <w:lang w:val="en-US" w:eastAsia="zh-CN"/>
        </w:rPr>
        <w:t>单井集输管线、输</w:t>
      </w:r>
      <w:r>
        <w:rPr>
          <w:rFonts w:hint="eastAsia"/>
          <w:color w:val="auto"/>
          <w:highlight w:val="none"/>
        </w:rPr>
        <w:t>气管线</w:t>
      </w:r>
      <w:r>
        <w:rPr>
          <w:rFonts w:hint="eastAsia"/>
          <w:color w:val="auto"/>
          <w:highlight w:val="none"/>
          <w:lang w:val="en-US" w:eastAsia="zh-CN"/>
        </w:rPr>
        <w:t>和集中拉油站</w:t>
      </w:r>
      <w:r>
        <w:rPr>
          <w:rFonts w:hint="eastAsia" w:ascii="Times New Roman" w:hAnsi="Times New Roman" w:cs="Times New Roman"/>
          <w:color w:val="auto"/>
          <w:highlight w:val="none"/>
          <w:lang w:val="en-US" w:eastAsia="zh-CN"/>
        </w:rPr>
        <w:t>内的</w:t>
      </w:r>
      <w:r>
        <w:rPr>
          <w:rFonts w:hint="default" w:ascii="Times New Roman" w:hAnsi="Times New Roman" w:cs="Times New Roman"/>
          <w:color w:val="auto"/>
          <w:highlight w:val="none"/>
          <w:lang w:val="en-US" w:eastAsia="zh-CN"/>
        </w:rPr>
        <w:t>生产分离器</w:t>
      </w:r>
      <w:r>
        <w:rPr>
          <w:rFonts w:hint="eastAsia" w:ascii="Times New Roman" w:hAnsi="Times New Roman" w:cs="Times New Roman"/>
          <w:color w:val="auto"/>
          <w:highlight w:val="none"/>
          <w:lang w:val="en-US" w:eastAsia="zh-CN"/>
        </w:rPr>
        <w:t>中。</w:t>
      </w:r>
    </w:p>
    <w:p>
      <w:pPr>
        <w:pStyle w:val="57"/>
        <w:bidi w:val="0"/>
        <w:rPr>
          <w:color w:val="auto"/>
          <w:highlight w:val="none"/>
        </w:rPr>
      </w:pPr>
      <w:r>
        <w:rPr>
          <w:rFonts w:hint="eastAsia"/>
          <w:color w:val="auto"/>
          <w:highlight w:val="none"/>
        </w:rPr>
        <w:t>本工程井场与井场之间、站场与站场之间距离均较远，新建管线主要为单井至站场的集输管线，各站场和井场均有控制（截断）阀，发生泄漏时，可通过控制（截断）阀进行紧急切断。本次将井场、站场、管线分别划分为独立的危险单元，评价危险单元内危险物质的最大存在量。</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 2.</w:t>
      </w:r>
      <w:r>
        <w:rPr>
          <w:rFonts w:hint="eastAsia"/>
          <w:color w:val="auto"/>
          <w:highlight w:val="none"/>
        </w:rPr>
        <w:t>5-11  本工程各危险单元Q值</w:t>
      </w:r>
      <w:r>
        <w:rPr>
          <w:color w:val="auto"/>
          <w:highlight w:val="none"/>
        </w:rPr>
        <w:t>情况一览表</w:t>
      </w:r>
    </w:p>
    <w:tbl>
      <w:tblPr>
        <w:tblStyle w:val="34"/>
        <w:tblW w:w="505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46"/>
        <w:gridCol w:w="424"/>
        <w:gridCol w:w="1165"/>
        <w:gridCol w:w="2415"/>
        <w:gridCol w:w="758"/>
        <w:gridCol w:w="881"/>
        <w:gridCol w:w="794"/>
        <w:gridCol w:w="815"/>
        <w:gridCol w:w="9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时期</w:t>
            </w:r>
          </w:p>
        </w:tc>
        <w:tc>
          <w:tcPr>
            <w:tcW w:w="23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序号</w:t>
            </w:r>
          </w:p>
        </w:tc>
        <w:tc>
          <w:tcPr>
            <w:tcW w:w="65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w:t>
            </w:r>
            <w:r>
              <w:rPr>
                <w:rStyle w:val="112"/>
                <w:rFonts w:hint="default" w:ascii="Times New Roman" w:hAnsi="Times New Roman" w:cs="Times New Roman"/>
                <w:color w:val="auto"/>
                <w:sz w:val="21"/>
                <w:szCs w:val="21"/>
                <w:lang w:val="en-US" w:eastAsia="zh-CN" w:bidi="ar"/>
              </w:rPr>
              <w:t>单元</w:t>
            </w:r>
          </w:p>
        </w:tc>
        <w:tc>
          <w:tcPr>
            <w:tcW w:w="13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存储装置</w:t>
            </w:r>
            <w:r>
              <w:rPr>
                <w:rStyle w:val="112"/>
                <w:rFonts w:hint="default" w:ascii="Times New Roman" w:hAnsi="Times New Roman" w:cs="Times New Roman"/>
                <w:color w:val="auto"/>
                <w:sz w:val="21"/>
                <w:szCs w:val="21"/>
                <w:lang w:val="en-US" w:eastAsia="zh-CN" w:bidi="ar"/>
              </w:rPr>
              <w:t>参数</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危险物质</w:t>
            </w:r>
            <w:r>
              <w:rPr>
                <w:rStyle w:val="112"/>
                <w:rFonts w:hint="default" w:ascii="Times New Roman" w:hAnsi="Times New Roman" w:cs="Times New Roman"/>
                <w:color w:val="auto"/>
                <w:sz w:val="21"/>
                <w:szCs w:val="21"/>
                <w:lang w:val="en-US" w:eastAsia="zh-CN" w:bidi="ar"/>
              </w:rPr>
              <w:t>名称</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CAS</w:t>
            </w:r>
            <w:r>
              <w:rPr>
                <w:rStyle w:val="112"/>
                <w:rFonts w:hint="default" w:ascii="Times New Roman" w:hAnsi="Times New Roman" w:cs="Times New Roman"/>
                <w:color w:val="auto"/>
                <w:sz w:val="21"/>
                <w:szCs w:val="21"/>
                <w:lang w:val="en-US" w:eastAsia="zh-CN" w:bidi="ar"/>
              </w:rPr>
              <w:t>号</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最大存在量（</w:t>
            </w:r>
            <w:r>
              <w:rPr>
                <w:rStyle w:val="82"/>
                <w:rFonts w:hint="default" w:ascii="Times New Roman" w:hAnsi="Times New Roman" w:eastAsia="宋体" w:cs="Times New Roman"/>
                <w:color w:val="auto"/>
                <w:sz w:val="21"/>
                <w:szCs w:val="21"/>
                <w:lang w:val="en-US" w:eastAsia="zh-CN" w:bidi="ar"/>
              </w:rPr>
              <w:t>t</w:t>
            </w:r>
            <w:r>
              <w:rPr>
                <w:rStyle w:val="112"/>
                <w:rFonts w:hint="default" w:ascii="Times New Roman" w:hAnsi="Times New Roman" w:cs="Times New Roman"/>
                <w:color w:val="auto"/>
                <w:sz w:val="21"/>
                <w:szCs w:val="21"/>
                <w:lang w:val="en-US" w:eastAsia="zh-CN" w:bidi="ar"/>
              </w:rPr>
              <w:t>）</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临界量</w:t>
            </w:r>
            <w:r>
              <w:rPr>
                <w:rStyle w:val="82"/>
                <w:rFonts w:hint="default" w:ascii="Times New Roman" w:hAnsi="Times New Roman" w:eastAsia="宋体" w:cs="Times New Roman"/>
                <w:color w:val="auto"/>
                <w:sz w:val="21"/>
                <w:szCs w:val="21"/>
                <w:lang w:val="en-US" w:eastAsia="zh-CN" w:bidi="ar"/>
              </w:rPr>
              <w:t>Q</w:t>
            </w:r>
            <w:r>
              <w:rPr>
                <w:rStyle w:val="67"/>
                <w:rFonts w:hint="default" w:ascii="Times New Roman" w:hAnsi="Times New Roman" w:eastAsia="宋体" w:cs="Times New Roman"/>
                <w:color w:val="auto"/>
                <w:sz w:val="21"/>
                <w:szCs w:val="21"/>
                <w:lang w:val="en-US" w:eastAsia="zh-CN" w:bidi="ar"/>
              </w:rPr>
              <w:t>n</w:t>
            </w:r>
            <w:r>
              <w:rPr>
                <w:rStyle w:val="82"/>
                <w:rFonts w:hint="default" w:ascii="Times New Roman" w:hAnsi="Times New Roman" w:eastAsia="宋体" w:cs="Times New Roman"/>
                <w:color w:val="auto"/>
                <w:sz w:val="21"/>
                <w:szCs w:val="21"/>
                <w:lang w:val="en-US" w:eastAsia="zh-CN" w:bidi="ar"/>
              </w:rPr>
              <w:t>/t</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该种危险物质</w:t>
            </w:r>
            <w:r>
              <w:rPr>
                <w:rStyle w:val="82"/>
                <w:rFonts w:hint="default" w:ascii="Times New Roman" w:hAnsi="Times New Roman" w:eastAsia="宋体" w:cs="Times New Roman"/>
                <w:color w:val="auto"/>
                <w:sz w:val="21"/>
                <w:szCs w:val="21"/>
                <w:lang w:val="en-US" w:eastAsia="zh-CN" w:bidi="ar"/>
              </w:rPr>
              <w:t>Q</w:t>
            </w:r>
            <w:r>
              <w:rPr>
                <w:rStyle w:val="112"/>
                <w:rFonts w:hint="default" w:ascii="Times New Roman" w:hAnsi="Times New Roman" w:cs="Times New Roman"/>
                <w:color w:val="auto"/>
                <w:sz w:val="21"/>
                <w:szCs w:val="21"/>
                <w:lang w:val="en-US" w:eastAsia="zh-CN" w:bidi="ar"/>
              </w:rPr>
              <w:t>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施工期</w:t>
            </w:r>
          </w:p>
        </w:tc>
        <w:tc>
          <w:tcPr>
            <w:tcW w:w="23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6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井场</w:t>
            </w:r>
          </w:p>
        </w:tc>
        <w:tc>
          <w:tcPr>
            <w:tcW w:w="13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w:t>
            </w:r>
            <w:r>
              <w:rPr>
                <w:rStyle w:val="82"/>
                <w:rFonts w:hint="default" w:ascii="Times New Roman" w:hAnsi="Times New Roman" w:eastAsia="宋体" w:cs="Times New Roman"/>
                <w:color w:val="auto"/>
                <w:sz w:val="21"/>
                <w:szCs w:val="21"/>
                <w:lang w:val="en-US" w:eastAsia="zh-CN" w:bidi="ar"/>
              </w:rPr>
              <w:t>0m</w:t>
            </w:r>
            <w:r>
              <w:rPr>
                <w:rStyle w:val="113"/>
                <w:rFonts w:hint="default" w:ascii="Times New Roman" w:hAnsi="Times New Roman" w:eastAsia="宋体" w:cs="Times New Roman"/>
                <w:color w:val="auto"/>
                <w:sz w:val="21"/>
                <w:szCs w:val="21"/>
                <w:vertAlign w:val="superscript"/>
                <w:lang w:val="en-US" w:eastAsia="zh-CN" w:bidi="ar"/>
              </w:rPr>
              <w:t>3</w:t>
            </w:r>
            <w:r>
              <w:rPr>
                <w:rStyle w:val="113"/>
                <w:rFonts w:hint="default" w:ascii="Times New Roman" w:hAnsi="Times New Roman" w:eastAsia="宋体" w:cs="Times New Roman"/>
                <w:color w:val="auto"/>
                <w:sz w:val="21"/>
                <w:szCs w:val="21"/>
                <w:lang w:val="en-US" w:eastAsia="zh-CN" w:bidi="ar"/>
              </w:rPr>
              <w:t xml:space="preserve"> </w:t>
            </w:r>
            <w:r>
              <w:rPr>
                <w:rStyle w:val="112"/>
                <w:rFonts w:hint="default" w:ascii="Times New Roman" w:hAnsi="Times New Roman" w:cs="Times New Roman"/>
                <w:color w:val="auto"/>
                <w:sz w:val="21"/>
                <w:szCs w:val="21"/>
                <w:lang w:val="en-US" w:eastAsia="zh-CN" w:bidi="ar"/>
              </w:rPr>
              <w:t>柴油罐</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柴油</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运营期</w:t>
            </w:r>
          </w:p>
        </w:tc>
        <w:tc>
          <w:tcPr>
            <w:tcW w:w="23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w:t>
            </w:r>
          </w:p>
        </w:tc>
        <w:tc>
          <w:tcPr>
            <w:tcW w:w="6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4"/>
                <w:highlight w:val="none"/>
                <w:lang w:val="en-US" w:eastAsia="zh-CN"/>
              </w:rPr>
              <w:t>单井拉油井场</w:t>
            </w:r>
          </w:p>
        </w:tc>
        <w:tc>
          <w:tcPr>
            <w:tcW w:w="13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szCs w:val="24"/>
                <w:highlight w:val="none"/>
                <w:lang w:val="en-US" w:eastAsia="zh-CN"/>
              </w:rPr>
              <w:t>2座60方高架罐</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104.16</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237"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eastAsia" w:cs="Times New Roman"/>
                <w:i w:val="0"/>
                <w:iCs w:val="0"/>
                <w:color w:val="auto"/>
                <w:kern w:val="0"/>
                <w:sz w:val="21"/>
                <w:szCs w:val="21"/>
                <w:u w:val="none"/>
                <w:lang w:val="en-US" w:eastAsia="zh-CN" w:bidi="ar"/>
              </w:rPr>
            </w:pPr>
          </w:p>
        </w:tc>
        <w:tc>
          <w:tcPr>
            <w:tcW w:w="652"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p>
        </w:tc>
        <w:tc>
          <w:tcPr>
            <w:tcW w:w="3169" w:type="pct"/>
            <w:gridSpan w:val="5"/>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0.0417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2</w:t>
            </w:r>
          </w:p>
        </w:tc>
        <w:tc>
          <w:tcPr>
            <w:tcW w:w="6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集中拉油站</w:t>
            </w:r>
          </w:p>
        </w:tc>
        <w:tc>
          <w:tcPr>
            <w:tcW w:w="135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生产分离器（</w:t>
            </w:r>
            <w:r>
              <w:rPr>
                <w:rStyle w:val="82"/>
                <w:rFonts w:hint="default" w:ascii="Times New Roman" w:hAnsi="Times New Roman" w:eastAsia="宋体" w:cs="Times New Roman"/>
                <w:color w:val="auto"/>
                <w:sz w:val="21"/>
                <w:szCs w:val="21"/>
                <w:lang w:val="en-US" w:eastAsia="zh-CN" w:bidi="ar"/>
              </w:rPr>
              <w:t>Φ3.0m×9.0m</w:t>
            </w:r>
            <w:r>
              <w:rPr>
                <w:rStyle w:val="112"/>
                <w:rFonts w:hint="default" w:ascii="Times New Roman" w:hAnsi="Times New Roman"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0.6Mpa</w:t>
            </w:r>
            <w:r>
              <w:rPr>
                <w:rStyle w:val="112"/>
                <w:rFonts w:hint="default" w:ascii="Times New Roman" w:hAnsi="Times New Roman" w:cs="Times New Roman"/>
                <w:color w:val="auto"/>
                <w:sz w:val="21"/>
                <w:szCs w:val="21"/>
                <w:lang w:val="en-US" w:eastAsia="zh-CN" w:bidi="ar"/>
              </w:rPr>
              <w:t>）</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55.55</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35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天然气</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74-82-8</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0.05</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3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default" w:ascii="Times New Roman" w:hAnsi="Times New Roman" w:eastAsia="宋体" w:cs="Times New Roman"/>
                <w:i w:val="0"/>
                <w:iCs w:val="0"/>
                <w:color w:val="auto"/>
                <w:kern w:val="0"/>
                <w:sz w:val="21"/>
                <w:szCs w:val="21"/>
                <w:u w:val="none"/>
                <w:lang w:val="en-US" w:eastAsia="zh-CN" w:bidi="ar"/>
              </w:rPr>
              <w:t>1000m</w:t>
            </w:r>
            <w:r>
              <w:rPr>
                <w:rStyle w:val="68"/>
                <w:rFonts w:hint="default" w:ascii="Times New Roman" w:hAnsi="Times New Roman" w:eastAsia="宋体" w:cs="Times New Roman"/>
                <w:color w:val="auto"/>
                <w:sz w:val="21"/>
                <w:szCs w:val="21"/>
                <w:vertAlign w:val="superscript"/>
                <w:lang w:val="en-US" w:eastAsia="zh-CN" w:bidi="ar"/>
              </w:rPr>
              <w:t>3</w:t>
            </w:r>
            <w:r>
              <w:rPr>
                <w:rStyle w:val="112"/>
                <w:rFonts w:hint="default" w:ascii="Times New Roman" w:hAnsi="Times New Roman" w:eastAsia="宋体" w:cs="Times New Roman"/>
                <w:color w:val="auto"/>
                <w:sz w:val="21"/>
                <w:szCs w:val="21"/>
                <w:lang w:val="en-US" w:eastAsia="zh-CN" w:bidi="ar"/>
              </w:rPr>
              <w:t>拉油罐2个</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1736</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bookmarkStart w:id="181" w:name="OLE_LINK161"/>
            <w:r>
              <w:rPr>
                <w:rFonts w:hint="eastAsia" w:cs="Times New Roman"/>
                <w:i w:val="0"/>
                <w:iCs w:val="0"/>
                <w:color w:val="auto"/>
                <w:kern w:val="0"/>
                <w:sz w:val="21"/>
                <w:szCs w:val="21"/>
                <w:u w:val="none"/>
                <w:lang w:val="en-US" w:eastAsia="zh-CN" w:bidi="ar"/>
              </w:rPr>
              <w:t>0.7216</w:t>
            </w:r>
            <w:bookmarkEnd w:id="18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0.7216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3</w:t>
            </w:r>
          </w:p>
        </w:tc>
        <w:tc>
          <w:tcPr>
            <w:tcW w:w="6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单井集输管线</w:t>
            </w:r>
            <w:r>
              <w:rPr>
                <w:rStyle w:val="112"/>
                <w:rFonts w:hint="default" w:ascii="Times New Roman" w:hAnsi="Times New Roman" w:cs="Times New Roman"/>
                <w:color w:val="auto"/>
                <w:sz w:val="21"/>
                <w:szCs w:val="21"/>
                <w:lang w:val="en-US" w:eastAsia="zh-CN" w:bidi="ar"/>
              </w:rPr>
              <w:t>夏</w:t>
            </w:r>
            <w:r>
              <w:rPr>
                <w:rStyle w:val="82"/>
                <w:rFonts w:hint="default" w:ascii="Times New Roman" w:hAnsi="Times New Roman" w:eastAsia="宋体" w:cs="Times New Roman"/>
                <w:color w:val="auto"/>
                <w:sz w:val="21"/>
                <w:szCs w:val="21"/>
                <w:lang w:val="en-US" w:eastAsia="zh-CN" w:bidi="ar"/>
              </w:rPr>
              <w:t>211X</w:t>
            </w:r>
            <w:r>
              <w:rPr>
                <w:rStyle w:val="112"/>
                <w:rFonts w:hint="default" w:ascii="Times New Roman" w:hAnsi="Times New Roman" w:cs="Times New Roman"/>
                <w:color w:val="auto"/>
                <w:sz w:val="21"/>
                <w:szCs w:val="21"/>
                <w:lang w:val="en-US" w:eastAsia="zh-CN" w:bidi="ar"/>
              </w:rPr>
              <w:t>（老井）</w:t>
            </w:r>
          </w:p>
        </w:tc>
        <w:tc>
          <w:tcPr>
            <w:tcW w:w="1351"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DN65</w:t>
            </w:r>
            <w:r>
              <w:rPr>
                <w:rFonts w:hint="eastAsia" w:cs="Times New Roman"/>
                <w:i w:val="0"/>
                <w:iCs w:val="0"/>
                <w:color w:val="auto"/>
                <w:kern w:val="0"/>
                <w:sz w:val="21"/>
                <w:szCs w:val="21"/>
                <w:u w:val="none"/>
                <w:lang w:val="en-US" w:eastAsia="zh-CN" w:bidi="ar"/>
              </w:rPr>
              <w:t>,</w:t>
            </w:r>
            <w:r>
              <w:rPr>
                <w:rStyle w:val="82"/>
                <w:rFonts w:hint="default" w:ascii="Times New Roman" w:hAnsi="Times New Roman" w:eastAsia="宋体" w:cs="Times New Roman"/>
                <w:color w:val="auto"/>
                <w:sz w:val="21"/>
                <w:szCs w:val="21"/>
                <w:lang w:val="en-US" w:eastAsia="zh-CN" w:bidi="ar"/>
              </w:rPr>
              <w:t>2.5MPa</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2km</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6.08</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1351"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天然气</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74-82-8</w:t>
            </w:r>
          </w:p>
        </w:tc>
        <w:tc>
          <w:tcPr>
            <w:tcW w:w="444" w:type="pct"/>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0.1138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4</w:t>
            </w:r>
          </w:p>
        </w:tc>
        <w:tc>
          <w:tcPr>
            <w:tcW w:w="6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集油支线</w:t>
            </w:r>
          </w:p>
        </w:tc>
        <w:tc>
          <w:tcPr>
            <w:tcW w:w="13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DN</w:t>
            </w:r>
            <w:r>
              <w:rPr>
                <w:rStyle w:val="82"/>
                <w:rFonts w:hint="default" w:ascii="Times New Roman" w:hAnsi="Times New Roman" w:eastAsia="宋体" w:cs="Times New Roman"/>
                <w:color w:val="auto"/>
                <w:sz w:val="21"/>
                <w:szCs w:val="21"/>
                <w:lang w:val="en-US" w:eastAsia="zh-CN" w:bidi="ar"/>
              </w:rPr>
              <w:t>150</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3.52MPa</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3.5km</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53.82</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0.0215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5</w:t>
            </w:r>
          </w:p>
        </w:tc>
        <w:tc>
          <w:tcPr>
            <w:tcW w:w="6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净化油外输管线</w:t>
            </w:r>
          </w:p>
        </w:tc>
        <w:tc>
          <w:tcPr>
            <w:tcW w:w="13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D219×6</w:t>
            </w:r>
            <w:r>
              <w:rPr>
                <w:rFonts w:hint="eastAsia" w:cs="Times New Roman"/>
                <w:i w:val="0"/>
                <w:iCs w:val="0"/>
                <w:color w:val="auto"/>
                <w:kern w:val="0"/>
                <w:sz w:val="21"/>
                <w:szCs w:val="21"/>
                <w:u w:val="none"/>
                <w:lang w:val="en-US" w:eastAsia="zh-CN" w:bidi="ar"/>
              </w:rPr>
              <w:t>,</w:t>
            </w:r>
            <w:r>
              <w:rPr>
                <w:rStyle w:val="82"/>
                <w:rFonts w:hint="default" w:ascii="Times New Roman" w:hAnsi="Times New Roman" w:eastAsia="宋体" w:cs="Times New Roman"/>
                <w:color w:val="auto"/>
                <w:sz w:val="21"/>
                <w:szCs w:val="21"/>
                <w:lang w:val="en-US" w:eastAsia="zh-CN" w:bidi="ar"/>
              </w:rPr>
              <w:t>3.5MPa</w:t>
            </w:r>
            <w:r>
              <w:rPr>
                <w:rStyle w:val="82"/>
                <w:rFonts w:hint="eastAsia" w:cs="Times New Roman"/>
                <w:color w:val="auto"/>
                <w:sz w:val="21"/>
                <w:szCs w:val="21"/>
                <w:lang w:val="en-US" w:eastAsia="zh-CN" w:bidi="ar"/>
              </w:rPr>
              <w:t>,</w:t>
            </w:r>
            <w:r>
              <w:rPr>
                <w:rStyle w:val="82"/>
                <w:rFonts w:hint="default" w:ascii="Times New Roman" w:hAnsi="Times New Roman" w:cs="Times New Roman"/>
                <w:color w:val="auto"/>
                <w:sz w:val="21"/>
                <w:szCs w:val="21"/>
                <w:lang w:val="en-US" w:eastAsia="zh-CN" w:bidi="ar"/>
              </w:rPr>
              <w:t>15.5</w:t>
            </w:r>
            <w:r>
              <w:rPr>
                <w:rStyle w:val="82"/>
                <w:rFonts w:hint="default" w:ascii="Times New Roman" w:hAnsi="Times New Roman" w:eastAsia="宋体" w:cs="Times New Roman"/>
                <w:color w:val="auto"/>
                <w:sz w:val="21"/>
                <w:szCs w:val="21"/>
                <w:lang w:val="en-US" w:eastAsia="zh-CN" w:bidi="ar"/>
              </w:rPr>
              <w:t>km</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原油</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506.91</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rPr>
            </w:pPr>
            <w:r>
              <w:rPr>
                <w:rFonts w:hint="eastAsia" w:cs="Times New Roman"/>
                <w:i w:val="0"/>
                <w:iCs w:val="0"/>
                <w:color w:val="auto"/>
                <w:kern w:val="0"/>
                <w:sz w:val="21"/>
                <w:szCs w:val="21"/>
                <w:u w:val="none"/>
                <w:lang w:val="en-US" w:eastAsia="zh-CN" w:bidi="ar"/>
              </w:rPr>
              <w:t>0.2028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0.2028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eastAsia" w:cs="Times New Roman"/>
                <w:i w:val="0"/>
                <w:iCs w:val="0"/>
                <w:color w:val="auto"/>
                <w:kern w:val="0"/>
                <w:sz w:val="21"/>
                <w:szCs w:val="21"/>
                <w:u w:val="none"/>
                <w:lang w:val="en-US" w:eastAsia="zh-CN" w:bidi="ar"/>
              </w:rPr>
              <w:t>6</w:t>
            </w:r>
          </w:p>
        </w:tc>
        <w:tc>
          <w:tcPr>
            <w:tcW w:w="652"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输气管线</w:t>
            </w:r>
          </w:p>
        </w:tc>
        <w:tc>
          <w:tcPr>
            <w:tcW w:w="135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D219</w:t>
            </w:r>
            <w:r>
              <w:rPr>
                <w:rStyle w:val="112"/>
                <w:rFonts w:hint="default" w:ascii="Times New Roman" w:hAnsi="Times New Roman"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5</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0.3MPa</w:t>
            </w:r>
            <w:r>
              <w:rPr>
                <w:rStyle w:val="82"/>
                <w:rFonts w:hint="eastAsia" w:cs="Times New Roman"/>
                <w:color w:val="auto"/>
                <w:sz w:val="21"/>
                <w:szCs w:val="21"/>
                <w:lang w:val="en-US" w:eastAsia="zh-CN" w:bidi="ar"/>
              </w:rPr>
              <w:t>,</w:t>
            </w:r>
            <w:r>
              <w:rPr>
                <w:rStyle w:val="82"/>
                <w:rFonts w:hint="default" w:ascii="Times New Roman" w:hAnsi="Times New Roman" w:eastAsia="宋体" w:cs="Times New Roman"/>
                <w:color w:val="auto"/>
                <w:sz w:val="21"/>
                <w:szCs w:val="21"/>
                <w:lang w:val="en-US" w:eastAsia="zh-CN" w:bidi="ar"/>
              </w:rPr>
              <w:t>0.25km</w:t>
            </w:r>
          </w:p>
        </w:tc>
        <w:tc>
          <w:tcPr>
            <w:tcW w:w="42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天然气</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74-82-8</w:t>
            </w:r>
          </w:p>
        </w:tc>
        <w:tc>
          <w:tcPr>
            <w:tcW w:w="44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0.013</w:t>
            </w:r>
          </w:p>
        </w:tc>
        <w:tc>
          <w:tcPr>
            <w:tcW w:w="456"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97" w:hRule="atLeast"/>
        </w:trPr>
        <w:tc>
          <w:tcPr>
            <w:tcW w:w="41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237"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652" w:type="pct"/>
            <w:vMerge w:val="continue"/>
            <w:tcBorders>
              <w:tl2br w:val="nil"/>
              <w:tr2bl w:val="nil"/>
            </w:tcBorders>
            <w:shd w:val="clear" w:color="auto" w:fill="auto"/>
            <w:vAlign w:val="center"/>
          </w:tcPr>
          <w:p>
            <w:pPr>
              <w:jc w:val="center"/>
              <w:rPr>
                <w:rFonts w:hint="default" w:ascii="Times New Roman" w:hAnsi="Times New Roman" w:eastAsia="宋体" w:cs="Times New Roman"/>
                <w:i w:val="0"/>
                <w:iCs w:val="0"/>
                <w:color w:val="auto"/>
                <w:sz w:val="21"/>
                <w:szCs w:val="21"/>
                <w:u w:val="none"/>
              </w:rPr>
            </w:pPr>
          </w:p>
        </w:tc>
        <w:tc>
          <w:tcPr>
            <w:tcW w:w="3169" w:type="pct"/>
            <w:gridSpan w:val="5"/>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∑Q</w:t>
            </w:r>
          </w:p>
        </w:tc>
        <w:tc>
          <w:tcPr>
            <w:tcW w:w="52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0.0013</w:t>
            </w:r>
          </w:p>
        </w:tc>
      </w:tr>
    </w:tbl>
    <w:p>
      <w:pPr>
        <w:pStyle w:val="54"/>
        <w:keepNext w:val="0"/>
        <w:keepLines w:val="0"/>
        <w:pageBreakBefore w:val="0"/>
        <w:kinsoku/>
        <w:wordWrap/>
        <w:overflowPunct/>
        <w:topLinePunct w:val="0"/>
        <w:autoSpaceDE/>
        <w:autoSpaceDN/>
        <w:bidi w:val="0"/>
        <w:adjustRightInd/>
        <w:snapToGrid/>
        <w:spacing w:line="480" w:lineRule="exact"/>
        <w:ind w:firstLine="0" w:firstLineChars="0"/>
        <w:jc w:val="both"/>
        <w:rPr>
          <w:rFonts w:hint="eastAsia" w:eastAsia="黑体"/>
          <w:color w:val="auto"/>
          <w:sz w:val="21"/>
          <w:szCs w:val="21"/>
          <w:highlight w:val="none"/>
          <w:lang w:val="en-US" w:eastAsia="zh-CN"/>
        </w:rPr>
      </w:pPr>
      <w:r>
        <w:rPr>
          <w:rFonts w:hint="eastAsia"/>
          <w:color w:val="auto"/>
          <w:sz w:val="21"/>
          <w:szCs w:val="21"/>
          <w:highlight w:val="none"/>
        </w:rPr>
        <w:t>注：</w:t>
      </w:r>
      <w:r>
        <w:rPr>
          <w:rFonts w:hint="eastAsia"/>
          <w:color w:val="auto"/>
          <w:sz w:val="21"/>
          <w:szCs w:val="21"/>
          <w:highlight w:val="none"/>
          <w:lang w:val="en-US" w:eastAsia="zh-CN"/>
        </w:rPr>
        <w:t>根据提供的区域油气资源参数，原油密度平均0.868g/cm</w:t>
      </w:r>
      <w:r>
        <w:rPr>
          <w:rFonts w:hint="eastAsia"/>
          <w:color w:val="auto"/>
          <w:sz w:val="21"/>
          <w:szCs w:val="21"/>
          <w:highlight w:val="none"/>
          <w:vertAlign w:val="superscript"/>
          <w:lang w:val="en-US" w:eastAsia="zh-CN"/>
        </w:rPr>
        <w:t>3</w:t>
      </w:r>
      <w:r>
        <w:rPr>
          <w:rFonts w:hint="eastAsia"/>
          <w:color w:val="auto"/>
          <w:sz w:val="21"/>
          <w:szCs w:val="21"/>
          <w:highlight w:val="none"/>
        </w:rPr>
        <w:t>天然气相对密度为0.774</w:t>
      </w:r>
      <w:r>
        <w:rPr>
          <w:color w:val="auto"/>
          <w:sz w:val="21"/>
          <w:szCs w:val="21"/>
          <w:highlight w:val="none"/>
        </w:rPr>
        <w:t>kg/Nm</w:t>
      </w:r>
      <w:r>
        <w:rPr>
          <w:rFonts w:ascii="Calibri" w:hAnsi="Calibri" w:cs="Calibri"/>
          <w:color w:val="auto"/>
          <w:sz w:val="21"/>
          <w:szCs w:val="21"/>
          <w:highlight w:val="none"/>
        </w:rPr>
        <w:t>³</w:t>
      </w:r>
      <w:r>
        <w:rPr>
          <w:rFonts w:hint="eastAsia" w:ascii="Calibri" w:hAnsi="Calibri" w:cs="Calibri"/>
          <w:color w:val="auto"/>
          <w:sz w:val="21"/>
          <w:szCs w:val="21"/>
          <w:highlight w:val="none"/>
          <w:lang w:eastAsia="zh-CN"/>
        </w:rPr>
        <w:t>。</w:t>
      </w:r>
      <w:r>
        <w:rPr>
          <w:rFonts w:hint="eastAsia" w:ascii="Calibri" w:hAnsi="Calibri" w:cs="Calibri"/>
          <w:color w:val="auto"/>
          <w:sz w:val="21"/>
          <w:szCs w:val="21"/>
          <w:highlight w:val="none"/>
          <w:lang w:val="en-US" w:eastAsia="zh-CN"/>
        </w:rPr>
        <w:t>柴油</w:t>
      </w:r>
      <w:r>
        <w:rPr>
          <w:rFonts w:hint="eastAsia"/>
          <w:color w:val="auto"/>
          <w:sz w:val="21"/>
          <w:szCs w:val="21"/>
        </w:rPr>
        <w:t>密度</w:t>
      </w:r>
      <w:r>
        <w:rPr>
          <w:rFonts w:hint="eastAsia" w:ascii="Calibri" w:hAnsi="Calibri" w:cs="Calibri"/>
          <w:color w:val="auto"/>
          <w:sz w:val="21"/>
          <w:szCs w:val="21"/>
          <w:highlight w:val="none"/>
          <w:lang w:val="en-US" w:eastAsia="zh-CN"/>
        </w:rPr>
        <w:t>按</w:t>
      </w:r>
      <w:r>
        <w:rPr>
          <w:color w:val="auto"/>
          <w:sz w:val="21"/>
          <w:szCs w:val="21"/>
        </w:rPr>
        <w:t>0.8</w:t>
      </w:r>
      <w:r>
        <w:rPr>
          <w:rFonts w:hint="eastAsia"/>
          <w:color w:val="auto"/>
          <w:sz w:val="21"/>
          <w:szCs w:val="21"/>
          <w:lang w:val="en-US" w:eastAsia="zh-CN"/>
        </w:rPr>
        <w:t>5</w:t>
      </w:r>
      <w:r>
        <w:rPr>
          <w:color w:val="auto"/>
          <w:sz w:val="21"/>
          <w:szCs w:val="21"/>
        </w:rPr>
        <w:t xml:space="preserve"> t/m</w:t>
      </w:r>
      <w:r>
        <w:rPr>
          <w:color w:val="auto"/>
          <w:sz w:val="21"/>
          <w:szCs w:val="21"/>
          <w:vertAlign w:val="superscript"/>
        </w:rPr>
        <w:t>3</w:t>
      </w:r>
      <w:r>
        <w:rPr>
          <w:rFonts w:hint="eastAsia"/>
          <w:color w:val="auto"/>
          <w:sz w:val="21"/>
          <w:szCs w:val="21"/>
          <w:vertAlign w:val="baseline"/>
          <w:lang w:val="en-US" w:eastAsia="zh-CN"/>
        </w:rPr>
        <w:t>计。单井集输管线以单根管线最长计。</w:t>
      </w:r>
    </w:p>
    <w:p>
      <w:pPr>
        <w:pStyle w:val="57"/>
        <w:keepNext w:val="0"/>
        <w:keepLines w:val="0"/>
        <w:pageBreakBefore w:val="0"/>
        <w:kinsoku/>
        <w:wordWrap/>
        <w:overflowPunct/>
        <w:topLinePunct w:val="0"/>
        <w:autoSpaceDE/>
        <w:autoSpaceDN/>
        <w:bidi w:val="0"/>
        <w:adjustRightInd/>
        <w:snapToGrid/>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根据上表计算结果，本工程</w:t>
      </w:r>
      <w:r>
        <w:rPr>
          <w:rFonts w:hint="default" w:ascii="Times New Roman" w:hAnsi="Times New Roman" w:cs="Times New Roman"/>
          <w:color w:val="auto"/>
          <w:highlight w:val="none"/>
          <w:lang w:val="en-US" w:eastAsia="zh-CN"/>
        </w:rPr>
        <w:t>施工期井场</w:t>
      </w:r>
      <w:r>
        <w:rPr>
          <w:rFonts w:hint="default" w:ascii="Times New Roman" w:hAnsi="Times New Roman" w:cs="Times New Roman"/>
          <w:color w:val="auto"/>
          <w:highlight w:val="none"/>
        </w:rPr>
        <w:t>Q</w:t>
      </w:r>
      <w:r>
        <w:rPr>
          <w:rFonts w:hint="default" w:ascii="Times New Roman" w:hAnsi="Times New Roman" w:cs="Times New Roman"/>
          <w:color w:val="auto"/>
          <w:highlight w:val="none"/>
          <w:lang w:val="en-US" w:eastAsia="zh-CN"/>
        </w:rPr>
        <w:t>＜</w:t>
      </w:r>
      <w:r>
        <w:rPr>
          <w:rFonts w:hint="default" w:ascii="Times New Roman" w:hAnsi="Times New Roman" w:cs="Times New Roman"/>
          <w:color w:val="auto"/>
          <w:highlight w:val="none"/>
        </w:rPr>
        <w:t>1，判断</w:t>
      </w:r>
      <w:r>
        <w:rPr>
          <w:rFonts w:hint="default" w:ascii="Times New Roman" w:hAnsi="Times New Roman" w:cs="Times New Roman"/>
          <w:color w:val="auto"/>
          <w:highlight w:val="none"/>
          <w:lang w:val="en-US" w:eastAsia="zh-CN"/>
        </w:rPr>
        <w:t>施工期</w:t>
      </w:r>
      <w:r>
        <w:rPr>
          <w:rFonts w:hint="default" w:ascii="Times New Roman" w:hAnsi="Times New Roman" w:cs="Times New Roman"/>
          <w:color w:val="auto"/>
          <w:highlight w:val="none"/>
        </w:rPr>
        <w:t>风险潜势为Ⅰ</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运营期井场、站场及各类管线</w:t>
      </w:r>
      <w:r>
        <w:rPr>
          <w:rFonts w:hint="default" w:ascii="Times New Roman" w:hAnsi="Times New Roman" w:cs="Times New Roman"/>
          <w:color w:val="auto"/>
          <w:highlight w:val="none"/>
        </w:rPr>
        <w:t>Q</w:t>
      </w:r>
      <w:r>
        <w:rPr>
          <w:rFonts w:hint="default" w:ascii="Times New Roman" w:hAnsi="Times New Roman" w:cs="Times New Roman"/>
          <w:color w:val="auto"/>
          <w:highlight w:val="none"/>
          <w:lang w:val="en-US" w:eastAsia="zh-CN"/>
        </w:rPr>
        <w:t>值均＜</w:t>
      </w:r>
      <w:r>
        <w:rPr>
          <w:rFonts w:hint="default" w:ascii="Times New Roman" w:hAnsi="Times New Roman" w:cs="Times New Roman"/>
          <w:color w:val="auto"/>
          <w:highlight w:val="none"/>
        </w:rPr>
        <w:t>1</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lang w:val="en-US" w:eastAsia="zh-CN"/>
        </w:rPr>
        <w:t>判定运营期</w:t>
      </w:r>
      <w:r>
        <w:rPr>
          <w:rFonts w:hint="default" w:ascii="Times New Roman" w:hAnsi="Times New Roman" w:cs="Times New Roman"/>
          <w:color w:val="auto"/>
          <w:highlight w:val="none"/>
        </w:rPr>
        <w:t>风险潜势为Ⅰ。根据《建设项目环境风险评价技术导则》（HJ 169-2018）相关要求，风险潜势为Ⅰ的建设项目可开展简单评价，不定评价等级。因此，本次评价仅对建设项目可能存在的环境风险进行简单分析。</w:t>
      </w:r>
    </w:p>
    <w:p>
      <w:pPr>
        <w:pStyle w:val="57"/>
        <w:keepNext w:val="0"/>
        <w:keepLines w:val="0"/>
        <w:pageBreakBefore w:val="0"/>
        <w:kinsoku/>
        <w:wordWrap/>
        <w:overflowPunct/>
        <w:topLinePunct w:val="0"/>
        <w:autoSpaceDE/>
        <w:autoSpaceDN/>
        <w:bidi w:val="0"/>
        <w:adjustRightInd/>
        <w:snapToGrid/>
        <w:spacing w:line="480" w:lineRule="exact"/>
        <w:rPr>
          <w:color w:val="auto"/>
          <w:highlight w:val="none"/>
        </w:rPr>
      </w:pPr>
      <w:r>
        <w:rPr>
          <w:rFonts w:hint="eastAsia"/>
          <w:color w:val="auto"/>
          <w:highlight w:val="none"/>
        </w:rPr>
        <w:t>（</w:t>
      </w:r>
      <w:r>
        <w:rPr>
          <w:color w:val="auto"/>
          <w:highlight w:val="none"/>
        </w:rPr>
        <w:t>3</w:t>
      </w:r>
      <w:r>
        <w:rPr>
          <w:rFonts w:hint="eastAsia"/>
          <w:color w:val="auto"/>
          <w:highlight w:val="none"/>
        </w:rPr>
        <w:t>）评价范围</w:t>
      </w:r>
    </w:p>
    <w:p>
      <w:pPr>
        <w:pStyle w:val="57"/>
        <w:keepNext w:val="0"/>
        <w:keepLines w:val="0"/>
        <w:pageBreakBefore w:val="0"/>
        <w:kinsoku/>
        <w:wordWrap/>
        <w:overflowPunct/>
        <w:topLinePunct w:val="0"/>
        <w:autoSpaceDE/>
        <w:autoSpaceDN/>
        <w:bidi w:val="0"/>
        <w:adjustRightInd/>
        <w:snapToGrid/>
        <w:spacing w:line="480" w:lineRule="exact"/>
        <w:rPr>
          <w:color w:val="auto"/>
          <w:highlight w:val="none"/>
        </w:rPr>
      </w:pPr>
      <w:r>
        <w:rPr>
          <w:rFonts w:hint="eastAsia"/>
          <w:color w:val="auto"/>
          <w:highlight w:val="none"/>
        </w:rPr>
        <w:t>根据《建设项目环境风险评价技术导则》（</w:t>
      </w:r>
      <w:r>
        <w:rPr>
          <w:color w:val="auto"/>
          <w:highlight w:val="none"/>
        </w:rPr>
        <w:t>HJ169-2018</w:t>
      </w:r>
      <w:r>
        <w:rPr>
          <w:rFonts w:hint="eastAsia"/>
          <w:color w:val="auto"/>
          <w:highlight w:val="none"/>
        </w:rPr>
        <w:t>）评价等级确定评价范围，项目风险评价工作等级为简单分析，不设置评价范围</w:t>
      </w: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49"/>
        <w:rPr>
          <w:rFonts w:ascii="Times New Roman" w:hAnsi="Times New Roman" w:eastAsia="宋体"/>
          <w:color w:val="auto"/>
          <w:highlight w:val="none"/>
        </w:rPr>
      </w:pPr>
      <w:bookmarkStart w:id="182" w:name="_Toc16970"/>
      <w:bookmarkStart w:id="183" w:name="_Toc21308"/>
      <w:bookmarkStart w:id="184" w:name="_Toc173941812"/>
      <w:bookmarkStart w:id="185" w:name="_Hlk48603676"/>
      <w:bookmarkStart w:id="186" w:name="_Toc297590928"/>
      <w:bookmarkStart w:id="187" w:name="_Toc353966733"/>
      <w:bookmarkStart w:id="188" w:name="_Toc2726"/>
      <w:bookmarkStart w:id="189" w:name="_Toc280954906"/>
      <w:bookmarkStart w:id="190" w:name="_Toc146540982"/>
      <w:bookmarkStart w:id="191" w:name="_Toc361761825"/>
      <w:bookmarkStart w:id="192" w:name="_Toc508291876"/>
      <w:bookmarkStart w:id="193" w:name="_Toc149456025"/>
      <w:bookmarkStart w:id="194" w:name="_Toc161551981"/>
      <w:bookmarkStart w:id="195" w:name="_Toc280954983"/>
      <w:bookmarkStart w:id="196" w:name="_Toc173941809"/>
      <w:bookmarkStart w:id="197" w:name="_Toc420492360"/>
      <w:bookmarkStart w:id="198" w:name="_Toc173942670"/>
      <w:bookmarkStart w:id="199" w:name="_Toc173941716"/>
      <w:bookmarkStart w:id="200" w:name="_Toc255293766"/>
      <w:bookmarkStart w:id="201" w:name="_Toc227650572"/>
      <w:bookmarkStart w:id="202" w:name="_Toc374724174"/>
      <w:bookmarkStart w:id="203" w:name="_Toc297590775"/>
      <w:bookmarkStart w:id="204" w:name="_Toc255293767"/>
      <w:r>
        <w:rPr>
          <w:rFonts w:ascii="Times New Roman" w:hAnsi="Times New Roman" w:eastAsia="宋体"/>
          <w:color w:val="auto"/>
          <w:highlight w:val="none"/>
        </w:rPr>
        <w:t>2.</w:t>
      </w:r>
      <w:r>
        <w:rPr>
          <w:rFonts w:hint="eastAsia" w:ascii="Times New Roman" w:hAnsi="Times New Roman" w:eastAsia="宋体"/>
          <w:color w:val="auto"/>
          <w:highlight w:val="none"/>
        </w:rPr>
        <w:t>6</w:t>
      </w:r>
      <w:r>
        <w:rPr>
          <w:rFonts w:ascii="Times New Roman" w:hAnsi="Times New Roman" w:eastAsia="宋体"/>
          <w:color w:val="auto"/>
          <w:highlight w:val="none"/>
        </w:rPr>
        <w:t>环境保护目标</w:t>
      </w:r>
      <w:bookmarkEnd w:id="182"/>
      <w:bookmarkEnd w:id="183"/>
      <w:bookmarkEnd w:id="184"/>
    </w:p>
    <w:p>
      <w:pPr>
        <w:pStyle w:val="57"/>
        <w:rPr>
          <w:color w:val="auto"/>
          <w:highlight w:val="none"/>
        </w:rPr>
      </w:pPr>
      <w:r>
        <w:rPr>
          <w:rFonts w:hint="eastAsia"/>
          <w:color w:val="auto"/>
          <w:highlight w:val="none"/>
        </w:rPr>
        <w:t>根据《环境影响评价技术导则 生态影响》（HJ19-2022），生态保护目标主要为受影响的重要物种、生态敏感区以及其他需要保护的物种、种群、生物群落及生态空间等。本工程</w:t>
      </w:r>
      <w:r>
        <w:rPr>
          <w:rFonts w:hint="eastAsia"/>
          <w:color w:val="auto"/>
          <w:highlight w:val="none"/>
          <w:lang w:val="en-US" w:eastAsia="zh-CN"/>
        </w:rPr>
        <w:t>新建</w:t>
      </w:r>
      <w:r>
        <w:rPr>
          <w:rFonts w:hint="eastAsia"/>
          <w:color w:val="auto"/>
          <w:highlight w:val="none"/>
        </w:rPr>
        <w:t>净化油外输管线东南侧距离魔鬼城核心景区边界最近距离为40m，</w:t>
      </w:r>
      <w:r>
        <w:rPr>
          <w:rFonts w:hint="eastAsia"/>
          <w:color w:val="auto"/>
          <w:highlight w:val="none"/>
          <w:lang w:val="en-US" w:eastAsia="zh-CN"/>
        </w:rPr>
        <w:t>但不占用</w:t>
      </w:r>
      <w:r>
        <w:rPr>
          <w:rFonts w:hint="eastAsia"/>
          <w:color w:val="auto"/>
          <w:highlight w:val="none"/>
        </w:rPr>
        <w:t>魔鬼城风景名胜区</w:t>
      </w:r>
      <w:r>
        <w:rPr>
          <w:rFonts w:hint="eastAsia"/>
          <w:color w:val="auto"/>
          <w:highlight w:val="none"/>
          <w:lang w:eastAsia="zh-CN"/>
        </w:rPr>
        <w:t>。</w:t>
      </w:r>
      <w:r>
        <w:rPr>
          <w:rFonts w:hint="eastAsia"/>
          <w:color w:val="auto"/>
          <w:highlight w:val="none"/>
        </w:rPr>
        <w:t>结合现状调查，评价区域生态保护目标主要为魔鬼城风景名胜区</w:t>
      </w:r>
      <w:r>
        <w:rPr>
          <w:rFonts w:hint="eastAsia"/>
          <w:color w:val="auto"/>
          <w:highlight w:val="none"/>
          <w:lang w:val="en-US" w:eastAsia="zh-CN"/>
        </w:rPr>
        <w:t>以及</w:t>
      </w:r>
      <w:r>
        <w:rPr>
          <w:rFonts w:hint="eastAsia"/>
          <w:color w:val="auto"/>
          <w:highlight w:val="none"/>
        </w:rPr>
        <w:t>区域内分布的重要物种</w:t>
      </w:r>
      <w:r>
        <w:rPr>
          <w:rFonts w:hint="eastAsia"/>
          <w:color w:val="auto"/>
          <w:highlight w:val="none"/>
          <w:lang w:eastAsia="zh-CN"/>
        </w:rPr>
        <w:t>；</w:t>
      </w:r>
      <w:r>
        <w:rPr>
          <w:rFonts w:hint="eastAsia"/>
          <w:color w:val="auto"/>
          <w:highlight w:val="none"/>
        </w:rPr>
        <w:t>同时按照《建设项目环境影响评价分类管理名录》，将区域重要保护动物</w:t>
      </w:r>
      <w:r>
        <w:rPr>
          <w:rFonts w:hint="eastAsia"/>
          <w:color w:val="auto"/>
          <w:highlight w:val="none"/>
          <w:lang w:eastAsia="zh-CN"/>
        </w:rPr>
        <w:t>、魔鬼城风景名胜区</w:t>
      </w:r>
      <w:r>
        <w:rPr>
          <w:rFonts w:hint="eastAsia"/>
          <w:color w:val="auto"/>
          <w:highlight w:val="none"/>
          <w:lang w:val="en-US" w:eastAsia="zh-CN"/>
        </w:rPr>
        <w:t>和</w:t>
      </w:r>
      <w:r>
        <w:rPr>
          <w:rFonts w:hint="eastAsia"/>
          <w:color w:val="auto"/>
          <w:highlight w:val="none"/>
        </w:rPr>
        <w:t>水土流失重点治理区等环境敏感区加入生态保护目标。</w:t>
      </w:r>
    </w:p>
    <w:p>
      <w:pPr>
        <w:pStyle w:val="57"/>
        <w:rPr>
          <w:color w:val="auto"/>
          <w:highlight w:val="none"/>
        </w:rPr>
      </w:pPr>
      <w:r>
        <w:rPr>
          <w:rFonts w:hint="eastAsia"/>
          <w:color w:val="auto"/>
          <w:highlight w:val="none"/>
        </w:rPr>
        <w:t>根据《环境影响评价技术导则 大气环境》（HJ2.2-2018），环境空气保护目标为一类区的自然保护区、风景名胜区和其他需要特殊保护的区域，二类区中的居住区、文化区和农村地区中人群较集中的区域。经判定本次环境空气环境影响评价等级为</w:t>
      </w:r>
      <w:r>
        <w:rPr>
          <w:rFonts w:hint="eastAsia"/>
          <w:color w:val="auto"/>
          <w:highlight w:val="none"/>
          <w:lang w:val="en-US" w:eastAsia="zh-CN"/>
        </w:rPr>
        <w:t>二</w:t>
      </w:r>
      <w:r>
        <w:rPr>
          <w:rFonts w:hint="eastAsia"/>
          <w:color w:val="auto"/>
          <w:highlight w:val="none"/>
        </w:rPr>
        <w:t>级，大气环境影响评价范围</w:t>
      </w:r>
      <w:bookmarkStart w:id="205" w:name="OLE_LINK145"/>
      <w:r>
        <w:rPr>
          <w:rFonts w:hint="eastAsia" w:ascii="Times New Roman" w:hAnsi="Times New Roman" w:eastAsia="宋体" w:cs="Times New Roman"/>
          <w:color w:val="auto"/>
          <w:highlight w:val="none"/>
        </w:rPr>
        <w:t>以各油井、计量站、拉油站为中心、边长2.5km的矩形范围</w:t>
      </w:r>
      <w:bookmarkEnd w:id="205"/>
      <w:r>
        <w:rPr>
          <w:rFonts w:hint="eastAsia" w:ascii="Times New Roman" w:hAnsi="Times New Roman" w:eastAsia="宋体" w:cs="Times New Roman"/>
          <w:color w:val="auto"/>
          <w:highlight w:val="none"/>
          <w:lang w:eastAsia="zh-CN"/>
        </w:rPr>
        <w:t>。</w:t>
      </w:r>
      <w:r>
        <w:rPr>
          <w:rFonts w:hint="eastAsia"/>
          <w:color w:val="auto"/>
          <w:highlight w:val="none"/>
        </w:rPr>
        <w:t>具体见表2.6-1。</w:t>
      </w:r>
    </w:p>
    <w:p>
      <w:pPr>
        <w:pStyle w:val="57"/>
        <w:rPr>
          <w:color w:val="auto"/>
          <w:highlight w:val="none"/>
        </w:rPr>
      </w:pPr>
      <w:r>
        <w:rPr>
          <w:rFonts w:hint="eastAsia"/>
          <w:color w:val="auto"/>
          <w:highlight w:val="none"/>
        </w:rPr>
        <w:t>根据《环境影响评价技术导则 地下水环境》（HJ610-2016），地下水环境保护目标为潜水含水层和可能受建设项目影响且具有饮用水开发利用价值的含水层，集中式饮用水水源和分散式饮用水水源地，以及《建设项目环境影响评价分类管理名录》中所界定的涉及地下水的环境敏感区。根据调查，评价区域不涉及水源地、饮用水井及名录中的地下水敏感区，本评价将评价范围内的区域潜水含水层作为地下水环境保护目标。</w:t>
      </w:r>
    </w:p>
    <w:p>
      <w:pPr>
        <w:pStyle w:val="57"/>
        <w:rPr>
          <w:color w:val="auto"/>
          <w:highlight w:val="none"/>
        </w:rPr>
      </w:pPr>
      <w:r>
        <w:rPr>
          <w:rFonts w:hint="eastAsia"/>
          <w:color w:val="auto"/>
          <w:highlight w:val="none"/>
        </w:rPr>
        <w:t>根据《环境影响评价技术导则 声环境》（HJ2.4-2021），声环境保护目标为依据法律法规、标准政策等确定的需要保持安静的建筑物及建筑物集中区。经调查，本工程评价范围不涉及需要保持安静的建筑物及建筑物集中区。</w:t>
      </w:r>
    </w:p>
    <w:p>
      <w:pPr>
        <w:pStyle w:val="57"/>
        <w:rPr>
          <w:color w:val="auto"/>
          <w:highlight w:val="none"/>
        </w:rPr>
      </w:pPr>
      <w:r>
        <w:rPr>
          <w:rFonts w:hint="eastAsia"/>
          <w:color w:val="auto"/>
          <w:highlight w:val="none"/>
        </w:rPr>
        <w:t>根据《环境影响评价技术导则 土壤环境</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HJ964-2018</w:t>
      </w:r>
      <w:r>
        <w:rPr>
          <w:rFonts w:hint="eastAsia"/>
          <w:color w:val="auto"/>
          <w:highlight w:val="none"/>
          <w:lang w:eastAsia="zh-CN"/>
        </w:rPr>
        <w:t>）</w:t>
      </w:r>
      <w:r>
        <w:rPr>
          <w:rFonts w:hint="eastAsia"/>
          <w:color w:val="auto"/>
          <w:highlight w:val="none"/>
        </w:rPr>
        <w:t>和《环境影响评价技术导则 陆地石油天然气开发建设项目》</w:t>
      </w:r>
      <w:r>
        <w:rPr>
          <w:rFonts w:hint="eastAsia"/>
          <w:color w:val="auto"/>
          <w:highlight w:val="none"/>
          <w:lang w:eastAsia="zh-CN"/>
        </w:rPr>
        <w:t>（</w:t>
      </w:r>
      <w:r>
        <w:rPr>
          <w:rFonts w:hint="eastAsia"/>
          <w:color w:val="auto"/>
          <w:highlight w:val="none"/>
        </w:rPr>
        <w:t>HJ349-2023</w:t>
      </w:r>
      <w:r>
        <w:rPr>
          <w:rFonts w:hint="eastAsia"/>
          <w:color w:val="auto"/>
          <w:highlight w:val="none"/>
          <w:lang w:eastAsia="zh-CN"/>
        </w:rPr>
        <w:t>）</w:t>
      </w:r>
      <w:r>
        <w:rPr>
          <w:rFonts w:hint="eastAsia"/>
          <w:color w:val="auto"/>
          <w:highlight w:val="none"/>
        </w:rPr>
        <w:t>以及本次现状监测数据，</w:t>
      </w:r>
      <w:bookmarkStart w:id="206" w:name="OLE_LINK135"/>
      <w:r>
        <w:rPr>
          <w:rFonts w:hint="eastAsia"/>
          <w:color w:val="auto"/>
          <w:highlight w:val="none"/>
        </w:rPr>
        <w:t>工程所在</w:t>
      </w:r>
      <w:r>
        <w:rPr>
          <w:rFonts w:hint="eastAsia" w:ascii="Times New Roman" w:hAnsi="Times New Roman" w:eastAsia="宋体" w:cs="Times New Roman"/>
          <w:color w:val="auto"/>
          <w:sz w:val="24"/>
          <w:szCs w:val="24"/>
          <w:highlight w:val="none"/>
          <w:shd w:val="clear" w:color="auto" w:fill="auto"/>
          <w:lang w:val="en-US" w:eastAsia="zh-CN"/>
        </w:rPr>
        <w:t>土壤pH值为7.56~9.48，</w:t>
      </w:r>
      <w:r>
        <w:rPr>
          <w:rFonts w:hint="eastAsia"/>
          <w:color w:val="auto"/>
          <w:highlight w:val="none"/>
          <w:lang w:val="en-US" w:eastAsia="zh-CN"/>
        </w:rPr>
        <w:t>存在</w:t>
      </w:r>
      <w:r>
        <w:rPr>
          <w:rFonts w:cs="Times New Roman"/>
          <w:color w:val="auto"/>
          <w:spacing w:val="-2"/>
          <w:highlight w:val="none"/>
        </w:rPr>
        <w:t>无酸化或碱化</w:t>
      </w:r>
      <w:r>
        <w:rPr>
          <w:rFonts w:hint="eastAsia" w:cs="Times New Roman"/>
          <w:color w:val="auto"/>
          <w:spacing w:val="-2"/>
          <w:highlight w:val="none"/>
          <w:lang w:eastAsia="zh-CN"/>
        </w:rPr>
        <w:t>、</w:t>
      </w:r>
      <w:r>
        <w:rPr>
          <w:rFonts w:cs="Times New Roman"/>
          <w:color w:val="auto"/>
          <w:spacing w:val="-2"/>
          <w:highlight w:val="none"/>
        </w:rPr>
        <w:t>轻度碱化</w:t>
      </w:r>
      <w:r>
        <w:rPr>
          <w:rFonts w:hint="eastAsia" w:cs="Times New Roman"/>
          <w:color w:val="auto"/>
          <w:spacing w:val="-2"/>
          <w:highlight w:val="none"/>
          <w:lang w:eastAsia="zh-CN"/>
        </w:rPr>
        <w:t>、</w:t>
      </w:r>
      <w:r>
        <w:rPr>
          <w:rFonts w:cs="Times New Roman"/>
          <w:color w:val="auto"/>
          <w:spacing w:val="-6"/>
          <w:highlight w:val="none"/>
        </w:rPr>
        <w:t>中度碱化</w:t>
      </w:r>
      <w:r>
        <w:rPr>
          <w:rFonts w:hint="eastAsia"/>
          <w:color w:val="auto"/>
          <w:highlight w:val="none"/>
        </w:rPr>
        <w:t>，</w:t>
      </w:r>
      <w:r>
        <w:rPr>
          <w:rFonts w:hint="eastAsia" w:ascii="Times New Roman" w:hAnsi="Times New Roman" w:eastAsia="宋体" w:cs="Times New Roman"/>
          <w:color w:val="auto"/>
          <w:kern w:val="10"/>
          <w:szCs w:val="24"/>
          <w:highlight w:val="none"/>
          <w:shd w:val="clear" w:color="auto" w:fill="auto"/>
          <w:lang w:val="en-US" w:eastAsia="zh-CN"/>
        </w:rPr>
        <w:t>壤中含盐量为0.3g/kg~31.4g/kg，</w:t>
      </w:r>
      <w:r>
        <w:rPr>
          <w:rFonts w:hint="eastAsia"/>
          <w:color w:val="auto"/>
          <w:highlight w:val="none"/>
          <w:lang w:val="en-US" w:eastAsia="zh-CN"/>
        </w:rPr>
        <w:t>土壤盐化程度不均，存在未盐化、轻度盐化、重度盐化、极重度盐化的情况</w:t>
      </w:r>
      <w:r>
        <w:rPr>
          <w:rFonts w:hint="eastAsia"/>
          <w:color w:val="auto"/>
          <w:highlight w:val="none"/>
        </w:rPr>
        <w:t>，属于土壤</w:t>
      </w:r>
      <w:r>
        <w:rPr>
          <w:rFonts w:hint="eastAsia"/>
          <w:color w:val="auto"/>
          <w:highlight w:val="none"/>
          <w:lang w:val="en-US" w:eastAsia="zh-CN"/>
        </w:rPr>
        <w:t>碱化、</w:t>
      </w:r>
      <w:r>
        <w:rPr>
          <w:rFonts w:hint="eastAsia"/>
          <w:color w:val="auto"/>
          <w:highlight w:val="none"/>
        </w:rPr>
        <w:t>盐化地区</w:t>
      </w:r>
      <w:bookmarkEnd w:id="206"/>
      <w:r>
        <w:rPr>
          <w:rFonts w:hint="eastAsia"/>
          <w:color w:val="auto"/>
          <w:highlight w:val="none"/>
        </w:rPr>
        <w:t>。因此，本工程类别同时按照生态影响型项目和污染影响型项目考虑，根据《环境影响评价技术导则 土壤环境（试行）》（HJ964-2018），</w:t>
      </w:r>
      <w:r>
        <w:rPr>
          <w:snapToGrid w:val="0"/>
          <w:color w:val="auto"/>
          <w:kern w:val="2"/>
          <w:highlight w:val="none"/>
        </w:rPr>
        <w:t>生态影响型</w:t>
      </w:r>
      <w:r>
        <w:rPr>
          <w:rFonts w:hint="eastAsia"/>
          <w:snapToGrid w:val="0"/>
          <w:color w:val="auto"/>
          <w:kern w:val="2"/>
          <w:highlight w:val="none"/>
        </w:rPr>
        <w:t>敏感目标为盐化</w:t>
      </w:r>
      <w:r>
        <w:rPr>
          <w:rFonts w:hint="eastAsia"/>
          <w:snapToGrid w:val="0"/>
          <w:color w:val="auto"/>
          <w:kern w:val="2"/>
          <w:highlight w:val="none"/>
          <w:lang w:eastAsia="zh-CN"/>
        </w:rPr>
        <w:t>、</w:t>
      </w:r>
      <w:r>
        <w:rPr>
          <w:rFonts w:hint="eastAsia"/>
          <w:snapToGrid w:val="0"/>
          <w:color w:val="auto"/>
          <w:kern w:val="2"/>
          <w:highlight w:val="none"/>
          <w:lang w:val="en-US" w:eastAsia="zh-CN"/>
        </w:rPr>
        <w:t>碱化</w:t>
      </w:r>
      <w:r>
        <w:rPr>
          <w:rFonts w:hint="eastAsia"/>
          <w:color w:val="auto"/>
          <w:highlight w:val="none"/>
          <w:lang w:val="en-US" w:eastAsia="zh-CN"/>
        </w:rPr>
        <w:t>土壤</w:t>
      </w:r>
      <w:r>
        <w:rPr>
          <w:rFonts w:hint="eastAsia"/>
          <w:snapToGrid w:val="0"/>
          <w:color w:val="auto"/>
          <w:kern w:val="2"/>
          <w:highlight w:val="none"/>
        </w:rPr>
        <w:t>；污染影响型</w:t>
      </w:r>
      <w:r>
        <w:rPr>
          <w:rFonts w:hint="eastAsia"/>
          <w:color w:val="auto"/>
          <w:highlight w:val="none"/>
        </w:rPr>
        <w:t>土壤环境敏感目标为可能受人为活动影响的、与土壤环境相关的敏感区或对象，结合现状调查，本工程评价范围内</w:t>
      </w:r>
      <w:r>
        <w:rPr>
          <w:rFonts w:hint="eastAsia"/>
          <w:color w:val="auto"/>
          <w:highlight w:val="none"/>
          <w:lang w:val="en-US" w:eastAsia="zh-CN"/>
        </w:rPr>
        <w:t>土壤环境不敏感</w:t>
      </w:r>
      <w:r>
        <w:rPr>
          <w:rFonts w:hint="eastAsia"/>
          <w:color w:val="auto"/>
          <w:highlight w:val="none"/>
        </w:rPr>
        <w:t>。</w:t>
      </w:r>
    </w:p>
    <w:p>
      <w:pPr>
        <w:pStyle w:val="57"/>
        <w:rPr>
          <w:color w:val="auto"/>
          <w:highlight w:val="none"/>
        </w:rPr>
      </w:pPr>
      <w:r>
        <w:rPr>
          <w:rFonts w:hint="eastAsia"/>
          <w:color w:val="auto"/>
          <w:highlight w:val="none"/>
        </w:rPr>
        <w:t>综上，</w:t>
      </w:r>
      <w:r>
        <w:rPr>
          <w:color w:val="auto"/>
          <w:highlight w:val="none"/>
        </w:rPr>
        <w:t>本评价主要环境保护目标见表2.</w:t>
      </w:r>
      <w:r>
        <w:rPr>
          <w:rFonts w:hint="eastAsia"/>
          <w:color w:val="auto"/>
          <w:highlight w:val="none"/>
        </w:rPr>
        <w:t>6</w:t>
      </w:r>
      <w:r>
        <w:rPr>
          <w:color w:val="auto"/>
          <w:highlight w:val="none"/>
        </w:rPr>
        <w:t>-1</w:t>
      </w:r>
      <w:r>
        <w:rPr>
          <w:rFonts w:hint="eastAsia"/>
          <w:color w:val="auto"/>
          <w:highlight w:val="none"/>
        </w:rPr>
        <w:t>、图2.6-1</w:t>
      </w:r>
      <w:r>
        <w:rPr>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207" w:name="_Toc1759"/>
      <w:r>
        <w:rPr>
          <w:rFonts w:hint="eastAsia"/>
          <w:color w:val="auto"/>
          <w:highlight w:val="none"/>
        </w:rPr>
        <w:t>表2.6-1  环境保护目标</w:t>
      </w:r>
      <w:bookmarkEnd w:id="207"/>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57"/>
        <w:gridCol w:w="1138"/>
        <w:gridCol w:w="825"/>
        <w:gridCol w:w="1187"/>
        <w:gridCol w:w="38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13" w:type="dxa"/>
            <w:tcBorders>
              <w:tl2br w:val="nil"/>
              <w:tr2bl w:val="nil"/>
            </w:tcBorders>
            <w:vAlign w:val="center"/>
          </w:tcPr>
          <w:p>
            <w:pPr>
              <w:pStyle w:val="41"/>
              <w:bidi w:val="0"/>
              <w:rPr>
                <w:color w:val="auto"/>
                <w:highlight w:val="none"/>
              </w:rPr>
            </w:pPr>
            <w:r>
              <w:rPr>
                <w:color w:val="auto"/>
                <w:highlight w:val="none"/>
              </w:rPr>
              <w:t>序</w:t>
            </w:r>
          </w:p>
          <w:p>
            <w:pPr>
              <w:pStyle w:val="41"/>
              <w:bidi w:val="0"/>
              <w:rPr>
                <w:color w:val="auto"/>
                <w:highlight w:val="none"/>
              </w:rPr>
            </w:pPr>
            <w:r>
              <w:rPr>
                <w:color w:val="auto"/>
                <w:highlight w:val="none"/>
              </w:rPr>
              <w:t>号</w:t>
            </w:r>
          </w:p>
        </w:tc>
        <w:tc>
          <w:tcPr>
            <w:tcW w:w="857" w:type="dxa"/>
            <w:tcBorders>
              <w:tl2br w:val="nil"/>
              <w:tr2bl w:val="nil"/>
            </w:tcBorders>
            <w:vAlign w:val="center"/>
          </w:tcPr>
          <w:p>
            <w:pPr>
              <w:pStyle w:val="41"/>
              <w:bidi w:val="0"/>
              <w:rPr>
                <w:color w:val="auto"/>
                <w:highlight w:val="none"/>
              </w:rPr>
            </w:pPr>
            <w:r>
              <w:rPr>
                <w:color w:val="auto"/>
                <w:highlight w:val="none"/>
              </w:rPr>
              <w:t>环境要素</w:t>
            </w:r>
          </w:p>
        </w:tc>
        <w:tc>
          <w:tcPr>
            <w:tcW w:w="1138" w:type="dxa"/>
            <w:tcBorders>
              <w:tl2br w:val="nil"/>
              <w:tr2bl w:val="nil"/>
            </w:tcBorders>
            <w:vAlign w:val="center"/>
          </w:tcPr>
          <w:p>
            <w:pPr>
              <w:pStyle w:val="41"/>
              <w:bidi w:val="0"/>
              <w:rPr>
                <w:color w:val="auto"/>
                <w:highlight w:val="none"/>
              </w:rPr>
            </w:pPr>
            <w:r>
              <w:rPr>
                <w:color w:val="auto"/>
                <w:highlight w:val="none"/>
              </w:rPr>
              <w:t>环境保护目标</w:t>
            </w:r>
          </w:p>
        </w:tc>
        <w:tc>
          <w:tcPr>
            <w:tcW w:w="2012" w:type="dxa"/>
            <w:gridSpan w:val="2"/>
            <w:tcBorders>
              <w:tl2br w:val="nil"/>
              <w:tr2bl w:val="nil"/>
            </w:tcBorders>
            <w:vAlign w:val="center"/>
          </w:tcPr>
          <w:p>
            <w:pPr>
              <w:pStyle w:val="41"/>
              <w:bidi w:val="0"/>
              <w:rPr>
                <w:color w:val="auto"/>
                <w:highlight w:val="none"/>
              </w:rPr>
            </w:pPr>
            <w:r>
              <w:rPr>
                <w:color w:val="auto"/>
                <w:highlight w:val="none"/>
              </w:rPr>
              <w:t>相对位置/环保目标特征</w:t>
            </w:r>
          </w:p>
        </w:tc>
        <w:tc>
          <w:tcPr>
            <w:tcW w:w="3876" w:type="dxa"/>
            <w:tcBorders>
              <w:tl2br w:val="nil"/>
              <w:tr2bl w:val="nil"/>
            </w:tcBorders>
            <w:vAlign w:val="center"/>
          </w:tcPr>
          <w:p>
            <w:pPr>
              <w:pStyle w:val="41"/>
              <w:bidi w:val="0"/>
              <w:rPr>
                <w:color w:val="auto"/>
                <w:highlight w:val="none"/>
              </w:rPr>
            </w:pPr>
            <w:r>
              <w:rPr>
                <w:color w:val="auto"/>
                <w:highlight w:val="none"/>
              </w:rPr>
              <w:t>环境保护要求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13" w:type="dxa"/>
            <w:vMerge w:val="restart"/>
            <w:tcBorders>
              <w:tl2br w:val="nil"/>
              <w:tr2bl w:val="nil"/>
            </w:tcBorders>
            <w:vAlign w:val="center"/>
          </w:tcPr>
          <w:p>
            <w:pPr>
              <w:pStyle w:val="41"/>
              <w:bidi w:val="0"/>
              <w:rPr>
                <w:color w:val="auto"/>
                <w:highlight w:val="none"/>
              </w:rPr>
            </w:pPr>
            <w:r>
              <w:rPr>
                <w:color w:val="auto"/>
                <w:highlight w:val="none"/>
              </w:rPr>
              <w:t>1</w:t>
            </w:r>
          </w:p>
        </w:tc>
        <w:tc>
          <w:tcPr>
            <w:tcW w:w="857" w:type="dxa"/>
            <w:vMerge w:val="restart"/>
            <w:tcBorders>
              <w:tl2br w:val="nil"/>
              <w:tr2bl w:val="nil"/>
            </w:tcBorders>
            <w:vAlign w:val="center"/>
          </w:tcPr>
          <w:p>
            <w:pPr>
              <w:pStyle w:val="41"/>
              <w:bidi w:val="0"/>
              <w:rPr>
                <w:color w:val="auto"/>
                <w:highlight w:val="none"/>
              </w:rPr>
            </w:pPr>
            <w:r>
              <w:rPr>
                <w:color w:val="auto"/>
                <w:highlight w:val="none"/>
              </w:rPr>
              <w:t>生态环境</w:t>
            </w:r>
          </w:p>
        </w:tc>
        <w:tc>
          <w:tcPr>
            <w:tcW w:w="1138" w:type="dxa"/>
            <w:tcBorders>
              <w:tl2br w:val="nil"/>
              <w:tr2bl w:val="nil"/>
            </w:tcBorders>
            <w:vAlign w:val="center"/>
          </w:tcPr>
          <w:p>
            <w:pPr>
              <w:pStyle w:val="41"/>
              <w:bidi w:val="0"/>
              <w:rPr>
                <w:rFonts w:hint="default"/>
                <w:color w:val="auto"/>
                <w:highlight w:val="none"/>
                <w:lang w:val="en-US"/>
              </w:rPr>
            </w:pPr>
            <w:r>
              <w:rPr>
                <w:rFonts w:hint="eastAsia" w:ascii="Times New Roman" w:hAnsi="Times New Roman" w:eastAsia="宋体" w:cs="Times New Roman"/>
                <w:color w:val="auto"/>
                <w:sz w:val="21"/>
                <w:szCs w:val="21"/>
                <w:highlight w:val="none"/>
                <w:shd w:val="clear" w:color="auto" w:fill="auto"/>
                <w:lang w:val="en-US" w:eastAsia="zh-CN"/>
              </w:rPr>
              <w:t>重要物种</w:t>
            </w:r>
          </w:p>
        </w:tc>
        <w:tc>
          <w:tcPr>
            <w:tcW w:w="825" w:type="dxa"/>
            <w:tcBorders>
              <w:tl2br w:val="nil"/>
              <w:tr2bl w:val="nil"/>
            </w:tcBorders>
            <w:vAlign w:val="center"/>
          </w:tcPr>
          <w:p>
            <w:pPr>
              <w:pStyle w:val="41"/>
              <w:bidi w:val="0"/>
              <w:rPr>
                <w:color w:val="auto"/>
                <w:spacing w:val="-11"/>
                <w:sz w:val="21"/>
                <w:highlight w:val="none"/>
              </w:rPr>
            </w:pPr>
            <w:r>
              <w:rPr>
                <w:rFonts w:hint="default" w:ascii="Times New Roman" w:hAnsi="Times New Roman" w:eastAsia="宋体" w:cs="Times New Roman"/>
                <w:color w:val="auto"/>
                <w:spacing w:val="-11"/>
                <w:sz w:val="21"/>
                <w:szCs w:val="21"/>
                <w:highlight w:val="none"/>
                <w:shd w:val="clear" w:color="auto" w:fill="auto"/>
                <w:lang w:val="en-US" w:eastAsia="zh-CN"/>
              </w:rPr>
              <w:t>项目区及周边</w:t>
            </w:r>
          </w:p>
        </w:tc>
        <w:tc>
          <w:tcPr>
            <w:tcW w:w="1187" w:type="dxa"/>
            <w:tcBorders>
              <w:tl2br w:val="nil"/>
              <w:tr2bl w:val="nil"/>
            </w:tcBorders>
            <w:vAlign w:val="center"/>
          </w:tcPr>
          <w:p>
            <w:pPr>
              <w:pStyle w:val="41"/>
              <w:bidi w:val="0"/>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ascii="Times New Roman" w:hAnsi="Times New Roman" w:eastAsia="宋体" w:cs="Times New Roman"/>
                <w:color w:val="auto"/>
                <w:spacing w:val="-11"/>
                <w:sz w:val="21"/>
                <w:szCs w:val="21"/>
                <w:highlight w:val="none"/>
                <w:shd w:val="clear" w:color="auto" w:fill="auto"/>
                <w:lang w:val="en-US" w:eastAsia="zh-CN"/>
              </w:rPr>
              <w:t>荒漠植被、野生动物</w:t>
            </w:r>
          </w:p>
        </w:tc>
        <w:tc>
          <w:tcPr>
            <w:tcW w:w="3876" w:type="dxa"/>
            <w:tcBorders>
              <w:tl2br w:val="nil"/>
              <w:tr2bl w:val="nil"/>
            </w:tcBorders>
            <w:vAlign w:val="center"/>
          </w:tcPr>
          <w:p>
            <w:pPr>
              <w:pStyle w:val="41"/>
              <w:bidi w:val="0"/>
              <w:rPr>
                <w:color w:val="auto"/>
                <w:highlight w:val="none"/>
              </w:rPr>
            </w:pPr>
            <w:r>
              <w:rPr>
                <w:rFonts w:hint="eastAsia"/>
                <w:color w:val="auto"/>
                <w:spacing w:val="0"/>
                <w:sz w:val="21"/>
                <w:szCs w:val="21"/>
                <w:highlight w:val="none"/>
                <w:lang w:val="en-US" w:eastAsia="zh-CN"/>
              </w:rPr>
              <w:t>对</w:t>
            </w:r>
            <w:r>
              <w:rPr>
                <w:rFonts w:hint="eastAsia"/>
                <w:color w:val="auto"/>
                <w:spacing w:val="0"/>
                <w:sz w:val="21"/>
                <w:szCs w:val="21"/>
                <w:highlight w:val="none"/>
              </w:rPr>
              <w:t>重要物种</w:t>
            </w:r>
            <w:r>
              <w:rPr>
                <w:rFonts w:hint="eastAsia"/>
                <w:color w:val="auto"/>
                <w:spacing w:val="0"/>
                <w:sz w:val="21"/>
                <w:szCs w:val="21"/>
                <w:highlight w:val="none"/>
                <w:lang w:val="en-US" w:eastAsia="zh-CN"/>
              </w:rPr>
              <w:t>分布区优先采取避让措施，无法避让的，会同林草部门采取移栽、异地保护等减缓措施，尽量减少因施工对植被的破坏、严禁猎杀野生动物。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39" w:hRule="atLeast"/>
          <w:jc w:val="center"/>
        </w:trPr>
        <w:tc>
          <w:tcPr>
            <w:tcW w:w="413" w:type="dxa"/>
            <w:vMerge w:val="continue"/>
            <w:tcBorders>
              <w:tl2br w:val="nil"/>
              <w:tr2bl w:val="nil"/>
            </w:tcBorders>
            <w:vAlign w:val="center"/>
          </w:tcPr>
          <w:p>
            <w:pPr>
              <w:pStyle w:val="41"/>
              <w:bidi w:val="0"/>
              <w:rPr>
                <w:color w:val="auto"/>
              </w:rPr>
            </w:pPr>
          </w:p>
        </w:tc>
        <w:tc>
          <w:tcPr>
            <w:tcW w:w="857" w:type="dxa"/>
            <w:vMerge w:val="continue"/>
            <w:tcBorders>
              <w:tl2br w:val="nil"/>
              <w:tr2bl w:val="nil"/>
            </w:tcBorders>
            <w:vAlign w:val="center"/>
          </w:tcPr>
          <w:p>
            <w:pPr>
              <w:pStyle w:val="41"/>
              <w:bidi w:val="0"/>
              <w:rPr>
                <w:color w:val="auto"/>
              </w:rPr>
            </w:pPr>
          </w:p>
        </w:tc>
        <w:tc>
          <w:tcPr>
            <w:tcW w:w="1138" w:type="dxa"/>
            <w:tcBorders>
              <w:tl2br w:val="nil"/>
              <w:tr2bl w:val="nil"/>
            </w:tcBorders>
            <w:vAlign w:val="center"/>
          </w:tcPr>
          <w:p>
            <w:pPr>
              <w:pStyle w:val="41"/>
              <w:bidi w:val="0"/>
              <w:rPr>
                <w:rFonts w:hint="eastAsia" w:ascii="Times New Roman" w:hAnsi="Times New Roman" w:eastAsia="宋体" w:cs="Times New Roman"/>
                <w:color w:val="auto"/>
                <w:sz w:val="21"/>
                <w:szCs w:val="21"/>
                <w:highlight w:val="none"/>
                <w:shd w:val="clear" w:color="auto" w:fill="auto"/>
                <w:lang w:val="en-US" w:eastAsia="zh-CN"/>
              </w:rPr>
            </w:pPr>
            <w:bookmarkStart w:id="208" w:name="OLE_LINK119"/>
            <w:r>
              <w:rPr>
                <w:rFonts w:hint="eastAsia"/>
                <w:color w:val="auto"/>
                <w:highlight w:val="none"/>
                <w:lang w:eastAsia="zh-CN"/>
              </w:rPr>
              <w:t>魔鬼城风景名胜区</w:t>
            </w:r>
            <w:bookmarkEnd w:id="208"/>
          </w:p>
        </w:tc>
        <w:tc>
          <w:tcPr>
            <w:tcW w:w="2012" w:type="dxa"/>
            <w:gridSpan w:val="2"/>
            <w:tcBorders>
              <w:tl2br w:val="nil"/>
              <w:tr2bl w:val="nil"/>
            </w:tcBorders>
            <w:vAlign w:val="center"/>
          </w:tcPr>
          <w:p>
            <w:pPr>
              <w:pStyle w:val="41"/>
              <w:bidi w:val="0"/>
              <w:rPr>
                <w:rFonts w:hint="eastAsia"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新建</w:t>
            </w:r>
            <w:r>
              <w:rPr>
                <w:rFonts w:hint="eastAsia"/>
                <w:color w:val="auto"/>
                <w:highlight w:val="none"/>
              </w:rPr>
              <w:t>净化油外输管线东南侧距离魔鬼城核心景区边界最近距离为40m</w:t>
            </w:r>
            <w:r>
              <w:rPr>
                <w:rFonts w:hint="eastAsia"/>
                <w:color w:val="auto"/>
                <w:highlight w:val="none"/>
                <w:lang w:eastAsia="zh-CN"/>
              </w:rPr>
              <w:t>。</w:t>
            </w:r>
          </w:p>
        </w:tc>
        <w:tc>
          <w:tcPr>
            <w:tcW w:w="3876" w:type="dxa"/>
            <w:tcBorders>
              <w:tl2br w:val="nil"/>
              <w:tr2bl w:val="nil"/>
            </w:tcBorders>
            <w:vAlign w:val="center"/>
          </w:tcPr>
          <w:p>
            <w:pPr>
              <w:pStyle w:val="41"/>
              <w:bidi w:val="0"/>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严格控制施工作业面积，不占用魔鬼城风景名胜区。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vMerge w:val="continue"/>
            <w:tcBorders>
              <w:tl2br w:val="nil"/>
              <w:tr2bl w:val="nil"/>
            </w:tcBorders>
            <w:vAlign w:val="center"/>
          </w:tcPr>
          <w:p>
            <w:pPr>
              <w:pStyle w:val="41"/>
              <w:bidi w:val="0"/>
              <w:rPr>
                <w:color w:val="auto"/>
                <w:highlight w:val="none"/>
              </w:rPr>
            </w:pPr>
          </w:p>
        </w:tc>
        <w:tc>
          <w:tcPr>
            <w:tcW w:w="857" w:type="dxa"/>
            <w:vMerge w:val="continue"/>
            <w:tcBorders>
              <w:tl2br w:val="nil"/>
              <w:tr2bl w:val="nil"/>
            </w:tcBorders>
            <w:vAlign w:val="center"/>
          </w:tcPr>
          <w:p>
            <w:pPr>
              <w:pStyle w:val="41"/>
              <w:bidi w:val="0"/>
              <w:rPr>
                <w:color w:val="auto"/>
                <w:highlight w:val="none"/>
              </w:rPr>
            </w:pPr>
          </w:p>
        </w:tc>
        <w:tc>
          <w:tcPr>
            <w:tcW w:w="1138" w:type="dxa"/>
            <w:tcBorders>
              <w:tl2br w:val="nil"/>
              <w:tr2bl w:val="nil"/>
            </w:tcBorders>
            <w:vAlign w:val="center"/>
          </w:tcPr>
          <w:p>
            <w:pPr>
              <w:pStyle w:val="41"/>
              <w:bidi w:val="0"/>
              <w:rPr>
                <w:color w:val="auto"/>
                <w:highlight w:val="none"/>
              </w:rPr>
            </w:pPr>
            <w:r>
              <w:rPr>
                <w:color w:val="auto"/>
                <w:highlight w:val="none"/>
              </w:rPr>
              <w:t>水土流失重点治理区</w:t>
            </w:r>
          </w:p>
        </w:tc>
        <w:tc>
          <w:tcPr>
            <w:tcW w:w="825" w:type="dxa"/>
            <w:tcBorders>
              <w:tl2br w:val="nil"/>
              <w:tr2bl w:val="nil"/>
            </w:tcBorders>
            <w:vAlign w:val="center"/>
          </w:tcPr>
          <w:p>
            <w:pPr>
              <w:pStyle w:val="41"/>
              <w:bidi w:val="0"/>
              <w:rPr>
                <w:color w:val="auto"/>
                <w:spacing w:val="-11"/>
                <w:sz w:val="21"/>
                <w:highlight w:val="none"/>
              </w:rPr>
            </w:pPr>
            <w:r>
              <w:rPr>
                <w:rFonts w:hint="eastAsia"/>
                <w:color w:val="auto"/>
                <w:spacing w:val="-11"/>
                <w:sz w:val="21"/>
                <w:highlight w:val="none"/>
              </w:rPr>
              <w:t>项目所在县域</w:t>
            </w:r>
          </w:p>
        </w:tc>
        <w:tc>
          <w:tcPr>
            <w:tcW w:w="1187" w:type="dxa"/>
            <w:tcBorders>
              <w:tl2br w:val="nil"/>
              <w:tr2bl w:val="nil"/>
            </w:tcBorders>
            <w:vAlign w:val="center"/>
          </w:tcPr>
          <w:p>
            <w:pPr>
              <w:pStyle w:val="41"/>
              <w:bidi w:val="0"/>
              <w:rPr>
                <w:rFonts w:hint="eastAsia" w:eastAsia="宋体"/>
                <w:color w:val="auto"/>
                <w:spacing w:val="-11"/>
                <w:sz w:val="21"/>
                <w:highlight w:val="none"/>
                <w:lang w:eastAsia="zh-CN"/>
              </w:rPr>
            </w:pPr>
            <w:r>
              <w:rPr>
                <w:rFonts w:hint="eastAsia"/>
                <w:color w:val="auto"/>
                <w:spacing w:val="-11"/>
                <w:sz w:val="21"/>
                <w:highlight w:val="none"/>
                <w:lang w:eastAsia="zh-CN"/>
              </w:rPr>
              <w:t>天山北坡诸小河流域重点治理区</w:t>
            </w:r>
          </w:p>
        </w:tc>
        <w:tc>
          <w:tcPr>
            <w:tcW w:w="3876" w:type="dxa"/>
            <w:tcBorders>
              <w:tl2br w:val="nil"/>
              <w:tr2bl w:val="nil"/>
            </w:tcBorders>
            <w:vAlign w:val="center"/>
          </w:tcPr>
          <w:p>
            <w:pPr>
              <w:pStyle w:val="41"/>
              <w:bidi w:val="0"/>
              <w:rPr>
                <w:rFonts w:hint="eastAsia" w:eastAsia="宋体"/>
                <w:color w:val="auto"/>
                <w:highlight w:val="none"/>
                <w:lang w:eastAsia="zh-CN"/>
              </w:rPr>
            </w:pPr>
            <w:r>
              <w:rPr>
                <w:rFonts w:hint="eastAsia"/>
                <w:color w:val="auto"/>
                <w:highlight w:val="none"/>
              </w:rPr>
              <w:t>依法落实水土流失防治责任，促进区域生态文明建设</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228" w:hRule="atLeast"/>
          <w:jc w:val="center"/>
        </w:trPr>
        <w:tc>
          <w:tcPr>
            <w:tcW w:w="413"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2</w:t>
            </w:r>
          </w:p>
        </w:tc>
        <w:tc>
          <w:tcPr>
            <w:tcW w:w="857" w:type="dxa"/>
            <w:tcBorders>
              <w:tl2br w:val="nil"/>
              <w:tr2bl w:val="nil"/>
            </w:tcBorders>
            <w:vAlign w:val="center"/>
          </w:tcPr>
          <w:p>
            <w:pPr>
              <w:pStyle w:val="41"/>
              <w:bidi w:val="0"/>
              <w:rPr>
                <w:color w:val="auto"/>
                <w:highlight w:val="none"/>
              </w:rPr>
            </w:pPr>
            <w:r>
              <w:rPr>
                <w:rFonts w:hint="eastAsia"/>
                <w:color w:val="auto"/>
                <w:highlight w:val="none"/>
              </w:rPr>
              <w:t>大气环境</w:t>
            </w:r>
          </w:p>
        </w:tc>
        <w:tc>
          <w:tcPr>
            <w:tcW w:w="1138" w:type="dxa"/>
            <w:tcBorders>
              <w:tl2br w:val="nil"/>
              <w:tr2bl w:val="nil"/>
            </w:tcBorders>
            <w:shd w:val="clear" w:color="auto" w:fill="auto"/>
            <w:vAlign w:val="center"/>
          </w:tcPr>
          <w:p>
            <w:pPr>
              <w:bidi w:val="0"/>
              <w:rPr>
                <w:color w:val="auto"/>
                <w:highlight w:val="none"/>
              </w:rPr>
            </w:pPr>
            <w:r>
              <w:rPr>
                <w:color w:val="auto"/>
                <w:highlight w:val="none"/>
              </w:rPr>
              <w:t>-</w:t>
            </w:r>
          </w:p>
        </w:tc>
        <w:tc>
          <w:tcPr>
            <w:tcW w:w="2012" w:type="dxa"/>
            <w:gridSpan w:val="2"/>
            <w:tcBorders>
              <w:tl2br w:val="nil"/>
              <w:tr2bl w:val="nil"/>
            </w:tcBorders>
            <w:shd w:val="clear" w:color="auto" w:fill="auto"/>
            <w:vAlign w:val="center"/>
          </w:tcPr>
          <w:p>
            <w:pPr>
              <w:bidi w:val="0"/>
              <w:rPr>
                <w:color w:val="auto"/>
                <w:highlight w:val="none"/>
              </w:rPr>
            </w:pPr>
            <w:r>
              <w:rPr>
                <w:rFonts w:hint="eastAsia"/>
                <w:color w:val="auto"/>
                <w:highlight w:val="none"/>
              </w:rPr>
              <w:t>以各油井、计量站、拉油站为中心、边长2.5km的矩形范围</w:t>
            </w:r>
            <w:r>
              <w:rPr>
                <w:color w:val="auto"/>
                <w:highlight w:val="none"/>
              </w:rPr>
              <w:t>-</w:t>
            </w:r>
          </w:p>
        </w:tc>
        <w:tc>
          <w:tcPr>
            <w:tcW w:w="3876" w:type="dxa"/>
            <w:tcBorders>
              <w:tl2br w:val="nil"/>
              <w:tr2bl w:val="nil"/>
            </w:tcBorders>
            <w:vAlign w:val="center"/>
          </w:tcPr>
          <w:p>
            <w:pPr>
              <w:pStyle w:val="41"/>
              <w:bidi w:val="0"/>
              <w:rPr>
                <w:rFonts w:hint="eastAsia" w:eastAsia="宋体"/>
                <w:color w:val="auto"/>
                <w:highlight w:val="none"/>
                <w:lang w:eastAsia="zh-CN"/>
              </w:rPr>
            </w:pPr>
            <w:r>
              <w:rPr>
                <w:rFonts w:hint="eastAsia"/>
                <w:color w:val="auto"/>
                <w:highlight w:val="none"/>
              </w:rPr>
              <w:t>《环境空气质量标准》（GB3095-2012）及修改单二级标准</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lang w:val="en-US" w:eastAsia="zh-CN"/>
              </w:rPr>
              <w:t>不因本工程建设降低区域环境空气质量</w:t>
            </w: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tcBorders>
              <w:tl2br w:val="nil"/>
              <w:tr2bl w:val="nil"/>
            </w:tcBorders>
            <w:shd w:val="clear" w:color="auto" w:fill="auto"/>
            <w:vAlign w:val="center"/>
          </w:tcPr>
          <w:p>
            <w:pPr>
              <w:pStyle w:val="41"/>
              <w:bidi w:val="0"/>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4</w:t>
            </w:r>
          </w:p>
        </w:tc>
        <w:tc>
          <w:tcPr>
            <w:tcW w:w="857" w:type="dxa"/>
            <w:tcBorders>
              <w:tl2br w:val="nil"/>
              <w:tr2bl w:val="nil"/>
            </w:tcBorders>
            <w:vAlign w:val="center"/>
          </w:tcPr>
          <w:p>
            <w:pPr>
              <w:pStyle w:val="41"/>
              <w:bidi w:val="0"/>
              <w:rPr>
                <w:color w:val="auto"/>
                <w:highlight w:val="none"/>
              </w:rPr>
            </w:pPr>
            <w:r>
              <w:rPr>
                <w:rFonts w:hint="eastAsia"/>
                <w:color w:val="auto"/>
                <w:highlight w:val="none"/>
              </w:rPr>
              <w:t>地下水环境</w:t>
            </w:r>
          </w:p>
        </w:tc>
        <w:tc>
          <w:tcPr>
            <w:tcW w:w="1138" w:type="dxa"/>
            <w:tcBorders>
              <w:tl2br w:val="nil"/>
              <w:tr2bl w:val="nil"/>
            </w:tcBorders>
            <w:vAlign w:val="center"/>
          </w:tcPr>
          <w:p>
            <w:pPr>
              <w:pStyle w:val="41"/>
              <w:bidi w:val="0"/>
              <w:rPr>
                <w:color w:val="auto"/>
                <w:highlight w:val="none"/>
              </w:rPr>
            </w:pPr>
            <w:r>
              <w:rPr>
                <w:rFonts w:hint="eastAsia"/>
                <w:color w:val="auto"/>
                <w:highlight w:val="none"/>
              </w:rPr>
              <w:t>潜水含水层</w:t>
            </w:r>
          </w:p>
        </w:tc>
        <w:tc>
          <w:tcPr>
            <w:tcW w:w="2012" w:type="dxa"/>
            <w:gridSpan w:val="2"/>
            <w:tcBorders>
              <w:tl2br w:val="nil"/>
              <w:tr2bl w:val="nil"/>
            </w:tcBorders>
            <w:vAlign w:val="center"/>
          </w:tcPr>
          <w:p>
            <w:pPr>
              <w:pStyle w:val="41"/>
              <w:bidi w:val="0"/>
              <w:rPr>
                <w:color w:val="auto"/>
                <w:highlight w:val="none"/>
              </w:rPr>
            </w:pPr>
            <w:r>
              <w:rPr>
                <w:rFonts w:hint="eastAsia"/>
                <w:color w:val="auto"/>
                <w:highlight w:val="none"/>
              </w:rPr>
              <w:t>井场、站场、管线</w:t>
            </w:r>
            <w:r>
              <w:rPr>
                <w:color w:val="auto"/>
                <w:highlight w:val="none"/>
              </w:rPr>
              <w:t>及周边</w:t>
            </w:r>
          </w:p>
        </w:tc>
        <w:tc>
          <w:tcPr>
            <w:tcW w:w="3876" w:type="dxa"/>
            <w:tcBorders>
              <w:tl2br w:val="nil"/>
              <w:tr2bl w:val="nil"/>
            </w:tcBorders>
            <w:vAlign w:val="center"/>
          </w:tcPr>
          <w:p>
            <w:pPr>
              <w:pStyle w:val="41"/>
              <w:bidi w:val="0"/>
              <w:rPr>
                <w:color w:val="auto"/>
                <w:highlight w:val="none"/>
              </w:rPr>
            </w:pPr>
            <w:r>
              <w:rPr>
                <w:rFonts w:hint="eastAsia"/>
                <w:color w:val="auto"/>
                <w:highlight w:val="none"/>
              </w:rPr>
              <w:t>执行</w:t>
            </w:r>
            <w:r>
              <w:rPr>
                <w:color w:val="auto"/>
                <w:highlight w:val="none"/>
              </w:rPr>
              <w:t>《地下水质量标准》（GB/T14848-2017）中</w:t>
            </w:r>
            <w:r>
              <w:rPr>
                <w:rFonts w:hint="eastAsia"/>
                <w:color w:val="auto"/>
                <w:highlight w:val="none"/>
              </w:rPr>
              <w:t>Ⅲ</w:t>
            </w:r>
            <w:r>
              <w:rPr>
                <w:color w:val="auto"/>
                <w:highlight w:val="none"/>
              </w:rPr>
              <w:t>类</w:t>
            </w:r>
            <w:r>
              <w:rPr>
                <w:rFonts w:hint="eastAsia"/>
                <w:color w:val="auto"/>
                <w:highlight w:val="none"/>
              </w:rPr>
              <w:t>标准</w:t>
            </w:r>
            <w:r>
              <w:rPr>
                <w:rFonts w:hint="default" w:ascii="Times New Roman" w:hAnsi="Times New Roman" w:eastAsia="宋体"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lang w:val="en-US" w:eastAsia="zh-CN"/>
              </w:rPr>
              <w:t>不因本工程建设降低区域地下水环境质量</w:t>
            </w: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tcBorders>
              <w:tl2br w:val="nil"/>
              <w:tr2bl w:val="nil"/>
            </w:tcBorders>
            <w:shd w:val="clear" w:color="auto" w:fill="auto"/>
            <w:vAlign w:val="center"/>
          </w:tcPr>
          <w:p>
            <w:pPr>
              <w:pStyle w:val="41"/>
              <w:bidi w:val="0"/>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5</w:t>
            </w:r>
          </w:p>
        </w:tc>
        <w:tc>
          <w:tcPr>
            <w:tcW w:w="857" w:type="dxa"/>
            <w:tcBorders>
              <w:tl2br w:val="nil"/>
              <w:tr2bl w:val="nil"/>
            </w:tcBorders>
            <w:vAlign w:val="center"/>
          </w:tcPr>
          <w:p>
            <w:pPr>
              <w:pStyle w:val="41"/>
              <w:bidi w:val="0"/>
              <w:rPr>
                <w:color w:val="auto"/>
                <w:highlight w:val="none"/>
              </w:rPr>
            </w:pPr>
            <w:r>
              <w:rPr>
                <w:rFonts w:hint="eastAsia"/>
                <w:color w:val="auto"/>
                <w:highlight w:val="none"/>
              </w:rPr>
              <w:t>声环境</w:t>
            </w:r>
          </w:p>
        </w:tc>
        <w:tc>
          <w:tcPr>
            <w:tcW w:w="1138" w:type="dxa"/>
            <w:tcBorders>
              <w:tl2br w:val="nil"/>
              <w:tr2bl w:val="nil"/>
            </w:tcBorders>
            <w:shd w:val="clear" w:color="auto" w:fill="auto"/>
            <w:vAlign w:val="center"/>
          </w:tcPr>
          <w:p>
            <w:pPr>
              <w:pStyle w:val="41"/>
              <w:bidi w:val="0"/>
              <w:rPr>
                <w:color w:val="auto"/>
                <w:highlight w:val="none"/>
              </w:rPr>
            </w:pPr>
            <w:r>
              <w:rPr>
                <w:color w:val="auto"/>
                <w:highlight w:val="none"/>
              </w:rPr>
              <w:t>-</w:t>
            </w:r>
          </w:p>
        </w:tc>
        <w:tc>
          <w:tcPr>
            <w:tcW w:w="2012" w:type="dxa"/>
            <w:gridSpan w:val="2"/>
            <w:tcBorders>
              <w:tl2br w:val="nil"/>
              <w:tr2bl w:val="nil"/>
            </w:tcBorders>
            <w:shd w:val="clear" w:color="auto" w:fill="auto"/>
            <w:vAlign w:val="center"/>
          </w:tcPr>
          <w:p>
            <w:pPr>
              <w:pStyle w:val="41"/>
              <w:bidi w:val="0"/>
              <w:rPr>
                <w:color w:val="auto"/>
                <w:highlight w:val="none"/>
              </w:rPr>
            </w:pPr>
            <w:r>
              <w:rPr>
                <w:color w:val="auto"/>
                <w:highlight w:val="none"/>
              </w:rPr>
              <w:t>评价范围内</w:t>
            </w:r>
          </w:p>
        </w:tc>
        <w:tc>
          <w:tcPr>
            <w:tcW w:w="3876" w:type="dxa"/>
            <w:tcBorders>
              <w:tl2br w:val="nil"/>
              <w:tr2bl w:val="nil"/>
            </w:tcBorders>
            <w:shd w:val="clear" w:color="auto" w:fill="auto"/>
            <w:vAlign w:val="center"/>
          </w:tcPr>
          <w:p>
            <w:pPr>
              <w:pStyle w:val="41"/>
              <w:bidi w:val="0"/>
              <w:rPr>
                <w:rFonts w:hint="eastAsia" w:eastAsia="宋体"/>
                <w:color w:val="auto"/>
                <w:highlight w:val="none"/>
                <w:lang w:eastAsia="zh-CN"/>
              </w:rPr>
            </w:pPr>
            <w:r>
              <w:rPr>
                <w:color w:val="auto"/>
                <w:highlight w:val="none"/>
              </w:rPr>
              <w:t>满足《声环境质量标准》（GB3096-2008）中的2类标准</w:t>
            </w:r>
            <w:r>
              <w:rPr>
                <w:rFonts w:hint="eastAsia"/>
                <w:color w:val="auto"/>
                <w:highlight w:val="none"/>
                <w:lang w:eastAsia="zh-CN"/>
              </w:rPr>
              <w:t>，</w:t>
            </w:r>
            <w:r>
              <w:rPr>
                <w:rFonts w:hint="default" w:ascii="Times New Roman" w:hAnsi="Times New Roman" w:eastAsia="宋体" w:cs="Times New Roman"/>
                <w:color w:val="auto"/>
                <w:sz w:val="21"/>
                <w:szCs w:val="21"/>
                <w:highlight w:val="none"/>
                <w:shd w:val="clear" w:color="auto" w:fill="auto"/>
                <w:lang w:val="en-US" w:eastAsia="zh-CN"/>
              </w:rPr>
              <w:t>不因本工程建设降低区域声环境质量</w:t>
            </w: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vMerge w:val="restart"/>
            <w:tcBorders>
              <w:tl2br w:val="nil"/>
              <w:tr2bl w:val="nil"/>
            </w:tcBorders>
            <w:vAlign w:val="center"/>
          </w:tcPr>
          <w:p>
            <w:pPr>
              <w:pStyle w:val="41"/>
              <w:bidi w:val="0"/>
              <w:rPr>
                <w:rFonts w:hint="eastAsia" w:eastAsia="宋体"/>
                <w:color w:val="auto"/>
                <w:highlight w:val="none"/>
                <w:lang w:val="en-US" w:eastAsia="zh-CN"/>
              </w:rPr>
            </w:pPr>
            <w:r>
              <w:rPr>
                <w:rFonts w:hint="eastAsia"/>
                <w:color w:val="auto"/>
                <w:highlight w:val="none"/>
                <w:lang w:val="en-US" w:eastAsia="zh-CN"/>
              </w:rPr>
              <w:t>6</w:t>
            </w:r>
          </w:p>
        </w:tc>
        <w:tc>
          <w:tcPr>
            <w:tcW w:w="857" w:type="dxa"/>
            <w:vMerge w:val="restart"/>
            <w:tcBorders>
              <w:tl2br w:val="nil"/>
              <w:tr2bl w:val="nil"/>
            </w:tcBorders>
            <w:vAlign w:val="center"/>
          </w:tcPr>
          <w:p>
            <w:pPr>
              <w:pStyle w:val="41"/>
              <w:bidi w:val="0"/>
              <w:rPr>
                <w:color w:val="auto"/>
                <w:highlight w:val="none"/>
              </w:rPr>
            </w:pPr>
            <w:r>
              <w:rPr>
                <w:color w:val="auto"/>
                <w:highlight w:val="none"/>
              </w:rPr>
              <w:t>土壤环境</w:t>
            </w:r>
          </w:p>
        </w:tc>
        <w:tc>
          <w:tcPr>
            <w:tcW w:w="1138" w:type="dxa"/>
            <w:tcBorders>
              <w:tl2br w:val="nil"/>
              <w:tr2bl w:val="nil"/>
            </w:tcBorders>
            <w:vAlign w:val="center"/>
          </w:tcPr>
          <w:p>
            <w:pPr>
              <w:pStyle w:val="41"/>
              <w:bidi w:val="0"/>
              <w:rPr>
                <w:color w:val="auto"/>
                <w:highlight w:val="none"/>
              </w:rPr>
            </w:pPr>
            <w:r>
              <w:rPr>
                <w:rFonts w:hint="eastAsia"/>
                <w:color w:val="auto"/>
                <w:highlight w:val="none"/>
              </w:rPr>
              <w:t>盐化</w:t>
            </w:r>
          </w:p>
        </w:tc>
        <w:tc>
          <w:tcPr>
            <w:tcW w:w="2012" w:type="dxa"/>
            <w:gridSpan w:val="2"/>
            <w:tcBorders>
              <w:tl2br w:val="nil"/>
              <w:tr2bl w:val="nil"/>
            </w:tcBorders>
            <w:shd w:val="clear" w:color="auto" w:fill="auto"/>
            <w:vAlign w:val="center"/>
          </w:tcPr>
          <w:p>
            <w:pPr>
              <w:pStyle w:val="41"/>
              <w:bidi w:val="0"/>
              <w:rPr>
                <w:color w:val="auto"/>
                <w:highlight w:val="none"/>
              </w:rPr>
            </w:pPr>
            <w:r>
              <w:rPr>
                <w:rFonts w:hint="eastAsia"/>
                <w:color w:val="auto"/>
                <w:highlight w:val="none"/>
              </w:rPr>
              <w:t>生态影响范围内的土壤</w:t>
            </w:r>
          </w:p>
        </w:tc>
        <w:tc>
          <w:tcPr>
            <w:tcW w:w="3876"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不进一步盐化</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vMerge w:val="continue"/>
            <w:tcBorders>
              <w:tl2br w:val="nil"/>
              <w:tr2bl w:val="nil"/>
            </w:tcBorders>
            <w:shd w:val="clear" w:color="auto" w:fill="auto"/>
            <w:vAlign w:val="center"/>
          </w:tcPr>
          <w:p>
            <w:pPr>
              <w:pStyle w:val="41"/>
              <w:bidi w:val="0"/>
              <w:rPr>
                <w:color w:val="auto"/>
                <w:highlight w:val="none"/>
              </w:rPr>
            </w:pPr>
          </w:p>
        </w:tc>
        <w:tc>
          <w:tcPr>
            <w:tcW w:w="857" w:type="dxa"/>
            <w:vMerge w:val="continue"/>
            <w:tcBorders>
              <w:tl2br w:val="nil"/>
              <w:tr2bl w:val="nil"/>
            </w:tcBorders>
            <w:vAlign w:val="center"/>
          </w:tcPr>
          <w:p>
            <w:pPr>
              <w:pStyle w:val="41"/>
              <w:bidi w:val="0"/>
              <w:rPr>
                <w:color w:val="auto"/>
                <w:highlight w:val="none"/>
              </w:rPr>
            </w:pPr>
          </w:p>
        </w:tc>
        <w:tc>
          <w:tcPr>
            <w:tcW w:w="1138" w:type="dxa"/>
            <w:tcBorders>
              <w:tl2br w:val="nil"/>
              <w:tr2bl w:val="nil"/>
            </w:tcBorders>
            <w:vAlign w:val="center"/>
          </w:tcPr>
          <w:p>
            <w:pPr>
              <w:pStyle w:val="41"/>
              <w:bidi w:val="0"/>
              <w:rPr>
                <w:color w:val="auto"/>
                <w:highlight w:val="none"/>
              </w:rPr>
            </w:pPr>
            <w:r>
              <w:rPr>
                <w:rFonts w:hint="default" w:ascii="Times New Roman" w:hAnsi="Times New Roman" w:eastAsia="宋体" w:cs="Times New Roman"/>
                <w:color w:val="auto"/>
                <w:sz w:val="21"/>
                <w:szCs w:val="21"/>
                <w:highlight w:val="none"/>
                <w:shd w:val="clear" w:color="auto" w:fill="auto"/>
              </w:rPr>
              <w:t>评价范围内土壤</w:t>
            </w:r>
          </w:p>
        </w:tc>
        <w:tc>
          <w:tcPr>
            <w:tcW w:w="2012" w:type="dxa"/>
            <w:gridSpan w:val="2"/>
            <w:tcBorders>
              <w:tl2br w:val="nil"/>
              <w:tr2bl w:val="nil"/>
            </w:tcBorders>
            <w:vAlign w:val="center"/>
          </w:tcPr>
          <w:p>
            <w:pPr>
              <w:pStyle w:val="41"/>
              <w:bidi w:val="0"/>
              <w:rPr>
                <w:color w:val="auto"/>
                <w:highlight w:val="none"/>
              </w:rPr>
            </w:pPr>
            <w:r>
              <w:rPr>
                <w:rFonts w:hint="eastAsia"/>
                <w:color w:val="auto"/>
                <w:highlight w:val="none"/>
                <w:lang w:val="en-US" w:eastAsia="zh-CN"/>
              </w:rPr>
              <w:t>污染</w:t>
            </w:r>
            <w:r>
              <w:rPr>
                <w:rFonts w:hint="eastAsia"/>
                <w:color w:val="auto"/>
                <w:highlight w:val="none"/>
              </w:rPr>
              <w:t>影响范围内的土壤</w:t>
            </w:r>
          </w:p>
        </w:tc>
        <w:tc>
          <w:tcPr>
            <w:tcW w:w="3876" w:type="dxa"/>
            <w:tcBorders>
              <w:tl2br w:val="nil"/>
              <w:tr2bl w:val="nil"/>
            </w:tcBorders>
            <w:vAlign w:val="center"/>
          </w:tcPr>
          <w:p>
            <w:pPr>
              <w:pStyle w:val="41"/>
              <w:bidi w:val="0"/>
              <w:jc w:val="both"/>
              <w:rPr>
                <w:color w:val="auto"/>
                <w:highlight w:val="none"/>
              </w:rPr>
            </w:pPr>
            <w:r>
              <w:rPr>
                <w:rFonts w:hint="eastAsia"/>
                <w:color w:val="auto"/>
                <w:highlight w:val="none"/>
              </w:rPr>
              <w:t>严格控制占地范围，</w:t>
            </w:r>
            <w:r>
              <w:rPr>
                <w:rFonts w:hint="default" w:ascii="Times New Roman" w:hAnsi="Times New Roman" w:eastAsia="宋体" w:cs="Times New Roman"/>
                <w:color w:val="auto"/>
                <w:sz w:val="21"/>
                <w:szCs w:val="21"/>
                <w:highlight w:val="none"/>
                <w:shd w:val="clear" w:color="auto" w:fill="auto"/>
              </w:rPr>
              <w:t>确保</w:t>
            </w:r>
            <w:r>
              <w:rPr>
                <w:rFonts w:hint="default" w:ascii="Times New Roman" w:hAnsi="Times New Roman" w:eastAsia="宋体" w:cs="Times New Roman"/>
                <w:color w:val="auto"/>
                <w:sz w:val="21"/>
                <w:szCs w:val="21"/>
                <w:highlight w:val="none"/>
                <w:shd w:val="clear" w:color="auto" w:fill="auto"/>
                <w:lang w:val="en-US" w:eastAsia="zh-CN"/>
              </w:rPr>
              <w:t>占地</w:t>
            </w:r>
            <w:r>
              <w:rPr>
                <w:rFonts w:hint="default" w:ascii="Times New Roman" w:hAnsi="Times New Roman" w:eastAsia="宋体" w:cs="Times New Roman"/>
                <w:color w:val="auto"/>
                <w:sz w:val="21"/>
                <w:szCs w:val="21"/>
                <w:highlight w:val="none"/>
                <w:shd w:val="clear" w:color="auto" w:fill="auto"/>
              </w:rPr>
              <w:t>范围内土壤质量达到</w:t>
            </w:r>
            <w:r>
              <w:rPr>
                <w:rFonts w:hint="default" w:ascii="Times New Roman" w:hAnsi="Times New Roman" w:eastAsia="宋体" w:cs="Times New Roman"/>
                <w:color w:val="auto"/>
                <w:spacing w:val="-6"/>
                <w:sz w:val="21"/>
                <w:szCs w:val="21"/>
                <w:highlight w:val="none"/>
                <w:shd w:val="clear" w:color="auto" w:fill="auto"/>
              </w:rPr>
              <w:t>《土壤环境质量建设用地土壤污染风险管控标准（试行）》（GB36600-2018）</w:t>
            </w:r>
            <w:r>
              <w:rPr>
                <w:rFonts w:hint="default" w:ascii="Times New Roman" w:hAnsi="Times New Roman" w:eastAsia="宋体" w:cs="Times New Roman"/>
                <w:color w:val="auto"/>
                <w:sz w:val="21"/>
                <w:szCs w:val="21"/>
                <w:highlight w:val="none"/>
                <w:shd w:val="clear" w:color="auto" w:fill="auto"/>
              </w:rPr>
              <w:t>第二类用地土壤筛选值要求</w:t>
            </w:r>
            <w:r>
              <w:rPr>
                <w:rFonts w:hint="eastAsia" w:ascii="Times New Roman" w:hAnsi="Times New Roman" w:eastAsia="宋体" w:cs="Times New Roman"/>
                <w:color w:val="auto"/>
                <w:sz w:val="21"/>
                <w:szCs w:val="21"/>
                <w:highlight w:val="none"/>
                <w:shd w:val="clear" w:color="auto" w:fill="auto"/>
                <w:lang w:eastAsia="zh-CN"/>
              </w:rPr>
              <w:t>；占地范围外</w:t>
            </w:r>
            <w:r>
              <w:rPr>
                <w:rFonts w:hint="eastAsia" w:ascii="Times New Roman" w:hAnsi="Times New Roman" w:eastAsia="宋体" w:cs="Times New Roman"/>
                <w:color w:val="auto"/>
                <w:sz w:val="21"/>
                <w:szCs w:val="21"/>
                <w:highlight w:val="none"/>
                <w:shd w:val="clear" w:color="auto" w:fill="auto"/>
                <w:lang w:val="en-US" w:eastAsia="zh-CN"/>
              </w:rPr>
              <w:t>土壤</w:t>
            </w:r>
            <w:r>
              <w:rPr>
                <w:rFonts w:hint="eastAsia" w:ascii="Times New Roman" w:hAnsi="Times New Roman" w:eastAsia="宋体" w:cs="Times New Roman"/>
                <w:color w:val="auto"/>
                <w:sz w:val="21"/>
                <w:szCs w:val="21"/>
                <w:highlight w:val="none"/>
                <w:shd w:val="clear" w:color="auto" w:fill="auto"/>
                <w:lang w:eastAsia="zh-CN"/>
              </w:rPr>
              <w:t>执行《土壤环境质量 农用地土壤污染风险管控标准（试行）》（GB15618-2018）相关标准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413" w:type="dxa"/>
            <w:tcBorders>
              <w:tl2br w:val="nil"/>
              <w:tr2bl w:val="nil"/>
            </w:tcBorders>
            <w:vAlign w:val="center"/>
          </w:tcPr>
          <w:p>
            <w:pPr>
              <w:pStyle w:val="41"/>
              <w:bidi w:val="0"/>
              <w:rPr>
                <w:rFonts w:hint="eastAsia" w:eastAsia="宋体"/>
                <w:color w:val="auto"/>
                <w:highlight w:val="none"/>
                <w:lang w:val="en-US" w:eastAsia="zh-CN"/>
              </w:rPr>
            </w:pPr>
            <w:r>
              <w:rPr>
                <w:rFonts w:hint="eastAsia"/>
                <w:color w:val="auto"/>
                <w:highlight w:val="none"/>
                <w:lang w:val="en-US" w:eastAsia="zh-CN"/>
              </w:rPr>
              <w:t>7</w:t>
            </w:r>
          </w:p>
        </w:tc>
        <w:tc>
          <w:tcPr>
            <w:tcW w:w="857" w:type="dxa"/>
            <w:tcBorders>
              <w:tl2br w:val="nil"/>
              <w:tr2bl w:val="nil"/>
            </w:tcBorders>
            <w:vAlign w:val="center"/>
          </w:tcPr>
          <w:p>
            <w:pPr>
              <w:pStyle w:val="41"/>
              <w:bidi w:val="0"/>
              <w:rPr>
                <w:color w:val="auto"/>
                <w:highlight w:val="none"/>
              </w:rPr>
            </w:pPr>
            <w:r>
              <w:rPr>
                <w:color w:val="auto"/>
                <w:highlight w:val="none"/>
              </w:rPr>
              <w:t>环境风险</w:t>
            </w:r>
          </w:p>
        </w:tc>
        <w:tc>
          <w:tcPr>
            <w:tcW w:w="3150" w:type="dxa"/>
            <w:gridSpan w:val="3"/>
            <w:tcBorders>
              <w:tl2br w:val="nil"/>
              <w:tr2bl w:val="nil"/>
            </w:tcBorders>
            <w:vAlign w:val="center"/>
          </w:tcPr>
          <w:p>
            <w:pPr>
              <w:pStyle w:val="41"/>
              <w:bidi w:val="0"/>
              <w:rPr>
                <w:color w:val="auto"/>
                <w:highlight w:val="none"/>
              </w:rPr>
            </w:pPr>
            <w:r>
              <w:rPr>
                <w:rFonts w:hint="eastAsia"/>
                <w:color w:val="auto"/>
                <w:highlight w:val="none"/>
              </w:rPr>
              <w:t>项目各要素环境风险等级为简单分析，</w:t>
            </w:r>
            <w:r>
              <w:rPr>
                <w:rFonts w:hint="eastAsia"/>
                <w:color w:val="auto"/>
                <w:highlight w:val="none"/>
                <w:lang w:eastAsia="zh-CN"/>
              </w:rPr>
              <w:t>无须设置</w:t>
            </w:r>
            <w:r>
              <w:rPr>
                <w:rFonts w:hint="eastAsia"/>
                <w:color w:val="auto"/>
                <w:highlight w:val="none"/>
              </w:rPr>
              <w:t>评价范围，保护目标</w:t>
            </w:r>
            <w:r>
              <w:rPr>
                <w:rFonts w:hint="eastAsia"/>
                <w:color w:val="auto"/>
                <w:highlight w:val="none"/>
                <w:lang w:val="en-US" w:eastAsia="zh-CN"/>
              </w:rPr>
              <w:t>为</w:t>
            </w:r>
            <w:r>
              <w:rPr>
                <w:rFonts w:hint="eastAsia"/>
                <w:color w:val="auto"/>
                <w:highlight w:val="none"/>
              </w:rPr>
              <w:t>项目区周边潜水含水层、土壤、大气环境、耕地、林地、居民、穿越河流等；</w:t>
            </w:r>
          </w:p>
        </w:tc>
        <w:tc>
          <w:tcPr>
            <w:tcW w:w="3876" w:type="dxa"/>
            <w:tcBorders>
              <w:tl2br w:val="nil"/>
              <w:tr2bl w:val="nil"/>
            </w:tcBorders>
            <w:vAlign w:val="center"/>
          </w:tcPr>
          <w:p>
            <w:pPr>
              <w:pStyle w:val="41"/>
              <w:bidi w:val="0"/>
              <w:rPr>
                <w:color w:val="auto"/>
                <w:highlight w:val="none"/>
              </w:rPr>
            </w:pPr>
            <w:r>
              <w:rPr>
                <w:color w:val="auto"/>
                <w:highlight w:val="none"/>
              </w:rPr>
              <w:t>发生风险事故时，快速采取环境风险防范措施，确保风险事故对环境风险保护目标的影响程度可控</w:t>
            </w:r>
          </w:p>
        </w:tc>
      </w:tr>
      <w:bookmarkEnd w:id="185"/>
    </w:tbl>
    <w:p>
      <w:pPr>
        <w:rPr>
          <w:color w:val="auto"/>
          <w:highlight w:val="none"/>
        </w:rPr>
      </w:pPr>
      <w:r>
        <w:rPr>
          <w:color w:val="auto"/>
          <w:highlight w:val="none"/>
        </w:rPr>
        <w:br w:type="page"/>
      </w:r>
    </w:p>
    <w:p>
      <w:pPr>
        <w:pStyle w:val="49"/>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49"/>
        <w:rPr>
          <w:rFonts w:hint="default" w:ascii="Times New Roman" w:hAnsi="Times New Roman" w:eastAsia="宋体" w:cs="Times New Roman"/>
          <w:color w:val="auto"/>
          <w:kern w:val="0"/>
          <w:szCs w:val="20"/>
          <w:highlight w:val="none"/>
        </w:rPr>
      </w:pPr>
      <w:bookmarkStart w:id="209" w:name="_Toc32154"/>
      <w:bookmarkStart w:id="210" w:name="_Toc10265"/>
      <w:r>
        <w:rPr>
          <w:rFonts w:hint="default" w:ascii="Times New Roman" w:hAnsi="Times New Roman" w:cs="Times New Roman"/>
          <w:color w:val="auto"/>
          <w:highlight w:val="none"/>
        </w:rPr>
        <w:t>2.7评价内容和评价重</w:t>
      </w:r>
      <w:r>
        <w:rPr>
          <w:rFonts w:hint="default" w:ascii="Times New Roman" w:hAnsi="Times New Roman" w:eastAsia="宋体" w:cs="Times New Roman"/>
          <w:color w:val="auto"/>
          <w:kern w:val="0"/>
          <w:szCs w:val="20"/>
          <w:highlight w:val="none"/>
        </w:rPr>
        <w:t>点</w:t>
      </w:r>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9"/>
      <w:bookmarkEnd w:id="210"/>
    </w:p>
    <w:p>
      <w:pPr>
        <w:pStyle w:val="53"/>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2.7.1评价内容</w:t>
      </w:r>
    </w:p>
    <w:p>
      <w:pPr>
        <w:pStyle w:val="57"/>
        <w:rPr>
          <w:color w:val="auto"/>
          <w:spacing w:val="11"/>
          <w:highlight w:val="none"/>
        </w:rPr>
      </w:pPr>
      <w:r>
        <w:rPr>
          <w:rFonts w:hint="eastAsia"/>
          <w:color w:val="auto"/>
          <w:highlight w:val="none"/>
        </w:rPr>
        <w:t>根据拟建工程特点及周围环境特征，将本次评价工作内容列于表2.7-1。</w:t>
      </w:r>
    </w:p>
    <w:p>
      <w:pPr>
        <w:pStyle w:val="54"/>
        <w:bidi w:val="0"/>
        <w:rPr>
          <w:color w:val="auto"/>
          <w:highlight w:val="none"/>
        </w:rPr>
      </w:pPr>
      <w:r>
        <w:rPr>
          <w:rFonts w:hint="eastAsia"/>
          <w:color w:val="auto"/>
          <w:highlight w:val="none"/>
        </w:rPr>
        <w:t>表2.7-1         评价内容一览表</w:t>
      </w:r>
    </w:p>
    <w:tbl>
      <w:tblPr>
        <w:tblStyle w:val="34"/>
        <w:tblW w:w="499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527"/>
        <w:gridCol w:w="1143"/>
        <w:gridCol w:w="70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304" w:type="pct"/>
            <w:tcBorders>
              <w:tl2br w:val="nil"/>
              <w:tr2bl w:val="nil"/>
            </w:tcBorders>
            <w:vAlign w:val="center"/>
          </w:tcPr>
          <w:p>
            <w:pPr>
              <w:pStyle w:val="41"/>
              <w:bidi w:val="0"/>
              <w:rPr>
                <w:color w:val="auto"/>
                <w:highlight w:val="none"/>
              </w:rPr>
            </w:pPr>
            <w:r>
              <w:rPr>
                <w:rFonts w:hint="eastAsia"/>
                <w:color w:val="auto"/>
                <w:highlight w:val="none"/>
              </w:rPr>
              <w:t>序号</w:t>
            </w:r>
          </w:p>
        </w:tc>
        <w:tc>
          <w:tcPr>
            <w:tcW w:w="659" w:type="pct"/>
            <w:tcBorders>
              <w:tl2br w:val="nil"/>
              <w:tr2bl w:val="nil"/>
            </w:tcBorders>
            <w:vAlign w:val="center"/>
          </w:tcPr>
          <w:p>
            <w:pPr>
              <w:pStyle w:val="41"/>
              <w:bidi w:val="0"/>
              <w:rPr>
                <w:color w:val="auto"/>
                <w:highlight w:val="none"/>
              </w:rPr>
            </w:pPr>
            <w:r>
              <w:rPr>
                <w:rFonts w:hint="eastAsia"/>
                <w:color w:val="auto"/>
                <w:highlight w:val="none"/>
              </w:rPr>
              <w:t>项 目</w:t>
            </w:r>
          </w:p>
        </w:tc>
        <w:tc>
          <w:tcPr>
            <w:tcW w:w="4036" w:type="pct"/>
            <w:tcBorders>
              <w:tl2br w:val="nil"/>
              <w:tr2bl w:val="nil"/>
            </w:tcBorders>
            <w:vAlign w:val="center"/>
          </w:tcPr>
          <w:p>
            <w:pPr>
              <w:pStyle w:val="41"/>
              <w:bidi w:val="0"/>
              <w:rPr>
                <w:color w:val="auto"/>
                <w:highlight w:val="none"/>
              </w:rPr>
            </w:pPr>
            <w:r>
              <w:rPr>
                <w:rFonts w:hint="eastAsia"/>
                <w:color w:val="auto"/>
                <w:highlight w:val="none"/>
              </w:rPr>
              <w:t>内         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64" w:hRule="atLeast"/>
          <w:jc w:val="center"/>
        </w:trPr>
        <w:tc>
          <w:tcPr>
            <w:tcW w:w="304" w:type="pct"/>
            <w:tcBorders>
              <w:tl2br w:val="nil"/>
              <w:tr2bl w:val="nil"/>
            </w:tcBorders>
            <w:vAlign w:val="center"/>
          </w:tcPr>
          <w:p>
            <w:pPr>
              <w:pStyle w:val="41"/>
              <w:bidi w:val="0"/>
              <w:rPr>
                <w:color w:val="auto"/>
                <w:highlight w:val="none"/>
              </w:rPr>
            </w:pPr>
            <w:r>
              <w:rPr>
                <w:rFonts w:hint="eastAsia"/>
                <w:color w:val="auto"/>
                <w:highlight w:val="none"/>
              </w:rPr>
              <w:t>1</w:t>
            </w:r>
          </w:p>
        </w:tc>
        <w:tc>
          <w:tcPr>
            <w:tcW w:w="659" w:type="pct"/>
            <w:tcBorders>
              <w:tl2br w:val="nil"/>
              <w:tr2bl w:val="nil"/>
            </w:tcBorders>
            <w:vAlign w:val="center"/>
          </w:tcPr>
          <w:p>
            <w:pPr>
              <w:pStyle w:val="41"/>
              <w:bidi w:val="0"/>
              <w:rPr>
                <w:color w:val="auto"/>
                <w:highlight w:val="none"/>
              </w:rPr>
            </w:pPr>
            <w:r>
              <w:rPr>
                <w:rFonts w:hint="eastAsia"/>
                <w:color w:val="auto"/>
                <w:highlight w:val="none"/>
              </w:rPr>
              <w:t>概述</w:t>
            </w:r>
          </w:p>
        </w:tc>
        <w:tc>
          <w:tcPr>
            <w:tcW w:w="4036" w:type="pct"/>
            <w:tcBorders>
              <w:tl2br w:val="nil"/>
              <w:tr2bl w:val="nil"/>
            </w:tcBorders>
            <w:vAlign w:val="center"/>
          </w:tcPr>
          <w:p>
            <w:pPr>
              <w:pStyle w:val="41"/>
              <w:bidi w:val="0"/>
              <w:jc w:val="left"/>
              <w:rPr>
                <w:rFonts w:hint="eastAsia" w:eastAsia="宋体"/>
                <w:color w:val="auto"/>
                <w:highlight w:val="none"/>
                <w:lang w:eastAsia="zh-CN"/>
              </w:rPr>
            </w:pPr>
            <w:r>
              <w:rPr>
                <w:rFonts w:hint="eastAsia"/>
                <w:color w:val="auto"/>
                <w:highlight w:val="none"/>
              </w:rPr>
              <w:t>建设项目特点、环境影响评价的工作过程、分析判定相关情况、关注的主要环境问题及环境影响、环境影响评价的主要结论</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11" w:hRule="atLeast"/>
          <w:jc w:val="center"/>
        </w:trPr>
        <w:tc>
          <w:tcPr>
            <w:tcW w:w="304" w:type="pct"/>
            <w:tcBorders>
              <w:tl2br w:val="nil"/>
              <w:tr2bl w:val="nil"/>
            </w:tcBorders>
            <w:vAlign w:val="center"/>
          </w:tcPr>
          <w:p>
            <w:pPr>
              <w:pStyle w:val="41"/>
              <w:bidi w:val="0"/>
              <w:rPr>
                <w:color w:val="auto"/>
                <w:highlight w:val="none"/>
              </w:rPr>
            </w:pPr>
            <w:r>
              <w:rPr>
                <w:rFonts w:hint="eastAsia"/>
                <w:color w:val="auto"/>
                <w:highlight w:val="none"/>
              </w:rPr>
              <w:t>2</w:t>
            </w:r>
          </w:p>
        </w:tc>
        <w:tc>
          <w:tcPr>
            <w:tcW w:w="659" w:type="pct"/>
            <w:tcBorders>
              <w:tl2br w:val="nil"/>
              <w:tr2bl w:val="nil"/>
            </w:tcBorders>
            <w:vAlign w:val="center"/>
          </w:tcPr>
          <w:p>
            <w:pPr>
              <w:pStyle w:val="41"/>
              <w:bidi w:val="0"/>
              <w:rPr>
                <w:color w:val="auto"/>
                <w:highlight w:val="none"/>
              </w:rPr>
            </w:pPr>
            <w:r>
              <w:rPr>
                <w:rFonts w:hint="eastAsia"/>
                <w:color w:val="auto"/>
                <w:highlight w:val="none"/>
              </w:rPr>
              <w:t>总则</w:t>
            </w:r>
          </w:p>
        </w:tc>
        <w:tc>
          <w:tcPr>
            <w:tcW w:w="4036" w:type="pct"/>
            <w:tcBorders>
              <w:tl2br w:val="nil"/>
              <w:tr2bl w:val="nil"/>
            </w:tcBorders>
            <w:vAlign w:val="center"/>
          </w:tcPr>
          <w:p>
            <w:pPr>
              <w:pStyle w:val="41"/>
              <w:bidi w:val="0"/>
              <w:jc w:val="left"/>
              <w:rPr>
                <w:rFonts w:hint="eastAsia" w:eastAsia="宋体"/>
                <w:color w:val="auto"/>
                <w:highlight w:val="none"/>
                <w:lang w:eastAsia="zh-CN"/>
              </w:rPr>
            </w:pPr>
            <w:r>
              <w:rPr>
                <w:rFonts w:hint="eastAsia"/>
                <w:color w:val="auto"/>
                <w:highlight w:val="none"/>
              </w:rPr>
              <w:t>编制依据、评价目的和评价原则、环境影响要素和评价因子、环境功能区划及评价标准、评价工作等级和评价范围、环境保护目标、评价内容和评价重点、评价时段和评价方法</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17" w:hRule="atLeast"/>
          <w:jc w:val="center"/>
        </w:trPr>
        <w:tc>
          <w:tcPr>
            <w:tcW w:w="304" w:type="pct"/>
            <w:tcBorders>
              <w:tl2br w:val="nil"/>
              <w:tr2bl w:val="nil"/>
            </w:tcBorders>
            <w:vAlign w:val="center"/>
          </w:tcPr>
          <w:p>
            <w:pPr>
              <w:pStyle w:val="41"/>
              <w:bidi w:val="0"/>
              <w:rPr>
                <w:color w:val="auto"/>
                <w:highlight w:val="none"/>
              </w:rPr>
            </w:pPr>
            <w:r>
              <w:rPr>
                <w:rFonts w:hint="eastAsia"/>
                <w:color w:val="auto"/>
                <w:highlight w:val="none"/>
              </w:rPr>
              <w:t>3</w:t>
            </w:r>
          </w:p>
        </w:tc>
        <w:tc>
          <w:tcPr>
            <w:tcW w:w="659" w:type="pct"/>
            <w:tcBorders>
              <w:tl2br w:val="nil"/>
              <w:tr2bl w:val="nil"/>
            </w:tcBorders>
            <w:vAlign w:val="center"/>
          </w:tcPr>
          <w:p>
            <w:pPr>
              <w:pStyle w:val="41"/>
              <w:bidi w:val="0"/>
              <w:rPr>
                <w:color w:val="auto"/>
                <w:highlight w:val="none"/>
              </w:rPr>
            </w:pPr>
            <w:r>
              <w:rPr>
                <w:rFonts w:hint="eastAsia"/>
                <w:color w:val="auto"/>
                <w:highlight w:val="none"/>
              </w:rPr>
              <w:t>建设项目工程分析</w:t>
            </w:r>
          </w:p>
        </w:tc>
        <w:tc>
          <w:tcPr>
            <w:tcW w:w="4036" w:type="pct"/>
            <w:tcBorders>
              <w:tl2br w:val="nil"/>
              <w:tr2bl w:val="nil"/>
            </w:tcBorders>
            <w:vAlign w:val="center"/>
          </w:tcPr>
          <w:p>
            <w:pPr>
              <w:pStyle w:val="41"/>
              <w:bidi w:val="0"/>
              <w:jc w:val="left"/>
              <w:rPr>
                <w:rFonts w:hint="eastAsia" w:eastAsia="宋体"/>
                <w:color w:val="auto"/>
                <w:highlight w:val="none"/>
                <w:lang w:eastAsia="zh-CN"/>
              </w:rPr>
            </w:pPr>
            <w:r>
              <w:rPr>
                <w:rFonts w:hint="eastAsia"/>
                <w:color w:val="auto"/>
                <w:highlight w:val="none"/>
              </w:rPr>
              <w:t>区块开发现状及环境影响回顾：油田区块开发现状、“三同时”执行情况、区块环境影响回顾性评价、区块污染物排放情况、环境问题及“以新带老”改进意见</w:t>
            </w:r>
            <w:r>
              <w:rPr>
                <w:rFonts w:hint="eastAsia"/>
                <w:color w:val="auto"/>
                <w:highlight w:val="none"/>
                <w:lang w:eastAsia="zh-CN"/>
              </w:rPr>
              <w:t>。</w:t>
            </w:r>
          </w:p>
          <w:p>
            <w:pPr>
              <w:pStyle w:val="41"/>
              <w:bidi w:val="0"/>
              <w:jc w:val="left"/>
              <w:rPr>
                <w:rFonts w:hint="eastAsia" w:eastAsia="宋体"/>
                <w:color w:val="auto"/>
                <w:highlight w:val="none"/>
                <w:lang w:eastAsia="zh-CN"/>
              </w:rPr>
            </w:pPr>
            <w:r>
              <w:rPr>
                <w:rFonts w:hint="eastAsia"/>
                <w:color w:val="auto"/>
                <w:highlight w:val="none"/>
              </w:rPr>
              <w:t>现有工程：现有工程概况、现有工程“三同时”执行情况、现有工程污染物达标情况、现有工程污染物年排放量、 现有工程环境问题及“以新带老”改进意见</w:t>
            </w:r>
            <w:r>
              <w:rPr>
                <w:rFonts w:hint="eastAsia"/>
                <w:color w:val="auto"/>
                <w:highlight w:val="none"/>
                <w:lang w:eastAsia="zh-CN"/>
              </w:rPr>
              <w:t>。</w:t>
            </w:r>
          </w:p>
          <w:p>
            <w:pPr>
              <w:pStyle w:val="41"/>
              <w:bidi w:val="0"/>
              <w:jc w:val="left"/>
              <w:rPr>
                <w:rFonts w:hint="eastAsia" w:eastAsia="宋体"/>
                <w:color w:val="auto"/>
                <w:highlight w:val="none"/>
                <w:lang w:eastAsia="zh-CN"/>
              </w:rPr>
            </w:pPr>
            <w:r>
              <w:rPr>
                <w:rFonts w:hint="eastAsia"/>
                <w:color w:val="auto"/>
                <w:highlight w:val="none"/>
              </w:rPr>
              <w:t>拟建工程：项目概况、油气资源概况、主要技术经济指标、工程组成、依托工程</w:t>
            </w:r>
            <w:r>
              <w:rPr>
                <w:rFonts w:hint="eastAsia"/>
                <w:color w:val="auto"/>
                <w:highlight w:val="none"/>
                <w:lang w:eastAsia="zh-CN"/>
              </w:rPr>
              <w:t>。</w:t>
            </w:r>
          </w:p>
          <w:p>
            <w:pPr>
              <w:pStyle w:val="41"/>
              <w:bidi w:val="0"/>
              <w:jc w:val="left"/>
              <w:rPr>
                <w:rFonts w:hint="eastAsia" w:eastAsia="宋体"/>
                <w:color w:val="auto"/>
                <w:highlight w:val="none"/>
                <w:lang w:eastAsia="zh-CN"/>
              </w:rPr>
            </w:pPr>
            <w:r>
              <w:rPr>
                <w:rFonts w:hint="eastAsia"/>
                <w:color w:val="auto"/>
                <w:highlight w:val="none"/>
              </w:rPr>
              <w:t>工程分析：工艺流程及产排污节点、</w:t>
            </w:r>
            <w:r>
              <w:rPr>
                <w:color w:val="auto"/>
                <w:highlight w:val="none"/>
              </w:rPr>
              <w:fldChar w:fldCharType="begin"/>
            </w:r>
            <w:r>
              <w:rPr>
                <w:color w:val="auto"/>
                <w:highlight w:val="none"/>
              </w:rPr>
              <w:instrText xml:space="preserve"> HYPERLINK \l "_Toc23548" </w:instrText>
            </w:r>
            <w:r>
              <w:rPr>
                <w:color w:val="auto"/>
                <w:highlight w:val="none"/>
              </w:rPr>
              <w:fldChar w:fldCharType="separate"/>
            </w:r>
            <w:r>
              <w:rPr>
                <w:rFonts w:hint="eastAsia"/>
                <w:color w:val="auto"/>
                <w:highlight w:val="none"/>
              </w:rPr>
              <w:t>施工期环境影响因素分析</w:t>
            </w:r>
            <w:r>
              <w:rPr>
                <w:rFonts w:hint="eastAsia"/>
                <w:color w:val="auto"/>
                <w:highlight w:val="none"/>
              </w:rPr>
              <w:fldChar w:fldCharType="end"/>
            </w:r>
            <w:r>
              <w:rPr>
                <w:rFonts w:hint="eastAsia"/>
                <w:color w:val="auto"/>
                <w:highlight w:val="none"/>
              </w:rPr>
              <w:t>、运营期环境影响因素分析、退役期环境影响因素分析、非正常排放、清洁生产水平分析、污染物排放“三本账”、污染物总量控制分析</w:t>
            </w:r>
            <w:r>
              <w:rPr>
                <w:rFonts w:hint="eastAsia"/>
                <w:color w:val="auto"/>
                <w:highlight w:val="none"/>
                <w:lang w:eastAsia="zh-CN"/>
              </w:rPr>
              <w:t>。</w:t>
            </w:r>
          </w:p>
          <w:p>
            <w:pPr>
              <w:pStyle w:val="41"/>
              <w:bidi w:val="0"/>
              <w:jc w:val="left"/>
              <w:rPr>
                <w:rFonts w:hint="eastAsia" w:eastAsia="宋体"/>
                <w:color w:val="auto"/>
                <w:highlight w:val="none"/>
                <w:lang w:eastAsia="zh-CN"/>
              </w:rPr>
            </w:pPr>
            <w:r>
              <w:rPr>
                <w:rFonts w:hint="eastAsia"/>
                <w:color w:val="auto"/>
                <w:highlight w:val="none"/>
              </w:rPr>
              <w:t>相关政策法规、规划符合性分析：产业政策符合性分析、相关法规、政策、规范、规划符合性分析、生态环境分区管控符合性分析</w:t>
            </w:r>
            <w:r>
              <w:rPr>
                <w:rFonts w:hint="eastAsia"/>
                <w:color w:val="auto"/>
                <w:highlight w:val="none"/>
                <w:lang w:eastAsia="zh-CN"/>
              </w:rPr>
              <w:t>。</w:t>
            </w:r>
          </w:p>
          <w:p>
            <w:pPr>
              <w:pStyle w:val="41"/>
              <w:bidi w:val="0"/>
              <w:jc w:val="left"/>
              <w:rPr>
                <w:rFonts w:hint="eastAsia" w:eastAsia="宋体"/>
                <w:color w:val="auto"/>
                <w:highlight w:val="none"/>
                <w:lang w:eastAsia="zh-CN"/>
              </w:rPr>
            </w:pPr>
            <w:r>
              <w:rPr>
                <w:rFonts w:hint="eastAsia"/>
                <w:color w:val="auto"/>
                <w:highlight w:val="none"/>
              </w:rPr>
              <w:t>选址选线合理性分析</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vAlign w:val="center"/>
          </w:tcPr>
          <w:p>
            <w:pPr>
              <w:pStyle w:val="41"/>
              <w:bidi w:val="0"/>
              <w:rPr>
                <w:color w:val="auto"/>
                <w:highlight w:val="none"/>
              </w:rPr>
            </w:pPr>
            <w:r>
              <w:rPr>
                <w:rFonts w:hint="eastAsia"/>
                <w:color w:val="auto"/>
                <w:highlight w:val="none"/>
              </w:rPr>
              <w:t>4</w:t>
            </w:r>
          </w:p>
        </w:tc>
        <w:tc>
          <w:tcPr>
            <w:tcW w:w="659" w:type="pct"/>
            <w:tcBorders>
              <w:tl2br w:val="nil"/>
              <w:tr2bl w:val="nil"/>
            </w:tcBorders>
            <w:vAlign w:val="center"/>
          </w:tcPr>
          <w:p>
            <w:pPr>
              <w:pStyle w:val="41"/>
              <w:bidi w:val="0"/>
              <w:rPr>
                <w:color w:val="auto"/>
                <w:highlight w:val="none"/>
              </w:rPr>
            </w:pPr>
            <w:r>
              <w:rPr>
                <w:rFonts w:hint="eastAsia"/>
                <w:color w:val="auto"/>
                <w:highlight w:val="none"/>
              </w:rPr>
              <w:t>环境现状调查与评价</w:t>
            </w:r>
          </w:p>
        </w:tc>
        <w:tc>
          <w:tcPr>
            <w:tcW w:w="4036" w:type="pct"/>
            <w:tcBorders>
              <w:tl2br w:val="nil"/>
              <w:tr2bl w:val="nil"/>
            </w:tcBorders>
            <w:vAlign w:val="center"/>
          </w:tcPr>
          <w:p>
            <w:pPr>
              <w:pStyle w:val="41"/>
              <w:bidi w:val="0"/>
              <w:jc w:val="left"/>
              <w:rPr>
                <w:color w:val="auto"/>
                <w:highlight w:val="none"/>
              </w:rPr>
            </w:pPr>
            <w:r>
              <w:rPr>
                <w:rFonts w:hint="eastAsia"/>
                <w:color w:val="auto"/>
                <w:highlight w:val="none"/>
              </w:rPr>
              <w:t>自然环境概况、生态现状调查与评价、环境质量现状监测与评价</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5</w:t>
            </w:r>
          </w:p>
        </w:tc>
        <w:tc>
          <w:tcPr>
            <w:tcW w:w="65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环境影响预测与评价</w:t>
            </w:r>
          </w:p>
        </w:tc>
        <w:tc>
          <w:tcPr>
            <w:tcW w:w="4036" w:type="pct"/>
            <w:tcBorders>
              <w:tl2br w:val="nil"/>
              <w:tr2bl w:val="nil"/>
            </w:tcBorders>
            <w:shd w:val="clear" w:color="auto" w:fill="auto"/>
            <w:vAlign w:val="center"/>
          </w:tcPr>
          <w:p>
            <w:pPr>
              <w:pStyle w:val="41"/>
              <w:bidi w:val="0"/>
              <w:jc w:val="left"/>
              <w:rPr>
                <w:color w:val="auto"/>
                <w:highlight w:val="none"/>
              </w:rPr>
            </w:pPr>
            <w:r>
              <w:rPr>
                <w:rFonts w:hint="eastAsia"/>
                <w:color w:val="auto"/>
                <w:highlight w:val="none"/>
              </w:rPr>
              <w:t>施工期环境影响分析</w:t>
            </w:r>
            <w:r>
              <w:rPr>
                <w:rFonts w:hint="eastAsia"/>
                <w:color w:val="auto"/>
                <w:highlight w:val="none"/>
                <w:lang w:eastAsia="zh-CN"/>
              </w:rPr>
              <w:t>（</w:t>
            </w:r>
            <w:r>
              <w:rPr>
                <w:rFonts w:hint="eastAsia"/>
                <w:color w:val="auto"/>
                <w:highlight w:val="none"/>
              </w:rPr>
              <w:t>施工废气、施工噪声、施工期固体废物、施工废水、施工期生态影响分析</w:t>
            </w:r>
            <w:r>
              <w:rPr>
                <w:rFonts w:hint="eastAsia"/>
                <w:color w:val="auto"/>
                <w:highlight w:val="none"/>
                <w:lang w:eastAsia="zh-CN"/>
              </w:rPr>
              <w:t>）</w:t>
            </w:r>
          </w:p>
          <w:p>
            <w:pPr>
              <w:pStyle w:val="41"/>
              <w:bidi w:val="0"/>
              <w:jc w:val="left"/>
              <w:rPr>
                <w:color w:val="auto"/>
                <w:highlight w:val="none"/>
              </w:rPr>
            </w:pPr>
            <w:r>
              <w:rPr>
                <w:rFonts w:hint="eastAsia"/>
                <w:color w:val="auto"/>
                <w:highlight w:val="none"/>
              </w:rPr>
              <w:t>运营期环境影响预测与评价</w:t>
            </w:r>
            <w:r>
              <w:rPr>
                <w:rFonts w:hint="eastAsia"/>
                <w:color w:val="auto"/>
                <w:highlight w:val="none"/>
                <w:lang w:eastAsia="zh-CN"/>
              </w:rPr>
              <w:t>（</w:t>
            </w:r>
            <w:r>
              <w:rPr>
                <w:rFonts w:hint="eastAsia"/>
                <w:color w:val="auto"/>
                <w:highlight w:val="none"/>
              </w:rPr>
              <w:t>大气环境、地表水环境、地下水环境、声环境、固体废物、生态影响、土壤环境及环境风险</w:t>
            </w:r>
            <w:r>
              <w:rPr>
                <w:rFonts w:hint="eastAsia"/>
                <w:color w:val="auto"/>
                <w:highlight w:val="none"/>
                <w:lang w:eastAsia="zh-CN"/>
              </w:rPr>
              <w:t>）</w:t>
            </w:r>
          </w:p>
          <w:p>
            <w:pPr>
              <w:pStyle w:val="41"/>
              <w:bidi w:val="0"/>
              <w:jc w:val="left"/>
              <w:rPr>
                <w:color w:val="auto"/>
                <w:highlight w:val="none"/>
              </w:rPr>
            </w:pPr>
            <w:r>
              <w:rPr>
                <w:rFonts w:hint="eastAsia"/>
                <w:color w:val="auto"/>
                <w:highlight w:val="none"/>
              </w:rPr>
              <w:t>退役期环境影响分析</w:t>
            </w:r>
            <w:r>
              <w:rPr>
                <w:rFonts w:hint="eastAsia"/>
                <w:color w:val="auto"/>
                <w:highlight w:val="none"/>
                <w:lang w:eastAsia="zh-CN"/>
              </w:rPr>
              <w:t>（</w:t>
            </w:r>
            <w:r>
              <w:rPr>
                <w:rFonts w:hint="eastAsia"/>
                <w:color w:val="auto"/>
                <w:highlight w:val="none"/>
              </w:rPr>
              <w:t>退役期污染物情况、退役期生态保护措施</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6</w:t>
            </w:r>
          </w:p>
        </w:tc>
        <w:tc>
          <w:tcPr>
            <w:tcW w:w="65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环保措施及其可行性论证</w:t>
            </w:r>
          </w:p>
        </w:tc>
        <w:tc>
          <w:tcPr>
            <w:tcW w:w="4036" w:type="pct"/>
            <w:tcBorders>
              <w:tl2br w:val="nil"/>
              <w:tr2bl w:val="nil"/>
            </w:tcBorders>
            <w:shd w:val="clear" w:color="auto" w:fill="auto"/>
            <w:vAlign w:val="center"/>
          </w:tcPr>
          <w:p>
            <w:pPr>
              <w:pStyle w:val="41"/>
              <w:bidi w:val="0"/>
              <w:jc w:val="left"/>
              <w:rPr>
                <w:color w:val="auto"/>
                <w:highlight w:val="none"/>
              </w:rPr>
            </w:pPr>
            <w:r>
              <w:rPr>
                <w:rFonts w:hint="eastAsia"/>
                <w:color w:val="auto"/>
                <w:highlight w:val="none"/>
              </w:rPr>
              <w:t>针对项目拟采取的污染防治、生态保护、环境风险防范等环境保护措施，分析论证其技术可行性、经济合理性、长期稳定运行和达标排放的可靠性、满足环境质量改善和排污许可要求的可行性、生态保护和恢复效果的可达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7</w:t>
            </w:r>
          </w:p>
        </w:tc>
        <w:tc>
          <w:tcPr>
            <w:tcW w:w="65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温室气体排放影响评价</w:t>
            </w:r>
          </w:p>
        </w:tc>
        <w:tc>
          <w:tcPr>
            <w:tcW w:w="4036" w:type="pct"/>
            <w:tcBorders>
              <w:tl2br w:val="nil"/>
              <w:tr2bl w:val="nil"/>
            </w:tcBorders>
            <w:shd w:val="clear" w:color="auto" w:fill="auto"/>
            <w:vAlign w:val="center"/>
          </w:tcPr>
          <w:p>
            <w:pPr>
              <w:pStyle w:val="41"/>
              <w:bidi w:val="0"/>
              <w:jc w:val="left"/>
              <w:rPr>
                <w:color w:val="auto"/>
                <w:highlight w:val="none"/>
              </w:rPr>
            </w:pPr>
            <w:r>
              <w:rPr>
                <w:rFonts w:hint="eastAsia"/>
                <w:color w:val="auto"/>
                <w:highlight w:val="none"/>
              </w:rPr>
              <w:t>温室气体排放分析、减污降碳措施、温室气体排放评价结论及建议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8</w:t>
            </w:r>
          </w:p>
        </w:tc>
        <w:tc>
          <w:tcPr>
            <w:tcW w:w="65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环境影响经济损益分析</w:t>
            </w:r>
          </w:p>
        </w:tc>
        <w:tc>
          <w:tcPr>
            <w:tcW w:w="4036" w:type="pct"/>
            <w:tcBorders>
              <w:tl2br w:val="nil"/>
              <w:tr2bl w:val="nil"/>
            </w:tcBorders>
            <w:shd w:val="clear" w:color="auto" w:fill="auto"/>
            <w:vAlign w:val="center"/>
          </w:tcPr>
          <w:p>
            <w:pPr>
              <w:pStyle w:val="41"/>
              <w:bidi w:val="0"/>
              <w:jc w:val="left"/>
              <w:rPr>
                <w:color w:val="auto"/>
                <w:highlight w:val="none"/>
              </w:rPr>
            </w:pPr>
            <w:r>
              <w:rPr>
                <w:rFonts w:hint="eastAsia"/>
                <w:color w:val="auto"/>
                <w:highlight w:val="none"/>
              </w:rPr>
              <w:t>从项目实施后的环境影响的正负两方面，以定性和定量相结合方式估算建设项目环境影响的经济价值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9</w:t>
            </w:r>
          </w:p>
        </w:tc>
        <w:tc>
          <w:tcPr>
            <w:tcW w:w="65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环境管理与监测计划</w:t>
            </w:r>
          </w:p>
        </w:tc>
        <w:tc>
          <w:tcPr>
            <w:tcW w:w="4036" w:type="pct"/>
            <w:tcBorders>
              <w:tl2br w:val="nil"/>
              <w:tr2bl w:val="nil"/>
            </w:tcBorders>
            <w:shd w:val="clear" w:color="auto" w:fill="auto"/>
            <w:vAlign w:val="center"/>
          </w:tcPr>
          <w:p>
            <w:pPr>
              <w:pStyle w:val="41"/>
              <w:bidi w:val="0"/>
              <w:jc w:val="left"/>
              <w:rPr>
                <w:color w:val="auto"/>
                <w:highlight w:val="none"/>
              </w:rPr>
            </w:pPr>
            <w:r>
              <w:rPr>
                <w:rFonts w:hint="eastAsia"/>
                <w:color w:val="auto"/>
                <w:highlight w:val="none"/>
              </w:rPr>
              <w:t>按项目建设阶段、生产运行阶段，提出具体环境管理要求；给出污染物排放清单，明确污染物排放的管理要求；提出应向社会公开的信息内容；提出建立日常环境管理制度、组织机构和环境管理台</w:t>
            </w:r>
            <w:r>
              <w:rPr>
                <w:rFonts w:hint="eastAsia"/>
                <w:color w:val="auto"/>
                <w:highlight w:val="none"/>
                <w:lang w:eastAsia="zh-CN"/>
              </w:rPr>
              <w:t>账等</w:t>
            </w:r>
            <w:r>
              <w:rPr>
                <w:rFonts w:hint="eastAsia"/>
                <w:color w:val="auto"/>
                <w:highlight w:val="none"/>
              </w:rPr>
              <w:t>相关要求；提出环境监理要求；提出环境监测计划</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804" w:hRule="atLeast"/>
          <w:jc w:val="center"/>
        </w:trPr>
        <w:tc>
          <w:tcPr>
            <w:tcW w:w="3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10</w:t>
            </w:r>
          </w:p>
        </w:tc>
        <w:tc>
          <w:tcPr>
            <w:tcW w:w="65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结论</w:t>
            </w:r>
          </w:p>
        </w:tc>
        <w:tc>
          <w:tcPr>
            <w:tcW w:w="4036" w:type="pct"/>
            <w:tcBorders>
              <w:tl2br w:val="nil"/>
              <w:tr2bl w:val="nil"/>
            </w:tcBorders>
            <w:shd w:val="clear" w:color="auto" w:fill="auto"/>
            <w:vAlign w:val="center"/>
          </w:tcPr>
          <w:p>
            <w:pPr>
              <w:pStyle w:val="41"/>
              <w:bidi w:val="0"/>
              <w:jc w:val="left"/>
              <w:rPr>
                <w:color w:val="auto"/>
                <w:highlight w:val="none"/>
              </w:rPr>
            </w:pPr>
            <w:r>
              <w:rPr>
                <w:rFonts w:hint="eastAsia"/>
                <w:color w:val="auto"/>
                <w:highlight w:val="none"/>
              </w:rPr>
              <w:t>对建设项目环境影响评价各章节结论进行概括总结和综合分析，结合环境质量目标要求，明确给出建设项目的环境影响可行性结论</w:t>
            </w:r>
          </w:p>
        </w:tc>
      </w:tr>
      <w:bookmarkEnd w:id="204"/>
    </w:tbl>
    <w:p>
      <w:pPr>
        <w:pStyle w:val="53"/>
        <w:rPr>
          <w:rFonts w:ascii="Times New Roman" w:hAnsi="Times New Roman" w:eastAsia="宋体"/>
          <w:color w:val="auto"/>
          <w:highlight w:val="none"/>
        </w:rPr>
      </w:pPr>
      <w:r>
        <w:rPr>
          <w:rFonts w:hint="eastAsia" w:ascii="Times New Roman" w:hAnsi="Times New Roman" w:eastAsia="宋体"/>
          <w:color w:val="auto"/>
          <w:highlight w:val="none"/>
        </w:rPr>
        <w:t>2.7.2评价重点</w:t>
      </w:r>
    </w:p>
    <w:p>
      <w:pPr>
        <w:pStyle w:val="57"/>
        <w:rPr>
          <w:color w:val="auto"/>
          <w:highlight w:val="none"/>
        </w:rPr>
      </w:pPr>
      <w:r>
        <w:rPr>
          <w:color w:val="auto"/>
          <w:highlight w:val="none"/>
        </w:rPr>
        <w:t>经对项目区域自然地理、环境现状和社会经济的调查研究及工程排污特点的分析，确定评价工作的重点如下：</w:t>
      </w:r>
    </w:p>
    <w:p>
      <w:pPr>
        <w:pStyle w:val="57"/>
        <w:rPr>
          <w:color w:val="auto"/>
          <w:highlight w:val="none"/>
        </w:rPr>
      </w:pPr>
      <w:r>
        <w:rPr>
          <w:rFonts w:hint="eastAsia"/>
          <w:color w:val="auto"/>
          <w:highlight w:val="none"/>
        </w:rPr>
        <w:t>（1）工程分析；</w:t>
      </w:r>
    </w:p>
    <w:p>
      <w:pPr>
        <w:pStyle w:val="57"/>
        <w:rPr>
          <w:color w:val="auto"/>
          <w:highlight w:val="none"/>
        </w:rPr>
      </w:pPr>
      <w:r>
        <w:rPr>
          <w:color w:val="auto"/>
          <w:highlight w:val="none"/>
        </w:rPr>
        <w:t>（2）生态环境影响评价；</w:t>
      </w:r>
    </w:p>
    <w:p>
      <w:pPr>
        <w:pStyle w:val="57"/>
        <w:rPr>
          <w:color w:val="auto"/>
          <w:highlight w:val="none"/>
        </w:rPr>
      </w:pPr>
      <w:r>
        <w:rPr>
          <w:color w:val="auto"/>
          <w:highlight w:val="none"/>
        </w:rPr>
        <w:t>（3）地下水环境影响评价；</w:t>
      </w:r>
    </w:p>
    <w:p>
      <w:pPr>
        <w:pStyle w:val="57"/>
        <w:rPr>
          <w:color w:val="auto"/>
          <w:highlight w:val="none"/>
        </w:rPr>
      </w:pPr>
      <w:r>
        <w:rPr>
          <w:color w:val="auto"/>
          <w:highlight w:val="none"/>
        </w:rPr>
        <w:t>（4）</w:t>
      </w:r>
      <w:r>
        <w:rPr>
          <w:rFonts w:hint="eastAsia"/>
          <w:color w:val="auto"/>
          <w:highlight w:val="none"/>
        </w:rPr>
        <w:t>土壤环境</w:t>
      </w:r>
      <w:r>
        <w:rPr>
          <w:color w:val="auto"/>
          <w:highlight w:val="none"/>
        </w:rPr>
        <w:t>影响评价；</w:t>
      </w:r>
    </w:p>
    <w:p>
      <w:pPr>
        <w:pStyle w:val="57"/>
        <w:rPr>
          <w:color w:val="auto"/>
          <w:highlight w:val="none"/>
        </w:rPr>
      </w:pPr>
      <w:r>
        <w:rPr>
          <w:color w:val="auto"/>
          <w:highlight w:val="none"/>
        </w:rPr>
        <w:t>（5）环境风险影响评价及风险管理；</w:t>
      </w:r>
    </w:p>
    <w:p>
      <w:pPr>
        <w:pStyle w:val="57"/>
        <w:rPr>
          <w:color w:val="auto"/>
          <w:highlight w:val="none"/>
        </w:rPr>
      </w:pPr>
      <w:r>
        <w:rPr>
          <w:color w:val="auto"/>
          <w:highlight w:val="none"/>
        </w:rPr>
        <w:t>（6）环境保护措施技术经济及可行性论证。</w:t>
      </w:r>
    </w:p>
    <w:p>
      <w:pPr>
        <w:pStyle w:val="49"/>
        <w:rPr>
          <w:rFonts w:eastAsia="宋体"/>
          <w:color w:val="auto"/>
          <w:highlight w:val="none"/>
        </w:rPr>
      </w:pPr>
      <w:bookmarkStart w:id="211" w:name="_Toc508291877"/>
      <w:bookmarkStart w:id="212" w:name="_Toc146540981"/>
      <w:bookmarkStart w:id="213" w:name="_Toc255293765"/>
      <w:bookmarkStart w:id="214" w:name="_Toc161551980"/>
      <w:bookmarkStart w:id="215" w:name="_Toc280954905"/>
      <w:bookmarkStart w:id="216" w:name="_Toc297590927"/>
      <w:bookmarkStart w:id="217" w:name="_Toc149456024"/>
      <w:bookmarkStart w:id="218" w:name="_Toc173941717"/>
      <w:bookmarkStart w:id="219" w:name="_Toc297590774"/>
      <w:bookmarkStart w:id="220" w:name="_Toc353966732"/>
      <w:bookmarkStart w:id="221" w:name="_Toc173942671"/>
      <w:bookmarkStart w:id="222" w:name="_Toc361761824"/>
      <w:bookmarkStart w:id="223" w:name="_Toc374724175"/>
      <w:bookmarkStart w:id="224" w:name="_Toc227650571"/>
      <w:bookmarkStart w:id="225" w:name="_Toc173941810"/>
      <w:bookmarkStart w:id="226" w:name="_Toc1254"/>
      <w:bookmarkStart w:id="227" w:name="_Toc280954982"/>
      <w:bookmarkStart w:id="228" w:name="_Toc28003"/>
      <w:bookmarkStart w:id="229" w:name="_Toc15351"/>
      <w:r>
        <w:rPr>
          <w:color w:val="auto"/>
          <w:highlight w:val="none"/>
        </w:rPr>
        <w:t>2.8</w:t>
      </w:r>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Pr>
          <w:rFonts w:hint="eastAsia"/>
          <w:color w:val="auto"/>
          <w:highlight w:val="none"/>
        </w:rPr>
        <w:t>评价时段和评价方法</w:t>
      </w:r>
      <w:bookmarkEnd w:id="228"/>
      <w:bookmarkEnd w:id="229"/>
    </w:p>
    <w:p>
      <w:pPr>
        <w:pStyle w:val="53"/>
        <w:rPr>
          <w:color w:val="auto"/>
          <w:highlight w:val="none"/>
        </w:rPr>
      </w:pPr>
      <w:bookmarkStart w:id="230" w:name="_Toc173941811"/>
      <w:r>
        <w:rPr>
          <w:rFonts w:hint="eastAsia"/>
          <w:color w:val="auto"/>
          <w:highlight w:val="none"/>
        </w:rPr>
        <w:t>2.8.1</w:t>
      </w:r>
      <w:bookmarkEnd w:id="230"/>
      <w:r>
        <w:rPr>
          <w:rFonts w:hint="eastAsia"/>
          <w:color w:val="auto"/>
          <w:highlight w:val="none"/>
        </w:rPr>
        <w:t>评价时段</w:t>
      </w:r>
    </w:p>
    <w:p>
      <w:pPr>
        <w:pStyle w:val="57"/>
        <w:rPr>
          <w:color w:val="auto"/>
          <w:highlight w:val="none"/>
        </w:rPr>
      </w:pPr>
      <w:r>
        <w:rPr>
          <w:color w:val="auto"/>
          <w:highlight w:val="none"/>
        </w:rPr>
        <w:t>评价时段包括施工期、运营期、</w:t>
      </w:r>
      <w:r>
        <w:rPr>
          <w:rFonts w:hint="eastAsia"/>
          <w:color w:val="auto"/>
          <w:highlight w:val="none"/>
        </w:rPr>
        <w:t>退役期</w:t>
      </w:r>
      <w:r>
        <w:rPr>
          <w:color w:val="auto"/>
          <w:highlight w:val="none"/>
        </w:rPr>
        <w:t>三个时段，其中以施工期和运营期为主。</w:t>
      </w:r>
    </w:p>
    <w:p>
      <w:pPr>
        <w:pStyle w:val="53"/>
        <w:rPr>
          <w:color w:val="auto"/>
          <w:highlight w:val="none"/>
        </w:rPr>
      </w:pPr>
      <w:bookmarkStart w:id="231" w:name="_Toc173942672"/>
      <w:bookmarkStart w:id="232" w:name="_Toc173941718"/>
      <w:bookmarkStart w:id="233" w:name="_Toc13755"/>
      <w:bookmarkStart w:id="234" w:name="_Toc173941813"/>
      <w:r>
        <w:rPr>
          <w:rFonts w:hint="eastAsia"/>
          <w:color w:val="auto"/>
          <w:highlight w:val="none"/>
        </w:rPr>
        <w:t>2.8.2评价方法</w:t>
      </w:r>
      <w:bookmarkEnd w:id="231"/>
      <w:bookmarkEnd w:id="232"/>
      <w:bookmarkEnd w:id="233"/>
      <w:bookmarkEnd w:id="234"/>
    </w:p>
    <w:p>
      <w:pPr>
        <w:pStyle w:val="57"/>
        <w:rPr>
          <w:color w:val="auto"/>
          <w:highlight w:val="none"/>
        </w:rPr>
      </w:pPr>
      <w:r>
        <w:rPr>
          <w:rFonts w:hint="eastAsia"/>
          <w:color w:val="auto"/>
          <w:highlight w:val="none"/>
          <w:lang w:val="zh-CN"/>
        </w:rPr>
        <w:t>本工程</w:t>
      </w:r>
      <w:r>
        <w:rPr>
          <w:color w:val="auto"/>
          <w:highlight w:val="none"/>
          <w:lang w:val="zh-CN"/>
        </w:rPr>
        <w:t>环境影响评价采用定量评价与定性评价相结合的方法，以量化评价为主。采用环境影响评价技术导则规定的评价方法予以分析。本次评价采用了物料衡算法、实测法、类比法、产污系数法、排污系数法等。本次环境评价使用的评价方法见表2.</w:t>
      </w:r>
      <w:r>
        <w:rPr>
          <w:rFonts w:hint="eastAsia"/>
          <w:color w:val="auto"/>
          <w:highlight w:val="none"/>
        </w:rPr>
        <w:t>8</w:t>
      </w:r>
      <w:r>
        <w:rPr>
          <w:color w:val="auto"/>
          <w:highlight w:val="none"/>
          <w:lang w:val="zh-CN"/>
        </w:rPr>
        <w:t>-1。</w:t>
      </w:r>
      <w:bookmarkStart w:id="235" w:name="_Toc31003"/>
    </w:p>
    <w:p>
      <w:pPr>
        <w:pStyle w:val="54"/>
        <w:ind w:firstLine="482"/>
        <w:rPr>
          <w:color w:val="auto"/>
          <w:highlight w:val="none"/>
        </w:rPr>
      </w:pPr>
      <w:r>
        <w:rPr>
          <w:color w:val="auto"/>
          <w:highlight w:val="none"/>
        </w:rPr>
        <w:t>表2.</w:t>
      </w:r>
      <w:r>
        <w:rPr>
          <w:rFonts w:hint="eastAsia"/>
          <w:color w:val="auto"/>
          <w:highlight w:val="none"/>
        </w:rPr>
        <w:t>8</w:t>
      </w:r>
      <w:r>
        <w:rPr>
          <w:color w:val="auto"/>
          <w:highlight w:val="none"/>
        </w:rPr>
        <w:t>-1  评价内容一览表</w:t>
      </w:r>
      <w:bookmarkEnd w:id="235"/>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3"/>
        <w:gridCol w:w="2653"/>
        <w:gridCol w:w="530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pPr>
              <w:pStyle w:val="41"/>
              <w:rPr>
                <w:color w:val="auto"/>
                <w:highlight w:val="none"/>
              </w:rPr>
            </w:pPr>
            <w:r>
              <w:rPr>
                <w:color w:val="auto"/>
                <w:highlight w:val="none"/>
              </w:rPr>
              <w:t>序号</w:t>
            </w:r>
          </w:p>
        </w:tc>
        <w:tc>
          <w:tcPr>
            <w:tcW w:w="1502" w:type="pct"/>
            <w:tcBorders>
              <w:tl2br w:val="nil"/>
              <w:tr2bl w:val="nil"/>
            </w:tcBorders>
            <w:vAlign w:val="center"/>
          </w:tcPr>
          <w:p>
            <w:pPr>
              <w:pStyle w:val="41"/>
              <w:rPr>
                <w:color w:val="auto"/>
                <w:highlight w:val="none"/>
              </w:rPr>
            </w:pPr>
            <w:r>
              <w:rPr>
                <w:color w:val="auto"/>
                <w:highlight w:val="none"/>
              </w:rPr>
              <w:t>项目</w:t>
            </w:r>
          </w:p>
        </w:tc>
        <w:tc>
          <w:tcPr>
            <w:tcW w:w="3004" w:type="pct"/>
            <w:tcBorders>
              <w:tl2br w:val="nil"/>
              <w:tr2bl w:val="nil"/>
            </w:tcBorders>
            <w:vAlign w:val="center"/>
          </w:tcPr>
          <w:p>
            <w:pPr>
              <w:pStyle w:val="41"/>
              <w:rPr>
                <w:color w:val="auto"/>
                <w:highlight w:val="none"/>
              </w:rPr>
            </w:pPr>
            <w:r>
              <w:rPr>
                <w:color w:val="auto"/>
                <w:highlight w:val="none"/>
              </w:rPr>
              <w:t>采用方法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pPr>
              <w:pStyle w:val="41"/>
              <w:rPr>
                <w:color w:val="auto"/>
                <w:highlight w:val="none"/>
              </w:rPr>
            </w:pPr>
            <w:r>
              <w:rPr>
                <w:color w:val="auto"/>
                <w:highlight w:val="none"/>
              </w:rPr>
              <w:t>1</w:t>
            </w:r>
          </w:p>
        </w:tc>
        <w:tc>
          <w:tcPr>
            <w:tcW w:w="1502" w:type="pct"/>
            <w:tcBorders>
              <w:tl2br w:val="nil"/>
              <w:tr2bl w:val="nil"/>
            </w:tcBorders>
            <w:vAlign w:val="center"/>
          </w:tcPr>
          <w:p>
            <w:pPr>
              <w:pStyle w:val="41"/>
              <w:rPr>
                <w:color w:val="auto"/>
                <w:highlight w:val="none"/>
              </w:rPr>
            </w:pPr>
            <w:r>
              <w:rPr>
                <w:color w:val="auto"/>
                <w:highlight w:val="none"/>
              </w:rPr>
              <w:t>环境影响因素识别方法</w:t>
            </w:r>
          </w:p>
        </w:tc>
        <w:tc>
          <w:tcPr>
            <w:tcW w:w="3004" w:type="pct"/>
            <w:tcBorders>
              <w:tl2br w:val="nil"/>
              <w:tr2bl w:val="nil"/>
            </w:tcBorders>
            <w:vAlign w:val="center"/>
          </w:tcPr>
          <w:p>
            <w:pPr>
              <w:pStyle w:val="41"/>
              <w:rPr>
                <w:color w:val="auto"/>
                <w:highlight w:val="none"/>
              </w:rPr>
            </w:pPr>
            <w:r>
              <w:rPr>
                <w:color w:val="auto"/>
                <w:highlight w:val="none"/>
              </w:rPr>
              <w:t>矩阵法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pPr>
              <w:pStyle w:val="41"/>
              <w:rPr>
                <w:color w:val="auto"/>
                <w:highlight w:val="none"/>
              </w:rPr>
            </w:pPr>
            <w:r>
              <w:rPr>
                <w:color w:val="auto"/>
                <w:highlight w:val="none"/>
              </w:rPr>
              <w:t>2</w:t>
            </w:r>
          </w:p>
        </w:tc>
        <w:tc>
          <w:tcPr>
            <w:tcW w:w="1502" w:type="pct"/>
            <w:tcBorders>
              <w:tl2br w:val="nil"/>
              <w:tr2bl w:val="nil"/>
            </w:tcBorders>
            <w:vAlign w:val="center"/>
          </w:tcPr>
          <w:p>
            <w:pPr>
              <w:pStyle w:val="41"/>
              <w:rPr>
                <w:color w:val="auto"/>
                <w:highlight w:val="none"/>
              </w:rPr>
            </w:pPr>
            <w:r>
              <w:rPr>
                <w:color w:val="auto"/>
                <w:highlight w:val="none"/>
              </w:rPr>
              <w:t>环境现状调查</w:t>
            </w:r>
          </w:p>
        </w:tc>
        <w:tc>
          <w:tcPr>
            <w:tcW w:w="3004" w:type="pct"/>
            <w:tcBorders>
              <w:tl2br w:val="nil"/>
              <w:tr2bl w:val="nil"/>
            </w:tcBorders>
            <w:vAlign w:val="center"/>
          </w:tcPr>
          <w:p>
            <w:pPr>
              <w:pStyle w:val="41"/>
              <w:rPr>
                <w:color w:val="auto"/>
                <w:highlight w:val="none"/>
              </w:rPr>
            </w:pPr>
            <w:r>
              <w:rPr>
                <w:color w:val="auto"/>
                <w:highlight w:val="none"/>
              </w:rPr>
              <w:t>收集资料法、现场调查法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pPr>
              <w:pStyle w:val="41"/>
              <w:rPr>
                <w:color w:val="auto"/>
                <w:highlight w:val="none"/>
              </w:rPr>
            </w:pPr>
            <w:r>
              <w:rPr>
                <w:color w:val="auto"/>
                <w:highlight w:val="none"/>
              </w:rPr>
              <w:t>3</w:t>
            </w:r>
          </w:p>
        </w:tc>
        <w:tc>
          <w:tcPr>
            <w:tcW w:w="1502" w:type="pct"/>
            <w:tcBorders>
              <w:tl2br w:val="nil"/>
              <w:tr2bl w:val="nil"/>
            </w:tcBorders>
            <w:vAlign w:val="center"/>
          </w:tcPr>
          <w:p>
            <w:pPr>
              <w:pStyle w:val="41"/>
              <w:rPr>
                <w:color w:val="auto"/>
                <w:highlight w:val="none"/>
              </w:rPr>
            </w:pPr>
            <w:r>
              <w:rPr>
                <w:color w:val="auto"/>
                <w:highlight w:val="none"/>
              </w:rPr>
              <w:t>工程分析</w:t>
            </w:r>
          </w:p>
        </w:tc>
        <w:tc>
          <w:tcPr>
            <w:tcW w:w="3004" w:type="pct"/>
            <w:tcBorders>
              <w:tl2br w:val="nil"/>
              <w:tr2bl w:val="nil"/>
            </w:tcBorders>
            <w:vAlign w:val="center"/>
          </w:tcPr>
          <w:p>
            <w:pPr>
              <w:pStyle w:val="41"/>
              <w:rPr>
                <w:color w:val="auto"/>
                <w:highlight w:val="none"/>
              </w:rPr>
            </w:pPr>
            <w:r>
              <w:rPr>
                <w:color w:val="auto"/>
                <w:highlight w:val="none"/>
              </w:rPr>
              <w:t>类比分析法、查阅参考资料法、产污系数法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1" w:hRule="atLeast"/>
        </w:trPr>
        <w:tc>
          <w:tcPr>
            <w:tcW w:w="494" w:type="pct"/>
            <w:tcBorders>
              <w:tl2br w:val="nil"/>
              <w:tr2bl w:val="nil"/>
            </w:tcBorders>
            <w:vAlign w:val="center"/>
          </w:tcPr>
          <w:p>
            <w:pPr>
              <w:pStyle w:val="41"/>
              <w:rPr>
                <w:color w:val="auto"/>
                <w:highlight w:val="none"/>
              </w:rPr>
            </w:pPr>
            <w:r>
              <w:rPr>
                <w:color w:val="auto"/>
                <w:highlight w:val="none"/>
              </w:rPr>
              <w:t>4</w:t>
            </w:r>
          </w:p>
        </w:tc>
        <w:tc>
          <w:tcPr>
            <w:tcW w:w="1502" w:type="pct"/>
            <w:tcBorders>
              <w:tl2br w:val="nil"/>
              <w:tr2bl w:val="nil"/>
            </w:tcBorders>
            <w:vAlign w:val="center"/>
          </w:tcPr>
          <w:p>
            <w:pPr>
              <w:pStyle w:val="41"/>
              <w:rPr>
                <w:color w:val="auto"/>
                <w:highlight w:val="none"/>
              </w:rPr>
            </w:pPr>
            <w:r>
              <w:rPr>
                <w:color w:val="auto"/>
                <w:highlight w:val="none"/>
              </w:rPr>
              <w:t>影响评价</w:t>
            </w:r>
          </w:p>
        </w:tc>
        <w:tc>
          <w:tcPr>
            <w:tcW w:w="3004" w:type="pct"/>
            <w:tcBorders>
              <w:tl2br w:val="nil"/>
              <w:tr2bl w:val="nil"/>
            </w:tcBorders>
            <w:vAlign w:val="center"/>
          </w:tcPr>
          <w:p>
            <w:pPr>
              <w:pStyle w:val="41"/>
              <w:rPr>
                <w:color w:val="auto"/>
                <w:highlight w:val="none"/>
              </w:rPr>
            </w:pPr>
            <w:r>
              <w:rPr>
                <w:color w:val="auto"/>
                <w:highlight w:val="none"/>
              </w:rPr>
              <w:t>类比分析法、数学模式法、物理模型法</w:t>
            </w:r>
          </w:p>
        </w:tc>
      </w:tr>
    </w:tbl>
    <w:p>
      <w:pPr>
        <w:pStyle w:val="49"/>
        <w:outlineLvl w:val="9"/>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47"/>
        <w:pageBreakBefore w:val="0"/>
        <w:widowControl/>
        <w:kinsoku/>
        <w:wordWrap/>
        <w:overflowPunct/>
        <w:topLinePunct w:val="0"/>
        <w:autoSpaceDE/>
        <w:autoSpaceDN/>
        <w:bidi w:val="0"/>
        <w:spacing w:line="480" w:lineRule="exact"/>
        <w:textAlignment w:val="auto"/>
        <w:rPr>
          <w:color w:val="auto"/>
          <w:highlight w:val="none"/>
        </w:rPr>
      </w:pPr>
      <w:bookmarkStart w:id="236" w:name="_Toc173942673"/>
      <w:bookmarkStart w:id="237" w:name="_Toc7921"/>
      <w:bookmarkStart w:id="238" w:name="_Toc173941719"/>
      <w:bookmarkStart w:id="239" w:name="_Toc18250"/>
      <w:bookmarkStart w:id="240" w:name="_Toc173941814"/>
      <w:bookmarkStart w:id="241" w:name="_Toc4648"/>
      <w:r>
        <w:rPr>
          <w:color w:val="auto"/>
          <w:highlight w:val="none"/>
        </w:rPr>
        <w:t>3.建设项目工程分析</w:t>
      </w:r>
      <w:bookmarkEnd w:id="236"/>
      <w:bookmarkEnd w:id="237"/>
      <w:bookmarkEnd w:id="238"/>
      <w:bookmarkEnd w:id="239"/>
      <w:bookmarkEnd w:id="240"/>
      <w:bookmarkEnd w:id="241"/>
    </w:p>
    <w:p>
      <w:pPr>
        <w:pStyle w:val="49"/>
        <w:pageBreakBefore w:val="0"/>
        <w:widowControl/>
        <w:kinsoku/>
        <w:wordWrap/>
        <w:overflowPunct/>
        <w:topLinePunct w:val="0"/>
        <w:autoSpaceDE/>
        <w:autoSpaceDN/>
        <w:bidi w:val="0"/>
        <w:spacing w:line="480" w:lineRule="exact"/>
        <w:textAlignment w:val="auto"/>
        <w:rPr>
          <w:color w:val="auto"/>
          <w:highlight w:val="none"/>
        </w:rPr>
      </w:pPr>
      <w:bookmarkStart w:id="242" w:name="_Toc173942675"/>
      <w:bookmarkStart w:id="243" w:name="_Toc7183"/>
      <w:bookmarkStart w:id="244" w:name="_Toc173941721"/>
      <w:bookmarkStart w:id="245" w:name="_Toc173941821"/>
      <w:bookmarkStart w:id="246" w:name="_Toc4170"/>
      <w:bookmarkStart w:id="247" w:name="_Toc29991"/>
      <w:bookmarkStart w:id="248" w:name="_Hlk95811231"/>
      <w:bookmarkStart w:id="249" w:name="_Hlk69406348"/>
      <w:r>
        <w:rPr>
          <w:color w:val="auto"/>
          <w:highlight w:val="none"/>
        </w:rPr>
        <w:t>3.</w:t>
      </w:r>
      <w:bookmarkEnd w:id="242"/>
      <w:bookmarkEnd w:id="243"/>
      <w:bookmarkEnd w:id="244"/>
      <w:bookmarkEnd w:id="245"/>
      <w:bookmarkEnd w:id="246"/>
      <w:r>
        <w:rPr>
          <w:rFonts w:hint="eastAsia"/>
          <w:color w:val="auto"/>
          <w:highlight w:val="none"/>
          <w:lang w:val="en-US" w:eastAsia="zh-CN"/>
        </w:rPr>
        <w:t>1</w:t>
      </w:r>
      <w:r>
        <w:rPr>
          <w:rFonts w:hint="eastAsia"/>
          <w:color w:val="auto"/>
          <w:highlight w:val="none"/>
        </w:rPr>
        <w:t>已建工程</w:t>
      </w:r>
      <w:bookmarkEnd w:id="247"/>
    </w:p>
    <w:p>
      <w:pPr>
        <w:pStyle w:val="53"/>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color w:val="auto"/>
          <w:highlight w:val="none"/>
        </w:rPr>
        <w:t>.</w:t>
      </w:r>
      <w:r>
        <w:rPr>
          <w:rFonts w:hint="eastAsia"/>
          <w:color w:val="auto"/>
          <w:highlight w:val="none"/>
          <w:lang w:val="en-US" w:eastAsia="zh-CN"/>
        </w:rPr>
        <w:t>1</w:t>
      </w:r>
      <w:r>
        <w:rPr>
          <w:color w:val="auto"/>
          <w:highlight w:val="none"/>
        </w:rPr>
        <w:t>.1</w:t>
      </w:r>
      <w:r>
        <w:rPr>
          <w:rFonts w:hint="eastAsia"/>
          <w:color w:val="auto"/>
          <w:highlight w:val="none"/>
        </w:rPr>
        <w:t>已建工程基本情况</w:t>
      </w:r>
    </w:p>
    <w:p>
      <w:pPr>
        <w:pStyle w:val="57"/>
        <w:pageBreakBefore w:val="0"/>
        <w:widowControl/>
        <w:kinsoku/>
        <w:wordWrap/>
        <w:overflowPunct/>
        <w:topLinePunct w:val="0"/>
        <w:autoSpaceDE/>
        <w:autoSpaceDN/>
        <w:bidi w:val="0"/>
        <w:spacing w:line="480" w:lineRule="exact"/>
        <w:textAlignment w:val="auto"/>
        <w:rPr>
          <w:rFonts w:hint="default" w:eastAsia="宋体"/>
          <w:color w:val="auto"/>
          <w:highlight w:val="none"/>
          <w:lang w:val="en-US" w:eastAsia="zh-CN"/>
        </w:rPr>
      </w:pPr>
      <w:r>
        <w:rPr>
          <w:rFonts w:hint="eastAsia"/>
          <w:color w:val="auto"/>
          <w:highlight w:val="none"/>
        </w:rPr>
        <w:t>新疆油田公司</w:t>
      </w:r>
      <w:r>
        <w:rPr>
          <w:rFonts w:hint="eastAsia"/>
          <w:color w:val="auto"/>
          <w:highlight w:val="none"/>
          <w:lang w:eastAsia="zh-CN"/>
        </w:rPr>
        <w:t>“十四五”规划</w:t>
      </w:r>
      <w:r>
        <w:rPr>
          <w:rFonts w:hint="eastAsia"/>
          <w:color w:val="auto"/>
          <w:highlight w:val="none"/>
        </w:rPr>
        <w:t>范围，主要为</w:t>
      </w:r>
      <w:r>
        <w:rPr>
          <w:rFonts w:hint="eastAsia"/>
          <w:color w:val="auto"/>
          <w:highlight w:val="none"/>
          <w:lang w:val="en-US" w:eastAsia="zh-CN"/>
        </w:rPr>
        <w:t>新油气田（玛北</w:t>
      </w:r>
      <w:bookmarkStart w:id="250" w:name="OLE_LINK13"/>
      <w:r>
        <w:rPr>
          <w:rFonts w:hint="eastAsia"/>
          <w:color w:val="auto"/>
          <w:highlight w:val="none"/>
          <w:lang w:val="en-US" w:eastAsia="zh-CN"/>
        </w:rPr>
        <w:t>区块</w:t>
      </w:r>
      <w:bookmarkEnd w:id="250"/>
      <w:r>
        <w:rPr>
          <w:rFonts w:hint="eastAsia"/>
          <w:color w:val="auto"/>
          <w:highlight w:val="none"/>
          <w:lang w:val="en-US" w:eastAsia="zh-CN"/>
        </w:rPr>
        <w:t>、艾湖区块、玛东区块、玛南区块、金龙区块、吉木萨尔页岩油）、老油气田（西北缘区块：采油一厂、采油二厂、重油公司、百口泉采油厂、风城油田作业区、黑油山公司；腹部区块：陆梁油田作业区、石西油田作业区；东部区块：准东采油厂、吉庆油田作业区）。</w:t>
      </w:r>
    </w:p>
    <w:p>
      <w:pPr>
        <w:pStyle w:val="57"/>
        <w:pageBreakBefore w:val="0"/>
        <w:widowControl/>
        <w:kinsoku/>
        <w:wordWrap/>
        <w:overflowPunct/>
        <w:topLinePunct w:val="0"/>
        <w:autoSpaceDE/>
        <w:autoSpaceDN/>
        <w:bidi w:val="0"/>
        <w:spacing w:line="480" w:lineRule="exact"/>
        <w:textAlignment w:val="auto"/>
        <w:rPr>
          <w:rFonts w:hint="eastAsia"/>
          <w:color w:val="auto"/>
          <w:szCs w:val="24"/>
          <w:lang w:eastAsia="zh-CN"/>
        </w:rPr>
      </w:pPr>
      <w:r>
        <w:rPr>
          <w:rFonts w:hint="eastAsia"/>
          <w:color w:val="auto"/>
          <w:highlight w:val="none"/>
        </w:rPr>
        <w:t>本次拟开发</w:t>
      </w:r>
      <w:bookmarkStart w:id="251" w:name="OLE_LINK16"/>
      <w:r>
        <w:rPr>
          <w:rFonts w:hint="eastAsia"/>
          <w:color w:val="auto"/>
          <w:highlight w:val="none"/>
          <w:lang w:val="en-US" w:eastAsia="zh-CN"/>
        </w:rPr>
        <w:t>丰探1井区</w:t>
      </w:r>
      <w:bookmarkEnd w:id="251"/>
      <w:r>
        <w:rPr>
          <w:rFonts w:hint="eastAsia"/>
          <w:color w:val="auto"/>
          <w:szCs w:val="24"/>
        </w:rPr>
        <w:t>产能建设工程（</w:t>
      </w:r>
      <w:r>
        <w:rPr>
          <w:color w:val="auto"/>
        </w:rPr>
        <w:t>以下简称“本工程”</w:t>
      </w:r>
      <w:r>
        <w:rPr>
          <w:rFonts w:hint="eastAsia"/>
          <w:color w:val="auto"/>
          <w:szCs w:val="24"/>
        </w:rPr>
        <w:t>）位于</w:t>
      </w:r>
      <w:r>
        <w:rPr>
          <w:rFonts w:hint="eastAsia"/>
          <w:color w:val="auto"/>
          <w:szCs w:val="24"/>
          <w:lang w:val="en-US" w:eastAsia="zh-CN"/>
        </w:rPr>
        <w:t>夏子街油田，属于</w:t>
      </w:r>
      <w:r>
        <w:rPr>
          <w:rFonts w:hint="eastAsia"/>
          <w:color w:val="auto"/>
          <w:highlight w:val="none"/>
          <w:lang w:val="en-US" w:eastAsia="zh-CN"/>
        </w:rPr>
        <w:t>风城油田作业区管辖。丰探1井区属于夏子街油田中的一个</w:t>
      </w:r>
      <w:r>
        <w:rPr>
          <w:rFonts w:hint="eastAsia"/>
          <w:color w:val="auto"/>
          <w:szCs w:val="24"/>
        </w:rPr>
        <w:t>勘探区块，</w:t>
      </w:r>
      <w:r>
        <w:rPr>
          <w:rFonts w:hint="eastAsia"/>
          <w:color w:val="auto"/>
          <w:szCs w:val="24"/>
          <w:lang w:eastAsia="zh-CN"/>
        </w:rPr>
        <w:t>截至</w:t>
      </w:r>
      <w:r>
        <w:rPr>
          <w:rFonts w:hint="eastAsia"/>
          <w:color w:val="auto"/>
          <w:szCs w:val="24"/>
        </w:rPr>
        <w:t>目前，</w:t>
      </w:r>
      <w:bookmarkStart w:id="252" w:name="OLE_LINK151"/>
      <w:r>
        <w:rPr>
          <w:rFonts w:hint="eastAsia"/>
          <w:color w:val="auto"/>
          <w:szCs w:val="24"/>
        </w:rPr>
        <w:t>丰探1井区共有11口评价井（丰探1、</w:t>
      </w:r>
      <w:bookmarkStart w:id="253" w:name="OLE_LINK14"/>
      <w:r>
        <w:rPr>
          <w:rFonts w:hint="eastAsia"/>
          <w:color w:val="auto"/>
          <w:szCs w:val="24"/>
        </w:rPr>
        <w:t>丰探101、丰探102、丰探103</w:t>
      </w:r>
      <w:bookmarkEnd w:id="253"/>
      <w:r>
        <w:rPr>
          <w:rFonts w:hint="eastAsia"/>
          <w:color w:val="auto"/>
          <w:szCs w:val="24"/>
        </w:rPr>
        <w:t>、夏211X、夏213、夏216、夏217、风城5、风城6X、风城7），</w:t>
      </w:r>
      <w:r>
        <w:rPr>
          <w:rFonts w:hint="eastAsia"/>
          <w:color w:val="auto"/>
          <w:szCs w:val="24"/>
          <w:lang w:val="en-US" w:eastAsia="zh-CN"/>
        </w:rPr>
        <w:t>其中9口井（</w:t>
      </w:r>
      <w:r>
        <w:rPr>
          <w:rFonts w:hint="eastAsia"/>
          <w:color w:val="auto"/>
          <w:szCs w:val="24"/>
        </w:rPr>
        <w:t>丰探1、丰探103、夏211X、夏213、夏216、夏217、风城5、风城6X、风城7</w:t>
      </w:r>
      <w:r>
        <w:rPr>
          <w:rFonts w:hint="eastAsia"/>
          <w:color w:val="auto"/>
          <w:szCs w:val="24"/>
          <w:lang w:val="en-US" w:eastAsia="zh-CN"/>
        </w:rPr>
        <w:t>）</w:t>
      </w:r>
      <w:r>
        <w:rPr>
          <w:rFonts w:hint="eastAsia"/>
          <w:color w:val="auto"/>
          <w:szCs w:val="24"/>
        </w:rPr>
        <w:t>已完钻</w:t>
      </w:r>
      <w:r>
        <w:rPr>
          <w:rFonts w:hint="eastAsia"/>
          <w:color w:val="auto"/>
          <w:szCs w:val="24"/>
          <w:lang w:eastAsia="zh-CN"/>
        </w:rPr>
        <w:t>，</w:t>
      </w:r>
      <w:r>
        <w:rPr>
          <w:rFonts w:hint="eastAsia"/>
          <w:color w:val="auto"/>
          <w:szCs w:val="24"/>
        </w:rPr>
        <w:t>丰探102、丰探103</w:t>
      </w:r>
      <w:r>
        <w:rPr>
          <w:rFonts w:hint="eastAsia"/>
          <w:color w:val="auto"/>
          <w:szCs w:val="24"/>
          <w:lang w:val="en-US" w:eastAsia="zh-CN"/>
        </w:rPr>
        <w:t>目前还在钻井作业</w:t>
      </w:r>
      <w:r>
        <w:rPr>
          <w:rFonts w:hint="eastAsia"/>
          <w:color w:val="auto"/>
          <w:szCs w:val="24"/>
        </w:rPr>
        <w:t>，还未建设油气集输管网系统</w:t>
      </w:r>
      <w:bookmarkEnd w:id="252"/>
      <w:r>
        <w:rPr>
          <w:rFonts w:hint="eastAsia"/>
          <w:color w:val="auto"/>
          <w:szCs w:val="24"/>
          <w:lang w:eastAsia="zh-CN"/>
        </w:rPr>
        <w:t>。</w:t>
      </w:r>
    </w:p>
    <w:p>
      <w:pPr>
        <w:pStyle w:val="57"/>
        <w:pageBreakBefore w:val="0"/>
        <w:kinsoku/>
        <w:wordWrap/>
        <w:overflowPunct/>
        <w:topLinePunct w:val="0"/>
        <w:autoSpaceDE/>
        <w:autoSpaceDN/>
        <w:bidi w:val="0"/>
        <w:spacing w:line="480" w:lineRule="exact"/>
        <w:rPr>
          <w:color w:val="auto"/>
        </w:rPr>
      </w:pPr>
      <w:r>
        <w:rPr>
          <w:rFonts w:hint="eastAsia"/>
          <w:color w:val="auto"/>
          <w:highlight w:val="none"/>
          <w:lang w:val="en-US" w:eastAsia="zh-CN"/>
        </w:rPr>
        <w:t>目前丰探1井区仅有勘探井项目，丰探1井</w:t>
      </w:r>
      <w:r>
        <w:rPr>
          <w:rFonts w:hint="default" w:ascii="Times New Roman" w:hAnsi="Times New Roman" w:cs="Times New Roman"/>
          <w:color w:val="auto"/>
          <w:szCs w:val="24"/>
          <w:highlight w:val="none"/>
          <w:lang w:val="en-US" w:eastAsia="zh-CN"/>
        </w:rPr>
        <w:t>2024年2月15日完钻</w:t>
      </w:r>
      <w:r>
        <w:rPr>
          <w:rFonts w:hint="eastAsia" w:ascii="Times New Roman" w:hAnsi="Times New Roman" w:cs="Times New Roman"/>
          <w:color w:val="auto"/>
          <w:szCs w:val="24"/>
          <w:highlight w:val="none"/>
          <w:lang w:val="en-US" w:eastAsia="zh-CN"/>
        </w:rPr>
        <w:t>后试油，</w:t>
      </w:r>
      <w:r>
        <w:rPr>
          <w:rFonts w:hint="default" w:ascii="Times New Roman" w:hAnsi="Times New Roman" w:cs="Times New Roman"/>
          <w:color w:val="auto"/>
          <w:szCs w:val="24"/>
          <w:highlight w:val="none"/>
          <w:lang w:val="en-US" w:eastAsia="zh-CN"/>
        </w:rPr>
        <w:t>在目的层风城组油气显示活跃，气测异常明显，录井解释油层60层250m、差油层35层330m；测井解释油层173.5m、差油层240.7m、含油层127.6m。丰探1井在风城组一段+佳木河组5511m</w:t>
      </w:r>
      <w:r>
        <w:rPr>
          <w:rFonts w:hint="eastAsia" w:cs="Times New Roman"/>
          <w:color w:val="auto"/>
          <w:szCs w:val="24"/>
          <w:highlight w:val="none"/>
          <w:lang w:val="en-US" w:eastAsia="zh-CN"/>
        </w:rPr>
        <w:t>～</w:t>
      </w:r>
      <w:r>
        <w:rPr>
          <w:rFonts w:hint="default" w:ascii="Times New Roman" w:hAnsi="Times New Roman" w:cs="Times New Roman"/>
          <w:color w:val="auto"/>
          <w:szCs w:val="24"/>
          <w:highlight w:val="none"/>
          <w:lang w:val="en-US" w:eastAsia="zh-CN"/>
        </w:rPr>
        <w:t>5750m火山岩段合试，获日产油1.17t，累产油13.36t；在风城组一段顶部与风城组二段中下部5280m</w:t>
      </w:r>
      <w:r>
        <w:rPr>
          <w:rFonts w:hint="eastAsia" w:cs="Times New Roman"/>
          <w:color w:val="auto"/>
          <w:szCs w:val="24"/>
          <w:highlight w:val="none"/>
          <w:lang w:val="en-US" w:eastAsia="zh-CN"/>
        </w:rPr>
        <w:t>～</w:t>
      </w:r>
      <w:r>
        <w:rPr>
          <w:rFonts w:hint="default" w:ascii="Times New Roman" w:hAnsi="Times New Roman" w:cs="Times New Roman"/>
          <w:color w:val="auto"/>
          <w:szCs w:val="24"/>
          <w:highlight w:val="none"/>
          <w:lang w:val="en-US" w:eastAsia="zh-CN"/>
        </w:rPr>
        <w:t>5457m合试，获日产油97.9t，日产气7770m</w:t>
      </w:r>
      <w:r>
        <w:rPr>
          <w:rFonts w:hint="default" w:ascii="Times New Roman" w:hAnsi="Times New Roman" w:cs="Times New Roman"/>
          <w:color w:val="auto"/>
          <w:szCs w:val="24"/>
          <w:highlight w:val="none"/>
          <w:vertAlign w:val="superscript"/>
          <w:lang w:val="en-US" w:eastAsia="zh-CN"/>
        </w:rPr>
        <w:t>3</w:t>
      </w:r>
      <w:r>
        <w:rPr>
          <w:rFonts w:hint="default" w:ascii="Times New Roman" w:hAnsi="Times New Roman" w:cs="Times New Roman"/>
          <w:color w:val="auto"/>
          <w:szCs w:val="24"/>
          <w:highlight w:val="none"/>
          <w:lang w:val="en-US" w:eastAsia="zh-CN"/>
        </w:rPr>
        <w:t>；在风二段中上部与风三段中下部合试，获日产油42.47t，证实了断裂带风城组具备高产条件。</w:t>
      </w:r>
      <w:r>
        <w:rPr>
          <w:rFonts w:hint="eastAsia"/>
          <w:color w:val="auto"/>
        </w:rPr>
        <w:t>试油评价结果表明，该区块有一定储量的</w:t>
      </w:r>
      <w:r>
        <w:rPr>
          <w:rFonts w:hint="eastAsia"/>
          <w:color w:val="auto"/>
          <w:lang w:val="en-US" w:eastAsia="zh-CN"/>
        </w:rPr>
        <w:t>页岩油气</w:t>
      </w:r>
      <w:r>
        <w:rPr>
          <w:rFonts w:hint="eastAsia"/>
          <w:color w:val="auto"/>
        </w:rPr>
        <w:t>资源，</w:t>
      </w:r>
      <w:r>
        <w:rPr>
          <w:rFonts w:hint="default" w:ascii="Times New Roman" w:hAnsi="Times New Roman" w:cs="Times New Roman"/>
          <w:color w:val="auto"/>
          <w:szCs w:val="24"/>
          <w:highlight w:val="none"/>
        </w:rPr>
        <w:t>为加快储量升级、推动风城组有序动用，同时落实二叠系风城组合理的井网参数及井组生产规律，探索页岩油小井距立体开发模式</w:t>
      </w:r>
      <w:r>
        <w:rPr>
          <w:rFonts w:hint="eastAsia"/>
          <w:color w:val="auto"/>
        </w:rPr>
        <w:t>，需要配套完善地面工程</w:t>
      </w:r>
      <w:r>
        <w:rPr>
          <w:rFonts w:hint="eastAsia" w:ascii="Times New Roman" w:hAnsi="Times New Roman" w:cs="Times New Roman"/>
          <w:color w:val="auto"/>
          <w:szCs w:val="24"/>
          <w:highlight w:val="none"/>
          <w:lang w:eastAsia="zh-CN"/>
        </w:rPr>
        <w:t>，</w:t>
      </w:r>
      <w:r>
        <w:rPr>
          <w:rFonts w:hint="eastAsia" w:ascii="Times New Roman" w:hAnsi="Times New Roman" w:cs="Times New Roman"/>
          <w:color w:val="auto"/>
          <w:szCs w:val="24"/>
          <w:highlight w:val="none"/>
          <w:lang w:val="en-US" w:eastAsia="zh-CN"/>
        </w:rPr>
        <w:t>故</w:t>
      </w:r>
      <w:r>
        <w:rPr>
          <w:rFonts w:hint="default" w:ascii="Times New Roman" w:hAnsi="Times New Roman" w:cs="Times New Roman"/>
          <w:color w:val="auto"/>
          <w:szCs w:val="24"/>
          <w:highlight w:val="none"/>
        </w:rPr>
        <w:t>玛湖项目部拟实施</w:t>
      </w:r>
      <w:r>
        <w:rPr>
          <w:rFonts w:hint="default" w:ascii="Times New Roman" w:hAnsi="Times New Roman" w:cs="Times New Roman"/>
          <w:color w:val="auto"/>
          <w:szCs w:val="24"/>
          <w:highlight w:val="none"/>
          <w:lang w:eastAsia="zh-CN"/>
        </w:rPr>
        <w:t>“新疆夏子街油田丰探1井区二叠系风城组页岩油2025年产能建设项目”，</w:t>
      </w:r>
      <w:r>
        <w:rPr>
          <w:rFonts w:hint="eastAsia"/>
          <w:color w:val="auto"/>
        </w:rPr>
        <w:t>实现该区块开发。</w:t>
      </w:r>
    </w:p>
    <w:p>
      <w:pPr>
        <w:pStyle w:val="54"/>
        <w:pageBreakBefore w:val="0"/>
        <w:kinsoku/>
        <w:wordWrap/>
        <w:overflowPunct/>
        <w:topLinePunct w:val="0"/>
        <w:autoSpaceDE/>
        <w:autoSpaceDN/>
        <w:bidi w:val="0"/>
        <w:spacing w:line="480" w:lineRule="exact"/>
        <w:rPr>
          <w:rFonts w:hint="eastAsia" w:hAnsi="宋体"/>
          <w:color w:val="auto"/>
        </w:rPr>
      </w:pPr>
    </w:p>
    <w:p>
      <w:pPr>
        <w:pStyle w:val="54"/>
        <w:pageBreakBefore w:val="0"/>
        <w:kinsoku/>
        <w:wordWrap/>
        <w:overflowPunct/>
        <w:topLinePunct w:val="0"/>
        <w:autoSpaceDE/>
        <w:autoSpaceDN/>
        <w:bidi w:val="0"/>
        <w:spacing w:line="480" w:lineRule="exact"/>
        <w:ind w:left="0" w:leftChars="0" w:firstLine="0" w:firstLineChars="0"/>
        <w:jc w:val="both"/>
        <w:rPr>
          <w:rFonts w:hint="eastAsia" w:hAnsi="宋体"/>
          <w:color w:val="auto"/>
        </w:rPr>
      </w:pPr>
    </w:p>
    <w:p>
      <w:pPr>
        <w:pStyle w:val="54"/>
        <w:pageBreakBefore w:val="0"/>
        <w:kinsoku/>
        <w:wordWrap/>
        <w:overflowPunct/>
        <w:topLinePunct w:val="0"/>
        <w:autoSpaceDE/>
        <w:autoSpaceDN/>
        <w:bidi w:val="0"/>
        <w:spacing w:line="480" w:lineRule="exact"/>
        <w:rPr>
          <w:color w:val="auto"/>
          <w:lang w:val="zh-CN"/>
        </w:rPr>
      </w:pPr>
      <w:r>
        <w:rPr>
          <w:rFonts w:hint="eastAsia" w:hAnsi="宋体"/>
          <w:color w:val="auto"/>
        </w:rPr>
        <w:t xml:space="preserve">表3.1-1       </w:t>
      </w:r>
      <w:r>
        <w:rPr>
          <w:rFonts w:hint="eastAsia"/>
          <w:color w:val="auto"/>
          <w:lang w:val="zh-CN"/>
        </w:rPr>
        <w:t xml:space="preserve">  已建工程基本概况一览表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604"/>
        <w:gridCol w:w="1765"/>
        <w:gridCol w:w="1765"/>
        <w:gridCol w:w="1765"/>
        <w:gridCol w:w="176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名称</w:t>
            </w:r>
          </w:p>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丰探1井</w:t>
            </w: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丰探</w:t>
            </w:r>
            <w:r>
              <w:rPr>
                <w:rFonts w:hint="default" w:ascii="Times New Roman" w:hAnsi="Times New Roman" w:cs="Times New Roman"/>
                <w:color w:val="auto"/>
                <w:sz w:val="21"/>
                <w:szCs w:val="21"/>
                <w:lang w:val="en-US" w:eastAsia="zh-CN"/>
              </w:rPr>
              <w:t>101</w:t>
            </w:r>
            <w:r>
              <w:rPr>
                <w:rFonts w:hint="default" w:ascii="Times New Roman" w:hAnsi="Times New Roman" w:cs="Times New Roman"/>
                <w:color w:val="auto"/>
                <w:sz w:val="21"/>
                <w:szCs w:val="21"/>
              </w:rPr>
              <w:t>井</w:t>
            </w: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丰探</w:t>
            </w:r>
            <w:r>
              <w:rPr>
                <w:rFonts w:hint="default" w:ascii="Times New Roman" w:hAnsi="Times New Roman" w:cs="Times New Roman"/>
                <w:color w:val="auto"/>
                <w:sz w:val="21"/>
                <w:szCs w:val="21"/>
                <w:lang w:val="en-US" w:eastAsia="zh-CN"/>
              </w:rPr>
              <w:t>102</w:t>
            </w:r>
            <w:r>
              <w:rPr>
                <w:rFonts w:hint="default" w:ascii="Times New Roman" w:hAnsi="Times New Roman" w:cs="Times New Roman"/>
                <w:color w:val="auto"/>
                <w:sz w:val="21"/>
                <w:szCs w:val="21"/>
              </w:rPr>
              <w:t>井</w:t>
            </w:r>
          </w:p>
        </w:tc>
        <w:tc>
          <w:tcPr>
            <w:tcW w:w="10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丰探</w:t>
            </w:r>
            <w:r>
              <w:rPr>
                <w:rFonts w:hint="default" w:ascii="Times New Roman" w:hAnsi="Times New Roman" w:cs="Times New Roman"/>
                <w:color w:val="auto"/>
                <w:sz w:val="21"/>
                <w:szCs w:val="21"/>
                <w:lang w:val="en-US" w:eastAsia="zh-CN"/>
              </w:rPr>
              <w:t>103</w:t>
            </w:r>
            <w:r>
              <w:rPr>
                <w:rFonts w:hint="default" w:ascii="Times New Roman" w:hAnsi="Times New Roman" w:cs="Times New Roman"/>
                <w:color w:val="auto"/>
                <w:sz w:val="21"/>
                <w:szCs w:val="21"/>
              </w:rPr>
              <w: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4074" w:type="pct"/>
            <w:gridSpan w:val="4"/>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新疆维吾尔自治区塔城地区和布克赛尔蒙古自治县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p>
        </w:tc>
        <w:tc>
          <w:tcPr>
            <w:tcW w:w="1020" w:type="pct"/>
            <w:tcBorders>
              <w:tl2br w:val="nil"/>
              <w:tr2bl w:val="nil"/>
            </w:tcBorders>
            <w:vAlign w:val="center"/>
          </w:tcPr>
          <w:p>
            <w:pPr>
              <w:pStyle w:val="41"/>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设计井深</w:t>
            </w:r>
          </w:p>
        </w:tc>
        <w:tc>
          <w:tcPr>
            <w:tcW w:w="1018" w:type="pct"/>
            <w:tcBorders>
              <w:tl2br w:val="nil"/>
              <w:tr2bl w:val="nil"/>
            </w:tcBorders>
            <w:vAlign w:val="center"/>
          </w:tcPr>
          <w:p>
            <w:pPr>
              <w:pStyle w:val="41"/>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5680</w:t>
            </w:r>
            <w:r>
              <w:rPr>
                <w:rFonts w:hint="default" w:ascii="Times New Roman" w:hAnsi="Times New Roman" w:cs="Times New Roman"/>
                <w:color w:val="auto"/>
                <w:sz w:val="21"/>
                <w:szCs w:val="21"/>
              </w:rPr>
              <w:t>m</w:t>
            </w:r>
          </w:p>
        </w:tc>
        <w:tc>
          <w:tcPr>
            <w:tcW w:w="1765" w:type="dxa"/>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kern w:val="0"/>
                <w:szCs w:val="21"/>
                <w:lang w:bidi="ar"/>
              </w:rPr>
              <w:t>5450</w:t>
            </w:r>
          </w:p>
        </w:tc>
        <w:tc>
          <w:tcPr>
            <w:tcW w:w="1765" w:type="dxa"/>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kern w:val="0"/>
                <w:szCs w:val="21"/>
                <w:lang w:bidi="ar"/>
              </w:rPr>
              <w:t>5460</w:t>
            </w:r>
          </w:p>
        </w:tc>
        <w:tc>
          <w:tcPr>
            <w:tcW w:w="1769" w:type="dxa"/>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kern w:val="0"/>
                <w:szCs w:val="21"/>
                <w:lang w:bidi="ar"/>
              </w:rPr>
              <w:t>5276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实际井深</w:t>
            </w: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5750</w:t>
            </w:r>
            <w:r>
              <w:rPr>
                <w:rFonts w:hint="default" w:ascii="Times New Roman" w:hAnsi="Times New Roman" w:cs="Times New Roman"/>
                <w:color w:val="auto"/>
                <w:sz w:val="21"/>
                <w:szCs w:val="21"/>
              </w:rPr>
              <w:t>m</w:t>
            </w:r>
          </w:p>
        </w:tc>
        <w:tc>
          <w:tcPr>
            <w:tcW w:w="1765" w:type="dxa"/>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rFonts w:hint="eastAsia"/>
                <w:color w:val="auto"/>
                <w:szCs w:val="21"/>
              </w:rPr>
              <w:t>未完钻</w:t>
            </w:r>
          </w:p>
        </w:tc>
        <w:tc>
          <w:tcPr>
            <w:tcW w:w="1765" w:type="dxa"/>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rFonts w:hint="eastAsia"/>
                <w:color w:val="auto"/>
                <w:szCs w:val="21"/>
              </w:rPr>
              <w:t>未完钻</w:t>
            </w:r>
          </w:p>
        </w:tc>
        <w:tc>
          <w:tcPr>
            <w:tcW w:w="1769" w:type="dxa"/>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szCs w:val="21"/>
              </w:rPr>
              <w:t>5318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开钻时间</w:t>
            </w:r>
          </w:p>
        </w:tc>
        <w:tc>
          <w:tcPr>
            <w:tcW w:w="1018" w:type="pct"/>
            <w:tcBorders>
              <w:tl2br w:val="nil"/>
              <w:tr2bl w:val="nil"/>
            </w:tcBorders>
            <w:vAlign w:val="center"/>
          </w:tcPr>
          <w:p>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2023年</w:t>
            </w:r>
            <w:r>
              <w:rPr>
                <w:rFonts w:hint="default" w:ascii="Times New Roman" w:hAnsi="Times New Roman" w:cs="Times New Roman"/>
                <w:color w:val="auto"/>
                <w:sz w:val="21"/>
                <w:szCs w:val="21"/>
                <w:highlight w:val="none"/>
                <w:lang w:val="en-US" w:eastAsia="zh-CN"/>
              </w:rPr>
              <w:t>10</w:t>
            </w:r>
            <w:r>
              <w:rPr>
                <w:rFonts w:hint="default" w:ascii="Times New Roman" w:hAnsi="Times New Roman" w:cs="Times New Roman"/>
                <w:color w:val="auto"/>
                <w:sz w:val="21"/>
                <w:szCs w:val="21"/>
                <w:highlight w:val="none"/>
              </w:rPr>
              <w:t>月</w:t>
            </w:r>
            <w:r>
              <w:rPr>
                <w:rFonts w:hint="default"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日</w:t>
            </w:r>
          </w:p>
        </w:tc>
        <w:tc>
          <w:tcPr>
            <w:tcW w:w="1765" w:type="dxa"/>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rPr>
            </w:pPr>
            <w:r>
              <w:rPr>
                <w:rFonts w:hint="eastAsia"/>
                <w:color w:val="auto"/>
                <w:szCs w:val="21"/>
                <w:highlight w:val="none"/>
              </w:rPr>
              <w:t>2025-07-11</w:t>
            </w:r>
          </w:p>
        </w:tc>
        <w:tc>
          <w:tcPr>
            <w:tcW w:w="1765" w:type="dxa"/>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rPr>
            </w:pPr>
            <w:r>
              <w:rPr>
                <w:rFonts w:hint="eastAsia"/>
                <w:color w:val="auto"/>
                <w:szCs w:val="21"/>
                <w:highlight w:val="none"/>
              </w:rPr>
              <w:t>2025-07-11</w:t>
            </w:r>
          </w:p>
        </w:tc>
        <w:tc>
          <w:tcPr>
            <w:tcW w:w="1769" w:type="dxa"/>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月</w:t>
            </w:r>
            <w:r>
              <w:rPr>
                <w:rFonts w:hint="eastAsia" w:cs="Times New Roman"/>
                <w:color w:val="auto"/>
                <w:sz w:val="21"/>
                <w:szCs w:val="21"/>
                <w:highlight w:val="none"/>
                <w:lang w:val="en-US" w:eastAsia="zh-CN"/>
              </w:rPr>
              <w:t>14</w:t>
            </w:r>
            <w:r>
              <w:rPr>
                <w:rFonts w:hint="default" w:ascii="Times New Roman" w:hAnsi="Times New Roman" w:cs="Times New Roman"/>
                <w:color w:val="auto"/>
                <w:sz w:val="21"/>
                <w:szCs w:val="21"/>
                <w:highlight w:val="none"/>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完钻时间</w:t>
            </w: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202</w:t>
            </w:r>
            <w:r>
              <w:rPr>
                <w:rFonts w:hint="default" w:ascii="Times New Roman" w:hAnsi="Times New Roman" w:cs="Times New Roman"/>
                <w:color w:val="auto"/>
                <w:sz w:val="21"/>
                <w:szCs w:val="21"/>
                <w:lang w:val="en-US" w:eastAsia="zh-CN"/>
              </w:rPr>
              <w:t>4</w:t>
            </w:r>
            <w:r>
              <w:rPr>
                <w:rFonts w:hint="default" w:ascii="Times New Roman" w:hAnsi="Times New Roman" w:cs="Times New Roman"/>
                <w:color w:val="auto"/>
                <w:sz w:val="21"/>
                <w:szCs w:val="21"/>
              </w:rPr>
              <w:t>年</w:t>
            </w:r>
            <w:r>
              <w:rPr>
                <w:rFonts w:hint="default" w:ascii="Times New Roman" w:hAnsi="Times New Roman" w:cs="Times New Roman"/>
                <w:color w:val="auto"/>
                <w:sz w:val="21"/>
                <w:szCs w:val="21"/>
                <w:lang w:val="en-US" w:eastAsia="zh-CN"/>
              </w:rPr>
              <w:t>2</w:t>
            </w:r>
            <w:r>
              <w:rPr>
                <w:rFonts w:hint="default" w:ascii="Times New Roman" w:hAnsi="Times New Roman" w:cs="Times New Roman"/>
                <w:color w:val="auto"/>
                <w:sz w:val="21"/>
                <w:szCs w:val="21"/>
              </w:rPr>
              <w:t>月</w:t>
            </w:r>
            <w:r>
              <w:rPr>
                <w:rFonts w:hint="default" w:ascii="Times New Roman" w:hAnsi="Times New Roman" w:cs="Times New Roman"/>
                <w:color w:val="auto"/>
                <w:sz w:val="21"/>
                <w:szCs w:val="21"/>
                <w:lang w:val="en-US" w:eastAsia="zh-CN"/>
              </w:rPr>
              <w:t>15</w:t>
            </w:r>
            <w:r>
              <w:rPr>
                <w:rFonts w:hint="default" w:ascii="Times New Roman" w:hAnsi="Times New Roman" w:cs="Times New Roman"/>
                <w:color w:val="auto"/>
                <w:sz w:val="21"/>
                <w:szCs w:val="21"/>
              </w:rPr>
              <w:t>日</w:t>
            </w:r>
          </w:p>
        </w:tc>
        <w:tc>
          <w:tcPr>
            <w:tcW w:w="1765" w:type="dxa"/>
            <w:tcBorders>
              <w:tl2br w:val="nil"/>
              <w:tr2bl w:val="nil"/>
            </w:tcBorders>
            <w:vAlign w:val="center"/>
          </w:tcPr>
          <w:p>
            <w:pPr>
              <w:pStyle w:val="41"/>
              <w:ind w:firstLine="0" w:firstLineChars="0"/>
              <w:rPr>
                <w:rFonts w:hint="eastAsia" w:ascii="Times New Roman" w:hAnsi="Times New Roman" w:eastAsia="宋体" w:cs="Times New Roman"/>
                <w:color w:val="auto"/>
                <w:sz w:val="21"/>
                <w:szCs w:val="21"/>
                <w:lang w:val="en-US" w:eastAsia="zh-CN"/>
              </w:rPr>
            </w:pPr>
            <w:r>
              <w:rPr>
                <w:rFonts w:hint="eastAsia"/>
                <w:color w:val="auto"/>
                <w:szCs w:val="21"/>
              </w:rPr>
              <w:t>/</w:t>
            </w:r>
          </w:p>
        </w:tc>
        <w:tc>
          <w:tcPr>
            <w:tcW w:w="1765" w:type="dxa"/>
            <w:tcBorders>
              <w:tl2br w:val="nil"/>
              <w:tr2bl w:val="nil"/>
            </w:tcBorders>
            <w:vAlign w:val="center"/>
          </w:tcPr>
          <w:p>
            <w:pPr>
              <w:pStyle w:val="41"/>
              <w:ind w:firstLine="0" w:firstLineChars="0"/>
              <w:rPr>
                <w:rFonts w:hint="eastAsia" w:ascii="Times New Roman" w:hAnsi="Times New Roman" w:eastAsia="宋体" w:cs="Times New Roman"/>
                <w:color w:val="auto"/>
                <w:sz w:val="21"/>
                <w:szCs w:val="21"/>
                <w:lang w:val="en-US" w:eastAsia="zh-CN"/>
              </w:rPr>
            </w:pPr>
            <w:r>
              <w:rPr>
                <w:rFonts w:hint="eastAsia"/>
                <w:color w:val="auto"/>
                <w:szCs w:val="21"/>
              </w:rPr>
              <w:t>/</w:t>
            </w:r>
          </w:p>
        </w:tc>
        <w:tc>
          <w:tcPr>
            <w:tcW w:w="1769" w:type="dxa"/>
            <w:tcBorders>
              <w:tl2br w:val="nil"/>
              <w:tr2bl w:val="nil"/>
            </w:tcBorders>
            <w:vAlign w:val="center"/>
          </w:tcPr>
          <w:p>
            <w:pPr>
              <w:pStyle w:val="41"/>
              <w:ind w:firstLine="0" w:firstLineChars="0"/>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rPr>
              <w:t>202</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月</w:t>
            </w:r>
            <w:r>
              <w:rPr>
                <w:rFonts w:hint="eastAsia" w:cs="Times New Roman"/>
                <w:color w:val="auto"/>
                <w:sz w:val="21"/>
                <w:szCs w:val="21"/>
                <w:highlight w:val="none"/>
                <w:lang w:val="en-US" w:eastAsia="zh-CN"/>
              </w:rPr>
              <w:t>28</w:t>
            </w:r>
            <w:r>
              <w:rPr>
                <w:rFonts w:hint="default" w:ascii="Times New Roman" w:hAnsi="Times New Roman" w:cs="Times New Roman"/>
                <w:color w:val="auto"/>
                <w:sz w:val="21"/>
                <w:szCs w:val="21"/>
                <w:highlight w:val="none"/>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完钻层位</w:t>
            </w:r>
          </w:p>
        </w:tc>
        <w:tc>
          <w:tcPr>
            <w:tcW w:w="1018" w:type="pct"/>
            <w:tcBorders>
              <w:tl2br w:val="nil"/>
              <w:tr2bl w:val="nil"/>
            </w:tcBorders>
            <w:vAlign w:val="center"/>
          </w:tcPr>
          <w:p>
            <w:pPr>
              <w:pStyle w:val="41"/>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风城组</w:t>
            </w:r>
          </w:p>
        </w:tc>
        <w:tc>
          <w:tcPr>
            <w:tcW w:w="1765" w:type="dxa"/>
            <w:tcBorders>
              <w:tl2br w:val="nil"/>
              <w:tr2bl w:val="nil"/>
            </w:tcBorders>
            <w:vAlign w:val="center"/>
          </w:tcPr>
          <w:p>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c>
          <w:tcPr>
            <w:tcW w:w="1765" w:type="dxa"/>
            <w:tcBorders>
              <w:tl2br w:val="nil"/>
              <w:tr2bl w:val="nil"/>
            </w:tcBorders>
            <w:vAlign w:val="center"/>
          </w:tcPr>
          <w:p>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c>
          <w:tcPr>
            <w:tcW w:w="1769" w:type="dxa"/>
            <w:tcBorders>
              <w:tl2br w:val="nil"/>
              <w:tr2bl w:val="nil"/>
            </w:tcBorders>
            <w:vAlign w:val="center"/>
          </w:tcPr>
          <w:p>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完井形式</w:t>
            </w: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套管完井</w:t>
            </w:r>
          </w:p>
        </w:tc>
        <w:tc>
          <w:tcPr>
            <w:tcW w:w="1765" w:type="dxa"/>
            <w:tcBorders>
              <w:tl2br w:val="nil"/>
              <w:tr2bl w:val="nil"/>
            </w:tcBorders>
            <w:vAlign w:val="center"/>
          </w:tcPr>
          <w:p>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c>
          <w:tcPr>
            <w:tcW w:w="1765" w:type="dxa"/>
            <w:tcBorders>
              <w:tl2br w:val="nil"/>
              <w:tr2bl w:val="nil"/>
            </w:tcBorders>
            <w:vAlign w:val="center"/>
          </w:tcPr>
          <w:p>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c>
          <w:tcPr>
            <w:tcW w:w="1769" w:type="dxa"/>
            <w:tcBorders>
              <w:tl2br w:val="nil"/>
              <w:tr2bl w:val="nil"/>
            </w:tcBorders>
            <w:vAlign w:val="center"/>
          </w:tcPr>
          <w:p>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井场布置</w:t>
            </w:r>
          </w:p>
        </w:tc>
        <w:tc>
          <w:tcPr>
            <w:tcW w:w="4074" w:type="pct"/>
            <w:gridSpan w:val="4"/>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钻井平台、应急池、放喷池、泥浆暂存池等设施，撬装设施包括发电机房、泥浆罐、泥浆泵、柴油罐等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5"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w:t>
            </w:r>
          </w:p>
        </w:tc>
        <w:tc>
          <w:tcPr>
            <w:tcW w:w="4074" w:type="pct"/>
            <w:gridSpan w:val="4"/>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进行井场临时施工设施拆除、井场设备搬迁以及钻井产生的“三废”处理，井场地面、泥浆暂存池平整恢复及临时占地恢复、放喷池已清理</w:t>
            </w:r>
          </w:p>
        </w:tc>
      </w:tr>
    </w:tbl>
    <w:p>
      <w:pPr>
        <w:pStyle w:val="54"/>
        <w:pageBreakBefore w:val="0"/>
        <w:kinsoku/>
        <w:wordWrap/>
        <w:overflowPunct/>
        <w:topLinePunct w:val="0"/>
        <w:autoSpaceDE/>
        <w:autoSpaceDN/>
        <w:bidi w:val="0"/>
        <w:spacing w:line="480" w:lineRule="exact"/>
        <w:rPr>
          <w:color w:val="auto"/>
          <w:lang w:val="zh-CN"/>
        </w:rPr>
      </w:pPr>
      <w:r>
        <w:rPr>
          <w:rFonts w:hint="eastAsia" w:hAnsi="宋体"/>
          <w:color w:val="auto"/>
        </w:rPr>
        <w:t>表3.1-</w:t>
      </w:r>
      <w:r>
        <w:rPr>
          <w:rFonts w:hint="eastAsia" w:hAnsi="宋体"/>
          <w:color w:val="auto"/>
          <w:lang w:val="en-US" w:eastAsia="zh-CN"/>
        </w:rPr>
        <w:t>2</w:t>
      </w:r>
      <w:r>
        <w:rPr>
          <w:rFonts w:hint="eastAsia" w:hAnsi="宋体"/>
          <w:color w:val="auto"/>
        </w:rPr>
        <w:t xml:space="preserve">       </w:t>
      </w:r>
      <w:r>
        <w:rPr>
          <w:rFonts w:hint="eastAsia"/>
          <w:color w:val="auto"/>
          <w:lang w:val="zh-CN"/>
        </w:rPr>
        <w:t xml:space="preserve">  已建工程基本概况一览表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602"/>
        <w:gridCol w:w="1765"/>
        <w:gridCol w:w="1696"/>
        <w:gridCol w:w="1620"/>
        <w:gridCol w:w="19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名称</w:t>
            </w:r>
          </w:p>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1018" w:type="pct"/>
            <w:tcBorders>
              <w:tl2br w:val="nil"/>
              <w:tr2bl w:val="nil"/>
            </w:tcBorders>
            <w:vAlign w:val="center"/>
          </w:tcPr>
          <w:p>
            <w:pPr>
              <w:pStyle w:val="41"/>
              <w:rPr>
                <w:rFonts w:hint="default" w:ascii="Times New Roman" w:hAnsi="Times New Roman" w:cs="Times New Roman"/>
                <w:color w:val="auto"/>
                <w:sz w:val="21"/>
                <w:szCs w:val="21"/>
              </w:rPr>
            </w:pPr>
            <w:bookmarkStart w:id="254" w:name="OLE_LINK148"/>
            <w:r>
              <w:rPr>
                <w:rFonts w:hint="default" w:ascii="Times New Roman" w:hAnsi="Times New Roman" w:cs="Times New Roman"/>
                <w:color w:val="auto"/>
                <w:sz w:val="21"/>
                <w:szCs w:val="21"/>
              </w:rPr>
              <w:t>夏211X井</w:t>
            </w:r>
            <w:bookmarkEnd w:id="254"/>
          </w:p>
        </w:tc>
        <w:tc>
          <w:tcPr>
            <w:tcW w:w="978" w:type="pct"/>
            <w:tcBorders>
              <w:tl2br w:val="nil"/>
              <w:tr2bl w:val="nil"/>
            </w:tcBorders>
            <w:vAlign w:val="center"/>
          </w:tcPr>
          <w:p>
            <w:pPr>
              <w:pStyle w:val="4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夏213井</w:t>
            </w:r>
          </w:p>
        </w:tc>
        <w:tc>
          <w:tcPr>
            <w:tcW w:w="93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夏217井</w:t>
            </w:r>
          </w:p>
        </w:tc>
        <w:tc>
          <w:tcPr>
            <w:tcW w:w="114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夏216井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2930" w:type="pct"/>
            <w:gridSpan w:val="3"/>
            <w:tcBorders>
              <w:tl2br w:val="nil"/>
              <w:tr2bl w:val="nil"/>
            </w:tcBorders>
            <w:vAlign w:val="center"/>
          </w:tcPr>
          <w:p>
            <w:pPr>
              <w:pStyle w:val="41"/>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新疆维吾尔自治区塔城地区和布克赛尔蒙古自治县</w:t>
            </w:r>
          </w:p>
        </w:tc>
        <w:tc>
          <w:tcPr>
            <w:tcW w:w="1144" w:type="pct"/>
            <w:tcBorders>
              <w:tl2br w:val="nil"/>
              <w:tr2bl w:val="nil"/>
            </w:tcBorders>
            <w:vAlign w:val="center"/>
          </w:tcPr>
          <w:p>
            <w:pPr>
              <w:pStyle w:val="41"/>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克拉玛依市乌尔禾区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1018" w:type="pct"/>
            <w:tcBorders>
              <w:tl2br w:val="nil"/>
              <w:tr2bl w:val="nil"/>
            </w:tcBorders>
            <w:vAlign w:val="center"/>
          </w:tcPr>
          <w:p>
            <w:pPr>
              <w:pStyle w:val="41"/>
              <w:ind w:firstLine="0" w:firstLineChars="0"/>
              <w:rPr>
                <w:rFonts w:hint="default" w:ascii="Times New Roman" w:hAnsi="Times New Roman" w:cs="Times New Roman"/>
                <w:color w:val="auto"/>
                <w:sz w:val="21"/>
                <w:szCs w:val="21"/>
              </w:rPr>
            </w:pPr>
          </w:p>
        </w:tc>
        <w:tc>
          <w:tcPr>
            <w:tcW w:w="978" w:type="pct"/>
            <w:tcBorders>
              <w:tl2br w:val="nil"/>
              <w:tr2bl w:val="nil"/>
            </w:tcBorders>
            <w:vAlign w:val="center"/>
          </w:tcPr>
          <w:p>
            <w:pPr>
              <w:pStyle w:val="41"/>
              <w:rPr>
                <w:rFonts w:hint="default" w:ascii="Times New Roman" w:hAnsi="Times New Roman" w:eastAsia="宋体" w:cs="Times New Roman"/>
                <w:color w:val="auto"/>
                <w:sz w:val="21"/>
                <w:szCs w:val="21"/>
                <w:lang w:val="en-US" w:eastAsia="zh-CN"/>
              </w:rPr>
            </w:pPr>
          </w:p>
        </w:tc>
        <w:tc>
          <w:tcPr>
            <w:tcW w:w="934" w:type="pct"/>
            <w:tcBorders>
              <w:tl2br w:val="nil"/>
              <w:tr2bl w:val="nil"/>
            </w:tcBorders>
            <w:vAlign w:val="center"/>
          </w:tcPr>
          <w:p>
            <w:pPr>
              <w:pStyle w:val="41"/>
              <w:rPr>
                <w:rFonts w:hint="default" w:ascii="Times New Roman" w:hAnsi="Times New Roman" w:eastAsia="宋体" w:cs="Times New Roman"/>
                <w:color w:val="auto"/>
                <w:sz w:val="21"/>
                <w:szCs w:val="21"/>
                <w:lang w:val="en-US" w:eastAsia="zh-CN"/>
              </w:rPr>
            </w:pPr>
          </w:p>
        </w:tc>
        <w:tc>
          <w:tcPr>
            <w:tcW w:w="1144" w:type="pct"/>
            <w:tcBorders>
              <w:tl2br w:val="nil"/>
              <w:tr2bl w:val="nil"/>
            </w:tcBorders>
            <w:vAlign w:val="center"/>
          </w:tcPr>
          <w:p>
            <w:pPr>
              <w:pStyle w:val="41"/>
              <w:ind w:firstLine="0" w:firstLineChars="0"/>
              <w:rPr>
                <w:rFonts w:hint="default" w:ascii="Times New Roman" w:hAnsi="Times New Roman" w:cs="Times New Roman"/>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设计井深</w:t>
            </w:r>
          </w:p>
        </w:tc>
        <w:tc>
          <w:tcPr>
            <w:tcW w:w="1018" w:type="pct"/>
            <w:tcBorders>
              <w:tl2br w:val="nil"/>
              <w:tr2bl w:val="nil"/>
            </w:tcBorders>
            <w:vAlign w:val="center"/>
          </w:tcPr>
          <w:p>
            <w:pPr>
              <w:pStyle w:val="41"/>
              <w:ind w:firstLine="0" w:firstLineChars="0"/>
              <w:rPr>
                <w:rFonts w:hint="default" w:ascii="Times New Roman" w:hAnsi="Times New Roman" w:eastAsia="宋体" w:cs="Times New Roman"/>
                <w:color w:val="auto"/>
                <w:sz w:val="21"/>
                <w:szCs w:val="21"/>
                <w:lang w:val="en-US" w:eastAsia="zh-CN"/>
              </w:rPr>
            </w:pPr>
            <w:r>
              <w:rPr>
                <w:rFonts w:hint="eastAsia"/>
                <w:color w:val="auto"/>
                <w:szCs w:val="21"/>
                <w:lang w:val="en-US" w:eastAsia="zh-CN"/>
              </w:rPr>
              <w:t>5200</w:t>
            </w:r>
          </w:p>
        </w:tc>
        <w:tc>
          <w:tcPr>
            <w:tcW w:w="978" w:type="pct"/>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5142</w:t>
            </w:r>
          </w:p>
        </w:tc>
        <w:tc>
          <w:tcPr>
            <w:tcW w:w="934" w:type="pct"/>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szCs w:val="21"/>
              </w:rPr>
              <w:t>5215</w:t>
            </w:r>
          </w:p>
        </w:tc>
        <w:tc>
          <w:tcPr>
            <w:tcW w:w="1144" w:type="pct"/>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szCs w:val="21"/>
              </w:rPr>
              <w:t>4984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实际井深</w:t>
            </w:r>
          </w:p>
        </w:tc>
        <w:tc>
          <w:tcPr>
            <w:tcW w:w="1018" w:type="pct"/>
            <w:tcBorders>
              <w:tl2br w:val="nil"/>
              <w:tr2bl w:val="nil"/>
            </w:tcBorders>
            <w:vAlign w:val="center"/>
          </w:tcPr>
          <w:p>
            <w:pPr>
              <w:pStyle w:val="41"/>
              <w:ind w:firstLine="0" w:firstLineChars="0"/>
              <w:rPr>
                <w:rFonts w:hint="default" w:ascii="Times New Roman" w:hAnsi="Times New Roman" w:cs="Times New Roman"/>
                <w:color w:val="auto"/>
                <w:sz w:val="21"/>
                <w:szCs w:val="21"/>
              </w:rPr>
            </w:pPr>
            <w:r>
              <w:rPr>
                <w:rFonts w:hint="eastAsia"/>
                <w:color w:val="auto"/>
                <w:szCs w:val="21"/>
              </w:rPr>
              <w:t>5892</w:t>
            </w:r>
          </w:p>
        </w:tc>
        <w:tc>
          <w:tcPr>
            <w:tcW w:w="978" w:type="pct"/>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szCs w:val="21"/>
              </w:rPr>
              <w:t>5192.00</w:t>
            </w:r>
          </w:p>
        </w:tc>
        <w:tc>
          <w:tcPr>
            <w:tcW w:w="934" w:type="pct"/>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szCs w:val="21"/>
              </w:rPr>
              <w:t>5215</w:t>
            </w:r>
          </w:p>
        </w:tc>
        <w:tc>
          <w:tcPr>
            <w:tcW w:w="1144" w:type="pct"/>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szCs w:val="21"/>
              </w:rPr>
              <w:t>4953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8"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开钻时间</w:t>
            </w:r>
          </w:p>
        </w:tc>
        <w:tc>
          <w:tcPr>
            <w:tcW w:w="1018" w:type="pct"/>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17</w:t>
            </w:r>
            <w:r>
              <w:rPr>
                <w:rFonts w:hint="default" w:ascii="Times New Roman" w:hAnsi="Times New Roman" w:cs="Times New Roman"/>
                <w:color w:val="auto"/>
                <w:sz w:val="21"/>
                <w:szCs w:val="21"/>
                <w:highlight w:val="none"/>
              </w:rPr>
              <w:t>日</w:t>
            </w:r>
          </w:p>
        </w:tc>
        <w:tc>
          <w:tcPr>
            <w:tcW w:w="978" w:type="pct"/>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6</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日</w:t>
            </w:r>
          </w:p>
        </w:tc>
        <w:tc>
          <w:tcPr>
            <w:tcW w:w="934" w:type="pct"/>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16</w:t>
            </w:r>
            <w:r>
              <w:rPr>
                <w:rFonts w:hint="default" w:ascii="Times New Roman" w:hAnsi="Times New Roman" w:cs="Times New Roman"/>
                <w:color w:val="auto"/>
                <w:sz w:val="21"/>
                <w:szCs w:val="21"/>
                <w:highlight w:val="none"/>
              </w:rPr>
              <w:t>日</w:t>
            </w:r>
          </w:p>
        </w:tc>
        <w:tc>
          <w:tcPr>
            <w:tcW w:w="1144" w:type="pct"/>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15</w:t>
            </w:r>
            <w:r>
              <w:rPr>
                <w:rFonts w:hint="default" w:ascii="Times New Roman" w:hAnsi="Times New Roman" w:cs="Times New Roman"/>
                <w:color w:val="auto"/>
                <w:sz w:val="21"/>
                <w:szCs w:val="21"/>
                <w:highlight w:val="none"/>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完钻时间</w:t>
            </w:r>
          </w:p>
        </w:tc>
        <w:tc>
          <w:tcPr>
            <w:tcW w:w="1018" w:type="pct"/>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4</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9</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日</w:t>
            </w:r>
          </w:p>
        </w:tc>
        <w:tc>
          <w:tcPr>
            <w:tcW w:w="978" w:type="pct"/>
            <w:tcBorders>
              <w:tl2br w:val="nil"/>
              <w:tr2bl w:val="nil"/>
            </w:tcBorders>
            <w:vAlign w:val="center"/>
          </w:tcPr>
          <w:p>
            <w:pPr>
              <w:pStyle w:val="41"/>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3</w:t>
            </w:r>
            <w:r>
              <w:rPr>
                <w:rFonts w:hint="default" w:ascii="Times New Roman" w:hAnsi="Times New Roman" w:cs="Times New Roman"/>
                <w:color w:val="auto"/>
                <w:sz w:val="21"/>
                <w:szCs w:val="21"/>
                <w:highlight w:val="none"/>
              </w:rPr>
              <w:t>日</w:t>
            </w:r>
          </w:p>
        </w:tc>
        <w:tc>
          <w:tcPr>
            <w:tcW w:w="934" w:type="pct"/>
            <w:tcBorders>
              <w:tl2br w:val="nil"/>
              <w:tr2bl w:val="nil"/>
            </w:tcBorders>
            <w:vAlign w:val="center"/>
          </w:tcPr>
          <w:p>
            <w:pPr>
              <w:pStyle w:val="41"/>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7</w:t>
            </w:r>
            <w:r>
              <w:rPr>
                <w:rFonts w:hint="default" w:ascii="Times New Roman" w:hAnsi="Times New Roman" w:cs="Times New Roman"/>
                <w:color w:val="auto"/>
                <w:sz w:val="21"/>
                <w:szCs w:val="21"/>
                <w:highlight w:val="none"/>
              </w:rPr>
              <w:t>日</w:t>
            </w:r>
          </w:p>
        </w:tc>
        <w:tc>
          <w:tcPr>
            <w:tcW w:w="1144" w:type="pct"/>
            <w:tcBorders>
              <w:tl2br w:val="nil"/>
              <w:tr2bl w:val="nil"/>
            </w:tcBorders>
            <w:vAlign w:val="center"/>
          </w:tcPr>
          <w:p>
            <w:pPr>
              <w:pStyle w:val="41"/>
              <w:ind w:firstLine="0" w:firstLineChars="0"/>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202</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年</w:t>
            </w:r>
            <w:r>
              <w:rPr>
                <w:rFonts w:hint="eastAsia" w:ascii="Times New Roman" w:hAnsi="Times New Roman" w:cs="Times New Roman"/>
                <w:color w:val="auto"/>
                <w:sz w:val="21"/>
                <w:szCs w:val="21"/>
                <w:highlight w:val="none"/>
                <w:lang w:val="en-US" w:eastAsia="zh-CN"/>
              </w:rPr>
              <w:t>5</w:t>
            </w:r>
            <w:r>
              <w:rPr>
                <w:rFonts w:hint="default" w:ascii="Times New Roman" w:hAnsi="Times New Roman" w:cs="Times New Roman"/>
                <w:color w:val="auto"/>
                <w:sz w:val="21"/>
                <w:szCs w:val="21"/>
                <w:highlight w:val="none"/>
              </w:rPr>
              <w:t>月</w:t>
            </w:r>
            <w:r>
              <w:rPr>
                <w:rFonts w:hint="eastAsia" w:ascii="Times New Roman" w:hAnsi="Times New Roman" w:cs="Times New Roman"/>
                <w:color w:val="auto"/>
                <w:sz w:val="21"/>
                <w:szCs w:val="21"/>
                <w:highlight w:val="none"/>
                <w:lang w:val="en-US" w:eastAsia="zh-CN"/>
              </w:rPr>
              <w:t>8</w:t>
            </w:r>
            <w:r>
              <w:rPr>
                <w:rFonts w:hint="default" w:ascii="Times New Roman" w:hAnsi="Times New Roman" w:cs="Times New Roman"/>
                <w:color w:val="auto"/>
                <w:sz w:val="21"/>
                <w:szCs w:val="21"/>
                <w:highlight w:val="none"/>
              </w:rPr>
              <w:t>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完钻层位</w:t>
            </w:r>
          </w:p>
        </w:tc>
        <w:tc>
          <w:tcPr>
            <w:tcW w:w="1018" w:type="pct"/>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rPr>
            </w:pPr>
            <w:r>
              <w:rPr>
                <w:color w:val="auto"/>
                <w:szCs w:val="21"/>
                <w:highlight w:val="none"/>
              </w:rPr>
              <w:t>风城组</w:t>
            </w:r>
          </w:p>
        </w:tc>
        <w:tc>
          <w:tcPr>
            <w:tcW w:w="978" w:type="pct"/>
            <w:tcBorders>
              <w:tl2br w:val="nil"/>
              <w:tr2bl w:val="nil"/>
            </w:tcBorders>
            <w:vAlign w:val="center"/>
          </w:tcPr>
          <w:p>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c>
          <w:tcPr>
            <w:tcW w:w="934" w:type="pct"/>
            <w:tcBorders>
              <w:tl2br w:val="nil"/>
              <w:tr2bl w:val="nil"/>
            </w:tcBorders>
            <w:vAlign w:val="center"/>
          </w:tcPr>
          <w:p>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c>
          <w:tcPr>
            <w:tcW w:w="1144" w:type="pct"/>
            <w:tcBorders>
              <w:tl2br w:val="nil"/>
              <w:tr2bl w:val="nil"/>
            </w:tcBorders>
            <w:vAlign w:val="center"/>
          </w:tcPr>
          <w:p>
            <w:pPr>
              <w:rPr>
                <w:rFonts w:hint="default" w:ascii="Times New Roman" w:hAnsi="Times New Roman" w:cs="Times New Roman"/>
                <w:color w:val="auto"/>
                <w:sz w:val="21"/>
                <w:szCs w:val="21"/>
                <w:highlight w:val="none"/>
                <w:lang w:val="en-US" w:eastAsia="zh-CN"/>
              </w:rPr>
            </w:pPr>
            <w:r>
              <w:rPr>
                <w:rFonts w:ascii="Times New Roman" w:hAnsi="Times New Roman" w:cs="Times New Roman"/>
                <w:color w:val="auto"/>
                <w:szCs w:val="21"/>
                <w:highlight w:val="none"/>
              </w:rPr>
              <w:t>风城组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完井形式</w:t>
            </w:r>
          </w:p>
        </w:tc>
        <w:tc>
          <w:tcPr>
            <w:tcW w:w="1018" w:type="pct"/>
            <w:tcBorders>
              <w:tl2br w:val="nil"/>
              <w:tr2bl w:val="nil"/>
            </w:tcBorders>
            <w:vAlign w:val="center"/>
          </w:tcPr>
          <w:p>
            <w:pPr>
              <w:pStyle w:val="41"/>
              <w:ind w:firstLine="0" w:firstLineChars="0"/>
              <w:rPr>
                <w:rFonts w:hint="default" w:ascii="Times New Roman" w:hAnsi="Times New Roman" w:cs="Times New Roman"/>
                <w:color w:val="auto"/>
                <w:sz w:val="21"/>
                <w:szCs w:val="21"/>
              </w:rPr>
            </w:pPr>
            <w:r>
              <w:rPr>
                <w:color w:val="auto"/>
                <w:szCs w:val="21"/>
              </w:rPr>
              <w:t>套管完井</w:t>
            </w:r>
          </w:p>
        </w:tc>
        <w:tc>
          <w:tcPr>
            <w:tcW w:w="978" w:type="pct"/>
            <w:tcBorders>
              <w:tl2br w:val="nil"/>
              <w:tr2bl w:val="nil"/>
            </w:tcBorders>
            <w:vAlign w:val="center"/>
          </w:tcPr>
          <w:p>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c>
          <w:tcPr>
            <w:tcW w:w="934" w:type="pct"/>
            <w:tcBorders>
              <w:tl2br w:val="nil"/>
              <w:tr2bl w:val="nil"/>
            </w:tcBorders>
            <w:vAlign w:val="center"/>
          </w:tcPr>
          <w:p>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c>
          <w:tcPr>
            <w:tcW w:w="1144" w:type="pct"/>
            <w:tcBorders>
              <w:tl2br w:val="nil"/>
              <w:tr2bl w:val="nil"/>
            </w:tcBorders>
            <w:vAlign w:val="center"/>
          </w:tcPr>
          <w:p>
            <w:pPr>
              <w:rPr>
                <w:rFonts w:hint="default" w:ascii="Times New Roman" w:hAnsi="Times New Roman" w:cs="Times New Roman"/>
                <w:color w:val="auto"/>
                <w:sz w:val="21"/>
                <w:szCs w:val="21"/>
              </w:rPr>
            </w:pPr>
            <w:r>
              <w:rPr>
                <w:rFonts w:ascii="Times New Roman" w:hAnsi="Times New Roman" w:cs="Times New Roman"/>
                <w:color w:val="auto"/>
                <w:szCs w:val="21"/>
              </w:rPr>
              <w:t>套管完井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井场布置</w:t>
            </w:r>
          </w:p>
        </w:tc>
        <w:tc>
          <w:tcPr>
            <w:tcW w:w="4075" w:type="pct"/>
            <w:gridSpan w:val="4"/>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钻井平台、应急池、放喷池、泥浆暂存池等设施，撬装设施包括发电机房、泥浆罐、泥浆泵、柴油罐等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4"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w:t>
            </w:r>
          </w:p>
        </w:tc>
        <w:tc>
          <w:tcPr>
            <w:tcW w:w="4075" w:type="pct"/>
            <w:gridSpan w:val="4"/>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进行井场临时施工设施拆除、井场设备搬迁以及钻井产生的“三废”处理，井场地面、泥浆暂存池平整恢复及临时占地恢复、放喷池已清理</w:t>
            </w:r>
          </w:p>
        </w:tc>
      </w:tr>
    </w:tbl>
    <w:p>
      <w:pPr>
        <w:pStyle w:val="54"/>
        <w:pageBreakBefore w:val="0"/>
        <w:kinsoku/>
        <w:wordWrap/>
        <w:overflowPunct/>
        <w:topLinePunct w:val="0"/>
        <w:autoSpaceDE/>
        <w:autoSpaceDN/>
        <w:bidi w:val="0"/>
        <w:spacing w:line="480" w:lineRule="exact"/>
        <w:ind w:left="0" w:leftChars="0" w:firstLine="0" w:firstLineChars="0"/>
        <w:jc w:val="center"/>
        <w:rPr>
          <w:color w:val="auto"/>
          <w:lang w:val="zh-CN"/>
        </w:rPr>
      </w:pPr>
      <w:r>
        <w:rPr>
          <w:rFonts w:hint="eastAsia" w:hAnsi="宋体"/>
          <w:color w:val="auto"/>
        </w:rPr>
        <w:t>表3.1-</w:t>
      </w:r>
      <w:r>
        <w:rPr>
          <w:rFonts w:hint="eastAsia" w:hAnsi="宋体"/>
          <w:color w:val="auto"/>
          <w:lang w:val="en-US" w:eastAsia="zh-CN"/>
        </w:rPr>
        <w:t>3</w:t>
      </w:r>
      <w:r>
        <w:rPr>
          <w:rFonts w:hint="eastAsia" w:hAnsi="宋体"/>
          <w:color w:val="auto"/>
        </w:rPr>
        <w:t xml:space="preserve">       </w:t>
      </w:r>
      <w:r>
        <w:rPr>
          <w:rFonts w:hint="eastAsia"/>
          <w:color w:val="auto"/>
          <w:lang w:val="zh-CN"/>
        </w:rPr>
        <w:t xml:space="preserve">  已建工程基本概况一览表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595"/>
        <w:gridCol w:w="2360"/>
        <w:gridCol w:w="2565"/>
        <w:gridCol w:w="21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09"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 xml:space="preserve">  名称</w:t>
            </w:r>
          </w:p>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内容</w:t>
            </w:r>
          </w:p>
        </w:tc>
        <w:tc>
          <w:tcPr>
            <w:tcW w:w="1361"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风城5井</w:t>
            </w:r>
          </w:p>
        </w:tc>
        <w:tc>
          <w:tcPr>
            <w:tcW w:w="1479"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风城6X井</w:t>
            </w:r>
          </w:p>
        </w:tc>
        <w:tc>
          <w:tcPr>
            <w:tcW w:w="1238" w:type="pct"/>
            <w:tcBorders>
              <w:tl2br w:val="nil"/>
              <w:tr2bl w:val="nil"/>
            </w:tcBorders>
            <w:vAlign w:val="center"/>
          </w:tcPr>
          <w:p>
            <w:pPr>
              <w:pStyle w:val="41"/>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rPr>
              <w:t>风城7</w:t>
            </w:r>
            <w:r>
              <w:rPr>
                <w:rFonts w:hint="eastAsia" w:cs="Times New Roman"/>
                <w:color w:val="auto"/>
                <w:sz w:val="21"/>
                <w:szCs w:val="21"/>
                <w:highlight w:val="none"/>
                <w:lang w:val="en-US" w:eastAsia="zh-CN"/>
              </w:rPr>
              <w:t>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位置</w:t>
            </w:r>
          </w:p>
        </w:tc>
        <w:tc>
          <w:tcPr>
            <w:tcW w:w="2840" w:type="pct"/>
            <w:gridSpan w:val="2"/>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新疆维吾尔自治区塔城地区和布克赛尔蒙古自治县</w:t>
            </w:r>
          </w:p>
        </w:tc>
        <w:tc>
          <w:tcPr>
            <w:tcW w:w="1238" w:type="pct"/>
            <w:tcBorders>
              <w:tl2br w:val="nil"/>
              <w:tr2bl w:val="nil"/>
            </w:tcBorders>
            <w:vAlign w:val="center"/>
          </w:tcPr>
          <w:p>
            <w:pPr>
              <w:pStyle w:val="41"/>
              <w:rPr>
                <w:rFonts w:hint="default"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lang w:val="en-US" w:eastAsia="zh-CN"/>
              </w:rPr>
              <w:t>克拉玛依市乌尔禾区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坐标</w:t>
            </w:r>
          </w:p>
        </w:tc>
        <w:tc>
          <w:tcPr>
            <w:tcW w:w="1361" w:type="pct"/>
            <w:tcBorders>
              <w:tl2br w:val="nil"/>
              <w:tr2bl w:val="nil"/>
            </w:tcBorders>
            <w:vAlign w:val="center"/>
          </w:tcPr>
          <w:p>
            <w:pPr>
              <w:widowControl/>
              <w:jc w:val="center"/>
              <w:rPr>
                <w:rFonts w:hint="default" w:ascii="Times New Roman" w:hAnsi="Times New Roman" w:cs="Times New Roman"/>
                <w:color w:val="auto"/>
                <w:sz w:val="21"/>
                <w:szCs w:val="21"/>
              </w:rPr>
            </w:pPr>
          </w:p>
        </w:tc>
        <w:tc>
          <w:tcPr>
            <w:tcW w:w="1479" w:type="pct"/>
            <w:tcBorders>
              <w:tl2br w:val="nil"/>
              <w:tr2bl w:val="nil"/>
            </w:tcBorders>
            <w:vAlign w:val="center"/>
          </w:tcPr>
          <w:p>
            <w:pPr>
              <w:jc w:val="center"/>
              <w:rPr>
                <w:rFonts w:hint="default" w:ascii="Times New Roman" w:hAnsi="Times New Roman" w:cs="Times New Roman"/>
                <w:color w:val="auto"/>
                <w:sz w:val="21"/>
                <w:szCs w:val="21"/>
              </w:rPr>
            </w:pPr>
          </w:p>
        </w:tc>
        <w:tc>
          <w:tcPr>
            <w:tcW w:w="1238" w:type="pct"/>
            <w:tcBorders>
              <w:tl2br w:val="nil"/>
              <w:tr2bl w:val="nil"/>
            </w:tcBorders>
            <w:vAlign w:val="center"/>
          </w:tcPr>
          <w:p>
            <w:pPr>
              <w:pStyle w:val="41"/>
              <w:ind w:firstLine="0" w:firstLineChars="0"/>
              <w:rPr>
                <w:rFonts w:hint="default" w:ascii="Times New Roman" w:hAnsi="Times New Roman" w:cs="Times New Roman"/>
                <w:color w:val="auto"/>
                <w:sz w:val="21"/>
                <w:szCs w:val="21"/>
                <w:highlight w:val="no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设计井深</w:t>
            </w:r>
          </w:p>
        </w:tc>
        <w:tc>
          <w:tcPr>
            <w:tcW w:w="1361" w:type="pct"/>
            <w:tcBorders>
              <w:tl2br w:val="nil"/>
              <w:tr2bl w:val="nil"/>
            </w:tcBorders>
            <w:vAlign w:val="center"/>
          </w:tcPr>
          <w:p>
            <w:pPr>
              <w:pStyle w:val="41"/>
              <w:ind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4980m</w:t>
            </w:r>
          </w:p>
        </w:tc>
        <w:tc>
          <w:tcPr>
            <w:tcW w:w="1479" w:type="pct"/>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rFonts w:hint="eastAsia" w:cs="Times New Roman"/>
                <w:color w:val="auto"/>
                <w:kern w:val="0"/>
                <w:sz w:val="21"/>
                <w:szCs w:val="21"/>
                <w:lang w:val="en-US" w:eastAsia="zh-CN" w:bidi="ar"/>
              </w:rPr>
              <w:t>5303m</w:t>
            </w:r>
          </w:p>
        </w:tc>
        <w:tc>
          <w:tcPr>
            <w:tcW w:w="1238" w:type="pct"/>
            <w:tcBorders>
              <w:tl2br w:val="nil"/>
              <w:tr2bl w:val="nil"/>
            </w:tcBorders>
            <w:vAlign w:val="center"/>
          </w:tcPr>
          <w:p>
            <w:pPr>
              <w:pStyle w:val="41"/>
              <w:ind w:firstLine="0" w:firstLineChars="0"/>
              <w:rPr>
                <w:rFonts w:hint="default" w:ascii="Times New Roman" w:hAnsi="Times New Roman" w:eastAsia="宋体" w:cs="Times New Roman"/>
                <w:color w:val="auto"/>
                <w:kern w:val="0"/>
                <w:sz w:val="21"/>
                <w:szCs w:val="21"/>
                <w:highlight w:val="none"/>
                <w:lang w:val="en-US" w:eastAsia="zh-CN" w:bidi="ar"/>
              </w:rPr>
            </w:pPr>
            <w:r>
              <w:rPr>
                <w:rFonts w:hint="eastAsia" w:cs="Times New Roman"/>
                <w:color w:val="auto"/>
                <w:kern w:val="0"/>
                <w:sz w:val="21"/>
                <w:szCs w:val="21"/>
                <w:highlight w:val="none"/>
                <w:lang w:val="en-US" w:eastAsia="zh-CN" w:bidi="ar"/>
              </w:rPr>
              <w:t>5540m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实际井深</w:t>
            </w:r>
          </w:p>
        </w:tc>
        <w:tc>
          <w:tcPr>
            <w:tcW w:w="1361" w:type="pct"/>
            <w:tcBorders>
              <w:tl2br w:val="nil"/>
              <w:tr2bl w:val="nil"/>
            </w:tcBorders>
            <w:vAlign w:val="center"/>
          </w:tcPr>
          <w:p>
            <w:pPr>
              <w:pStyle w:val="41"/>
              <w:ind w:firstLine="0" w:firstLineChars="0"/>
              <w:rPr>
                <w:rFonts w:hint="default" w:ascii="Times New Roman" w:hAnsi="Times New Roman" w:cs="Times New Roman"/>
                <w:color w:val="auto"/>
                <w:sz w:val="21"/>
                <w:szCs w:val="21"/>
              </w:rPr>
            </w:pPr>
            <w:r>
              <w:rPr>
                <w:color w:val="auto"/>
                <w:sz w:val="21"/>
                <w:szCs w:val="21"/>
              </w:rPr>
              <w:t>5230.00m</w:t>
            </w:r>
          </w:p>
        </w:tc>
        <w:tc>
          <w:tcPr>
            <w:tcW w:w="1479" w:type="pct"/>
            <w:tcBorders>
              <w:tl2br w:val="nil"/>
              <w:tr2bl w:val="nil"/>
            </w:tcBorders>
            <w:vAlign w:val="center"/>
          </w:tcPr>
          <w:p>
            <w:pPr>
              <w:pStyle w:val="41"/>
              <w:ind w:firstLine="0" w:firstLineChars="0"/>
              <w:rPr>
                <w:rFonts w:hint="default" w:ascii="Times New Roman" w:hAnsi="Times New Roman" w:cs="Times New Roman"/>
                <w:color w:val="auto"/>
                <w:sz w:val="21"/>
                <w:szCs w:val="21"/>
                <w:lang w:val="en-US" w:eastAsia="zh-CN"/>
              </w:rPr>
            </w:pPr>
            <w:r>
              <w:rPr>
                <w:color w:val="auto"/>
                <w:sz w:val="21"/>
                <w:szCs w:val="21"/>
              </w:rPr>
              <w:t>6310.00m</w:t>
            </w:r>
          </w:p>
        </w:tc>
        <w:tc>
          <w:tcPr>
            <w:tcW w:w="1238" w:type="pct"/>
            <w:tcBorders>
              <w:tl2br w:val="nil"/>
              <w:tr2bl w:val="nil"/>
            </w:tcBorders>
            <w:vAlign w:val="center"/>
          </w:tcPr>
          <w:p>
            <w:pPr>
              <w:pStyle w:val="41"/>
              <w:ind w:firstLine="0" w:firstLineChars="0"/>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5300</w:t>
            </w:r>
            <w:r>
              <w:rPr>
                <w:rFonts w:hint="eastAsia" w:cs="Times New Roman"/>
                <w:color w:val="auto"/>
                <w:kern w:val="0"/>
                <w:sz w:val="21"/>
                <w:szCs w:val="21"/>
                <w:highlight w:val="none"/>
                <w:lang w:val="en-US" w:eastAsia="zh-CN" w:bidi="ar"/>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开钻时间</w:t>
            </w:r>
          </w:p>
        </w:tc>
        <w:tc>
          <w:tcPr>
            <w:tcW w:w="1361" w:type="pct"/>
            <w:tcBorders>
              <w:tl2br w:val="nil"/>
              <w:tr2bl w:val="nil"/>
            </w:tcBorders>
            <w:vAlign w:val="center"/>
          </w:tcPr>
          <w:p>
            <w:pPr>
              <w:widowControl/>
              <w:jc w:val="center"/>
              <w:rPr>
                <w:rFonts w:hint="default" w:ascii="Times New Roman" w:hAnsi="Times New Roman" w:cs="Times New Roman"/>
                <w:color w:val="auto"/>
                <w:sz w:val="21"/>
                <w:szCs w:val="21"/>
                <w:highlight w:val="none"/>
              </w:rPr>
            </w:pPr>
            <w:r>
              <w:rPr>
                <w:color w:val="auto"/>
                <w:sz w:val="21"/>
                <w:szCs w:val="21"/>
              </w:rPr>
              <w:t>2024</w:t>
            </w:r>
            <w:r>
              <w:rPr>
                <w:rFonts w:hint="eastAsia"/>
                <w:color w:val="auto"/>
                <w:sz w:val="21"/>
                <w:szCs w:val="21"/>
                <w:lang w:eastAsia="zh-CN"/>
              </w:rPr>
              <w:t>年</w:t>
            </w:r>
            <w:r>
              <w:rPr>
                <w:rFonts w:hint="eastAsia"/>
                <w:color w:val="auto"/>
                <w:sz w:val="21"/>
                <w:szCs w:val="21"/>
                <w:lang w:val="en-US" w:eastAsia="zh-CN"/>
              </w:rPr>
              <w:t>3</w:t>
            </w:r>
            <w:r>
              <w:rPr>
                <w:color w:val="auto"/>
                <w:sz w:val="21"/>
                <w:szCs w:val="21"/>
              </w:rPr>
              <w:t>月2日</w:t>
            </w:r>
          </w:p>
        </w:tc>
        <w:tc>
          <w:tcPr>
            <w:tcW w:w="1479" w:type="pct"/>
            <w:tcBorders>
              <w:tl2br w:val="nil"/>
              <w:tr2bl w:val="nil"/>
            </w:tcBorders>
            <w:vAlign w:val="center"/>
          </w:tcPr>
          <w:p>
            <w:pPr>
              <w:pStyle w:val="41"/>
              <w:ind w:firstLine="0" w:firstLineChars="0"/>
              <w:jc w:val="center"/>
              <w:rPr>
                <w:rFonts w:hint="default" w:ascii="Times New Roman" w:hAnsi="Times New Roman" w:cs="Times New Roman"/>
                <w:color w:val="auto"/>
                <w:sz w:val="21"/>
                <w:szCs w:val="21"/>
                <w:highlight w:val="none"/>
              </w:rPr>
            </w:pPr>
            <w:r>
              <w:rPr>
                <w:rFonts w:hint="eastAsia"/>
                <w:color w:val="auto"/>
                <w:sz w:val="21"/>
                <w:szCs w:val="21"/>
                <w:lang w:eastAsia="zh-CN"/>
              </w:rPr>
              <w:t>2024年5月22日</w:t>
            </w:r>
          </w:p>
        </w:tc>
        <w:tc>
          <w:tcPr>
            <w:tcW w:w="1238" w:type="pct"/>
            <w:tcBorders>
              <w:tl2br w:val="nil"/>
              <w:tr2bl w:val="nil"/>
            </w:tcBorders>
            <w:vAlign w:val="center"/>
          </w:tcPr>
          <w:p>
            <w:pPr>
              <w:pStyle w:val="41"/>
              <w:ind w:firstLine="0" w:firstLineChars="0"/>
              <w:rPr>
                <w:rFonts w:hint="default" w:ascii="Times New Roman" w:hAnsi="Times New Roman" w:eastAsia="宋体" w:cs="Times New Roman"/>
                <w:color w:val="auto"/>
                <w:sz w:val="21"/>
                <w:szCs w:val="21"/>
                <w:highlight w:val="none"/>
                <w:lang w:val="en-US" w:eastAsia="zh-CN"/>
              </w:rPr>
            </w:pPr>
            <w:r>
              <w:rPr>
                <w:rFonts w:hint="eastAsia"/>
                <w:color w:val="auto"/>
                <w:sz w:val="21"/>
                <w:szCs w:val="21"/>
                <w:highlight w:val="none"/>
                <w:lang w:eastAsia="zh-CN"/>
              </w:rPr>
              <w:t>2024年5月22日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bookmarkStart w:id="255" w:name="OLE_LINK154"/>
            <w:r>
              <w:rPr>
                <w:rFonts w:hint="default" w:ascii="Times New Roman" w:hAnsi="Times New Roman" w:cs="Times New Roman"/>
                <w:color w:val="auto"/>
                <w:sz w:val="21"/>
                <w:szCs w:val="21"/>
              </w:rPr>
              <w:t>完钻时间</w:t>
            </w:r>
            <w:bookmarkEnd w:id="255"/>
          </w:p>
        </w:tc>
        <w:tc>
          <w:tcPr>
            <w:tcW w:w="1361" w:type="pct"/>
            <w:tcBorders>
              <w:tl2br w:val="nil"/>
              <w:tr2bl w:val="nil"/>
            </w:tcBorders>
            <w:vAlign w:val="center"/>
          </w:tcPr>
          <w:p>
            <w:pPr>
              <w:pStyle w:val="41"/>
              <w:ind w:firstLine="0" w:firstLineChars="0"/>
              <w:jc w:val="center"/>
              <w:rPr>
                <w:rFonts w:hint="default" w:ascii="Times New Roman" w:hAnsi="Times New Roman" w:cs="Times New Roman"/>
                <w:color w:val="auto"/>
                <w:sz w:val="21"/>
                <w:szCs w:val="21"/>
              </w:rPr>
            </w:pPr>
            <w:r>
              <w:rPr>
                <w:rFonts w:hint="eastAsia"/>
                <w:color w:val="auto"/>
                <w:sz w:val="21"/>
                <w:szCs w:val="21"/>
                <w:lang w:eastAsia="zh-CN"/>
              </w:rPr>
              <w:t>2024年8月4日</w:t>
            </w:r>
          </w:p>
        </w:tc>
        <w:tc>
          <w:tcPr>
            <w:tcW w:w="1479" w:type="pct"/>
            <w:tcBorders>
              <w:tl2br w:val="nil"/>
              <w:tr2bl w:val="nil"/>
            </w:tcBorders>
            <w:vAlign w:val="center"/>
          </w:tcPr>
          <w:p>
            <w:pPr>
              <w:pStyle w:val="41"/>
              <w:ind w:firstLine="0" w:firstLineChars="0"/>
              <w:jc w:val="center"/>
              <w:rPr>
                <w:rFonts w:hint="eastAsia" w:ascii="Times New Roman" w:hAnsi="Times New Roman" w:eastAsia="宋体" w:cs="Times New Roman"/>
                <w:color w:val="auto"/>
                <w:sz w:val="21"/>
                <w:szCs w:val="21"/>
                <w:lang w:val="en-US" w:eastAsia="zh-CN"/>
              </w:rPr>
            </w:pPr>
            <w:r>
              <w:rPr>
                <w:rFonts w:hint="eastAsia"/>
                <w:color w:val="auto"/>
                <w:sz w:val="21"/>
                <w:szCs w:val="21"/>
                <w:lang w:eastAsia="zh-CN"/>
              </w:rPr>
              <w:t>2024年8月13日</w:t>
            </w:r>
          </w:p>
        </w:tc>
        <w:tc>
          <w:tcPr>
            <w:tcW w:w="1238" w:type="pct"/>
            <w:tcBorders>
              <w:tl2br w:val="nil"/>
              <w:tr2bl w:val="nil"/>
            </w:tcBorders>
            <w:vAlign w:val="center"/>
          </w:tcPr>
          <w:p>
            <w:pPr>
              <w:pStyle w:val="41"/>
              <w:ind w:firstLine="0" w:firstLineChars="0"/>
              <w:rPr>
                <w:rFonts w:hint="eastAsia" w:ascii="Times New Roman" w:hAnsi="Times New Roman" w:cs="Times New Roman"/>
                <w:color w:val="auto"/>
                <w:sz w:val="21"/>
                <w:szCs w:val="21"/>
                <w:highlight w:val="none"/>
                <w:lang w:val="en-US" w:eastAsia="zh-CN"/>
              </w:rPr>
            </w:pPr>
            <w:r>
              <w:rPr>
                <w:rFonts w:hint="eastAsia"/>
                <w:color w:val="auto"/>
                <w:sz w:val="21"/>
                <w:szCs w:val="21"/>
                <w:highlight w:val="none"/>
                <w:lang w:eastAsia="zh-CN"/>
              </w:rPr>
              <w:t>2024年7月16日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完钻层位</w:t>
            </w:r>
          </w:p>
        </w:tc>
        <w:tc>
          <w:tcPr>
            <w:tcW w:w="1361" w:type="pct"/>
            <w:tcBorders>
              <w:tl2br w:val="nil"/>
              <w:tr2bl w:val="nil"/>
            </w:tcBorders>
            <w:vAlign w:val="center"/>
          </w:tcPr>
          <w:p>
            <w:pPr>
              <w:widowControl/>
              <w:jc w:val="center"/>
              <w:rPr>
                <w:rFonts w:hint="default" w:ascii="Times New Roman" w:hAnsi="Times New Roman" w:cs="Times New Roman"/>
                <w:color w:val="auto"/>
                <w:sz w:val="21"/>
                <w:szCs w:val="21"/>
              </w:rPr>
            </w:pPr>
            <w:r>
              <w:rPr>
                <w:rFonts w:ascii="Times New Roman" w:hAnsi="Times New Roman" w:eastAsia="宋体" w:cs="Times New Roman"/>
                <w:color w:val="auto"/>
                <w:kern w:val="0"/>
                <w:sz w:val="21"/>
                <w:szCs w:val="21"/>
                <w:lang w:bidi="ar"/>
              </w:rPr>
              <w:t>P</w:t>
            </w:r>
            <w:r>
              <w:rPr>
                <w:rFonts w:ascii="Times New Roman" w:hAnsi="Times New Roman" w:eastAsia="宋体" w:cs="Times New Roman"/>
                <w:color w:val="auto"/>
                <w:kern w:val="0"/>
                <w:sz w:val="21"/>
                <w:szCs w:val="21"/>
                <w:vertAlign w:val="subscript"/>
                <w:lang w:bidi="ar"/>
              </w:rPr>
              <w:t>1</w:t>
            </w:r>
            <w:r>
              <w:rPr>
                <w:rFonts w:ascii="Times New Roman" w:hAnsi="Times New Roman" w:eastAsia="宋体" w:cs="Times New Roman"/>
                <w:i/>
                <w:color w:val="auto"/>
                <w:kern w:val="0"/>
                <w:sz w:val="21"/>
                <w:szCs w:val="21"/>
                <w:lang w:bidi="ar"/>
              </w:rPr>
              <w:t>j</w:t>
            </w:r>
          </w:p>
        </w:tc>
        <w:tc>
          <w:tcPr>
            <w:tcW w:w="1479" w:type="pct"/>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ascii="Times New Roman" w:hAnsi="Times New Roman" w:eastAsia="宋体" w:cs="Times New Roman"/>
                <w:color w:val="auto"/>
                <w:kern w:val="0"/>
                <w:sz w:val="21"/>
                <w:szCs w:val="21"/>
                <w:lang w:bidi="ar"/>
              </w:rPr>
              <w:t>P</w:t>
            </w:r>
            <w:r>
              <w:rPr>
                <w:rFonts w:ascii="Times New Roman" w:hAnsi="Times New Roman" w:eastAsia="宋体" w:cs="Times New Roman"/>
                <w:color w:val="auto"/>
                <w:kern w:val="0"/>
                <w:sz w:val="21"/>
                <w:szCs w:val="21"/>
                <w:vertAlign w:val="subscript"/>
                <w:lang w:bidi="ar"/>
              </w:rPr>
              <w:t>1</w:t>
            </w:r>
            <w:r>
              <w:rPr>
                <w:rFonts w:ascii="Times New Roman" w:hAnsi="Times New Roman" w:eastAsia="宋体" w:cs="Times New Roman"/>
                <w:i/>
                <w:color w:val="auto"/>
                <w:kern w:val="0"/>
                <w:sz w:val="21"/>
                <w:szCs w:val="21"/>
                <w:lang w:bidi="ar"/>
              </w:rPr>
              <w:t>j</w:t>
            </w:r>
          </w:p>
        </w:tc>
        <w:tc>
          <w:tcPr>
            <w:tcW w:w="1238" w:type="pct"/>
            <w:tcBorders>
              <w:tl2br w:val="nil"/>
              <w:tr2bl w:val="nil"/>
            </w:tcBorders>
            <w:vAlign w:val="center"/>
          </w:tcPr>
          <w:p>
            <w:pPr>
              <w:jc w:val="center"/>
              <w:rPr>
                <w:rFonts w:hint="default" w:ascii="Times New Roman" w:hAnsi="Times New Roman" w:cs="Times New Roman"/>
                <w:color w:val="auto"/>
                <w:sz w:val="21"/>
                <w:szCs w:val="21"/>
                <w:highlight w:val="none"/>
                <w:lang w:val="en-US" w:eastAsia="zh-CN"/>
              </w:rPr>
            </w:pPr>
            <w:r>
              <w:rPr>
                <w:rFonts w:ascii="Times New Roman" w:hAnsi="Times New Roman" w:eastAsia="宋体" w:cs="Times New Roman"/>
                <w:color w:val="auto"/>
                <w:kern w:val="0"/>
                <w:sz w:val="21"/>
                <w:szCs w:val="21"/>
                <w:highlight w:val="none"/>
                <w:lang w:bidi="ar"/>
              </w:rPr>
              <w:t>P</w:t>
            </w:r>
            <w:r>
              <w:rPr>
                <w:rFonts w:ascii="Times New Roman" w:hAnsi="Times New Roman" w:eastAsia="宋体" w:cs="Times New Roman"/>
                <w:color w:val="auto"/>
                <w:kern w:val="0"/>
                <w:sz w:val="21"/>
                <w:szCs w:val="21"/>
                <w:highlight w:val="none"/>
                <w:vertAlign w:val="subscript"/>
                <w:lang w:bidi="ar"/>
              </w:rPr>
              <w:t>1</w:t>
            </w:r>
            <w:r>
              <w:rPr>
                <w:rFonts w:ascii="Times New Roman" w:hAnsi="Times New Roman" w:eastAsia="宋体" w:cs="Times New Roman"/>
                <w:i/>
                <w:color w:val="auto"/>
                <w:kern w:val="0"/>
                <w:sz w:val="21"/>
                <w:szCs w:val="21"/>
                <w:highlight w:val="none"/>
                <w:lang w:bidi="ar"/>
              </w:rPr>
              <w:t>j</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完井形式</w:t>
            </w:r>
          </w:p>
        </w:tc>
        <w:tc>
          <w:tcPr>
            <w:tcW w:w="1361" w:type="pct"/>
            <w:tcBorders>
              <w:tl2br w:val="nil"/>
              <w:tr2bl w:val="nil"/>
            </w:tcBorders>
            <w:vAlign w:val="center"/>
          </w:tcPr>
          <w:p>
            <w:pPr>
              <w:pStyle w:val="41"/>
              <w:ind w:firstLine="0" w:firstLineChars="0"/>
              <w:jc w:val="center"/>
              <w:rPr>
                <w:rFonts w:hint="default" w:ascii="Times New Roman" w:hAnsi="Times New Roman" w:cs="Times New Roman"/>
                <w:color w:val="auto"/>
                <w:sz w:val="21"/>
                <w:szCs w:val="21"/>
              </w:rPr>
            </w:pPr>
            <w:r>
              <w:rPr>
                <w:rFonts w:hint="eastAsia" w:ascii="宋体" w:hAnsi="宋体" w:cs="宋体"/>
                <w:color w:val="auto"/>
                <w:sz w:val="21"/>
                <w:szCs w:val="21"/>
                <w:lang w:bidi="ar"/>
              </w:rPr>
              <w:t>套管完井</w:t>
            </w:r>
          </w:p>
        </w:tc>
        <w:tc>
          <w:tcPr>
            <w:tcW w:w="1479" w:type="pct"/>
            <w:tcBorders>
              <w:tl2br w:val="nil"/>
              <w:tr2bl w:val="nil"/>
            </w:tcBorders>
            <w:vAlign w:val="center"/>
          </w:tcPr>
          <w:p>
            <w:pPr>
              <w:jc w:val="center"/>
              <w:rPr>
                <w:rFonts w:hint="default" w:ascii="Times New Roman" w:hAnsi="Times New Roman" w:cs="Times New Roman"/>
                <w:color w:val="auto"/>
                <w:sz w:val="21"/>
                <w:szCs w:val="21"/>
              </w:rPr>
            </w:pPr>
            <w:r>
              <w:rPr>
                <w:rFonts w:hint="eastAsia" w:ascii="宋体" w:hAnsi="宋体" w:eastAsia="宋体" w:cs="宋体"/>
                <w:color w:val="auto"/>
                <w:sz w:val="21"/>
                <w:szCs w:val="21"/>
                <w:lang w:bidi="ar"/>
              </w:rPr>
              <w:t>套管完井</w:t>
            </w:r>
          </w:p>
        </w:tc>
        <w:tc>
          <w:tcPr>
            <w:tcW w:w="1238" w:type="pct"/>
            <w:tcBorders>
              <w:tl2br w:val="nil"/>
              <w:tr2bl w:val="nil"/>
            </w:tcBorders>
            <w:vAlign w:val="center"/>
          </w:tcPr>
          <w:p>
            <w:pPr>
              <w:jc w:val="center"/>
              <w:rPr>
                <w:rFonts w:hint="default" w:ascii="Times New Roman" w:hAnsi="Times New Roman" w:cs="Times New Roman"/>
                <w:color w:val="auto"/>
                <w:sz w:val="21"/>
                <w:szCs w:val="21"/>
                <w:highlight w:val="none"/>
              </w:rPr>
            </w:pPr>
            <w:r>
              <w:rPr>
                <w:rFonts w:hint="eastAsia" w:ascii="宋体" w:hAnsi="宋体" w:eastAsia="宋体" w:cs="宋体"/>
                <w:color w:val="auto"/>
                <w:sz w:val="21"/>
                <w:szCs w:val="21"/>
                <w:highlight w:val="none"/>
                <w:lang w:bidi="ar"/>
              </w:rPr>
              <w:t>套管完井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井场布置</w:t>
            </w:r>
          </w:p>
        </w:tc>
        <w:tc>
          <w:tcPr>
            <w:tcW w:w="4079" w:type="pct"/>
            <w:gridSpan w:val="3"/>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钻井平台、应急池、放喷池、泥浆暂存池等设施，撬装设施包括发电机房、泥浆罐、泥浆泵、柴油罐等</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920" w:type="pct"/>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完井</w:t>
            </w:r>
          </w:p>
        </w:tc>
        <w:tc>
          <w:tcPr>
            <w:tcW w:w="4079" w:type="pct"/>
            <w:gridSpan w:val="3"/>
            <w:tcBorders>
              <w:tl2br w:val="nil"/>
              <w:tr2bl w:val="nil"/>
            </w:tcBorders>
            <w:vAlign w:val="center"/>
          </w:tcPr>
          <w:p>
            <w:pPr>
              <w:pStyle w:val="41"/>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进行井场临时施工设施拆除、井场设备搬迁以及钻井产生的“三废”处理，井场地面、泥浆暂存池平整恢复及临时占地恢复、放喷池已清理</w:t>
            </w:r>
          </w:p>
        </w:tc>
      </w:tr>
    </w:tbl>
    <w:p>
      <w:pPr>
        <w:pStyle w:val="53"/>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color w:val="auto"/>
          <w:highlight w:val="none"/>
        </w:rPr>
        <w:t>.</w:t>
      </w:r>
      <w:r>
        <w:rPr>
          <w:rFonts w:hint="eastAsia"/>
          <w:color w:val="auto"/>
          <w:highlight w:val="none"/>
          <w:lang w:val="en-US" w:eastAsia="zh-CN"/>
        </w:rPr>
        <w:t>1</w:t>
      </w:r>
      <w:r>
        <w:rPr>
          <w:color w:val="auto"/>
          <w:highlight w:val="none"/>
        </w:rPr>
        <w:t>.</w:t>
      </w:r>
      <w:r>
        <w:rPr>
          <w:rFonts w:hint="eastAsia"/>
          <w:color w:val="auto"/>
          <w:highlight w:val="none"/>
          <w:lang w:val="en-US" w:eastAsia="zh-CN"/>
        </w:rPr>
        <w:t>2</w:t>
      </w:r>
      <w:r>
        <w:rPr>
          <w:rFonts w:hint="eastAsia"/>
          <w:color w:val="auto"/>
          <w:highlight w:val="none"/>
        </w:rPr>
        <w:t>已建工程“三同时”执行情况</w:t>
      </w:r>
    </w:p>
    <w:p>
      <w:pPr>
        <w:pStyle w:val="57"/>
        <w:rPr>
          <w:rStyle w:val="100"/>
          <w:color w:val="auto"/>
        </w:rPr>
      </w:pPr>
      <w:r>
        <w:rPr>
          <w:rStyle w:val="100"/>
          <w:rFonts w:hint="eastAsia"/>
          <w:color w:val="auto"/>
        </w:rPr>
        <w:t>已建工程三同时执行情况见表3.1-2。</w:t>
      </w:r>
    </w:p>
    <w:p>
      <w:pPr>
        <w:pStyle w:val="54"/>
        <w:pageBreakBefore w:val="0"/>
        <w:kinsoku/>
        <w:wordWrap/>
        <w:overflowPunct/>
        <w:topLinePunct w:val="0"/>
        <w:autoSpaceDE/>
        <w:autoSpaceDN/>
        <w:bidi w:val="0"/>
        <w:spacing w:line="480" w:lineRule="exact"/>
        <w:rPr>
          <w:rFonts w:hint="eastAsia" w:hAnsi="宋体" w:cs="Times New Roman"/>
          <w:color w:val="auto"/>
          <w:lang w:val="zh-CN"/>
        </w:rPr>
      </w:pPr>
      <w:r>
        <w:rPr>
          <w:rFonts w:hint="eastAsia" w:hAnsi="宋体" w:cs="Times New Roman"/>
          <w:color w:val="auto"/>
        </w:rPr>
        <w:t xml:space="preserve">表3.1-2    </w:t>
      </w:r>
      <w:r>
        <w:rPr>
          <w:rFonts w:hint="eastAsia" w:hAnsi="宋体" w:cs="Times New Roman"/>
          <w:color w:val="auto"/>
          <w:lang w:val="zh-CN"/>
        </w:rPr>
        <w:t xml:space="preserve">  在建工程环评及验收情况一览表</w:t>
      </w:r>
    </w:p>
    <w:tbl>
      <w:tblPr>
        <w:tblStyle w:val="34"/>
        <w:tblW w:w="503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41"/>
        <w:gridCol w:w="1942"/>
        <w:gridCol w:w="1600"/>
        <w:gridCol w:w="1278"/>
        <w:gridCol w:w="1011"/>
        <w:gridCol w:w="1227"/>
        <w:gridCol w:w="122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vMerge w:val="restart"/>
            <w:tcBorders>
              <w:tl2br w:val="nil"/>
              <w:tr2bl w:val="nil"/>
            </w:tcBorders>
            <w:vAlign w:val="center"/>
          </w:tcPr>
          <w:p>
            <w:pPr>
              <w:pStyle w:val="41"/>
              <w:rPr>
                <w:color w:val="auto"/>
              </w:rPr>
            </w:pPr>
            <w:r>
              <w:rPr>
                <w:rFonts w:hint="eastAsia"/>
                <w:color w:val="auto"/>
              </w:rPr>
              <w:t>序号</w:t>
            </w:r>
          </w:p>
        </w:tc>
        <w:tc>
          <w:tcPr>
            <w:tcW w:w="1112" w:type="pct"/>
            <w:vMerge w:val="restart"/>
            <w:tcBorders>
              <w:tl2br w:val="nil"/>
              <w:tr2bl w:val="nil"/>
            </w:tcBorders>
            <w:vAlign w:val="center"/>
          </w:tcPr>
          <w:p>
            <w:pPr>
              <w:pStyle w:val="41"/>
              <w:rPr>
                <w:color w:val="auto"/>
              </w:rPr>
            </w:pPr>
            <w:r>
              <w:rPr>
                <w:rFonts w:hint="eastAsia"/>
                <w:color w:val="auto"/>
              </w:rPr>
              <w:t>建设内容</w:t>
            </w:r>
          </w:p>
        </w:tc>
        <w:tc>
          <w:tcPr>
            <w:tcW w:w="2228" w:type="pct"/>
            <w:gridSpan w:val="3"/>
            <w:tcBorders>
              <w:tl2br w:val="nil"/>
              <w:tr2bl w:val="nil"/>
            </w:tcBorders>
            <w:vAlign w:val="center"/>
          </w:tcPr>
          <w:p>
            <w:pPr>
              <w:pStyle w:val="41"/>
              <w:rPr>
                <w:color w:val="auto"/>
              </w:rPr>
            </w:pPr>
            <w:r>
              <w:rPr>
                <w:rFonts w:hint="eastAsia"/>
                <w:color w:val="auto"/>
              </w:rPr>
              <w:t>环评文件</w:t>
            </w:r>
          </w:p>
        </w:tc>
        <w:tc>
          <w:tcPr>
            <w:tcW w:w="703" w:type="pct"/>
            <w:tcBorders>
              <w:tl2br w:val="nil"/>
              <w:tr2bl w:val="nil"/>
            </w:tcBorders>
            <w:vAlign w:val="center"/>
          </w:tcPr>
          <w:p>
            <w:pPr>
              <w:pStyle w:val="41"/>
              <w:rPr>
                <w:color w:val="auto"/>
              </w:rPr>
            </w:pPr>
            <w:r>
              <w:rPr>
                <w:rFonts w:hint="eastAsia"/>
                <w:color w:val="auto"/>
              </w:rPr>
              <w:t>验收文件</w:t>
            </w:r>
          </w:p>
        </w:tc>
        <w:tc>
          <w:tcPr>
            <w:tcW w:w="703" w:type="pct"/>
            <w:vMerge w:val="restart"/>
            <w:tcBorders>
              <w:tl2br w:val="nil"/>
              <w:tr2bl w:val="nil"/>
            </w:tcBorders>
            <w:vAlign w:val="center"/>
          </w:tcPr>
          <w:p>
            <w:pPr>
              <w:pStyle w:val="41"/>
              <w:rPr>
                <w:rFonts w:hint="eastAsia" w:eastAsia="宋体"/>
                <w:color w:val="auto"/>
                <w:lang w:val="en-US" w:eastAsia="zh-CN"/>
              </w:rPr>
            </w:pPr>
            <w:r>
              <w:rPr>
                <w:rFonts w:hint="eastAsia"/>
                <w:color w:val="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vMerge w:val="continue"/>
            <w:tcBorders>
              <w:tl2br w:val="nil"/>
              <w:tr2bl w:val="nil"/>
            </w:tcBorders>
            <w:vAlign w:val="center"/>
          </w:tcPr>
          <w:p>
            <w:pPr>
              <w:pStyle w:val="41"/>
              <w:rPr>
                <w:color w:val="auto"/>
              </w:rPr>
            </w:pPr>
          </w:p>
        </w:tc>
        <w:tc>
          <w:tcPr>
            <w:tcW w:w="1112" w:type="pct"/>
            <w:vMerge w:val="continue"/>
            <w:tcBorders>
              <w:tl2br w:val="nil"/>
              <w:tr2bl w:val="nil"/>
            </w:tcBorders>
            <w:vAlign w:val="center"/>
          </w:tcPr>
          <w:p>
            <w:pPr>
              <w:pStyle w:val="41"/>
              <w:rPr>
                <w:color w:val="auto"/>
              </w:rPr>
            </w:pPr>
          </w:p>
        </w:tc>
        <w:tc>
          <w:tcPr>
            <w:tcW w:w="916" w:type="pct"/>
            <w:tcBorders>
              <w:tl2br w:val="nil"/>
              <w:tr2bl w:val="nil"/>
            </w:tcBorders>
            <w:vAlign w:val="center"/>
          </w:tcPr>
          <w:p>
            <w:pPr>
              <w:pStyle w:val="41"/>
              <w:rPr>
                <w:color w:val="auto"/>
              </w:rPr>
            </w:pPr>
            <w:r>
              <w:rPr>
                <w:rFonts w:hint="eastAsia"/>
                <w:color w:val="auto"/>
              </w:rPr>
              <w:t>审批单位</w:t>
            </w:r>
          </w:p>
        </w:tc>
        <w:tc>
          <w:tcPr>
            <w:tcW w:w="732" w:type="pct"/>
            <w:tcBorders>
              <w:tl2br w:val="nil"/>
              <w:tr2bl w:val="nil"/>
            </w:tcBorders>
            <w:vAlign w:val="center"/>
          </w:tcPr>
          <w:p>
            <w:pPr>
              <w:pStyle w:val="41"/>
              <w:rPr>
                <w:color w:val="auto"/>
              </w:rPr>
            </w:pPr>
            <w:r>
              <w:rPr>
                <w:rFonts w:hint="eastAsia"/>
                <w:color w:val="auto"/>
              </w:rPr>
              <w:t>批准文号</w:t>
            </w:r>
          </w:p>
        </w:tc>
        <w:tc>
          <w:tcPr>
            <w:tcW w:w="579" w:type="pct"/>
            <w:tcBorders>
              <w:tl2br w:val="nil"/>
              <w:tr2bl w:val="nil"/>
            </w:tcBorders>
            <w:vAlign w:val="center"/>
          </w:tcPr>
          <w:p>
            <w:pPr>
              <w:pStyle w:val="41"/>
              <w:rPr>
                <w:color w:val="auto"/>
              </w:rPr>
            </w:pPr>
            <w:r>
              <w:rPr>
                <w:rFonts w:hint="eastAsia"/>
                <w:color w:val="auto"/>
              </w:rPr>
              <w:t>批准时间</w:t>
            </w:r>
          </w:p>
        </w:tc>
        <w:tc>
          <w:tcPr>
            <w:tcW w:w="703" w:type="pct"/>
            <w:tcBorders>
              <w:tl2br w:val="nil"/>
              <w:tr2bl w:val="nil"/>
            </w:tcBorders>
            <w:vAlign w:val="center"/>
          </w:tcPr>
          <w:p>
            <w:pPr>
              <w:pStyle w:val="41"/>
              <w:rPr>
                <w:color w:val="auto"/>
              </w:rPr>
            </w:pPr>
            <w:r>
              <w:rPr>
                <w:rFonts w:hint="eastAsia"/>
                <w:color w:val="auto"/>
              </w:rPr>
              <w:t>-</w:t>
            </w:r>
          </w:p>
        </w:tc>
        <w:tc>
          <w:tcPr>
            <w:tcW w:w="703" w:type="pct"/>
            <w:vMerge w:val="continue"/>
            <w:tcBorders>
              <w:tl2br w:val="nil"/>
              <w:tr2bl w:val="nil"/>
            </w:tcBorders>
            <w:vAlign w:val="center"/>
          </w:tcPr>
          <w:p>
            <w:pPr>
              <w:pStyle w:val="41"/>
              <w:rPr>
                <w:rFonts w:hint="eastAsia"/>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pPr>
              <w:pStyle w:val="41"/>
              <w:rPr>
                <w:color w:val="auto"/>
              </w:rPr>
            </w:pPr>
            <w:r>
              <w:rPr>
                <w:rFonts w:hint="eastAsia"/>
                <w:color w:val="auto"/>
              </w:rPr>
              <w:t>1</w:t>
            </w:r>
          </w:p>
        </w:tc>
        <w:tc>
          <w:tcPr>
            <w:tcW w:w="1112" w:type="pct"/>
            <w:tcBorders>
              <w:tl2br w:val="nil"/>
              <w:tr2bl w:val="nil"/>
            </w:tcBorders>
            <w:vAlign w:val="center"/>
          </w:tcPr>
          <w:p>
            <w:pPr>
              <w:pStyle w:val="41"/>
              <w:rPr>
                <w:color w:val="auto"/>
              </w:rPr>
            </w:pPr>
            <w:r>
              <w:rPr>
                <w:rFonts w:hint="eastAsia"/>
                <w:color w:val="auto"/>
                <w:highlight w:val="none"/>
                <w:lang w:val="en-US" w:eastAsia="zh-CN"/>
              </w:rPr>
              <w:t>丰探1井勘探钻探</w:t>
            </w:r>
            <w:r>
              <w:rPr>
                <w:rFonts w:hint="eastAsia"/>
                <w:color w:val="auto"/>
                <w:highlight w:val="none"/>
              </w:rPr>
              <w:t>项目</w:t>
            </w:r>
          </w:p>
        </w:tc>
        <w:tc>
          <w:tcPr>
            <w:tcW w:w="916" w:type="pct"/>
            <w:vMerge w:val="restart"/>
            <w:tcBorders>
              <w:tl2br w:val="nil"/>
              <w:tr2bl w:val="nil"/>
            </w:tcBorders>
            <w:vAlign w:val="center"/>
          </w:tcPr>
          <w:p>
            <w:pPr>
              <w:pStyle w:val="41"/>
              <w:rPr>
                <w:rFonts w:hint="default" w:eastAsia="宋体"/>
                <w:color w:val="auto"/>
                <w:lang w:val="en-US" w:eastAsia="zh-CN"/>
              </w:rPr>
            </w:pPr>
            <w:bookmarkStart w:id="256" w:name="OLE_LINK147"/>
            <w:r>
              <w:rPr>
                <w:rFonts w:hint="eastAsia"/>
                <w:color w:val="auto"/>
                <w:lang w:val="en-US" w:eastAsia="zh-CN"/>
              </w:rPr>
              <w:t>伊犁哈萨克自治州塔城地区生态环境局</w:t>
            </w:r>
            <w:bookmarkEnd w:id="256"/>
          </w:p>
        </w:tc>
        <w:tc>
          <w:tcPr>
            <w:tcW w:w="732" w:type="pct"/>
            <w:tcBorders>
              <w:tl2br w:val="nil"/>
              <w:tr2bl w:val="nil"/>
            </w:tcBorders>
            <w:vAlign w:val="center"/>
          </w:tcPr>
          <w:p>
            <w:pPr>
              <w:pStyle w:val="41"/>
              <w:rPr>
                <w:color w:val="auto"/>
              </w:rPr>
            </w:pPr>
            <w:r>
              <w:rPr>
                <w:rFonts w:hint="eastAsia"/>
                <w:color w:val="auto"/>
                <w:lang w:val="en-US" w:eastAsia="zh-CN"/>
              </w:rPr>
              <w:t>塔地环审</w:t>
            </w:r>
            <w:r>
              <w:rPr>
                <w:rFonts w:hint="eastAsia"/>
                <w:color w:val="auto"/>
                <w:lang w:eastAsia="zh-CN"/>
              </w:rPr>
              <w:t>〔</w:t>
            </w:r>
            <w:r>
              <w:rPr>
                <w:rFonts w:hint="eastAsia"/>
                <w:color w:val="auto"/>
                <w:lang w:val="en-US" w:eastAsia="zh-CN"/>
              </w:rPr>
              <w:t>2023</w:t>
            </w:r>
            <w:r>
              <w:rPr>
                <w:rFonts w:hint="eastAsia"/>
                <w:color w:val="auto"/>
                <w:lang w:eastAsia="zh-CN"/>
              </w:rPr>
              <w:t>〕</w:t>
            </w:r>
            <w:r>
              <w:rPr>
                <w:rFonts w:hint="eastAsia"/>
                <w:color w:val="auto"/>
                <w:lang w:val="en-US" w:eastAsia="zh-CN"/>
              </w:rPr>
              <w:t>122</w:t>
            </w:r>
            <w:r>
              <w:rPr>
                <w:rFonts w:hint="eastAsia"/>
                <w:color w:val="auto"/>
              </w:rPr>
              <w:t>号</w:t>
            </w:r>
          </w:p>
        </w:tc>
        <w:tc>
          <w:tcPr>
            <w:tcW w:w="579" w:type="pct"/>
            <w:tcBorders>
              <w:tl2br w:val="nil"/>
              <w:tr2bl w:val="nil"/>
            </w:tcBorders>
            <w:vAlign w:val="center"/>
          </w:tcPr>
          <w:p>
            <w:pPr>
              <w:pStyle w:val="41"/>
              <w:rPr>
                <w:rFonts w:hint="default" w:eastAsia="宋体"/>
                <w:color w:val="auto"/>
                <w:lang w:val="en-US" w:eastAsia="zh-CN"/>
              </w:rPr>
            </w:pPr>
            <w:r>
              <w:rPr>
                <w:rFonts w:hint="eastAsia"/>
                <w:color w:val="auto"/>
                <w:lang w:val="en-US" w:eastAsia="zh-CN"/>
              </w:rPr>
              <w:t>2023.6.16</w:t>
            </w:r>
          </w:p>
        </w:tc>
        <w:tc>
          <w:tcPr>
            <w:tcW w:w="703" w:type="pct"/>
            <w:tcBorders>
              <w:tl2br w:val="nil"/>
              <w:tr2bl w:val="nil"/>
            </w:tcBorders>
            <w:vAlign w:val="center"/>
          </w:tcPr>
          <w:p>
            <w:pPr>
              <w:pStyle w:val="41"/>
              <w:rPr>
                <w:rFonts w:hint="default" w:eastAsia="宋体"/>
                <w:color w:val="auto"/>
                <w:lang w:val="en-US" w:eastAsia="zh-CN"/>
              </w:rPr>
            </w:pPr>
            <w:r>
              <w:rPr>
                <w:rFonts w:hint="eastAsia"/>
                <w:color w:val="auto"/>
                <w:lang w:val="en-US" w:eastAsia="zh-CN"/>
              </w:rPr>
              <w:t>已完成企业自主验收，2025.4.27</w:t>
            </w:r>
          </w:p>
        </w:tc>
        <w:tc>
          <w:tcPr>
            <w:tcW w:w="703" w:type="pct"/>
            <w:tcBorders>
              <w:tl2br w:val="nil"/>
              <w:tr2bl w:val="nil"/>
            </w:tcBorders>
            <w:vAlign w:val="center"/>
          </w:tcPr>
          <w:p>
            <w:pPr>
              <w:pStyle w:val="41"/>
              <w:rPr>
                <w:rFonts w:hint="eastAsia"/>
                <w:color w:val="auto"/>
              </w:rPr>
            </w:pPr>
            <w:r>
              <w:rPr>
                <w:rFonts w:hint="eastAsia"/>
                <w:color w:val="auto"/>
                <w:highlight w:val="none"/>
                <w:lang w:val="en-US" w:eastAsia="zh-CN"/>
              </w:rPr>
              <w:t>丰探1井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pPr>
              <w:pStyle w:val="41"/>
              <w:rPr>
                <w:rFonts w:hint="eastAsia" w:eastAsia="宋体"/>
                <w:color w:val="auto"/>
                <w:lang w:val="en-US" w:eastAsia="zh-CN"/>
              </w:rPr>
            </w:pPr>
            <w:r>
              <w:rPr>
                <w:rFonts w:hint="eastAsia"/>
                <w:color w:val="auto"/>
                <w:lang w:val="en-US" w:eastAsia="zh-CN"/>
              </w:rPr>
              <w:t>2</w:t>
            </w:r>
          </w:p>
        </w:tc>
        <w:tc>
          <w:tcPr>
            <w:tcW w:w="1112" w:type="pct"/>
            <w:tcBorders>
              <w:tl2br w:val="nil"/>
              <w:tr2bl w:val="nil"/>
            </w:tcBorders>
            <w:vAlign w:val="center"/>
          </w:tcPr>
          <w:p>
            <w:pPr>
              <w:pStyle w:val="41"/>
              <w:rPr>
                <w:color w:val="auto"/>
              </w:rPr>
            </w:pPr>
            <w:r>
              <w:rPr>
                <w:rFonts w:hint="eastAsia"/>
                <w:color w:val="auto"/>
                <w:highlight w:val="none"/>
                <w:lang w:val="en-US" w:eastAsia="zh-CN"/>
              </w:rPr>
              <w:t>玛北地区玛51X、丰探1区块二叠系风城组油藏评价井工程</w:t>
            </w:r>
          </w:p>
        </w:tc>
        <w:tc>
          <w:tcPr>
            <w:tcW w:w="916" w:type="pct"/>
            <w:vMerge w:val="continue"/>
            <w:tcBorders>
              <w:tl2br w:val="nil"/>
              <w:tr2bl w:val="nil"/>
            </w:tcBorders>
            <w:vAlign w:val="center"/>
          </w:tcPr>
          <w:p>
            <w:pPr>
              <w:pStyle w:val="41"/>
              <w:rPr>
                <w:rFonts w:hint="default" w:eastAsia="宋体"/>
                <w:color w:val="auto"/>
                <w:lang w:val="en-US" w:eastAsia="zh-CN"/>
              </w:rPr>
            </w:pPr>
          </w:p>
        </w:tc>
        <w:tc>
          <w:tcPr>
            <w:tcW w:w="732" w:type="pct"/>
            <w:tcBorders>
              <w:tl2br w:val="nil"/>
              <w:tr2bl w:val="nil"/>
            </w:tcBorders>
            <w:vAlign w:val="center"/>
          </w:tcPr>
          <w:p>
            <w:pPr>
              <w:pStyle w:val="41"/>
              <w:rPr>
                <w:rFonts w:hint="default" w:eastAsia="宋体"/>
                <w:color w:val="auto"/>
                <w:lang w:val="en-US" w:eastAsia="zh-CN"/>
              </w:rPr>
            </w:pPr>
            <w:r>
              <w:rPr>
                <w:rFonts w:hint="eastAsia"/>
                <w:color w:val="auto"/>
                <w:lang w:val="en-US" w:eastAsia="zh-CN"/>
              </w:rPr>
              <w:t>塔地环审</w:t>
            </w:r>
            <w:r>
              <w:rPr>
                <w:rFonts w:hint="eastAsia"/>
                <w:color w:val="auto"/>
                <w:lang w:eastAsia="zh-CN"/>
              </w:rPr>
              <w:t>〔</w:t>
            </w:r>
            <w:r>
              <w:rPr>
                <w:rFonts w:hint="eastAsia"/>
                <w:color w:val="auto"/>
                <w:lang w:val="en-US" w:eastAsia="zh-CN"/>
              </w:rPr>
              <w:t>2025</w:t>
            </w:r>
            <w:r>
              <w:rPr>
                <w:rFonts w:hint="eastAsia"/>
                <w:color w:val="auto"/>
                <w:lang w:eastAsia="zh-CN"/>
              </w:rPr>
              <w:t>〕</w:t>
            </w:r>
            <w:r>
              <w:rPr>
                <w:rFonts w:hint="eastAsia"/>
                <w:color w:val="auto"/>
                <w:lang w:val="en-US" w:eastAsia="zh-CN"/>
              </w:rPr>
              <w:t>35</w:t>
            </w:r>
            <w:r>
              <w:rPr>
                <w:rFonts w:hint="eastAsia"/>
                <w:color w:val="auto"/>
              </w:rPr>
              <w:t>号</w:t>
            </w:r>
          </w:p>
        </w:tc>
        <w:tc>
          <w:tcPr>
            <w:tcW w:w="579" w:type="pct"/>
            <w:tcBorders>
              <w:tl2br w:val="nil"/>
              <w:tr2bl w:val="nil"/>
            </w:tcBorders>
            <w:vAlign w:val="center"/>
          </w:tcPr>
          <w:p>
            <w:pPr>
              <w:pStyle w:val="41"/>
              <w:rPr>
                <w:rFonts w:hint="default" w:eastAsia="宋体"/>
                <w:color w:val="auto"/>
                <w:lang w:val="en-US" w:eastAsia="zh-CN"/>
              </w:rPr>
            </w:pPr>
            <w:r>
              <w:rPr>
                <w:rFonts w:hint="eastAsia"/>
                <w:color w:val="auto"/>
                <w:lang w:val="en-US" w:eastAsia="zh-CN"/>
              </w:rPr>
              <w:t>2025.3.10</w:t>
            </w:r>
          </w:p>
        </w:tc>
        <w:tc>
          <w:tcPr>
            <w:tcW w:w="703" w:type="pct"/>
            <w:tcBorders>
              <w:tl2br w:val="nil"/>
              <w:tr2bl w:val="nil"/>
            </w:tcBorders>
            <w:vAlign w:val="center"/>
          </w:tcPr>
          <w:p>
            <w:pPr>
              <w:pStyle w:val="41"/>
              <w:rPr>
                <w:rFonts w:hint="default" w:eastAsia="宋体"/>
                <w:color w:val="auto"/>
                <w:lang w:val="en-US" w:eastAsia="zh-CN"/>
              </w:rPr>
            </w:pPr>
            <w:r>
              <w:rPr>
                <w:rFonts w:hint="eastAsia"/>
                <w:color w:val="auto"/>
              </w:rPr>
              <w:t>未开展验收</w:t>
            </w:r>
          </w:p>
        </w:tc>
        <w:tc>
          <w:tcPr>
            <w:tcW w:w="703" w:type="pct"/>
            <w:tcBorders>
              <w:tl2br w:val="nil"/>
              <w:tr2bl w:val="nil"/>
            </w:tcBorders>
            <w:vAlign w:val="center"/>
          </w:tcPr>
          <w:p>
            <w:pPr>
              <w:pStyle w:val="41"/>
              <w:rPr>
                <w:rFonts w:hint="eastAsia"/>
                <w:color w:val="auto"/>
              </w:rPr>
            </w:pPr>
            <w:r>
              <w:rPr>
                <w:rFonts w:hint="eastAsia"/>
                <w:color w:val="auto"/>
              </w:rPr>
              <w:t>丰探101、丰探102、丰探103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pPr>
              <w:pStyle w:val="41"/>
              <w:rPr>
                <w:rFonts w:hint="default"/>
                <w:color w:val="auto"/>
                <w:lang w:val="en-US" w:eastAsia="zh-CN"/>
              </w:rPr>
            </w:pPr>
            <w:r>
              <w:rPr>
                <w:rFonts w:hint="eastAsia"/>
                <w:color w:val="auto"/>
                <w:lang w:val="en-US" w:eastAsia="zh-CN"/>
              </w:rPr>
              <w:t>3</w:t>
            </w:r>
          </w:p>
        </w:tc>
        <w:tc>
          <w:tcPr>
            <w:tcW w:w="1112" w:type="pct"/>
            <w:tcBorders>
              <w:tl2br w:val="nil"/>
              <w:tr2bl w:val="nil"/>
            </w:tcBorders>
            <w:vAlign w:val="center"/>
          </w:tcPr>
          <w:p>
            <w:pPr>
              <w:pStyle w:val="41"/>
              <w:rPr>
                <w:rFonts w:hint="default"/>
                <w:color w:val="auto"/>
                <w:highlight w:val="none"/>
                <w:lang w:val="en-US" w:eastAsia="zh-CN"/>
              </w:rPr>
            </w:pPr>
            <w:bookmarkStart w:id="257" w:name="OLE_LINK157"/>
            <w:r>
              <w:rPr>
                <w:rFonts w:hint="eastAsia"/>
                <w:color w:val="auto"/>
                <w:highlight w:val="none"/>
                <w:lang w:val="en-US" w:eastAsia="zh-CN"/>
              </w:rPr>
              <w:t>玛56井、</w:t>
            </w:r>
            <w:bookmarkStart w:id="258" w:name="OLE_LINK15"/>
            <w:r>
              <w:rPr>
                <w:rFonts w:hint="eastAsia"/>
                <w:color w:val="auto"/>
                <w:highlight w:val="none"/>
                <w:lang w:val="en-US" w:eastAsia="zh-CN"/>
              </w:rPr>
              <w:t>风城5井勘探钻探项目</w:t>
            </w:r>
            <w:bookmarkEnd w:id="257"/>
            <w:bookmarkEnd w:id="258"/>
          </w:p>
        </w:tc>
        <w:tc>
          <w:tcPr>
            <w:tcW w:w="916" w:type="pct"/>
            <w:vMerge w:val="continue"/>
            <w:tcBorders>
              <w:tl2br w:val="nil"/>
              <w:tr2bl w:val="nil"/>
            </w:tcBorders>
            <w:vAlign w:val="center"/>
          </w:tcPr>
          <w:p>
            <w:pPr>
              <w:pStyle w:val="41"/>
              <w:rPr>
                <w:rFonts w:hint="default" w:eastAsia="宋体"/>
                <w:color w:val="auto"/>
                <w:lang w:val="en-US" w:eastAsia="zh-CN"/>
              </w:rPr>
            </w:pPr>
          </w:p>
        </w:tc>
        <w:tc>
          <w:tcPr>
            <w:tcW w:w="732" w:type="pct"/>
            <w:tcBorders>
              <w:tl2br w:val="nil"/>
              <w:tr2bl w:val="nil"/>
            </w:tcBorders>
            <w:vAlign w:val="center"/>
          </w:tcPr>
          <w:p>
            <w:pPr>
              <w:pStyle w:val="41"/>
              <w:rPr>
                <w:rFonts w:hint="eastAsia"/>
                <w:color w:val="auto"/>
                <w:lang w:val="en-US" w:eastAsia="zh-CN"/>
              </w:rPr>
            </w:pPr>
            <w:r>
              <w:rPr>
                <w:rFonts w:hint="eastAsia"/>
                <w:color w:val="auto"/>
                <w:lang w:val="en-US" w:eastAsia="zh-CN"/>
              </w:rPr>
              <w:t>塔地环审</w:t>
            </w:r>
            <w:r>
              <w:rPr>
                <w:rFonts w:hint="eastAsia"/>
                <w:color w:val="auto"/>
                <w:lang w:eastAsia="zh-CN"/>
              </w:rPr>
              <w:t>〔</w:t>
            </w:r>
            <w:r>
              <w:rPr>
                <w:rFonts w:hint="eastAsia"/>
                <w:color w:val="auto"/>
                <w:lang w:val="en-US" w:eastAsia="zh-CN"/>
              </w:rPr>
              <w:t>2022</w:t>
            </w:r>
            <w:r>
              <w:rPr>
                <w:rFonts w:hint="eastAsia"/>
                <w:color w:val="auto"/>
                <w:lang w:eastAsia="zh-CN"/>
              </w:rPr>
              <w:t>〕</w:t>
            </w:r>
            <w:r>
              <w:rPr>
                <w:rFonts w:hint="eastAsia"/>
                <w:color w:val="auto"/>
                <w:lang w:val="en-US" w:eastAsia="zh-CN"/>
              </w:rPr>
              <w:t>346</w:t>
            </w:r>
            <w:r>
              <w:rPr>
                <w:rFonts w:hint="eastAsia"/>
                <w:color w:val="auto"/>
              </w:rPr>
              <w:t>号</w:t>
            </w:r>
          </w:p>
        </w:tc>
        <w:tc>
          <w:tcPr>
            <w:tcW w:w="579" w:type="pct"/>
            <w:tcBorders>
              <w:tl2br w:val="nil"/>
              <w:tr2bl w:val="nil"/>
            </w:tcBorders>
            <w:vAlign w:val="center"/>
          </w:tcPr>
          <w:p>
            <w:pPr>
              <w:pStyle w:val="41"/>
              <w:rPr>
                <w:rFonts w:hint="default"/>
                <w:color w:val="auto"/>
                <w:lang w:val="en-US" w:eastAsia="zh-CN"/>
              </w:rPr>
            </w:pPr>
            <w:r>
              <w:rPr>
                <w:rFonts w:hint="eastAsia"/>
                <w:color w:val="auto"/>
                <w:lang w:val="en-US" w:eastAsia="zh-CN"/>
              </w:rPr>
              <w:t>2022.11.15</w:t>
            </w:r>
          </w:p>
        </w:tc>
        <w:tc>
          <w:tcPr>
            <w:tcW w:w="703" w:type="pct"/>
            <w:tcBorders>
              <w:tl2br w:val="nil"/>
              <w:tr2bl w:val="nil"/>
            </w:tcBorders>
            <w:vAlign w:val="center"/>
          </w:tcPr>
          <w:p>
            <w:pPr>
              <w:pStyle w:val="41"/>
              <w:rPr>
                <w:rFonts w:hint="eastAsia"/>
                <w:color w:val="auto"/>
                <w:lang w:val="en-US" w:eastAsia="zh-CN"/>
              </w:rPr>
            </w:pPr>
            <w:r>
              <w:rPr>
                <w:rFonts w:hint="eastAsia"/>
                <w:color w:val="auto"/>
              </w:rPr>
              <w:t>未开展验收</w:t>
            </w:r>
          </w:p>
        </w:tc>
        <w:tc>
          <w:tcPr>
            <w:tcW w:w="703" w:type="pct"/>
            <w:tcBorders>
              <w:tl2br w:val="nil"/>
              <w:tr2bl w:val="nil"/>
            </w:tcBorders>
            <w:vAlign w:val="center"/>
          </w:tcPr>
          <w:p>
            <w:pPr>
              <w:pStyle w:val="41"/>
              <w:rPr>
                <w:rFonts w:hint="eastAsia"/>
                <w:color w:val="auto"/>
                <w:lang w:val="en-US" w:eastAsia="zh-CN"/>
              </w:rPr>
            </w:pPr>
            <w:r>
              <w:rPr>
                <w:rFonts w:hint="eastAsia"/>
                <w:color w:val="auto"/>
                <w:highlight w:val="none"/>
                <w:lang w:val="en-US" w:eastAsia="zh-CN"/>
              </w:rPr>
              <w:t>风城5井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pPr>
              <w:pStyle w:val="41"/>
              <w:rPr>
                <w:rFonts w:hint="default"/>
                <w:color w:val="auto"/>
                <w:lang w:val="en-US" w:eastAsia="zh-CN"/>
              </w:rPr>
            </w:pPr>
            <w:r>
              <w:rPr>
                <w:rFonts w:hint="eastAsia"/>
                <w:color w:val="auto"/>
                <w:lang w:val="en-US" w:eastAsia="zh-CN"/>
              </w:rPr>
              <w:t>4</w:t>
            </w:r>
          </w:p>
        </w:tc>
        <w:tc>
          <w:tcPr>
            <w:tcW w:w="1112" w:type="pct"/>
            <w:tcBorders>
              <w:tl2br w:val="nil"/>
              <w:tr2bl w:val="nil"/>
            </w:tcBorders>
            <w:vAlign w:val="center"/>
          </w:tcPr>
          <w:p>
            <w:pPr>
              <w:pStyle w:val="41"/>
              <w:rPr>
                <w:rFonts w:hint="default"/>
                <w:color w:val="auto"/>
                <w:highlight w:val="none"/>
                <w:lang w:val="en-US" w:eastAsia="zh-CN"/>
              </w:rPr>
            </w:pPr>
            <w:bookmarkStart w:id="259" w:name="OLE_LINK159"/>
            <w:r>
              <w:rPr>
                <w:rFonts w:hint="eastAsia"/>
                <w:color w:val="auto"/>
                <w:highlight w:val="none"/>
                <w:lang w:val="en-US" w:eastAsia="zh-CN"/>
              </w:rPr>
              <w:t>风城6X井、风城8井勘探钻探项目</w:t>
            </w:r>
            <w:bookmarkEnd w:id="259"/>
          </w:p>
        </w:tc>
        <w:tc>
          <w:tcPr>
            <w:tcW w:w="916" w:type="pct"/>
            <w:vMerge w:val="continue"/>
            <w:tcBorders>
              <w:tl2br w:val="nil"/>
              <w:tr2bl w:val="nil"/>
            </w:tcBorders>
            <w:vAlign w:val="center"/>
          </w:tcPr>
          <w:p>
            <w:pPr>
              <w:pStyle w:val="41"/>
              <w:rPr>
                <w:rFonts w:hint="default" w:eastAsia="宋体"/>
                <w:color w:val="auto"/>
                <w:lang w:val="en-US" w:eastAsia="zh-CN"/>
              </w:rPr>
            </w:pPr>
          </w:p>
        </w:tc>
        <w:tc>
          <w:tcPr>
            <w:tcW w:w="732" w:type="pct"/>
            <w:tcBorders>
              <w:tl2br w:val="nil"/>
              <w:tr2bl w:val="nil"/>
            </w:tcBorders>
            <w:vAlign w:val="center"/>
          </w:tcPr>
          <w:p>
            <w:pPr>
              <w:pStyle w:val="41"/>
              <w:rPr>
                <w:rFonts w:hint="eastAsia"/>
                <w:color w:val="auto"/>
                <w:lang w:val="en-US" w:eastAsia="zh-CN"/>
              </w:rPr>
            </w:pPr>
            <w:r>
              <w:rPr>
                <w:rFonts w:hint="eastAsia"/>
                <w:color w:val="auto"/>
                <w:lang w:val="en-US" w:eastAsia="zh-CN"/>
              </w:rPr>
              <w:t>塔地环审</w:t>
            </w:r>
            <w:r>
              <w:rPr>
                <w:rFonts w:hint="eastAsia"/>
                <w:color w:val="auto"/>
                <w:lang w:eastAsia="zh-CN"/>
              </w:rPr>
              <w:t>〔</w:t>
            </w:r>
            <w:r>
              <w:rPr>
                <w:rFonts w:hint="eastAsia"/>
                <w:color w:val="auto"/>
                <w:lang w:val="en-US" w:eastAsia="zh-CN"/>
              </w:rPr>
              <w:t>2024</w:t>
            </w:r>
            <w:r>
              <w:rPr>
                <w:rFonts w:hint="eastAsia"/>
                <w:color w:val="auto"/>
                <w:lang w:eastAsia="zh-CN"/>
              </w:rPr>
              <w:t>〕</w:t>
            </w:r>
            <w:r>
              <w:rPr>
                <w:rFonts w:hint="eastAsia"/>
                <w:color w:val="auto"/>
                <w:lang w:val="en-US" w:eastAsia="zh-CN"/>
              </w:rPr>
              <w:t>35</w:t>
            </w:r>
            <w:r>
              <w:rPr>
                <w:rFonts w:hint="eastAsia"/>
                <w:color w:val="auto"/>
              </w:rPr>
              <w:t>号</w:t>
            </w:r>
          </w:p>
        </w:tc>
        <w:tc>
          <w:tcPr>
            <w:tcW w:w="579" w:type="pct"/>
            <w:tcBorders>
              <w:tl2br w:val="nil"/>
              <w:tr2bl w:val="nil"/>
            </w:tcBorders>
            <w:vAlign w:val="center"/>
          </w:tcPr>
          <w:p>
            <w:pPr>
              <w:pStyle w:val="41"/>
              <w:rPr>
                <w:rFonts w:hint="default"/>
                <w:color w:val="auto"/>
                <w:lang w:val="en-US" w:eastAsia="zh-CN"/>
              </w:rPr>
            </w:pPr>
            <w:r>
              <w:rPr>
                <w:rFonts w:hint="eastAsia"/>
                <w:color w:val="auto"/>
                <w:lang w:val="en-US" w:eastAsia="zh-CN"/>
              </w:rPr>
              <w:t>2024.3.18</w:t>
            </w:r>
          </w:p>
        </w:tc>
        <w:tc>
          <w:tcPr>
            <w:tcW w:w="703" w:type="pct"/>
            <w:tcBorders>
              <w:tl2br w:val="nil"/>
              <w:tr2bl w:val="nil"/>
            </w:tcBorders>
            <w:vAlign w:val="center"/>
          </w:tcPr>
          <w:p>
            <w:pPr>
              <w:pStyle w:val="41"/>
              <w:rPr>
                <w:rFonts w:hint="eastAsia"/>
                <w:color w:val="auto"/>
                <w:lang w:val="en-US" w:eastAsia="zh-CN"/>
              </w:rPr>
            </w:pPr>
            <w:r>
              <w:rPr>
                <w:rFonts w:hint="eastAsia"/>
                <w:color w:val="auto"/>
              </w:rPr>
              <w:t>未开展验收</w:t>
            </w:r>
          </w:p>
        </w:tc>
        <w:tc>
          <w:tcPr>
            <w:tcW w:w="703" w:type="pct"/>
            <w:tcBorders>
              <w:tl2br w:val="nil"/>
              <w:tr2bl w:val="nil"/>
            </w:tcBorders>
            <w:vAlign w:val="center"/>
          </w:tcPr>
          <w:p>
            <w:pPr>
              <w:pStyle w:val="41"/>
              <w:rPr>
                <w:rFonts w:hint="eastAsia"/>
                <w:color w:val="auto"/>
                <w:lang w:val="en-US" w:eastAsia="zh-CN"/>
              </w:rPr>
            </w:pPr>
            <w:r>
              <w:rPr>
                <w:rFonts w:hint="eastAsia"/>
                <w:color w:val="auto"/>
                <w:highlight w:val="none"/>
                <w:lang w:val="en-US" w:eastAsia="zh-CN"/>
              </w:rPr>
              <w:t>风城6X井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pPr>
              <w:pStyle w:val="41"/>
              <w:rPr>
                <w:rFonts w:hint="default"/>
                <w:color w:val="auto"/>
                <w:lang w:val="en-US" w:eastAsia="zh-CN"/>
              </w:rPr>
            </w:pPr>
            <w:r>
              <w:rPr>
                <w:rFonts w:hint="eastAsia"/>
                <w:color w:val="auto"/>
                <w:lang w:val="en-US" w:eastAsia="zh-CN"/>
              </w:rPr>
              <w:t>5</w:t>
            </w:r>
          </w:p>
        </w:tc>
        <w:tc>
          <w:tcPr>
            <w:tcW w:w="1112" w:type="pct"/>
            <w:tcBorders>
              <w:tl2br w:val="nil"/>
              <w:tr2bl w:val="nil"/>
            </w:tcBorders>
            <w:vAlign w:val="center"/>
          </w:tcPr>
          <w:p>
            <w:pPr>
              <w:pStyle w:val="41"/>
              <w:rPr>
                <w:rFonts w:hint="eastAsia"/>
                <w:color w:val="auto"/>
                <w:highlight w:val="none"/>
                <w:lang w:val="en-US" w:eastAsia="zh-CN"/>
              </w:rPr>
            </w:pPr>
            <w:bookmarkStart w:id="260" w:name="OLE_LINK158"/>
            <w:r>
              <w:rPr>
                <w:rFonts w:hint="eastAsia"/>
                <w:color w:val="auto"/>
                <w:highlight w:val="none"/>
                <w:lang w:val="en-US" w:eastAsia="zh-CN"/>
              </w:rPr>
              <w:t>风城7井勘探钻探项目</w:t>
            </w:r>
            <w:bookmarkEnd w:id="260"/>
          </w:p>
        </w:tc>
        <w:tc>
          <w:tcPr>
            <w:tcW w:w="916" w:type="pct"/>
            <w:tcBorders>
              <w:tl2br w:val="nil"/>
              <w:tr2bl w:val="nil"/>
            </w:tcBorders>
            <w:vAlign w:val="center"/>
          </w:tcPr>
          <w:p>
            <w:pPr>
              <w:pStyle w:val="41"/>
              <w:rPr>
                <w:rFonts w:hint="default" w:eastAsia="宋体"/>
                <w:color w:val="auto"/>
                <w:lang w:val="en-US" w:eastAsia="zh-CN"/>
              </w:rPr>
            </w:pPr>
            <w:bookmarkStart w:id="261" w:name="OLE_LINK150"/>
            <w:r>
              <w:rPr>
                <w:rFonts w:hint="eastAsia"/>
                <w:color w:val="auto"/>
                <w:lang w:val="en-US" w:eastAsia="zh-CN"/>
              </w:rPr>
              <w:t>克拉玛依市生态环境局</w:t>
            </w:r>
            <w:bookmarkEnd w:id="261"/>
          </w:p>
        </w:tc>
        <w:tc>
          <w:tcPr>
            <w:tcW w:w="732" w:type="pct"/>
            <w:tcBorders>
              <w:tl2br w:val="nil"/>
              <w:tr2bl w:val="nil"/>
            </w:tcBorders>
            <w:vAlign w:val="center"/>
          </w:tcPr>
          <w:p>
            <w:pPr>
              <w:pStyle w:val="41"/>
              <w:rPr>
                <w:rFonts w:hint="default"/>
                <w:color w:val="auto"/>
                <w:lang w:val="en-US" w:eastAsia="zh-CN"/>
              </w:rPr>
            </w:pPr>
            <w:r>
              <w:rPr>
                <w:rFonts w:hint="eastAsia"/>
                <w:color w:val="auto"/>
                <w:lang w:val="en-US" w:eastAsia="zh-CN"/>
              </w:rPr>
              <w:t>克环函</w:t>
            </w:r>
            <w:r>
              <w:rPr>
                <w:rFonts w:hint="eastAsia"/>
                <w:color w:val="auto"/>
                <w:lang w:eastAsia="zh-CN"/>
              </w:rPr>
              <w:t>〔</w:t>
            </w:r>
            <w:r>
              <w:rPr>
                <w:rFonts w:hint="eastAsia"/>
                <w:color w:val="auto"/>
                <w:lang w:val="en-US" w:eastAsia="zh-CN"/>
              </w:rPr>
              <w:t>2024</w:t>
            </w:r>
            <w:r>
              <w:rPr>
                <w:rFonts w:hint="eastAsia"/>
                <w:color w:val="auto"/>
                <w:lang w:eastAsia="zh-CN"/>
              </w:rPr>
              <w:t>〕</w:t>
            </w:r>
            <w:r>
              <w:rPr>
                <w:rFonts w:hint="eastAsia"/>
                <w:color w:val="auto"/>
                <w:lang w:val="en-US" w:eastAsia="zh-CN"/>
              </w:rPr>
              <w:t>11</w:t>
            </w:r>
            <w:r>
              <w:rPr>
                <w:rFonts w:hint="eastAsia"/>
                <w:color w:val="auto"/>
              </w:rPr>
              <w:t>号</w:t>
            </w:r>
          </w:p>
        </w:tc>
        <w:tc>
          <w:tcPr>
            <w:tcW w:w="579" w:type="pct"/>
            <w:tcBorders>
              <w:tl2br w:val="nil"/>
              <w:tr2bl w:val="nil"/>
            </w:tcBorders>
            <w:vAlign w:val="center"/>
          </w:tcPr>
          <w:p>
            <w:pPr>
              <w:pStyle w:val="41"/>
              <w:rPr>
                <w:rFonts w:hint="default"/>
                <w:color w:val="auto"/>
                <w:lang w:val="en-US" w:eastAsia="zh-CN"/>
              </w:rPr>
            </w:pPr>
            <w:r>
              <w:rPr>
                <w:rFonts w:hint="eastAsia"/>
                <w:color w:val="auto"/>
                <w:lang w:val="en-US" w:eastAsia="zh-CN"/>
              </w:rPr>
              <w:t>2024.2.9</w:t>
            </w:r>
          </w:p>
        </w:tc>
        <w:tc>
          <w:tcPr>
            <w:tcW w:w="703" w:type="pct"/>
            <w:tcBorders>
              <w:tl2br w:val="nil"/>
              <w:tr2bl w:val="nil"/>
            </w:tcBorders>
            <w:vAlign w:val="center"/>
          </w:tcPr>
          <w:p>
            <w:pPr>
              <w:pStyle w:val="41"/>
              <w:rPr>
                <w:rFonts w:hint="eastAsia"/>
                <w:color w:val="auto"/>
                <w:lang w:val="en-US" w:eastAsia="zh-CN"/>
              </w:rPr>
            </w:pPr>
            <w:bookmarkStart w:id="262" w:name="OLE_LINK149"/>
            <w:r>
              <w:rPr>
                <w:rFonts w:hint="eastAsia"/>
                <w:color w:val="auto"/>
              </w:rPr>
              <w:t>未开展验收</w:t>
            </w:r>
            <w:bookmarkEnd w:id="262"/>
          </w:p>
        </w:tc>
        <w:tc>
          <w:tcPr>
            <w:tcW w:w="703" w:type="pct"/>
            <w:tcBorders>
              <w:tl2br w:val="nil"/>
              <w:tr2bl w:val="nil"/>
            </w:tcBorders>
            <w:vAlign w:val="center"/>
          </w:tcPr>
          <w:p>
            <w:pPr>
              <w:pStyle w:val="41"/>
              <w:rPr>
                <w:rFonts w:hint="eastAsia"/>
                <w:color w:val="auto"/>
                <w:lang w:val="en-US" w:eastAsia="zh-CN"/>
              </w:rPr>
            </w:pPr>
            <w:r>
              <w:rPr>
                <w:rFonts w:hint="eastAsia"/>
                <w:color w:val="auto"/>
                <w:highlight w:val="none"/>
                <w:lang w:val="en-US" w:eastAsia="zh-CN"/>
              </w:rPr>
              <w:t>风城7井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pPr>
              <w:pStyle w:val="41"/>
              <w:rPr>
                <w:rFonts w:hint="default"/>
                <w:color w:val="auto"/>
                <w:lang w:val="en-US" w:eastAsia="zh-CN"/>
              </w:rPr>
            </w:pPr>
            <w:r>
              <w:rPr>
                <w:rFonts w:hint="eastAsia"/>
                <w:color w:val="auto"/>
                <w:lang w:val="en-US" w:eastAsia="zh-CN"/>
              </w:rPr>
              <w:t>6</w:t>
            </w:r>
          </w:p>
        </w:tc>
        <w:tc>
          <w:tcPr>
            <w:tcW w:w="1112" w:type="pct"/>
            <w:tcBorders>
              <w:tl2br w:val="nil"/>
              <w:tr2bl w:val="nil"/>
            </w:tcBorders>
            <w:vAlign w:val="center"/>
          </w:tcPr>
          <w:p>
            <w:pPr>
              <w:pStyle w:val="41"/>
              <w:rPr>
                <w:rFonts w:hint="eastAsia"/>
                <w:color w:val="auto"/>
                <w:highlight w:val="none"/>
                <w:lang w:val="en-US" w:eastAsia="zh-CN"/>
              </w:rPr>
            </w:pPr>
            <w:r>
              <w:rPr>
                <w:rFonts w:hint="eastAsia"/>
                <w:color w:val="auto"/>
                <w:highlight w:val="none"/>
                <w:lang w:val="en-US" w:eastAsia="zh-CN"/>
              </w:rPr>
              <w:t>玛北斜坡区夏72井区二叠系风城组油藏评价井工程</w:t>
            </w:r>
          </w:p>
        </w:tc>
        <w:tc>
          <w:tcPr>
            <w:tcW w:w="916" w:type="pct"/>
            <w:vMerge w:val="restart"/>
            <w:tcBorders>
              <w:tl2br w:val="nil"/>
              <w:tr2bl w:val="nil"/>
            </w:tcBorders>
            <w:vAlign w:val="center"/>
          </w:tcPr>
          <w:p>
            <w:pPr>
              <w:pStyle w:val="41"/>
              <w:rPr>
                <w:rFonts w:hint="eastAsia"/>
                <w:color w:val="auto"/>
                <w:lang w:val="en-US" w:eastAsia="zh-CN"/>
              </w:rPr>
            </w:pPr>
            <w:r>
              <w:rPr>
                <w:rFonts w:hint="eastAsia"/>
                <w:color w:val="auto"/>
                <w:lang w:val="en-US" w:eastAsia="zh-CN"/>
              </w:rPr>
              <w:t>伊犁哈萨克自治州塔城地区生态环境局</w:t>
            </w:r>
          </w:p>
        </w:tc>
        <w:tc>
          <w:tcPr>
            <w:tcW w:w="732" w:type="pct"/>
            <w:tcBorders>
              <w:tl2br w:val="nil"/>
              <w:tr2bl w:val="nil"/>
            </w:tcBorders>
            <w:vAlign w:val="center"/>
          </w:tcPr>
          <w:p>
            <w:pPr>
              <w:pStyle w:val="41"/>
              <w:rPr>
                <w:rFonts w:hint="eastAsia"/>
                <w:color w:val="auto"/>
                <w:lang w:val="en-US" w:eastAsia="zh-CN"/>
              </w:rPr>
            </w:pPr>
            <w:r>
              <w:rPr>
                <w:rFonts w:hint="eastAsia"/>
                <w:color w:val="auto"/>
                <w:lang w:val="en-US" w:eastAsia="zh-CN"/>
              </w:rPr>
              <w:t>塔地环字〔2021〕193号</w:t>
            </w:r>
          </w:p>
        </w:tc>
        <w:tc>
          <w:tcPr>
            <w:tcW w:w="579" w:type="pct"/>
            <w:tcBorders>
              <w:tl2br w:val="nil"/>
              <w:tr2bl w:val="nil"/>
            </w:tcBorders>
            <w:vAlign w:val="center"/>
          </w:tcPr>
          <w:p>
            <w:pPr>
              <w:pStyle w:val="41"/>
              <w:rPr>
                <w:rFonts w:hint="default"/>
                <w:color w:val="auto"/>
                <w:lang w:val="en-US" w:eastAsia="zh-CN"/>
              </w:rPr>
            </w:pPr>
            <w:r>
              <w:rPr>
                <w:rFonts w:hint="eastAsia"/>
                <w:color w:val="auto"/>
                <w:lang w:val="en-US" w:eastAsia="zh-CN"/>
              </w:rPr>
              <w:t>2021.9.14</w:t>
            </w:r>
          </w:p>
        </w:tc>
        <w:tc>
          <w:tcPr>
            <w:tcW w:w="703" w:type="pct"/>
            <w:tcBorders>
              <w:tl2br w:val="nil"/>
              <w:tr2bl w:val="nil"/>
            </w:tcBorders>
            <w:vAlign w:val="center"/>
          </w:tcPr>
          <w:p>
            <w:pPr>
              <w:rPr>
                <w:rFonts w:hint="eastAsia"/>
                <w:color w:val="auto"/>
              </w:rPr>
            </w:pPr>
            <w:r>
              <w:rPr>
                <w:rFonts w:hint="eastAsia"/>
                <w:color w:val="auto"/>
              </w:rPr>
              <w:t>未开展验收</w:t>
            </w:r>
          </w:p>
        </w:tc>
        <w:tc>
          <w:tcPr>
            <w:tcW w:w="703" w:type="pct"/>
            <w:tcBorders>
              <w:tl2br w:val="nil"/>
              <w:tr2bl w:val="nil"/>
            </w:tcBorders>
            <w:vAlign w:val="center"/>
          </w:tcPr>
          <w:p>
            <w:pPr>
              <w:pStyle w:val="41"/>
              <w:rPr>
                <w:rFonts w:hint="eastAsia"/>
                <w:color w:val="auto"/>
                <w:highlight w:val="none"/>
                <w:lang w:val="en-US" w:eastAsia="zh-CN"/>
              </w:rPr>
            </w:pPr>
            <w:r>
              <w:rPr>
                <w:rFonts w:hint="default" w:ascii="Times New Roman" w:hAnsi="Times New Roman" w:cs="Times New Roman"/>
                <w:color w:val="auto"/>
                <w:sz w:val="21"/>
                <w:szCs w:val="21"/>
              </w:rPr>
              <w:t>夏211X井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pPr>
              <w:pStyle w:val="41"/>
              <w:rPr>
                <w:rFonts w:hint="default"/>
                <w:color w:val="auto"/>
                <w:lang w:val="en-US" w:eastAsia="zh-CN"/>
              </w:rPr>
            </w:pPr>
            <w:r>
              <w:rPr>
                <w:rFonts w:hint="eastAsia"/>
                <w:color w:val="auto"/>
                <w:lang w:val="en-US" w:eastAsia="zh-CN"/>
              </w:rPr>
              <w:t>7</w:t>
            </w:r>
          </w:p>
        </w:tc>
        <w:tc>
          <w:tcPr>
            <w:tcW w:w="1112" w:type="pct"/>
            <w:tcBorders>
              <w:tl2br w:val="nil"/>
              <w:tr2bl w:val="nil"/>
            </w:tcBorders>
            <w:vAlign w:val="center"/>
          </w:tcPr>
          <w:p>
            <w:pPr>
              <w:pStyle w:val="41"/>
              <w:rPr>
                <w:rFonts w:hint="eastAsia"/>
                <w:color w:val="auto"/>
                <w:highlight w:val="none"/>
                <w:lang w:val="en-US" w:eastAsia="zh-CN"/>
              </w:rPr>
            </w:pPr>
            <w:r>
              <w:rPr>
                <w:rFonts w:hint="eastAsia"/>
                <w:color w:val="auto"/>
                <w:highlight w:val="none"/>
                <w:lang w:val="en-US" w:eastAsia="zh-CN"/>
              </w:rPr>
              <w:t>玛北地区玛51X、丰探1区块二叠系风城组油藏评价井工程</w:t>
            </w:r>
          </w:p>
        </w:tc>
        <w:tc>
          <w:tcPr>
            <w:tcW w:w="916" w:type="pct"/>
            <w:vMerge w:val="continue"/>
            <w:tcBorders>
              <w:tl2br w:val="nil"/>
              <w:tr2bl w:val="nil"/>
            </w:tcBorders>
            <w:vAlign w:val="center"/>
          </w:tcPr>
          <w:p>
            <w:pPr>
              <w:pStyle w:val="41"/>
              <w:rPr>
                <w:rFonts w:hint="eastAsia"/>
                <w:color w:val="auto"/>
                <w:lang w:val="en-US" w:eastAsia="zh-CN"/>
              </w:rPr>
            </w:pPr>
          </w:p>
        </w:tc>
        <w:tc>
          <w:tcPr>
            <w:tcW w:w="732" w:type="pct"/>
            <w:tcBorders>
              <w:tl2br w:val="nil"/>
              <w:tr2bl w:val="nil"/>
            </w:tcBorders>
            <w:vAlign w:val="center"/>
          </w:tcPr>
          <w:p>
            <w:pPr>
              <w:pStyle w:val="41"/>
              <w:rPr>
                <w:rFonts w:hint="eastAsia"/>
                <w:color w:val="auto"/>
                <w:lang w:val="en-US" w:eastAsia="zh-CN"/>
              </w:rPr>
            </w:pPr>
            <w:r>
              <w:rPr>
                <w:rFonts w:hint="eastAsia"/>
                <w:color w:val="auto"/>
                <w:lang w:val="en-US" w:eastAsia="zh-CN"/>
              </w:rPr>
              <w:t>塔地环审〔2025〕35号</w:t>
            </w:r>
          </w:p>
        </w:tc>
        <w:tc>
          <w:tcPr>
            <w:tcW w:w="579" w:type="pct"/>
            <w:tcBorders>
              <w:tl2br w:val="nil"/>
              <w:tr2bl w:val="nil"/>
            </w:tcBorders>
            <w:vAlign w:val="center"/>
          </w:tcPr>
          <w:p>
            <w:pPr>
              <w:pStyle w:val="41"/>
              <w:rPr>
                <w:rFonts w:hint="default"/>
                <w:color w:val="auto"/>
                <w:lang w:val="en-US" w:eastAsia="zh-CN"/>
              </w:rPr>
            </w:pPr>
            <w:r>
              <w:rPr>
                <w:rFonts w:hint="eastAsia"/>
                <w:color w:val="auto"/>
                <w:lang w:val="en-US" w:eastAsia="zh-CN"/>
              </w:rPr>
              <w:t>2025.3.10</w:t>
            </w:r>
          </w:p>
        </w:tc>
        <w:tc>
          <w:tcPr>
            <w:tcW w:w="703" w:type="pct"/>
            <w:tcBorders>
              <w:tl2br w:val="nil"/>
              <w:tr2bl w:val="nil"/>
            </w:tcBorders>
            <w:vAlign w:val="center"/>
          </w:tcPr>
          <w:p>
            <w:pPr>
              <w:rPr>
                <w:rFonts w:hint="eastAsia"/>
                <w:color w:val="auto"/>
              </w:rPr>
            </w:pPr>
            <w:r>
              <w:rPr>
                <w:rFonts w:hint="eastAsia"/>
                <w:color w:val="auto"/>
              </w:rPr>
              <w:t>未开展验收</w:t>
            </w:r>
          </w:p>
        </w:tc>
        <w:tc>
          <w:tcPr>
            <w:tcW w:w="703" w:type="pct"/>
            <w:tcBorders>
              <w:tl2br w:val="nil"/>
              <w:tr2bl w:val="nil"/>
            </w:tcBorders>
            <w:vAlign w:val="center"/>
          </w:tcPr>
          <w:p>
            <w:pPr>
              <w:pStyle w:val="41"/>
              <w:rPr>
                <w:rFonts w:hint="default"/>
                <w:color w:val="auto"/>
                <w:highlight w:val="none"/>
                <w:lang w:val="en-US" w:eastAsia="zh-CN"/>
              </w:rPr>
            </w:pPr>
            <w:r>
              <w:rPr>
                <w:rFonts w:hint="default" w:ascii="Times New Roman" w:hAnsi="Times New Roman" w:eastAsia="宋体" w:cs="Times New Roman"/>
                <w:color w:val="auto"/>
                <w:sz w:val="21"/>
                <w:szCs w:val="21"/>
                <w:lang w:val="en-US" w:eastAsia="zh-CN"/>
              </w:rPr>
              <w:t>夏213井</w:t>
            </w:r>
            <w:r>
              <w:rPr>
                <w:rFonts w:hint="eastAsia" w:ascii="Times New Roman" w:hAnsi="Times New Roman" w:eastAsia="宋体" w:cs="Times New Roman"/>
                <w:color w:val="auto"/>
                <w:sz w:val="21"/>
                <w:szCs w:val="21"/>
                <w:lang w:val="en-US" w:eastAsia="zh-CN"/>
              </w:rPr>
              <w:t>、</w:t>
            </w:r>
            <w:r>
              <w:rPr>
                <w:rFonts w:hint="default" w:ascii="Times New Roman" w:hAnsi="Times New Roman" w:cs="Times New Roman"/>
                <w:color w:val="auto"/>
                <w:sz w:val="21"/>
                <w:szCs w:val="21"/>
              </w:rPr>
              <w:t>夏217井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52" w:type="pct"/>
            <w:tcBorders>
              <w:tl2br w:val="nil"/>
              <w:tr2bl w:val="nil"/>
            </w:tcBorders>
            <w:vAlign w:val="center"/>
          </w:tcPr>
          <w:p>
            <w:pPr>
              <w:pStyle w:val="41"/>
              <w:rPr>
                <w:rFonts w:hint="default"/>
                <w:color w:val="auto"/>
                <w:lang w:val="en-US" w:eastAsia="zh-CN"/>
              </w:rPr>
            </w:pPr>
            <w:r>
              <w:rPr>
                <w:rFonts w:hint="eastAsia"/>
                <w:color w:val="auto"/>
                <w:lang w:val="en-US" w:eastAsia="zh-CN"/>
              </w:rPr>
              <w:t>8</w:t>
            </w:r>
          </w:p>
        </w:tc>
        <w:tc>
          <w:tcPr>
            <w:tcW w:w="1112" w:type="pct"/>
            <w:tcBorders>
              <w:tl2br w:val="nil"/>
              <w:tr2bl w:val="nil"/>
            </w:tcBorders>
            <w:vAlign w:val="center"/>
          </w:tcPr>
          <w:p>
            <w:pPr>
              <w:pStyle w:val="41"/>
              <w:rPr>
                <w:rFonts w:hint="eastAsia"/>
                <w:color w:val="auto"/>
                <w:highlight w:val="none"/>
                <w:lang w:val="en-US" w:eastAsia="zh-CN"/>
              </w:rPr>
            </w:pPr>
            <w:r>
              <w:rPr>
                <w:rFonts w:hint="eastAsia"/>
                <w:color w:val="auto"/>
                <w:highlight w:val="none"/>
                <w:lang w:val="en-US" w:eastAsia="zh-CN"/>
              </w:rPr>
              <w:t>玛51X井区二叠系风城组评价井工程</w:t>
            </w:r>
          </w:p>
        </w:tc>
        <w:tc>
          <w:tcPr>
            <w:tcW w:w="916" w:type="pct"/>
            <w:tcBorders>
              <w:tl2br w:val="nil"/>
              <w:tr2bl w:val="nil"/>
            </w:tcBorders>
            <w:vAlign w:val="center"/>
          </w:tcPr>
          <w:p>
            <w:pPr>
              <w:pStyle w:val="41"/>
              <w:rPr>
                <w:rFonts w:hint="eastAsia"/>
                <w:color w:val="auto"/>
                <w:lang w:val="en-US" w:eastAsia="zh-CN"/>
              </w:rPr>
            </w:pPr>
            <w:r>
              <w:rPr>
                <w:rFonts w:hint="eastAsia"/>
                <w:color w:val="auto"/>
                <w:lang w:val="en-US" w:eastAsia="zh-CN"/>
              </w:rPr>
              <w:t>克拉玛依市生态环境局</w:t>
            </w:r>
          </w:p>
        </w:tc>
        <w:tc>
          <w:tcPr>
            <w:tcW w:w="732" w:type="pct"/>
            <w:tcBorders>
              <w:tl2br w:val="nil"/>
              <w:tr2bl w:val="nil"/>
            </w:tcBorders>
            <w:vAlign w:val="center"/>
          </w:tcPr>
          <w:p>
            <w:pPr>
              <w:pStyle w:val="41"/>
              <w:rPr>
                <w:rFonts w:hint="eastAsia"/>
                <w:color w:val="auto"/>
                <w:lang w:val="en-US" w:eastAsia="zh-CN"/>
              </w:rPr>
            </w:pPr>
            <w:r>
              <w:rPr>
                <w:rFonts w:hint="eastAsia"/>
                <w:color w:val="auto"/>
                <w:lang w:val="en-US" w:eastAsia="zh-CN"/>
              </w:rPr>
              <w:t>克环函〔2025〕22号</w:t>
            </w:r>
          </w:p>
        </w:tc>
        <w:tc>
          <w:tcPr>
            <w:tcW w:w="579" w:type="pct"/>
            <w:tcBorders>
              <w:tl2br w:val="nil"/>
              <w:tr2bl w:val="nil"/>
            </w:tcBorders>
            <w:vAlign w:val="center"/>
          </w:tcPr>
          <w:p>
            <w:pPr>
              <w:pStyle w:val="41"/>
              <w:rPr>
                <w:rFonts w:hint="default"/>
                <w:color w:val="auto"/>
                <w:lang w:val="en-US" w:eastAsia="zh-CN"/>
              </w:rPr>
            </w:pPr>
            <w:r>
              <w:rPr>
                <w:rFonts w:hint="eastAsia"/>
                <w:color w:val="auto"/>
                <w:lang w:val="en-US" w:eastAsia="zh-CN"/>
              </w:rPr>
              <w:t>2024.2.24</w:t>
            </w:r>
          </w:p>
        </w:tc>
        <w:tc>
          <w:tcPr>
            <w:tcW w:w="703" w:type="pct"/>
            <w:tcBorders>
              <w:tl2br w:val="nil"/>
              <w:tr2bl w:val="nil"/>
            </w:tcBorders>
            <w:vAlign w:val="center"/>
          </w:tcPr>
          <w:p>
            <w:pPr>
              <w:pStyle w:val="41"/>
              <w:rPr>
                <w:rFonts w:hint="eastAsia"/>
                <w:color w:val="auto"/>
              </w:rPr>
            </w:pPr>
            <w:r>
              <w:rPr>
                <w:rFonts w:hint="eastAsia"/>
                <w:color w:val="auto"/>
              </w:rPr>
              <w:t>未开展验收</w:t>
            </w:r>
          </w:p>
        </w:tc>
        <w:tc>
          <w:tcPr>
            <w:tcW w:w="703" w:type="pct"/>
            <w:tcBorders>
              <w:tl2br w:val="nil"/>
              <w:tr2bl w:val="nil"/>
            </w:tcBorders>
            <w:vAlign w:val="center"/>
          </w:tcPr>
          <w:p>
            <w:pPr>
              <w:pStyle w:val="41"/>
              <w:rPr>
                <w:rFonts w:hint="eastAsia"/>
                <w:color w:val="auto"/>
                <w:highlight w:val="none"/>
                <w:lang w:val="en-US" w:eastAsia="zh-CN"/>
              </w:rPr>
            </w:pPr>
            <w:r>
              <w:rPr>
                <w:rFonts w:hint="default" w:ascii="Times New Roman" w:hAnsi="Times New Roman" w:cs="Times New Roman"/>
                <w:color w:val="auto"/>
                <w:sz w:val="21"/>
                <w:szCs w:val="21"/>
              </w:rPr>
              <w:t>夏216井</w:t>
            </w:r>
          </w:p>
        </w:tc>
      </w:tr>
    </w:tbl>
    <w:p>
      <w:pPr>
        <w:pStyle w:val="53"/>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color w:val="auto"/>
          <w:highlight w:val="none"/>
        </w:rPr>
        <w:t>.</w:t>
      </w:r>
      <w:r>
        <w:rPr>
          <w:rFonts w:hint="eastAsia"/>
          <w:color w:val="auto"/>
          <w:highlight w:val="none"/>
          <w:lang w:val="en-US" w:eastAsia="zh-CN"/>
        </w:rPr>
        <w:t>1</w:t>
      </w:r>
      <w:r>
        <w:rPr>
          <w:color w:val="auto"/>
          <w:highlight w:val="none"/>
        </w:rPr>
        <w:t>.</w:t>
      </w:r>
      <w:r>
        <w:rPr>
          <w:rFonts w:hint="eastAsia"/>
          <w:color w:val="auto"/>
          <w:highlight w:val="none"/>
          <w:lang w:val="en-US" w:eastAsia="zh-CN"/>
        </w:rPr>
        <w:t>2</w:t>
      </w:r>
      <w:r>
        <w:rPr>
          <w:rFonts w:hint="eastAsia"/>
          <w:color w:val="auto"/>
          <w:highlight w:val="none"/>
        </w:rPr>
        <w:t>已建工程环境影响回顾评价</w:t>
      </w:r>
    </w:p>
    <w:p>
      <w:pPr>
        <w:pStyle w:val="57"/>
        <w:rPr>
          <w:rFonts w:hint="eastAsia"/>
          <w:color w:val="auto"/>
          <w:szCs w:val="24"/>
        </w:rPr>
      </w:pPr>
      <w:r>
        <w:rPr>
          <w:rFonts w:hint="eastAsia"/>
          <w:color w:val="auto"/>
        </w:rPr>
        <w:t>本次拟开发</w:t>
      </w:r>
      <w:r>
        <w:rPr>
          <w:rFonts w:hint="eastAsia"/>
          <w:color w:val="auto"/>
          <w:highlight w:val="none"/>
          <w:lang w:val="en-US" w:eastAsia="zh-CN"/>
        </w:rPr>
        <w:t>丰探1井区</w:t>
      </w:r>
      <w:r>
        <w:rPr>
          <w:rFonts w:hint="eastAsia"/>
          <w:color w:val="auto"/>
          <w:szCs w:val="24"/>
        </w:rPr>
        <w:t>产能建设工程（</w:t>
      </w:r>
      <w:r>
        <w:rPr>
          <w:color w:val="auto"/>
        </w:rPr>
        <w:t>以下简称“本工程”</w:t>
      </w:r>
      <w:r>
        <w:rPr>
          <w:rFonts w:hint="eastAsia"/>
          <w:color w:val="auto"/>
          <w:szCs w:val="24"/>
        </w:rPr>
        <w:t>）位于</w:t>
      </w:r>
      <w:r>
        <w:rPr>
          <w:rFonts w:hint="eastAsia"/>
          <w:color w:val="auto"/>
          <w:highlight w:val="none"/>
        </w:rPr>
        <w:t>新疆油田公司</w:t>
      </w:r>
      <w:r>
        <w:rPr>
          <w:rFonts w:hint="eastAsia"/>
          <w:color w:val="auto"/>
          <w:highlight w:val="none"/>
          <w:lang w:eastAsia="zh-CN"/>
        </w:rPr>
        <w:t>“十四五”规划</w:t>
      </w:r>
      <w:r>
        <w:rPr>
          <w:rFonts w:hint="eastAsia"/>
          <w:color w:val="auto"/>
          <w:highlight w:val="none"/>
        </w:rPr>
        <w:t>范围</w:t>
      </w:r>
      <w:r>
        <w:rPr>
          <w:rFonts w:hint="eastAsia"/>
          <w:color w:val="auto"/>
        </w:rPr>
        <w:t>的</w:t>
      </w:r>
      <w:r>
        <w:rPr>
          <w:rFonts w:hint="eastAsia"/>
          <w:color w:val="auto"/>
          <w:highlight w:val="none"/>
          <w:lang w:val="en-US" w:eastAsia="zh-CN"/>
        </w:rPr>
        <w:t>风城油田作业区管辖的夏子街油田</w:t>
      </w:r>
      <w:r>
        <w:rPr>
          <w:rFonts w:hint="eastAsia"/>
          <w:color w:val="auto"/>
          <w:szCs w:val="24"/>
        </w:rPr>
        <w:t>，</w:t>
      </w:r>
      <w:r>
        <w:rPr>
          <w:rFonts w:hint="eastAsia"/>
          <w:color w:val="auto"/>
          <w:highlight w:val="none"/>
          <w:lang w:val="en-US" w:eastAsia="zh-CN"/>
        </w:rPr>
        <w:t>丰探1井区</w:t>
      </w:r>
      <w:r>
        <w:rPr>
          <w:rFonts w:hint="eastAsia"/>
          <w:color w:val="auto"/>
          <w:szCs w:val="24"/>
        </w:rPr>
        <w:t>属于</w:t>
      </w:r>
      <w:r>
        <w:rPr>
          <w:rFonts w:hint="eastAsia"/>
          <w:color w:val="auto"/>
          <w:highlight w:val="none"/>
          <w:lang w:val="en-US" w:eastAsia="zh-CN"/>
        </w:rPr>
        <w:t>夏子街油田</w:t>
      </w:r>
      <w:r>
        <w:rPr>
          <w:rFonts w:hint="eastAsia"/>
          <w:color w:val="auto"/>
          <w:szCs w:val="24"/>
        </w:rPr>
        <w:t>中的一个勘探区块，目前丰探1井区共有11口评价井（丰探1、丰探101、丰探102、丰探103、夏211X、夏213、夏216、夏217、风城5、风城6X、风城7），</w:t>
      </w:r>
      <w:r>
        <w:rPr>
          <w:rFonts w:hint="eastAsia"/>
          <w:color w:val="auto"/>
          <w:szCs w:val="24"/>
          <w:lang w:val="en-US" w:eastAsia="zh-CN"/>
        </w:rPr>
        <w:t>其中9口井（</w:t>
      </w:r>
      <w:r>
        <w:rPr>
          <w:rFonts w:hint="eastAsia"/>
          <w:color w:val="auto"/>
          <w:szCs w:val="24"/>
        </w:rPr>
        <w:t>丰探1、丰探103、夏211X、夏213、夏216、夏217、风城5、风城6X、风城7</w:t>
      </w:r>
      <w:r>
        <w:rPr>
          <w:rFonts w:hint="eastAsia"/>
          <w:color w:val="auto"/>
          <w:szCs w:val="24"/>
          <w:lang w:val="en-US" w:eastAsia="zh-CN"/>
        </w:rPr>
        <w:t>）</w:t>
      </w:r>
      <w:r>
        <w:rPr>
          <w:rFonts w:hint="eastAsia"/>
          <w:color w:val="auto"/>
          <w:szCs w:val="24"/>
        </w:rPr>
        <w:t>已完钻</w:t>
      </w:r>
      <w:r>
        <w:rPr>
          <w:rFonts w:hint="eastAsia"/>
          <w:color w:val="auto"/>
          <w:szCs w:val="24"/>
          <w:lang w:eastAsia="zh-CN"/>
        </w:rPr>
        <w:t>，</w:t>
      </w:r>
      <w:r>
        <w:rPr>
          <w:rFonts w:hint="eastAsia"/>
          <w:color w:val="auto"/>
          <w:szCs w:val="24"/>
        </w:rPr>
        <w:t>丰探102、丰探103</w:t>
      </w:r>
      <w:r>
        <w:rPr>
          <w:rFonts w:hint="eastAsia"/>
          <w:color w:val="auto"/>
          <w:szCs w:val="24"/>
          <w:lang w:val="en-US" w:eastAsia="zh-CN"/>
        </w:rPr>
        <w:t>目前还在钻井作业。</w:t>
      </w:r>
    </w:p>
    <w:p>
      <w:pPr>
        <w:pStyle w:val="57"/>
        <w:rPr>
          <w:color w:val="auto"/>
        </w:rPr>
      </w:pPr>
      <w:r>
        <w:rPr>
          <w:rFonts w:hint="eastAsia"/>
          <w:color w:val="auto"/>
        </w:rPr>
        <w:t>根据现场踏勘及资料收集，钻井期间</w:t>
      </w:r>
      <w:r>
        <w:rPr>
          <w:color w:val="auto"/>
        </w:rPr>
        <w:t>所有的施工车辆都是在已建道路上行驶，没有车辆乱碾乱轧的情况发生，没有随意开设便道，尽量减少和</w:t>
      </w:r>
      <w:r>
        <w:rPr>
          <w:rFonts w:hint="eastAsia"/>
          <w:color w:val="auto"/>
          <w:lang w:eastAsia="zh-CN"/>
        </w:rPr>
        <w:t>避免</w:t>
      </w:r>
      <w:r>
        <w:rPr>
          <w:color w:val="auto"/>
        </w:rPr>
        <w:t>对</w:t>
      </w:r>
      <w:r>
        <w:rPr>
          <w:rFonts w:hint="eastAsia"/>
          <w:color w:val="auto"/>
        </w:rPr>
        <w:t>工程区</w:t>
      </w:r>
      <w:r>
        <w:rPr>
          <w:color w:val="auto"/>
        </w:rPr>
        <w:t>域地表的扰动和破坏。</w:t>
      </w:r>
      <w:r>
        <w:rPr>
          <w:color w:val="auto"/>
          <w:highlight w:val="none"/>
        </w:rPr>
        <w:t>在</w:t>
      </w:r>
      <w:r>
        <w:rPr>
          <w:rFonts w:hint="eastAsia"/>
          <w:color w:val="auto"/>
          <w:highlight w:val="none"/>
          <w:lang w:val="en-US" w:eastAsia="zh-CN"/>
        </w:rPr>
        <w:t>植被</w:t>
      </w:r>
      <w:r>
        <w:rPr>
          <w:color w:val="auto"/>
          <w:highlight w:val="none"/>
        </w:rPr>
        <w:t>分布</w:t>
      </w:r>
      <w:r>
        <w:rPr>
          <w:rFonts w:hint="eastAsia"/>
          <w:color w:val="auto"/>
          <w:highlight w:val="none"/>
          <w:lang w:val="en-US" w:eastAsia="zh-CN"/>
        </w:rPr>
        <w:t>茂盛</w:t>
      </w:r>
      <w:r>
        <w:rPr>
          <w:color w:val="auto"/>
          <w:highlight w:val="none"/>
        </w:rPr>
        <w:t>的地段，为了</w:t>
      </w:r>
      <w:r>
        <w:rPr>
          <w:rFonts w:hint="eastAsia"/>
          <w:color w:val="auto"/>
          <w:highlight w:val="none"/>
          <w:lang w:eastAsia="zh-CN"/>
        </w:rPr>
        <w:t>更好地</w:t>
      </w:r>
      <w:r>
        <w:rPr>
          <w:color w:val="auto"/>
          <w:highlight w:val="none"/>
        </w:rPr>
        <w:t>保护</w:t>
      </w:r>
      <w:r>
        <w:rPr>
          <w:rFonts w:hint="eastAsia"/>
          <w:color w:val="auto"/>
          <w:highlight w:val="none"/>
          <w:lang w:val="en-US" w:eastAsia="zh-CN"/>
        </w:rPr>
        <w:t>荒漠植被</w:t>
      </w:r>
      <w:r>
        <w:rPr>
          <w:color w:val="auto"/>
          <w:highlight w:val="none"/>
        </w:rPr>
        <w:t>，采取</w:t>
      </w:r>
      <w:r>
        <w:rPr>
          <w:rFonts w:hint="eastAsia"/>
          <w:color w:val="auto"/>
          <w:highlight w:val="none"/>
          <w:lang w:eastAsia="zh-CN"/>
        </w:rPr>
        <w:t>修建</w:t>
      </w:r>
      <w:r>
        <w:rPr>
          <w:color w:val="auto"/>
          <w:highlight w:val="none"/>
        </w:rPr>
        <w:t>弯道进行绕避或控制道路的宽度和临时占地面积的方法，施工结束后平整</w:t>
      </w:r>
      <w:r>
        <w:rPr>
          <w:rFonts w:hint="eastAsia"/>
          <w:color w:val="auto"/>
          <w:highlight w:val="none"/>
        </w:rPr>
        <w:t>井场，临时占地正在自然恢复。钻井及试油期间定期对柴油发电机</w:t>
      </w:r>
      <w:r>
        <w:rPr>
          <w:rFonts w:hint="eastAsia"/>
          <w:color w:val="auto"/>
        </w:rPr>
        <w:t>进行维护，并且采用符合国家标准的柴油和设备，车辆减速慢行、加盖苫布，缩短测试放喷时间，降低了废气对周围大气环境质量影响。钻井废水循环利用，不外排；生活污水进入防渗生活污水池收集，定期拉运。对泥浆泵、钻机等设备采取安装消声器、基础减振等措施，降低噪声影响。固体废物主要为岩屑、泥浆、含油废物及生活垃圾，钻井期岩屑随钻井泥浆带出，一开、二开为水基泥浆，采用泥浆不落地设备收集后</w:t>
      </w:r>
      <w:r>
        <w:rPr>
          <w:rFonts w:hint="eastAsia" w:ascii="宋体" w:hAnsi="宋体" w:cs="宋体"/>
          <w:color w:val="auto"/>
          <w:kern w:val="0"/>
        </w:rPr>
        <w:t>由岩屑处置单位直接拉运进行处理</w:t>
      </w:r>
      <w:r>
        <w:rPr>
          <w:rFonts w:hint="eastAsia"/>
          <w:color w:val="auto"/>
        </w:rPr>
        <w:t>，处理后委托检测满足《</w:t>
      </w:r>
      <w:r>
        <w:rPr>
          <w:rFonts w:hint="eastAsia"/>
          <w:color w:val="auto"/>
          <w:lang w:eastAsia="zh-CN"/>
        </w:rPr>
        <w:t>油气田钻井固体废物综合利用污染控制要求</w:t>
      </w:r>
      <w:r>
        <w:rPr>
          <w:rFonts w:hint="eastAsia"/>
          <w:color w:val="auto"/>
        </w:rPr>
        <w:t>》</w:t>
      </w:r>
      <w:r>
        <w:rPr>
          <w:rFonts w:hint="eastAsia"/>
          <w:color w:val="auto"/>
          <w:lang w:eastAsia="zh-CN"/>
        </w:rPr>
        <w:t>（</w:t>
      </w:r>
      <w:r>
        <w:rPr>
          <w:rFonts w:hint="eastAsia"/>
          <w:color w:val="auto"/>
        </w:rPr>
        <w:t>DB65/T3997-2017</w:t>
      </w:r>
      <w:r>
        <w:rPr>
          <w:rFonts w:hint="eastAsia"/>
          <w:color w:val="auto"/>
          <w:lang w:eastAsia="zh-CN"/>
        </w:rPr>
        <w:t>）</w:t>
      </w:r>
      <w:r>
        <w:rPr>
          <w:rFonts w:hint="eastAsia"/>
          <w:color w:val="auto"/>
        </w:rPr>
        <w:t>等相关要求后综合利用；三开固相岩屑委托有危废处置资质的单位妥善处置。井场生活垃圾定点收集，定期收集后运至</w:t>
      </w:r>
      <w:r>
        <w:rPr>
          <w:rFonts w:hint="eastAsia"/>
          <w:color w:val="auto"/>
          <w:lang w:val="en-US" w:eastAsia="zh-CN"/>
        </w:rPr>
        <w:t>乌尔禾区</w:t>
      </w:r>
      <w:r>
        <w:rPr>
          <w:rFonts w:hint="eastAsia"/>
          <w:color w:val="auto"/>
        </w:rPr>
        <w:t>生活垃圾填埋场填埋处置。含油废物由有危险废物处置资质的单位接收处置。</w:t>
      </w:r>
    </w:p>
    <w:p>
      <w:pPr>
        <w:pStyle w:val="57"/>
        <w:rPr>
          <w:color w:val="auto"/>
          <w:highlight w:val="none"/>
        </w:rPr>
      </w:pPr>
      <w:r>
        <w:rPr>
          <w:rFonts w:hint="eastAsia" w:ascii="Times New Roman" w:hAnsi="Times New Roman" w:cs="Times New Roman"/>
          <w:color w:val="auto"/>
          <w:szCs w:val="24"/>
          <w:highlight w:val="none"/>
          <w:lang w:val="en-US" w:eastAsia="zh-CN"/>
        </w:rPr>
        <w:t>丰探1、丰探101、丰探102、丰探103、夏211X、夏213、夏216、夏217、风城5、风城6X、风城7井在钻井过程中已基本落实环评报告及批复中提出的环保措施。其中丰探1于2025年4月完成企业自主验收，但丰探101、丰探102、丰探103、夏211X、夏213、夏216、夏217、风城5、风城6X、风城7井未开展探井的竣工环保验收工程，应尽快完成探井的竣工环保验收工作</w:t>
      </w:r>
      <w:r>
        <w:rPr>
          <w:rFonts w:hint="eastAsia"/>
          <w:color w:val="auto"/>
        </w:rPr>
        <w:t>。</w:t>
      </w:r>
    </w:p>
    <w:p>
      <w:pPr>
        <w:pStyle w:val="49"/>
        <w:rPr>
          <w:rFonts w:eastAsia="宋体"/>
          <w:color w:val="auto"/>
          <w:highlight w:val="none"/>
        </w:rPr>
      </w:pPr>
      <w:bookmarkStart w:id="263" w:name="_Toc173942676"/>
      <w:bookmarkStart w:id="264" w:name="_Toc173941827"/>
      <w:bookmarkStart w:id="265" w:name="_Toc6294"/>
      <w:bookmarkStart w:id="266" w:name="_Toc173941722"/>
      <w:bookmarkStart w:id="267" w:name="_Toc28928"/>
      <w:bookmarkStart w:id="268" w:name="_Toc299"/>
      <w:r>
        <w:rPr>
          <w:color w:val="auto"/>
          <w:highlight w:val="none"/>
        </w:rPr>
        <w:t>3.</w:t>
      </w:r>
      <w:bookmarkEnd w:id="263"/>
      <w:bookmarkEnd w:id="264"/>
      <w:bookmarkEnd w:id="265"/>
      <w:bookmarkEnd w:id="266"/>
      <w:r>
        <w:rPr>
          <w:rFonts w:hint="eastAsia"/>
          <w:color w:val="auto"/>
          <w:highlight w:val="none"/>
          <w:lang w:val="en-US" w:eastAsia="zh-CN"/>
        </w:rPr>
        <w:t>2</w:t>
      </w:r>
      <w:r>
        <w:rPr>
          <w:rFonts w:hint="eastAsia"/>
          <w:color w:val="auto"/>
          <w:highlight w:val="none"/>
        </w:rPr>
        <w:t>拟建工程</w:t>
      </w:r>
      <w:bookmarkEnd w:id="267"/>
      <w:bookmarkEnd w:id="268"/>
    </w:p>
    <w:p>
      <w:pPr>
        <w:pStyle w:val="53"/>
        <w:rPr>
          <w:rFonts w:eastAsia="宋体"/>
          <w:color w:val="auto"/>
          <w:highlight w:val="none"/>
        </w:rPr>
      </w:pPr>
      <w:bookmarkStart w:id="269" w:name="_Toc173941828"/>
      <w:bookmarkStart w:id="270" w:name="_Toc26748"/>
      <w:r>
        <w:rPr>
          <w:color w:val="auto"/>
          <w:highlight w:val="none"/>
        </w:rPr>
        <w:t>3.</w:t>
      </w:r>
      <w:r>
        <w:rPr>
          <w:rFonts w:hint="eastAsia"/>
          <w:color w:val="auto"/>
          <w:highlight w:val="none"/>
          <w:lang w:val="en-US" w:eastAsia="zh-CN"/>
        </w:rPr>
        <w:t>2</w:t>
      </w:r>
      <w:r>
        <w:rPr>
          <w:color w:val="auto"/>
          <w:highlight w:val="none"/>
        </w:rPr>
        <w:t>.1项目</w:t>
      </w:r>
      <w:bookmarkEnd w:id="269"/>
      <w:bookmarkEnd w:id="270"/>
      <w:r>
        <w:rPr>
          <w:rFonts w:hint="eastAsia"/>
          <w:color w:val="auto"/>
          <w:highlight w:val="none"/>
        </w:rPr>
        <w:t>概况</w:t>
      </w:r>
    </w:p>
    <w:p>
      <w:pPr>
        <w:pStyle w:val="5"/>
        <w:rPr>
          <w:color w:val="auto"/>
          <w:highlight w:val="none"/>
        </w:rPr>
      </w:pPr>
      <w:r>
        <w:rPr>
          <w:color w:val="auto"/>
          <w:highlight w:val="none"/>
        </w:rPr>
        <w:t>3.</w:t>
      </w:r>
      <w:r>
        <w:rPr>
          <w:rFonts w:hint="eastAsia"/>
          <w:color w:val="auto"/>
          <w:highlight w:val="none"/>
          <w:lang w:val="en-US" w:eastAsia="zh-CN"/>
        </w:rPr>
        <w:t>2</w:t>
      </w:r>
      <w:r>
        <w:rPr>
          <w:color w:val="auto"/>
          <w:highlight w:val="none"/>
        </w:rPr>
        <w:t>.1.1项目名称</w:t>
      </w:r>
    </w:p>
    <w:p>
      <w:pPr>
        <w:pStyle w:val="57"/>
        <w:rPr>
          <w:color w:val="auto"/>
          <w:highlight w:val="none"/>
        </w:rPr>
      </w:pPr>
      <w:r>
        <w:rPr>
          <w:color w:val="auto"/>
          <w:highlight w:val="none"/>
        </w:rPr>
        <w:t>项目名称：</w:t>
      </w:r>
      <w:r>
        <w:rPr>
          <w:rFonts w:hint="eastAsia"/>
          <w:color w:val="auto"/>
          <w:highlight w:val="none"/>
          <w:lang w:eastAsia="zh-CN"/>
        </w:rPr>
        <w:t>新疆夏子街油田丰探1井区二叠系风城组页岩油2025年产能建设项目</w:t>
      </w:r>
      <w:r>
        <w:rPr>
          <w:color w:val="auto"/>
          <w:highlight w:val="none"/>
        </w:rPr>
        <w:t>。</w:t>
      </w:r>
    </w:p>
    <w:p>
      <w:pPr>
        <w:pStyle w:val="57"/>
        <w:rPr>
          <w:rFonts w:hint="eastAsia" w:eastAsia="宋体"/>
          <w:color w:val="auto"/>
          <w:highlight w:val="none"/>
          <w:lang w:eastAsia="zh-CN"/>
        </w:rPr>
      </w:pPr>
      <w:r>
        <w:rPr>
          <w:rFonts w:hint="eastAsia"/>
          <w:color w:val="auto"/>
          <w:highlight w:val="none"/>
        </w:rPr>
        <w:t>建设单位：</w:t>
      </w:r>
      <w:r>
        <w:rPr>
          <w:rFonts w:hint="eastAsia"/>
          <w:color w:val="auto"/>
          <w:szCs w:val="24"/>
          <w:highlight w:val="none"/>
          <w:lang w:eastAsia="zh-CN"/>
        </w:rPr>
        <w:t>中国石油新疆油田分公司玛湖勘探开发项目部</w:t>
      </w:r>
    </w:p>
    <w:p>
      <w:pPr>
        <w:pStyle w:val="5"/>
        <w:rPr>
          <w:rFonts w:eastAsiaTheme="majorEastAsia"/>
          <w:color w:val="auto"/>
          <w:highlight w:val="none"/>
        </w:rPr>
      </w:pPr>
      <w:r>
        <w:rPr>
          <w:color w:val="auto"/>
          <w:highlight w:val="none"/>
        </w:rPr>
        <w:t>3.</w:t>
      </w:r>
      <w:r>
        <w:rPr>
          <w:rFonts w:hint="eastAsia"/>
          <w:color w:val="auto"/>
          <w:highlight w:val="none"/>
          <w:lang w:val="en-US" w:eastAsia="zh-CN"/>
        </w:rPr>
        <w:t>2</w:t>
      </w:r>
      <w:r>
        <w:rPr>
          <w:color w:val="auto"/>
          <w:highlight w:val="none"/>
        </w:rPr>
        <w:t>.1.</w:t>
      </w:r>
      <w:r>
        <w:rPr>
          <w:rFonts w:hint="eastAsia"/>
          <w:color w:val="auto"/>
          <w:highlight w:val="none"/>
        </w:rPr>
        <w:t>2建设性质</w:t>
      </w:r>
    </w:p>
    <w:p>
      <w:pPr>
        <w:pStyle w:val="57"/>
        <w:rPr>
          <w:color w:val="auto"/>
          <w:highlight w:val="none"/>
        </w:rPr>
      </w:pPr>
      <w:r>
        <w:rPr>
          <w:rFonts w:hint="eastAsia"/>
          <w:color w:val="auto"/>
          <w:highlight w:val="none"/>
        </w:rPr>
        <w:t>建设性质：新建</w:t>
      </w:r>
      <w:r>
        <w:rPr>
          <w:color w:val="auto"/>
          <w:highlight w:val="none"/>
        </w:rPr>
        <w:t>。</w:t>
      </w:r>
    </w:p>
    <w:p>
      <w:pPr>
        <w:pStyle w:val="5"/>
        <w:rPr>
          <w:color w:val="auto"/>
          <w:highlight w:val="none"/>
        </w:rPr>
      </w:pPr>
      <w:r>
        <w:rPr>
          <w:color w:val="auto"/>
          <w:highlight w:val="none"/>
        </w:rPr>
        <w:t>3.</w:t>
      </w:r>
      <w:r>
        <w:rPr>
          <w:rFonts w:hint="eastAsia"/>
          <w:color w:val="auto"/>
          <w:highlight w:val="none"/>
          <w:lang w:val="en-US" w:eastAsia="zh-CN"/>
        </w:rPr>
        <w:t>2</w:t>
      </w:r>
      <w:r>
        <w:rPr>
          <w:color w:val="auto"/>
          <w:highlight w:val="none"/>
        </w:rPr>
        <w:t>.1.</w:t>
      </w:r>
      <w:r>
        <w:rPr>
          <w:rFonts w:hint="eastAsia"/>
          <w:color w:val="auto"/>
          <w:highlight w:val="none"/>
        </w:rPr>
        <w:t>3</w:t>
      </w:r>
      <w:r>
        <w:rPr>
          <w:color w:val="auto"/>
          <w:highlight w:val="none"/>
        </w:rPr>
        <w:t>建设地点</w:t>
      </w:r>
    </w:p>
    <w:p>
      <w:pPr>
        <w:pStyle w:val="57"/>
        <w:rPr>
          <w:color w:val="auto"/>
          <w:highlight w:val="none"/>
        </w:rPr>
      </w:pPr>
      <w:r>
        <w:rPr>
          <w:rFonts w:hint="default" w:ascii="Times New Roman" w:hAnsi="Times New Roman" w:cs="Times New Roman"/>
          <w:color w:val="auto"/>
          <w:highlight w:val="none"/>
        </w:rPr>
        <w:t>本工程位于夏子街油田丰探1井区，中心地理坐标为：东经</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；北纬</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。行政区划隶属于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default" w:ascii="Times New Roman" w:hAnsi="Times New Roman" w:cs="Times New Roman"/>
          <w:color w:val="auto"/>
          <w:highlight w:val="none"/>
        </w:rPr>
        <w:t>管辖，工程区中心西南</w:t>
      </w:r>
      <w:r>
        <w:rPr>
          <w:rFonts w:hint="eastAsia" w:cs="Times New Roman"/>
          <w:color w:val="auto"/>
          <w:highlight w:val="none"/>
          <w:lang w:val="en-US" w:eastAsia="zh-CN"/>
        </w:rPr>
        <w:t>距离</w:t>
      </w:r>
      <w:r>
        <w:rPr>
          <w:rFonts w:hint="eastAsia" w:cs="Times New Roman"/>
          <w:color w:val="auto"/>
          <w:highlight w:val="none"/>
          <w:lang w:eastAsia="zh-CN"/>
        </w:rPr>
        <w:t>和布克赛尔蒙古自治县</w:t>
      </w:r>
      <w:r>
        <w:rPr>
          <w:rFonts w:hint="default" w:ascii="Times New Roman" w:hAnsi="Times New Roman" w:cs="Times New Roman"/>
          <w:color w:val="auto"/>
          <w:highlight w:val="none"/>
        </w:rPr>
        <w:t>城中心约</w:t>
      </w:r>
      <w:r>
        <w:rPr>
          <w:rFonts w:hint="eastAsia" w:cs="Times New Roman"/>
          <w:color w:val="auto"/>
          <w:highlight w:val="none"/>
          <w:lang w:val="en-US" w:eastAsia="zh-CN"/>
        </w:rPr>
        <w:t>76.5</w:t>
      </w:r>
      <w:r>
        <w:rPr>
          <w:rFonts w:hint="default" w:ascii="Times New Roman" w:hAnsi="Times New Roman" w:cs="Times New Roman"/>
          <w:color w:val="auto"/>
          <w:highlight w:val="none"/>
        </w:rPr>
        <w:t>km</w:t>
      </w:r>
      <w:r>
        <w:rPr>
          <w:rFonts w:hint="eastAsia" w:cs="Times New Roman"/>
          <w:color w:val="auto"/>
          <w:highlight w:val="none"/>
          <w:lang w:eastAsia="zh-CN"/>
        </w:rPr>
        <w:t>，西侧距离克拉玛依市乌尔禾区32.1km。</w:t>
      </w:r>
      <w:r>
        <w:rPr>
          <w:rFonts w:hint="default" w:ascii="Times New Roman" w:hAnsi="Times New Roman" w:cs="Times New Roman"/>
          <w:color w:val="auto"/>
          <w:highlight w:val="none"/>
        </w:rPr>
        <w:t>地理位置见图3.</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-1。</w:t>
      </w:r>
      <w:bookmarkStart w:id="271" w:name="_Hlk48603948"/>
      <w:r>
        <w:rPr>
          <w:rFonts w:ascii="Times New Roman" w:hAnsi="Times New Roman" w:eastAsia="宋体" w:cstheme="majorBidi"/>
          <w:b/>
          <w:bCs/>
          <w:color w:val="auto"/>
          <w:sz w:val="24"/>
          <w:szCs w:val="28"/>
          <w:highlight w:val="none"/>
          <w:lang w:val="en-US" w:eastAsia="zh-CN" w:bidi="ar-SA"/>
        </w:rPr>
        <w:t>3.</w:t>
      </w:r>
      <w:r>
        <w:rPr>
          <w:rFonts w:hint="eastAsia" w:ascii="Times New Roman" w:hAnsi="Times New Roman" w:eastAsia="宋体" w:cstheme="majorBidi"/>
          <w:b/>
          <w:bCs/>
          <w:color w:val="auto"/>
          <w:sz w:val="24"/>
          <w:szCs w:val="28"/>
          <w:highlight w:val="none"/>
          <w:lang w:val="en-US" w:eastAsia="zh-CN" w:bidi="ar-SA"/>
        </w:rPr>
        <w:t>2</w:t>
      </w:r>
      <w:r>
        <w:rPr>
          <w:rFonts w:ascii="Times New Roman" w:hAnsi="Times New Roman" w:eastAsia="宋体" w:cstheme="majorBidi"/>
          <w:b/>
          <w:bCs/>
          <w:color w:val="auto"/>
          <w:sz w:val="24"/>
          <w:szCs w:val="28"/>
          <w:highlight w:val="none"/>
          <w:lang w:val="en-US" w:eastAsia="zh-CN" w:bidi="ar-SA"/>
        </w:rPr>
        <w:t>.1.</w:t>
      </w:r>
      <w:r>
        <w:rPr>
          <w:rFonts w:hint="eastAsia" w:ascii="Times New Roman" w:hAnsi="Times New Roman" w:eastAsia="宋体" w:cstheme="majorBidi"/>
          <w:b/>
          <w:bCs/>
          <w:color w:val="auto"/>
          <w:sz w:val="24"/>
          <w:szCs w:val="28"/>
          <w:highlight w:val="none"/>
          <w:lang w:val="en-US" w:eastAsia="zh-CN" w:bidi="ar-SA"/>
        </w:rPr>
        <w:t>4产能</w:t>
      </w:r>
      <w:r>
        <w:rPr>
          <w:rFonts w:ascii="Times New Roman" w:hAnsi="Times New Roman" w:eastAsia="宋体" w:cstheme="majorBidi"/>
          <w:b/>
          <w:bCs/>
          <w:color w:val="auto"/>
          <w:sz w:val="24"/>
          <w:szCs w:val="28"/>
          <w:highlight w:val="none"/>
          <w:lang w:val="en-US" w:eastAsia="zh-CN" w:bidi="ar-SA"/>
        </w:rPr>
        <w:t>规模</w:t>
      </w:r>
    </w:p>
    <w:bookmarkEnd w:id="271"/>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本工程主要建设内容为：</w:t>
      </w:r>
      <w:bookmarkStart w:id="272" w:name="OLE_LINK56"/>
      <w:r>
        <w:rPr>
          <w:rFonts w:hint="default" w:ascii="Times New Roman" w:hAnsi="Times New Roman" w:eastAsia="宋体" w:cs="Times New Roman"/>
          <w:color w:val="auto"/>
          <w:sz w:val="24"/>
          <w:szCs w:val="24"/>
          <w:highlight w:val="none"/>
          <w:lang w:val="en-US" w:eastAsia="zh-CN" w:bidi="ar-SA"/>
        </w:rPr>
        <w:t>①部署7口采油井</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；②</w:t>
      </w:r>
      <w:r>
        <w:rPr>
          <w:rFonts w:hint="eastAsia" w:cs="Times New Roman"/>
          <w:color w:val="auto"/>
          <w:sz w:val="24"/>
          <w:szCs w:val="24"/>
          <w:highlight w:val="none"/>
          <w:lang w:val="en-US" w:eastAsia="zh-CN" w:bidi="ar-SA"/>
        </w:rPr>
        <w:t>新建采油井场18座（FTYHW1235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FTYHW1234、丰探1、丰探101、丰探102、丰探103、夏211X、夏213、夏216、夏217、风城5、风城6X、风城7），</w:t>
      </w:r>
      <w:r>
        <w:rPr>
          <w:rFonts w:hint="default" w:ascii="Times New Roman" w:hAnsi="Times New Roman" w:eastAsia="宋体" w:cs="Times New Roman"/>
          <w:color w:val="auto"/>
          <w:sz w:val="24"/>
          <w:szCs w:val="24"/>
          <w:highlight w:val="none"/>
          <w:lang w:val="en-US" w:eastAsia="zh-CN" w:bidi="ar-SA"/>
        </w:rPr>
        <w:t>新建集中拉油站一座，12井式计量站一座，新建阀池1座；③新建各类集输管道</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km；④配套自动控制、通信、供配电、结构、给排水及消防等辅助系统工程。项目建成后，区块新建产能</w:t>
      </w:r>
      <w:r>
        <w:rPr>
          <w:rFonts w:hint="eastAsia" w:cs="Times New Roman"/>
          <w:color w:val="auto"/>
          <w:sz w:val="24"/>
          <w:szCs w:val="24"/>
          <w:highlight w:val="none"/>
          <w:lang w:val="en-US" w:eastAsia="zh-CN" w:bidi="ar-SA"/>
        </w:rPr>
        <w:t>15.5</w:t>
      </w:r>
      <w:r>
        <w:rPr>
          <w:rFonts w:hint="default"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vertAlign w:val="superscript"/>
          <w:lang w:val="en-US" w:eastAsia="zh-CN" w:bidi="ar-SA"/>
        </w:rPr>
        <w:t>4</w:t>
      </w:r>
      <w:r>
        <w:rPr>
          <w:rFonts w:hint="default" w:ascii="Times New Roman" w:hAnsi="Times New Roman" w:eastAsia="宋体" w:cs="Times New Roman"/>
          <w:color w:val="auto"/>
          <w:sz w:val="24"/>
          <w:szCs w:val="24"/>
          <w:highlight w:val="none"/>
          <w:lang w:val="en-US" w:eastAsia="zh-CN" w:bidi="ar-SA"/>
        </w:rPr>
        <w:t>t/a</w:t>
      </w:r>
      <w:bookmarkEnd w:id="272"/>
      <w:r>
        <w:rPr>
          <w:rFonts w:hint="eastAsia"/>
          <w:color w:val="auto"/>
          <w:highlight w:val="none"/>
        </w:rPr>
        <w:t>。</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.1.</w:t>
      </w:r>
      <w:r>
        <w:rPr>
          <w:rFonts w:hint="eastAsia"/>
          <w:color w:val="auto"/>
          <w:highlight w:val="none"/>
        </w:rPr>
        <w:t>5建设周期</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ascii="Times New Roman" w:hAnsi="Times New Roman" w:eastAsia="宋体" w:cs="Times New Roman"/>
          <w:color w:val="auto"/>
          <w:highlight w:val="none"/>
          <w:lang w:val="en-US" w:eastAsia="zh-CN"/>
        </w:rPr>
        <w:t>本工程新钻7口采油井，单井钻井周期为120天；</w:t>
      </w:r>
      <w:r>
        <w:rPr>
          <w:rFonts w:hint="default" w:ascii="Times New Roman" w:hAnsi="Times New Roman" w:eastAsia="宋体" w:cs="Times New Roman"/>
          <w:color w:val="auto"/>
          <w:highlight w:val="none"/>
          <w:lang w:val="en-US" w:eastAsia="zh-CN"/>
        </w:rPr>
        <w:t>地面</w:t>
      </w:r>
      <w:r>
        <w:rPr>
          <w:rFonts w:hint="eastAsia" w:ascii="Times New Roman" w:hAnsi="Times New Roman" w:eastAsia="宋体" w:cs="Times New Roman"/>
          <w:color w:val="auto"/>
          <w:highlight w:val="none"/>
          <w:lang w:val="en-US" w:eastAsia="zh-CN"/>
        </w:rPr>
        <w:t>工程</w:t>
      </w:r>
      <w:r>
        <w:rPr>
          <w:rFonts w:hint="default" w:ascii="Times New Roman" w:hAnsi="Times New Roman" w:eastAsia="宋体" w:cs="Times New Roman"/>
          <w:color w:val="auto"/>
          <w:highlight w:val="none"/>
          <w:lang w:val="en-US" w:eastAsia="zh-CN"/>
        </w:rPr>
        <w:t>施工周期</w:t>
      </w:r>
      <w:r>
        <w:rPr>
          <w:rFonts w:hint="eastAsia" w:ascii="Times New Roman" w:hAnsi="Times New Roman" w:eastAsia="宋体" w:cs="Times New Roman"/>
          <w:color w:val="auto"/>
          <w:highlight w:val="none"/>
          <w:lang w:val="en-US" w:eastAsia="zh-CN"/>
        </w:rPr>
        <w:t>150</w:t>
      </w:r>
      <w:r>
        <w:rPr>
          <w:rFonts w:hint="default" w:ascii="Times New Roman" w:hAnsi="Times New Roman" w:eastAsia="宋体" w:cs="Times New Roman"/>
          <w:color w:val="auto"/>
          <w:highlight w:val="none"/>
          <w:lang w:val="en-US" w:eastAsia="zh-CN"/>
        </w:rPr>
        <w:t>天。</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.1.</w:t>
      </w:r>
      <w:r>
        <w:rPr>
          <w:rFonts w:hint="eastAsia"/>
          <w:color w:val="auto"/>
          <w:highlight w:val="none"/>
        </w:rPr>
        <w:t>6</w:t>
      </w:r>
      <w:r>
        <w:rPr>
          <w:color w:val="auto"/>
          <w:highlight w:val="none"/>
        </w:rPr>
        <w:t>项目投资</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w:t>
      </w:r>
      <w:r>
        <w:rPr>
          <w:color w:val="auto"/>
          <w:highlight w:val="none"/>
        </w:rPr>
        <w:t>总投资</w:t>
      </w:r>
      <w:r>
        <w:rPr>
          <w:rFonts w:hint="eastAsia"/>
          <w:color w:val="auto"/>
          <w:highlight w:val="none"/>
          <w:lang w:eastAsia="zh-CN"/>
        </w:rPr>
        <w:t>5321.98</w:t>
      </w:r>
      <w:r>
        <w:rPr>
          <w:color w:val="auto"/>
          <w:highlight w:val="none"/>
        </w:rPr>
        <w:t>万元</w:t>
      </w:r>
      <w:r>
        <w:rPr>
          <w:rFonts w:hint="eastAsia"/>
          <w:color w:val="auto"/>
          <w:highlight w:val="none"/>
        </w:rPr>
        <w:t>。</w:t>
      </w:r>
    </w:p>
    <w:p>
      <w:pPr>
        <w:pStyle w:val="5"/>
        <w:pageBreakBefore w:val="0"/>
        <w:widowControl/>
        <w:kinsoku/>
        <w:wordWrap/>
        <w:overflowPunct/>
        <w:topLinePunct w:val="0"/>
        <w:autoSpaceDE/>
        <w:autoSpaceDN/>
        <w:bidi w:val="0"/>
        <w:spacing w:line="480" w:lineRule="exact"/>
        <w:textAlignment w:val="auto"/>
        <w:rPr>
          <w:color w:val="auto"/>
          <w:highlight w:val="none"/>
        </w:rPr>
      </w:pPr>
      <w:bookmarkStart w:id="273" w:name="_Toc330457790"/>
      <w:bookmarkStart w:id="274" w:name="_Toc313911289"/>
      <w:bookmarkStart w:id="275" w:name="_Toc312148973"/>
      <w:r>
        <w:rPr>
          <w:rFonts w:hint="eastAsia"/>
          <w:color w:val="auto"/>
          <w:highlight w:val="none"/>
        </w:rPr>
        <w:t>3.</w:t>
      </w:r>
      <w:r>
        <w:rPr>
          <w:rFonts w:hint="eastAsia"/>
          <w:color w:val="auto"/>
          <w:highlight w:val="none"/>
          <w:lang w:val="en-US" w:eastAsia="zh-CN"/>
        </w:rPr>
        <w:t>2</w:t>
      </w:r>
      <w:r>
        <w:rPr>
          <w:rFonts w:hint="eastAsia"/>
          <w:color w:val="auto"/>
          <w:highlight w:val="none"/>
        </w:rPr>
        <w:t>.1.7</w:t>
      </w:r>
      <w:r>
        <w:rPr>
          <w:color w:val="auto"/>
          <w:highlight w:val="none"/>
        </w:rPr>
        <w:t>劳动组织及定员</w:t>
      </w:r>
      <w:bookmarkEnd w:id="273"/>
      <w:bookmarkEnd w:id="274"/>
      <w:bookmarkEnd w:id="275"/>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Times New Roman" w:hAnsi="Times New Roman" w:eastAsia="宋体" w:cs="Times New Roman"/>
          <w:color w:val="auto"/>
          <w:highlight w:val="none"/>
          <w:lang w:val="en-US" w:eastAsia="zh-CN"/>
        </w:rPr>
        <w:t>本工程施工期</w:t>
      </w:r>
      <w:r>
        <w:rPr>
          <w:rFonts w:hint="eastAsia" w:ascii="Times New Roman" w:hAnsi="Times New Roman" w:cs="Times New Roman"/>
          <w:color w:val="auto"/>
          <w:szCs w:val="22"/>
          <w:highlight w:val="none"/>
          <w:shd w:val="clear" w:color="auto" w:fill="auto"/>
          <w:lang w:val="en-US" w:eastAsia="zh-CN"/>
        </w:rPr>
        <w:t>单井</w:t>
      </w:r>
      <w:r>
        <w:rPr>
          <w:rFonts w:hint="eastAsia" w:ascii="Times New Roman" w:hAnsi="Times New Roman" w:cs="Times New Roman"/>
          <w:color w:val="auto"/>
          <w:szCs w:val="22"/>
          <w:highlight w:val="none"/>
          <w:shd w:val="clear" w:color="auto" w:fill="auto"/>
        </w:rPr>
        <w:t>钻井工程施工人数为35人，</w:t>
      </w:r>
      <w:r>
        <w:rPr>
          <w:rFonts w:hint="default" w:ascii="Times New Roman" w:hAnsi="Times New Roman" w:cs="Times New Roman"/>
          <w:color w:val="auto"/>
          <w:sz w:val="24"/>
          <w:szCs w:val="24"/>
          <w:highlight w:val="none"/>
          <w:shd w:val="clear" w:color="auto" w:fill="auto"/>
          <w:lang w:val="en-US" w:eastAsia="zh-CN"/>
        </w:rPr>
        <w:t>地面施工人数为</w:t>
      </w:r>
      <w:r>
        <w:rPr>
          <w:rFonts w:hint="eastAsia" w:ascii="Times New Roman" w:hAnsi="Times New Roman" w:cs="Times New Roman"/>
          <w:color w:val="auto"/>
          <w:sz w:val="24"/>
          <w:szCs w:val="24"/>
          <w:highlight w:val="none"/>
          <w:shd w:val="clear" w:color="auto" w:fill="auto"/>
          <w:lang w:val="en-US" w:eastAsia="zh-CN"/>
        </w:rPr>
        <w:t>20</w:t>
      </w:r>
      <w:r>
        <w:rPr>
          <w:rFonts w:hint="default" w:ascii="Times New Roman" w:hAnsi="Times New Roman" w:cs="Times New Roman"/>
          <w:color w:val="auto"/>
          <w:sz w:val="24"/>
          <w:szCs w:val="24"/>
          <w:highlight w:val="none"/>
          <w:shd w:val="clear" w:color="auto" w:fill="auto"/>
          <w:lang w:val="en-US" w:eastAsia="zh-CN"/>
        </w:rPr>
        <w:t>人</w:t>
      </w:r>
      <w:r>
        <w:rPr>
          <w:rFonts w:hint="eastAsia" w:ascii="Times New Roman" w:hAnsi="Times New Roman" w:cs="Times New Roman"/>
          <w:color w:val="auto"/>
          <w:sz w:val="24"/>
          <w:szCs w:val="24"/>
          <w:highlight w:val="none"/>
          <w:shd w:val="clear" w:color="auto" w:fill="auto"/>
          <w:lang w:val="en-US" w:eastAsia="zh-CN"/>
        </w:rPr>
        <w:t>；</w:t>
      </w:r>
      <w:r>
        <w:rPr>
          <w:rFonts w:hint="eastAsia" w:ascii="宋体" w:hAnsi="宋体"/>
          <w:color w:val="auto"/>
          <w:szCs w:val="24"/>
          <w:highlight w:val="none"/>
        </w:rPr>
        <w:t>本工程由</w:t>
      </w:r>
      <w:r>
        <w:rPr>
          <w:rFonts w:hint="eastAsia"/>
          <w:color w:val="auto"/>
          <w:szCs w:val="24"/>
          <w:highlight w:val="none"/>
          <w:lang w:eastAsia="zh-CN"/>
        </w:rPr>
        <w:t>新疆油田分公司玛湖勘探开发项目部</w:t>
      </w:r>
      <w:r>
        <w:rPr>
          <w:rFonts w:hint="eastAsia" w:ascii="宋体" w:hAnsi="宋体"/>
          <w:color w:val="auto"/>
          <w:szCs w:val="24"/>
          <w:highlight w:val="none"/>
        </w:rPr>
        <w:t>进行全面管理，</w:t>
      </w:r>
      <w:r>
        <w:rPr>
          <w:rFonts w:hint="eastAsia"/>
          <w:color w:val="auto"/>
          <w:highlight w:val="none"/>
        </w:rPr>
        <w:t>运营期</w:t>
      </w:r>
      <w:r>
        <w:rPr>
          <w:color w:val="auto"/>
          <w:highlight w:val="none"/>
        </w:rPr>
        <w:t>不新增劳动定员，均依托现有</w:t>
      </w:r>
      <w:r>
        <w:rPr>
          <w:rFonts w:hint="eastAsia"/>
          <w:color w:val="auto"/>
          <w:highlight w:val="none"/>
        </w:rPr>
        <w:t>管理区</w:t>
      </w:r>
      <w:r>
        <w:rPr>
          <w:color w:val="auto"/>
          <w:highlight w:val="none"/>
        </w:rPr>
        <w:t>工作人员，井场无人值守。</w:t>
      </w:r>
    </w:p>
    <w:p>
      <w:pPr>
        <w:pStyle w:val="53"/>
        <w:pageBreakBefore w:val="0"/>
        <w:widowControl/>
        <w:kinsoku/>
        <w:wordWrap/>
        <w:overflowPunct/>
        <w:topLinePunct w:val="0"/>
        <w:autoSpaceDE/>
        <w:autoSpaceDN/>
        <w:bidi w:val="0"/>
        <w:spacing w:line="480" w:lineRule="exact"/>
        <w:textAlignment w:val="auto"/>
        <w:rPr>
          <w:color w:val="auto"/>
          <w:highlight w:val="none"/>
        </w:rPr>
      </w:pPr>
      <w:bookmarkStart w:id="276" w:name="_Toc10374"/>
      <w:bookmarkStart w:id="277" w:name="_Toc173941829"/>
      <w:r>
        <w:rPr>
          <w:color w:val="auto"/>
          <w:highlight w:val="none"/>
        </w:rPr>
        <w:t>3.</w:t>
      </w:r>
      <w:r>
        <w:rPr>
          <w:rFonts w:hint="eastAsia"/>
          <w:color w:val="auto"/>
          <w:highlight w:val="none"/>
          <w:lang w:val="en-US" w:eastAsia="zh-CN"/>
        </w:rPr>
        <w:t>2</w:t>
      </w:r>
      <w:r>
        <w:rPr>
          <w:color w:val="auto"/>
          <w:highlight w:val="none"/>
        </w:rPr>
        <w:t>.2油气资源概况</w:t>
      </w:r>
      <w:bookmarkEnd w:id="276"/>
      <w:bookmarkEnd w:id="277"/>
    </w:p>
    <w:p>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玛51X-丰探1井区风城组C8-C12层叠合含油面积214.9km</w:t>
      </w:r>
      <w:r>
        <w:rPr>
          <w:rFonts w:hint="eastAsia"/>
          <w:color w:val="auto"/>
          <w:highlight w:val="none"/>
          <w:vertAlign w:val="superscript"/>
        </w:rPr>
        <w:t>2</w:t>
      </w:r>
      <w:r>
        <w:rPr>
          <w:rFonts w:hint="eastAsia"/>
          <w:color w:val="auto"/>
          <w:highlight w:val="none"/>
        </w:rPr>
        <w:t>，估算石油地质储量29862.5×10</w:t>
      </w:r>
      <w:r>
        <w:rPr>
          <w:rFonts w:hint="eastAsia"/>
          <w:color w:val="auto"/>
          <w:highlight w:val="none"/>
          <w:vertAlign w:val="superscript"/>
        </w:rPr>
        <w:t>4</w:t>
      </w:r>
      <w:r>
        <w:rPr>
          <w:rFonts w:hint="eastAsia"/>
          <w:color w:val="auto"/>
          <w:highlight w:val="none"/>
        </w:rPr>
        <w:t>t。其中，玛51X井区估算石油地质储量24215.7×10</w:t>
      </w:r>
      <w:r>
        <w:rPr>
          <w:rFonts w:hint="eastAsia"/>
          <w:color w:val="auto"/>
          <w:highlight w:val="none"/>
          <w:vertAlign w:val="superscript"/>
        </w:rPr>
        <w:t>4</w:t>
      </w:r>
      <w:r>
        <w:rPr>
          <w:rFonts w:hint="eastAsia"/>
          <w:color w:val="auto"/>
          <w:highlight w:val="none"/>
        </w:rPr>
        <w:t>t</w:t>
      </w:r>
      <w:r>
        <w:rPr>
          <w:rFonts w:hint="eastAsia"/>
          <w:color w:val="auto"/>
          <w:highlight w:val="none"/>
          <w:lang w:eastAsia="zh-CN"/>
        </w:rPr>
        <w:t>（</w:t>
      </w:r>
      <w:r>
        <w:rPr>
          <w:rFonts w:hint="eastAsia"/>
          <w:color w:val="auto"/>
          <w:highlight w:val="none"/>
        </w:rPr>
        <w:t>含C8层8206.8×10</w:t>
      </w:r>
      <w:r>
        <w:rPr>
          <w:rFonts w:hint="eastAsia"/>
          <w:color w:val="auto"/>
          <w:highlight w:val="none"/>
          <w:vertAlign w:val="superscript"/>
        </w:rPr>
        <w:t>4</w:t>
      </w:r>
      <w:r>
        <w:rPr>
          <w:rFonts w:hint="eastAsia"/>
          <w:color w:val="auto"/>
          <w:highlight w:val="none"/>
        </w:rPr>
        <w:t>t</w:t>
      </w:r>
      <w:r>
        <w:rPr>
          <w:rFonts w:hint="eastAsia"/>
          <w:color w:val="auto"/>
          <w:highlight w:val="none"/>
          <w:lang w:eastAsia="zh-CN"/>
        </w:rPr>
        <w:t>）</w:t>
      </w:r>
      <w:r>
        <w:rPr>
          <w:rFonts w:hint="eastAsia"/>
          <w:color w:val="auto"/>
          <w:highlight w:val="none"/>
        </w:rPr>
        <w:t>，丰探1井区5695.9×10</w:t>
      </w:r>
      <w:r>
        <w:rPr>
          <w:rFonts w:hint="eastAsia"/>
          <w:color w:val="auto"/>
          <w:highlight w:val="none"/>
          <w:vertAlign w:val="superscript"/>
        </w:rPr>
        <w:t>4</w:t>
      </w:r>
      <w:r>
        <w:rPr>
          <w:rFonts w:hint="eastAsia"/>
          <w:color w:val="auto"/>
          <w:highlight w:val="none"/>
        </w:rPr>
        <w:t>t</w:t>
      </w:r>
      <w:r>
        <w:rPr>
          <w:rFonts w:hint="eastAsia"/>
          <w:color w:val="auto"/>
          <w:highlight w:val="none"/>
          <w:lang w:eastAsia="zh-CN"/>
        </w:rPr>
        <w:t>。</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.2.</w:t>
      </w:r>
      <w:r>
        <w:rPr>
          <w:rFonts w:hint="eastAsia"/>
          <w:color w:val="auto"/>
          <w:highlight w:val="none"/>
        </w:rPr>
        <w:t>1</w:t>
      </w:r>
      <w:r>
        <w:rPr>
          <w:color w:val="auto"/>
          <w:highlight w:val="none"/>
        </w:rPr>
        <w:t>区域构造特征</w:t>
      </w:r>
    </w:p>
    <w:p>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default" w:ascii="Times New Roman" w:hAnsi="Times New Roman" w:cs="Times New Roman"/>
          <w:color w:val="auto"/>
          <w:szCs w:val="24"/>
          <w:highlight w:val="none"/>
          <w:lang w:val="en-US" w:eastAsia="zh-CN"/>
        </w:rPr>
        <w:t>丰探1井</w:t>
      </w:r>
      <w:r>
        <w:rPr>
          <w:rFonts w:hint="eastAsia" w:ascii="Times New Roman" w:hAnsi="Times New Roman" w:cs="Times New Roman"/>
          <w:color w:val="auto"/>
          <w:szCs w:val="24"/>
          <w:highlight w:val="none"/>
          <w:lang w:val="en-US" w:eastAsia="zh-CN"/>
        </w:rPr>
        <w:t>区</w:t>
      </w:r>
      <w:r>
        <w:rPr>
          <w:rFonts w:hint="eastAsia"/>
          <w:color w:val="auto"/>
          <w:highlight w:val="none"/>
        </w:rPr>
        <w:t>风城组构造主体位于准噶尔盆地西部隆起乌夏断裂带，乌夏断裂带是海西运动后期发展起来的前陆冲断带，延伸约27km，主要由北东走向的断裂、断褶与单斜组成，具有南北分带、东西分段的地质特征。受盆地西缘逆冲作用的影响，风城组可划分为掩覆带、斜坡区和凹陷区三个次级构造带，构造活动由强变弱，其中丰探1井区位于掩覆带</w:t>
      </w:r>
      <w:r>
        <w:rPr>
          <w:rFonts w:hint="eastAsia"/>
          <w:color w:val="auto"/>
          <w:highlight w:val="none"/>
          <w:lang w:eastAsia="zh-CN"/>
        </w:rPr>
        <w:t>。</w:t>
      </w:r>
    </w:p>
    <w:p>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丰探1井区风城组整体表现为东北高西南低，纵向上</w:t>
      </w:r>
      <w:r>
        <w:rPr>
          <w:rFonts w:hint="eastAsia"/>
          <w:color w:val="auto"/>
          <w:highlight w:val="none"/>
          <w:lang w:eastAsia="zh-CN"/>
        </w:rPr>
        <w:t>具有</w:t>
      </w:r>
      <w:r>
        <w:rPr>
          <w:rFonts w:hint="eastAsia"/>
          <w:color w:val="auto"/>
          <w:highlight w:val="none"/>
        </w:rPr>
        <w:t>较好继承性，埋深变化大，以C9层顶界构造为例，海拔深度从高部位-3500m变化至低部位-4840m，深度落差达到1340m，构造低点位于丰探1井向斜</w:t>
      </w:r>
      <w:r>
        <w:rPr>
          <w:rFonts w:hint="eastAsia"/>
          <w:color w:val="auto"/>
          <w:highlight w:val="none"/>
          <w:lang w:eastAsia="zh-CN"/>
        </w:rPr>
        <w:t>。</w:t>
      </w:r>
      <w:r>
        <w:rPr>
          <w:rFonts w:hint="eastAsia"/>
          <w:color w:val="auto"/>
          <w:highlight w:val="none"/>
        </w:rPr>
        <w:t>丰探1井区开发试验方案部署区埋深为5030m</w:t>
      </w:r>
      <w:r>
        <w:rPr>
          <w:rFonts w:hint="eastAsia"/>
          <w:color w:val="auto"/>
          <w:highlight w:val="none"/>
          <w:lang w:eastAsia="zh-CN"/>
        </w:rPr>
        <w:t>～</w:t>
      </w:r>
      <w:r>
        <w:rPr>
          <w:rFonts w:hint="eastAsia"/>
          <w:color w:val="auto"/>
          <w:highlight w:val="none"/>
        </w:rPr>
        <w:t>5260m。丰探1井区四侧受断层切割，区块内主要发育北东和南东向两组逆断裂，北东向断裂断距大，延伸长，控制地区构造格局；南东向断裂断距小，延伸短。北东和南东向断裂组合形成丰探1井断块</w:t>
      </w:r>
      <w:r>
        <w:rPr>
          <w:rFonts w:hint="eastAsia"/>
          <w:color w:val="auto"/>
          <w:highlight w:val="none"/>
          <w:lang w:eastAsia="zh-CN"/>
        </w:rPr>
        <w:t>。</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.2.</w:t>
      </w:r>
      <w:r>
        <w:rPr>
          <w:rFonts w:hint="eastAsia"/>
          <w:color w:val="auto"/>
          <w:highlight w:val="none"/>
        </w:rPr>
        <w:t>2</w:t>
      </w:r>
      <w:r>
        <w:rPr>
          <w:color w:val="auto"/>
          <w:highlight w:val="none"/>
        </w:rPr>
        <w:t>区域</w:t>
      </w:r>
      <w:r>
        <w:rPr>
          <w:rFonts w:hint="eastAsia"/>
          <w:color w:val="auto"/>
          <w:highlight w:val="none"/>
        </w:rPr>
        <w:t>储</w:t>
      </w:r>
      <w:r>
        <w:rPr>
          <w:color w:val="auto"/>
          <w:highlight w:val="none"/>
        </w:rPr>
        <w:t>层特征</w:t>
      </w:r>
    </w:p>
    <w:p>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val="en-US" w:eastAsia="zh-CN"/>
        </w:rPr>
      </w:pPr>
      <w:bookmarkStart w:id="278" w:name="OLE_LINK11"/>
      <w:r>
        <w:rPr>
          <w:rFonts w:hint="eastAsia"/>
          <w:color w:val="auto"/>
          <w:highlight w:val="none"/>
        </w:rPr>
        <w:t>丰探1井区</w:t>
      </w:r>
      <w:bookmarkEnd w:id="278"/>
      <w:r>
        <w:rPr>
          <w:rFonts w:hint="eastAsia"/>
          <w:color w:val="auto"/>
          <w:highlight w:val="none"/>
        </w:rPr>
        <w:t>风城组天然裂缝较发育，是天然渗流通道，能够改善储层渗透性。天然裂缝主要类型为构造缝和成岩缝，以裂缝充填</w:t>
      </w:r>
      <w:r>
        <w:rPr>
          <w:rFonts w:hint="eastAsia"/>
          <w:color w:val="auto"/>
          <w:highlight w:val="none"/>
          <w:lang w:eastAsia="zh-CN"/>
        </w:rPr>
        <w:t>－</w:t>
      </w:r>
      <w:r>
        <w:rPr>
          <w:rFonts w:hint="eastAsia"/>
          <w:color w:val="auto"/>
          <w:highlight w:val="none"/>
        </w:rPr>
        <w:t>半充填为主，未充填缝为主要的储集空间</w:t>
      </w:r>
      <w:r>
        <w:rPr>
          <w:rFonts w:hint="eastAsia"/>
          <w:color w:val="auto"/>
          <w:highlight w:val="none"/>
          <w:lang w:eastAsia="zh-CN"/>
        </w:rPr>
        <w:t>。</w:t>
      </w:r>
      <w:r>
        <w:rPr>
          <w:rFonts w:hint="eastAsia"/>
          <w:color w:val="auto"/>
          <w:highlight w:val="none"/>
        </w:rPr>
        <w:t>丰探1井区风城组页岩油主要储集空间为粒（晶）间孔、溶蚀孔及微裂缝等，基质孔隙主要发育粒（晶）间孔、粒内溶孔和黏土矿物粒间孔三种类型，粒内溶孔及粒间孔主要发育在长英质页岩，晶间孔四类岩性均有发育</w:t>
      </w:r>
      <w:r>
        <w:rPr>
          <w:rFonts w:hint="eastAsia"/>
          <w:color w:val="auto"/>
          <w:highlight w:val="none"/>
          <w:lang w:eastAsia="zh-CN"/>
        </w:rPr>
        <w:t>。</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.2.3油气藏特征</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根据勘探资料，丰探1井区块二叠系风城组孔隙度为0.1%～9.8%，平均2.46%；</w:t>
      </w:r>
      <w:r>
        <w:rPr>
          <w:rFonts w:hint="eastAsia"/>
          <w:color w:val="auto"/>
          <w:highlight w:val="none"/>
          <w:lang w:eastAsia="zh-CN"/>
        </w:rPr>
        <w:t>渗透率为</w:t>
      </w:r>
      <w:r>
        <w:rPr>
          <w:rFonts w:hint="eastAsia"/>
          <w:color w:val="auto"/>
          <w:highlight w:val="none"/>
        </w:rPr>
        <w:t>0.011mD～5.34mD，平均0.203mD，中值0.020mD，属于特低孔、特低渗储层。</w:t>
      </w:r>
    </w:p>
    <w:p>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丰探1井区块二叠系风城组油藏中部温度为102.7℃，原始地层压力为53.34MPa，压力系数1.23，为高压油藏，油藏天然驱动类型主要为弹性驱动</w:t>
      </w:r>
      <w:r>
        <w:rPr>
          <w:rFonts w:hint="eastAsia"/>
          <w:color w:val="auto"/>
          <w:highlight w:val="none"/>
          <w:lang w:eastAsia="zh-CN"/>
        </w:rPr>
        <w:t>。</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.2.4流体性质参数</w:t>
      </w:r>
    </w:p>
    <w:p>
      <w:pPr>
        <w:pStyle w:val="57"/>
        <w:pageBreakBefore w:val="0"/>
        <w:widowControl/>
        <w:kinsoku/>
        <w:wordWrap/>
        <w:overflowPunct/>
        <w:topLinePunct w:val="0"/>
        <w:autoSpaceDE/>
        <w:autoSpaceDN/>
        <w:bidi w:val="0"/>
        <w:spacing w:line="480" w:lineRule="exact"/>
        <w:textAlignment w:val="auto"/>
        <w:rPr>
          <w:rFonts w:hint="default" w:eastAsia="宋体"/>
          <w:color w:val="auto"/>
          <w:highlight w:val="none"/>
          <w:lang w:val="en-US" w:eastAsia="zh-CN"/>
        </w:rPr>
      </w:pPr>
      <w:r>
        <w:rPr>
          <w:rFonts w:hint="eastAsia"/>
          <w:color w:val="auto"/>
          <w:highlight w:val="none"/>
          <w:lang w:val="en-US" w:eastAsia="zh-CN"/>
        </w:rPr>
        <w:t>（1）原油性质</w:t>
      </w:r>
    </w:p>
    <w:p>
      <w:pPr>
        <w:pStyle w:val="57"/>
        <w:pageBreakBefore w:val="0"/>
        <w:widowControl/>
        <w:kinsoku/>
        <w:wordWrap/>
        <w:overflowPunct/>
        <w:topLinePunct w:val="0"/>
        <w:autoSpaceDE/>
        <w:autoSpaceDN/>
        <w:bidi w:val="0"/>
        <w:spacing w:line="480" w:lineRule="exact"/>
        <w:textAlignment w:val="auto"/>
        <w:rPr>
          <w:rFonts w:hint="eastAsia" w:cs="Times New Roman"/>
          <w:color w:val="auto"/>
          <w:highlight w:val="none"/>
        </w:rPr>
      </w:pPr>
      <w:r>
        <w:rPr>
          <w:color w:val="auto"/>
          <w:kern w:val="0"/>
          <w:sz w:val="24"/>
          <w:lang w:bidi="ar"/>
        </w:rPr>
        <w:t>丰探1井区二叠系风城组</w:t>
      </w:r>
      <w:r>
        <w:rPr>
          <w:color w:val="auto"/>
          <w:sz w:val="24"/>
          <w:lang w:bidi="ar"/>
        </w:rPr>
        <w:t>P</w:t>
      </w:r>
      <w:r>
        <w:rPr>
          <w:color w:val="auto"/>
          <w:sz w:val="24"/>
          <w:vertAlign w:val="subscript"/>
          <w:lang w:bidi="ar"/>
        </w:rPr>
        <w:t>1</w:t>
      </w:r>
      <w:r>
        <w:rPr>
          <w:i/>
          <w:color w:val="auto"/>
          <w:sz w:val="24"/>
          <w:lang w:bidi="ar"/>
        </w:rPr>
        <w:t>f</w:t>
      </w:r>
      <w:r>
        <w:rPr>
          <w:color w:val="auto"/>
          <w:sz w:val="24"/>
          <w:vertAlign w:val="subscript"/>
          <w:lang w:bidi="ar"/>
        </w:rPr>
        <w:t>2</w:t>
      </w:r>
      <w:r>
        <w:rPr>
          <w:color w:val="auto"/>
          <w:kern w:val="0"/>
          <w:sz w:val="24"/>
          <w:lang w:bidi="ar"/>
        </w:rPr>
        <w:t>地面原油密度平均0.868g/cm</w:t>
      </w:r>
      <w:r>
        <w:rPr>
          <w:color w:val="auto"/>
          <w:kern w:val="0"/>
          <w:sz w:val="24"/>
          <w:vertAlign w:val="superscript"/>
          <w:lang w:bidi="ar"/>
        </w:rPr>
        <w:t>3</w:t>
      </w:r>
      <w:r>
        <w:rPr>
          <w:color w:val="auto"/>
          <w:kern w:val="0"/>
          <w:sz w:val="24"/>
          <w:lang w:bidi="ar"/>
        </w:rPr>
        <w:t>，50℃地面原油粘度平均21.04mPa.s，含蜡量平均5.64%，凝固点平均-0.27℃；地层原油密度平均0.742g/cm</w:t>
      </w:r>
      <w:r>
        <w:rPr>
          <w:color w:val="auto"/>
          <w:kern w:val="0"/>
          <w:sz w:val="24"/>
          <w:vertAlign w:val="superscript"/>
          <w:lang w:bidi="ar"/>
        </w:rPr>
        <w:t>3</w:t>
      </w:r>
      <w:r>
        <w:rPr>
          <w:color w:val="auto"/>
          <w:kern w:val="0"/>
          <w:sz w:val="24"/>
          <w:lang w:bidi="ar"/>
        </w:rPr>
        <w:t>，50℃地层原油粘度平均3.9mPa.s。综上，玛51X-丰探1井区风城组油藏属于低粘中质黑油，井区西南和东南部地面原油密度和粘度较高，北部相对较低</w:t>
      </w:r>
      <w:r>
        <w:rPr>
          <w:rFonts w:hint="eastAsia"/>
          <w:color w:val="auto"/>
          <w:kern w:val="0"/>
          <w:sz w:val="24"/>
          <w:lang w:eastAsia="zh-CN" w:bidi="ar"/>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w:t>
      </w:r>
      <w:r>
        <w:rPr>
          <w:rFonts w:hint="eastAsia"/>
          <w:color w:val="auto"/>
          <w:highlight w:val="none"/>
        </w:rPr>
        <w:t>3.</w:t>
      </w:r>
      <w:r>
        <w:rPr>
          <w:rFonts w:hint="eastAsia"/>
          <w:color w:val="auto"/>
          <w:highlight w:val="none"/>
          <w:lang w:val="en-US" w:eastAsia="zh-CN"/>
        </w:rPr>
        <w:t>2</w:t>
      </w:r>
      <w:r>
        <w:rPr>
          <w:rFonts w:hint="eastAsia"/>
          <w:color w:val="auto"/>
          <w:highlight w:val="none"/>
        </w:rPr>
        <w:t>-1</w:t>
      </w:r>
      <w:r>
        <w:rPr>
          <w:rFonts w:hint="eastAsia"/>
          <w:color w:val="auto"/>
          <w:highlight w:val="none"/>
          <w:lang w:val="en-US" w:eastAsia="zh-CN"/>
        </w:rPr>
        <w:t xml:space="preserve"> </w:t>
      </w:r>
      <w:r>
        <w:rPr>
          <w:rFonts w:hint="eastAsia" w:cs="Times New Roman"/>
          <w:color w:val="auto"/>
          <w:highlight w:val="none"/>
        </w:rPr>
        <w:t xml:space="preserve">  丰探1井区风城组风二段原油性质数据表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45"/>
        <w:gridCol w:w="774"/>
        <w:gridCol w:w="892"/>
        <w:gridCol w:w="763"/>
        <w:gridCol w:w="795"/>
        <w:gridCol w:w="748"/>
        <w:gridCol w:w="775"/>
        <w:gridCol w:w="779"/>
        <w:gridCol w:w="779"/>
        <w:gridCol w:w="795"/>
        <w:gridCol w:w="98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5" w:type="dxa"/>
            <w:vMerge w:val="restart"/>
            <w:tcBorders>
              <w:tl2br w:val="nil"/>
              <w:tr2bl w:val="nil"/>
            </w:tcBorders>
            <w:vAlign w:val="center"/>
          </w:tcPr>
          <w:p>
            <w:pPr>
              <w:pStyle w:val="17"/>
              <w:widowControl w:val="0"/>
              <w:rPr>
                <w:rFonts w:eastAsia="黑体"/>
                <w:color w:val="auto"/>
                <w:sz w:val="21"/>
                <w:szCs w:val="21"/>
              </w:rPr>
            </w:pPr>
            <w:r>
              <w:rPr>
                <w:rFonts w:hint="eastAsia" w:ascii="宋体" w:hAnsi="宋体" w:cs="宋体"/>
                <w:color w:val="auto"/>
                <w:sz w:val="21"/>
                <w:szCs w:val="21"/>
              </w:rPr>
              <w:t>井区</w:t>
            </w:r>
          </w:p>
        </w:tc>
        <w:tc>
          <w:tcPr>
            <w:tcW w:w="3972" w:type="dxa"/>
            <w:gridSpan w:val="5"/>
            <w:tcBorders>
              <w:tl2br w:val="nil"/>
              <w:tr2bl w:val="nil"/>
            </w:tcBorders>
            <w:vAlign w:val="center"/>
          </w:tcPr>
          <w:p>
            <w:pPr>
              <w:pStyle w:val="17"/>
              <w:widowControl w:val="0"/>
              <w:rPr>
                <w:rFonts w:eastAsia="黑体"/>
                <w:color w:val="auto"/>
                <w:sz w:val="21"/>
                <w:szCs w:val="21"/>
              </w:rPr>
            </w:pPr>
            <w:r>
              <w:rPr>
                <w:color w:val="auto"/>
                <w:sz w:val="21"/>
                <w:szCs w:val="21"/>
                <w:lang w:bidi="ar"/>
              </w:rPr>
              <w:t>地面原油性质</w:t>
            </w:r>
          </w:p>
        </w:tc>
        <w:tc>
          <w:tcPr>
            <w:tcW w:w="2333" w:type="dxa"/>
            <w:gridSpan w:val="3"/>
            <w:tcBorders>
              <w:tl2br w:val="nil"/>
              <w:tr2bl w:val="nil"/>
            </w:tcBorders>
            <w:vAlign w:val="center"/>
          </w:tcPr>
          <w:p>
            <w:pPr>
              <w:pStyle w:val="17"/>
              <w:widowControl w:val="0"/>
              <w:rPr>
                <w:rFonts w:eastAsia="黑体"/>
                <w:color w:val="auto"/>
                <w:sz w:val="21"/>
                <w:szCs w:val="21"/>
              </w:rPr>
            </w:pPr>
            <w:r>
              <w:rPr>
                <w:color w:val="auto"/>
                <w:sz w:val="21"/>
                <w:szCs w:val="21"/>
                <w:lang w:bidi="ar"/>
              </w:rPr>
              <w:t>地层原油性质</w:t>
            </w:r>
          </w:p>
        </w:tc>
        <w:tc>
          <w:tcPr>
            <w:tcW w:w="795" w:type="dxa"/>
            <w:vMerge w:val="restart"/>
            <w:tcBorders>
              <w:tl2br w:val="nil"/>
              <w:tr2bl w:val="nil"/>
            </w:tcBorders>
            <w:vAlign w:val="center"/>
          </w:tcPr>
          <w:p>
            <w:pPr>
              <w:pStyle w:val="17"/>
              <w:widowControl w:val="0"/>
              <w:rPr>
                <w:color w:val="auto"/>
                <w:sz w:val="21"/>
                <w:szCs w:val="21"/>
                <w:lang w:bidi="ar"/>
              </w:rPr>
            </w:pPr>
            <w:r>
              <w:rPr>
                <w:color w:val="auto"/>
                <w:sz w:val="21"/>
                <w:szCs w:val="21"/>
                <w:lang w:bidi="ar"/>
              </w:rPr>
              <w:t>体积</w:t>
            </w:r>
          </w:p>
          <w:p>
            <w:pPr>
              <w:pStyle w:val="17"/>
              <w:widowControl w:val="0"/>
              <w:rPr>
                <w:rFonts w:eastAsia="黑体"/>
                <w:color w:val="auto"/>
                <w:sz w:val="21"/>
                <w:szCs w:val="21"/>
              </w:rPr>
            </w:pPr>
            <w:r>
              <w:rPr>
                <w:color w:val="auto"/>
                <w:sz w:val="21"/>
                <w:szCs w:val="21"/>
                <w:lang w:bidi="ar"/>
              </w:rPr>
              <w:t>系数</w:t>
            </w:r>
          </w:p>
        </w:tc>
        <w:tc>
          <w:tcPr>
            <w:tcW w:w="988" w:type="dxa"/>
            <w:vMerge w:val="restart"/>
            <w:tcBorders>
              <w:tl2br w:val="nil"/>
              <w:tr2bl w:val="nil"/>
            </w:tcBorders>
            <w:vAlign w:val="center"/>
          </w:tcPr>
          <w:p>
            <w:pPr>
              <w:pStyle w:val="17"/>
              <w:widowControl w:val="0"/>
              <w:rPr>
                <w:color w:val="auto"/>
                <w:sz w:val="21"/>
                <w:szCs w:val="21"/>
                <w:lang w:bidi="ar"/>
              </w:rPr>
            </w:pPr>
            <w:r>
              <w:rPr>
                <w:color w:val="auto"/>
                <w:sz w:val="21"/>
                <w:szCs w:val="21"/>
                <w:lang w:bidi="ar"/>
              </w:rPr>
              <w:t>气油比</w:t>
            </w:r>
          </w:p>
          <w:p>
            <w:pPr>
              <w:pStyle w:val="17"/>
              <w:widowControl w:val="0"/>
              <w:rPr>
                <w:rFonts w:eastAsia="黑体"/>
                <w:color w:val="auto"/>
                <w:sz w:val="21"/>
                <w:szCs w:val="21"/>
              </w:rPr>
            </w:pPr>
            <w:r>
              <w:rPr>
                <w:color w:val="auto"/>
                <w:sz w:val="21"/>
                <w:szCs w:val="21"/>
                <w:lang w:bidi="ar"/>
              </w:rPr>
              <w:t>（m</w:t>
            </w:r>
            <w:r>
              <w:rPr>
                <w:color w:val="auto"/>
                <w:sz w:val="21"/>
                <w:szCs w:val="21"/>
                <w:vertAlign w:val="superscript"/>
                <w:lang w:bidi="ar"/>
              </w:rPr>
              <w:t>3</w:t>
            </w:r>
            <w:r>
              <w:rPr>
                <w:color w:val="auto"/>
                <w:sz w:val="21"/>
                <w:szCs w:val="21"/>
                <w:lang w:bidi="ar"/>
              </w:rPr>
              <w:t>/m</w:t>
            </w:r>
            <w:r>
              <w:rPr>
                <w:color w:val="auto"/>
                <w:sz w:val="21"/>
                <w:szCs w:val="21"/>
                <w:vertAlign w:val="superscript"/>
                <w:lang w:bidi="ar"/>
              </w:rPr>
              <w:t>3</w:t>
            </w:r>
            <w:r>
              <w:rPr>
                <w:color w:val="auto"/>
                <w:sz w:val="21"/>
                <w:szCs w:val="21"/>
                <w:lang w:bidi="ar"/>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5" w:type="dxa"/>
            <w:vMerge w:val="continue"/>
            <w:tcBorders>
              <w:tl2br w:val="nil"/>
              <w:tr2bl w:val="nil"/>
            </w:tcBorders>
            <w:vAlign w:val="center"/>
          </w:tcPr>
          <w:p>
            <w:pPr>
              <w:pStyle w:val="17"/>
              <w:widowControl w:val="0"/>
              <w:rPr>
                <w:rFonts w:eastAsia="黑体"/>
                <w:color w:val="auto"/>
                <w:sz w:val="21"/>
                <w:szCs w:val="21"/>
              </w:rPr>
            </w:pPr>
          </w:p>
        </w:tc>
        <w:tc>
          <w:tcPr>
            <w:tcW w:w="774" w:type="dxa"/>
            <w:tcBorders>
              <w:tl2br w:val="nil"/>
              <w:tr2bl w:val="nil"/>
            </w:tcBorders>
            <w:vAlign w:val="center"/>
          </w:tcPr>
          <w:p>
            <w:pPr>
              <w:pStyle w:val="17"/>
              <w:widowControl w:val="0"/>
              <w:rPr>
                <w:color w:val="auto"/>
                <w:sz w:val="21"/>
                <w:szCs w:val="21"/>
                <w:lang w:bidi="ar"/>
              </w:rPr>
            </w:pPr>
            <w:r>
              <w:rPr>
                <w:color w:val="auto"/>
                <w:sz w:val="21"/>
                <w:szCs w:val="21"/>
                <w:lang w:bidi="ar"/>
              </w:rPr>
              <w:t>密度</w:t>
            </w:r>
          </w:p>
          <w:p>
            <w:pPr>
              <w:pStyle w:val="17"/>
              <w:widowControl w:val="0"/>
              <w:rPr>
                <w:color w:val="auto"/>
                <w:sz w:val="21"/>
                <w:szCs w:val="21"/>
                <w:lang w:bidi="ar"/>
              </w:rPr>
            </w:pPr>
            <w:r>
              <w:rPr>
                <w:color w:val="auto"/>
                <w:sz w:val="21"/>
                <w:szCs w:val="21"/>
                <w:lang w:bidi="ar"/>
              </w:rPr>
              <w:t>g/cm</w:t>
            </w:r>
            <w:r>
              <w:rPr>
                <w:color w:val="auto"/>
                <w:sz w:val="21"/>
                <w:szCs w:val="21"/>
                <w:vertAlign w:val="superscript"/>
                <w:lang w:bidi="ar"/>
              </w:rPr>
              <w:t>3</w:t>
            </w:r>
          </w:p>
        </w:tc>
        <w:tc>
          <w:tcPr>
            <w:tcW w:w="892" w:type="dxa"/>
            <w:tcBorders>
              <w:tl2br w:val="nil"/>
              <w:tr2bl w:val="nil"/>
            </w:tcBorders>
            <w:vAlign w:val="center"/>
          </w:tcPr>
          <w:p>
            <w:pPr>
              <w:pStyle w:val="17"/>
              <w:widowControl w:val="0"/>
              <w:rPr>
                <w:color w:val="auto"/>
                <w:sz w:val="21"/>
                <w:szCs w:val="21"/>
                <w:lang w:bidi="ar"/>
              </w:rPr>
            </w:pPr>
            <w:r>
              <w:rPr>
                <w:color w:val="auto"/>
                <w:sz w:val="21"/>
                <w:szCs w:val="21"/>
                <w:lang w:bidi="ar"/>
              </w:rPr>
              <w:t>粘度</w:t>
            </w:r>
          </w:p>
          <w:p>
            <w:pPr>
              <w:pStyle w:val="17"/>
              <w:widowControl w:val="0"/>
              <w:rPr>
                <w:color w:val="auto"/>
                <w:sz w:val="21"/>
                <w:szCs w:val="21"/>
                <w:lang w:bidi="ar"/>
              </w:rPr>
            </w:pPr>
            <w:r>
              <w:rPr>
                <w:color w:val="auto"/>
                <w:sz w:val="21"/>
                <w:szCs w:val="21"/>
                <w:lang w:bidi="ar"/>
              </w:rPr>
              <w:t>（50℃）                                     mPa.s</w:t>
            </w:r>
          </w:p>
        </w:tc>
        <w:tc>
          <w:tcPr>
            <w:tcW w:w="763" w:type="dxa"/>
            <w:tcBorders>
              <w:tl2br w:val="nil"/>
              <w:tr2bl w:val="nil"/>
            </w:tcBorders>
            <w:vAlign w:val="center"/>
          </w:tcPr>
          <w:p>
            <w:pPr>
              <w:pStyle w:val="17"/>
              <w:widowControl w:val="0"/>
              <w:rPr>
                <w:color w:val="auto"/>
                <w:sz w:val="21"/>
                <w:szCs w:val="21"/>
                <w:lang w:bidi="ar"/>
              </w:rPr>
            </w:pPr>
            <w:r>
              <w:rPr>
                <w:color w:val="auto"/>
                <w:sz w:val="21"/>
                <w:szCs w:val="21"/>
                <w:lang w:bidi="ar"/>
              </w:rPr>
              <w:t>凝固点</w:t>
            </w:r>
          </w:p>
          <w:p>
            <w:pPr>
              <w:pStyle w:val="17"/>
              <w:widowControl w:val="0"/>
              <w:rPr>
                <w:color w:val="auto"/>
                <w:sz w:val="21"/>
                <w:szCs w:val="21"/>
                <w:lang w:bidi="ar"/>
              </w:rPr>
            </w:pPr>
            <w:r>
              <w:rPr>
                <w:color w:val="auto"/>
                <w:sz w:val="21"/>
                <w:szCs w:val="21"/>
                <w:lang w:bidi="ar"/>
              </w:rPr>
              <w:t>℃</w:t>
            </w:r>
          </w:p>
        </w:tc>
        <w:tc>
          <w:tcPr>
            <w:tcW w:w="795" w:type="dxa"/>
            <w:tcBorders>
              <w:tl2br w:val="nil"/>
              <w:tr2bl w:val="nil"/>
            </w:tcBorders>
            <w:vAlign w:val="center"/>
          </w:tcPr>
          <w:p>
            <w:pPr>
              <w:pStyle w:val="17"/>
              <w:widowControl w:val="0"/>
              <w:rPr>
                <w:color w:val="auto"/>
                <w:sz w:val="21"/>
                <w:szCs w:val="21"/>
                <w:lang w:bidi="ar"/>
              </w:rPr>
            </w:pPr>
            <w:r>
              <w:rPr>
                <w:color w:val="auto"/>
                <w:sz w:val="21"/>
                <w:szCs w:val="21"/>
                <w:lang w:bidi="ar"/>
              </w:rPr>
              <w:t>初馏点</w:t>
            </w:r>
          </w:p>
          <w:p>
            <w:pPr>
              <w:pStyle w:val="17"/>
              <w:widowControl w:val="0"/>
              <w:rPr>
                <w:color w:val="auto"/>
                <w:sz w:val="21"/>
                <w:szCs w:val="21"/>
                <w:lang w:bidi="ar"/>
              </w:rPr>
            </w:pPr>
            <w:r>
              <w:rPr>
                <w:color w:val="auto"/>
                <w:sz w:val="21"/>
                <w:szCs w:val="21"/>
                <w:lang w:bidi="ar"/>
              </w:rPr>
              <w:t>℃</w:t>
            </w:r>
          </w:p>
        </w:tc>
        <w:tc>
          <w:tcPr>
            <w:tcW w:w="748" w:type="dxa"/>
            <w:tcBorders>
              <w:tl2br w:val="nil"/>
              <w:tr2bl w:val="nil"/>
            </w:tcBorders>
            <w:vAlign w:val="center"/>
          </w:tcPr>
          <w:p>
            <w:pPr>
              <w:pStyle w:val="17"/>
              <w:widowControl w:val="0"/>
              <w:rPr>
                <w:color w:val="auto"/>
                <w:sz w:val="21"/>
                <w:szCs w:val="21"/>
                <w:lang w:bidi="ar"/>
              </w:rPr>
            </w:pPr>
            <w:r>
              <w:rPr>
                <w:color w:val="auto"/>
                <w:sz w:val="21"/>
                <w:szCs w:val="21"/>
                <w:lang w:bidi="ar"/>
              </w:rPr>
              <w:t>含蜡</w:t>
            </w:r>
          </w:p>
          <w:p>
            <w:pPr>
              <w:pStyle w:val="17"/>
              <w:widowControl w:val="0"/>
              <w:rPr>
                <w:color w:val="auto"/>
                <w:sz w:val="21"/>
                <w:szCs w:val="21"/>
                <w:lang w:bidi="ar"/>
              </w:rPr>
            </w:pPr>
            <w:r>
              <w:rPr>
                <w:color w:val="auto"/>
                <w:sz w:val="21"/>
                <w:szCs w:val="21"/>
                <w:lang w:bidi="ar"/>
              </w:rPr>
              <w:t>%</w:t>
            </w:r>
          </w:p>
        </w:tc>
        <w:tc>
          <w:tcPr>
            <w:tcW w:w="775" w:type="dxa"/>
            <w:tcBorders>
              <w:tl2br w:val="nil"/>
              <w:tr2bl w:val="nil"/>
            </w:tcBorders>
            <w:vAlign w:val="center"/>
          </w:tcPr>
          <w:p>
            <w:pPr>
              <w:pStyle w:val="17"/>
              <w:widowControl w:val="0"/>
              <w:rPr>
                <w:color w:val="auto"/>
                <w:sz w:val="21"/>
                <w:szCs w:val="21"/>
                <w:lang w:bidi="ar"/>
              </w:rPr>
            </w:pPr>
            <w:r>
              <w:rPr>
                <w:color w:val="auto"/>
                <w:sz w:val="21"/>
                <w:szCs w:val="21"/>
                <w:lang w:bidi="ar"/>
              </w:rPr>
              <w:t>密度</w:t>
            </w:r>
          </w:p>
          <w:p>
            <w:pPr>
              <w:pStyle w:val="17"/>
              <w:widowControl w:val="0"/>
              <w:rPr>
                <w:color w:val="auto"/>
                <w:sz w:val="21"/>
                <w:szCs w:val="21"/>
                <w:lang w:bidi="ar"/>
              </w:rPr>
            </w:pPr>
            <w:r>
              <w:rPr>
                <w:color w:val="auto"/>
                <w:sz w:val="21"/>
                <w:szCs w:val="21"/>
                <w:lang w:bidi="ar"/>
              </w:rPr>
              <w:t>g/cm</w:t>
            </w:r>
            <w:r>
              <w:rPr>
                <w:color w:val="auto"/>
                <w:sz w:val="21"/>
                <w:szCs w:val="21"/>
                <w:vertAlign w:val="superscript"/>
                <w:lang w:bidi="ar"/>
              </w:rPr>
              <w:t>3</w:t>
            </w:r>
          </w:p>
        </w:tc>
        <w:tc>
          <w:tcPr>
            <w:tcW w:w="779" w:type="dxa"/>
            <w:tcBorders>
              <w:tl2br w:val="nil"/>
              <w:tr2bl w:val="nil"/>
            </w:tcBorders>
            <w:vAlign w:val="center"/>
          </w:tcPr>
          <w:p>
            <w:pPr>
              <w:pStyle w:val="17"/>
              <w:widowControl w:val="0"/>
              <w:rPr>
                <w:color w:val="auto"/>
                <w:sz w:val="21"/>
                <w:szCs w:val="21"/>
                <w:lang w:bidi="ar"/>
              </w:rPr>
            </w:pPr>
            <w:r>
              <w:rPr>
                <w:color w:val="auto"/>
                <w:sz w:val="21"/>
                <w:szCs w:val="21"/>
                <w:lang w:bidi="ar"/>
              </w:rPr>
              <w:t>粘度</w:t>
            </w:r>
          </w:p>
          <w:p>
            <w:pPr>
              <w:pStyle w:val="17"/>
              <w:widowControl w:val="0"/>
              <w:rPr>
                <w:color w:val="auto"/>
                <w:sz w:val="21"/>
                <w:szCs w:val="21"/>
                <w:lang w:bidi="ar"/>
              </w:rPr>
            </w:pPr>
            <w:r>
              <w:rPr>
                <w:color w:val="auto"/>
                <w:sz w:val="21"/>
                <w:szCs w:val="21"/>
                <w:lang w:bidi="ar"/>
              </w:rPr>
              <w:t>mPa.s</w:t>
            </w:r>
          </w:p>
        </w:tc>
        <w:tc>
          <w:tcPr>
            <w:tcW w:w="779" w:type="dxa"/>
            <w:tcBorders>
              <w:tl2br w:val="nil"/>
              <w:tr2bl w:val="nil"/>
            </w:tcBorders>
            <w:vAlign w:val="center"/>
          </w:tcPr>
          <w:p>
            <w:pPr>
              <w:pStyle w:val="17"/>
              <w:widowControl w:val="0"/>
              <w:rPr>
                <w:color w:val="auto"/>
                <w:sz w:val="21"/>
                <w:szCs w:val="21"/>
                <w:lang w:bidi="ar"/>
              </w:rPr>
            </w:pPr>
            <w:r>
              <w:rPr>
                <w:color w:val="auto"/>
                <w:sz w:val="21"/>
                <w:szCs w:val="21"/>
                <w:lang w:bidi="ar"/>
              </w:rPr>
              <w:t>脱气油</w:t>
            </w:r>
          </w:p>
          <w:p>
            <w:pPr>
              <w:pStyle w:val="17"/>
              <w:widowControl w:val="0"/>
              <w:rPr>
                <w:color w:val="auto"/>
                <w:sz w:val="21"/>
                <w:szCs w:val="21"/>
                <w:lang w:bidi="ar"/>
              </w:rPr>
            </w:pPr>
            <w:r>
              <w:rPr>
                <w:color w:val="auto"/>
                <w:sz w:val="21"/>
                <w:szCs w:val="21"/>
                <w:lang w:bidi="ar"/>
              </w:rPr>
              <w:t>粘度</w:t>
            </w:r>
          </w:p>
          <w:p>
            <w:pPr>
              <w:pStyle w:val="17"/>
              <w:widowControl w:val="0"/>
              <w:rPr>
                <w:color w:val="auto"/>
                <w:sz w:val="21"/>
                <w:szCs w:val="21"/>
                <w:lang w:bidi="ar"/>
              </w:rPr>
            </w:pPr>
            <w:r>
              <w:rPr>
                <w:color w:val="auto"/>
                <w:sz w:val="21"/>
                <w:szCs w:val="21"/>
                <w:lang w:bidi="ar"/>
              </w:rPr>
              <w:t>mPa.s</w:t>
            </w:r>
          </w:p>
        </w:tc>
        <w:tc>
          <w:tcPr>
            <w:tcW w:w="795" w:type="dxa"/>
            <w:vMerge w:val="continue"/>
            <w:tcBorders>
              <w:tl2br w:val="nil"/>
              <w:tr2bl w:val="nil"/>
            </w:tcBorders>
            <w:vAlign w:val="center"/>
          </w:tcPr>
          <w:p>
            <w:pPr>
              <w:pStyle w:val="17"/>
              <w:widowControl w:val="0"/>
              <w:rPr>
                <w:rFonts w:eastAsia="黑体"/>
                <w:color w:val="auto"/>
                <w:sz w:val="21"/>
                <w:szCs w:val="21"/>
              </w:rPr>
            </w:pPr>
          </w:p>
        </w:tc>
        <w:tc>
          <w:tcPr>
            <w:tcW w:w="988" w:type="dxa"/>
            <w:vMerge w:val="continue"/>
            <w:tcBorders>
              <w:tl2br w:val="nil"/>
              <w:tr2bl w:val="nil"/>
            </w:tcBorders>
            <w:vAlign w:val="center"/>
          </w:tcPr>
          <w:p>
            <w:pPr>
              <w:pStyle w:val="17"/>
              <w:widowControl w:val="0"/>
              <w:rPr>
                <w:rFonts w:eastAsia="黑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745" w:type="dxa"/>
            <w:tcBorders>
              <w:tl2br w:val="nil"/>
              <w:tr2bl w:val="nil"/>
            </w:tcBorders>
            <w:vAlign w:val="center"/>
          </w:tcPr>
          <w:p>
            <w:pPr>
              <w:pStyle w:val="17"/>
              <w:widowControl w:val="0"/>
              <w:rPr>
                <w:color w:val="auto"/>
                <w:sz w:val="21"/>
                <w:szCs w:val="21"/>
                <w:lang w:bidi="ar"/>
              </w:rPr>
            </w:pPr>
            <w:r>
              <w:rPr>
                <w:color w:val="auto"/>
                <w:sz w:val="21"/>
                <w:szCs w:val="21"/>
                <w:lang w:bidi="ar"/>
              </w:rPr>
              <w:t>丰探1</w:t>
            </w:r>
          </w:p>
        </w:tc>
        <w:tc>
          <w:tcPr>
            <w:tcW w:w="774" w:type="dxa"/>
            <w:tcBorders>
              <w:tl2br w:val="nil"/>
              <w:tr2bl w:val="nil"/>
            </w:tcBorders>
            <w:vAlign w:val="center"/>
          </w:tcPr>
          <w:p>
            <w:pPr>
              <w:pStyle w:val="17"/>
              <w:widowControl w:val="0"/>
              <w:rPr>
                <w:color w:val="auto"/>
                <w:sz w:val="21"/>
                <w:szCs w:val="21"/>
                <w:lang w:bidi="ar"/>
              </w:rPr>
            </w:pPr>
            <w:r>
              <w:rPr>
                <w:bCs/>
                <w:color w:val="auto"/>
                <w:sz w:val="21"/>
                <w:szCs w:val="21"/>
                <w:lang w:bidi="ar"/>
              </w:rPr>
              <w:t>0.868</w:t>
            </w:r>
          </w:p>
        </w:tc>
        <w:tc>
          <w:tcPr>
            <w:tcW w:w="892" w:type="dxa"/>
            <w:tcBorders>
              <w:tl2br w:val="nil"/>
              <w:tr2bl w:val="nil"/>
            </w:tcBorders>
            <w:vAlign w:val="center"/>
          </w:tcPr>
          <w:p>
            <w:pPr>
              <w:pStyle w:val="17"/>
              <w:widowControl w:val="0"/>
              <w:rPr>
                <w:color w:val="auto"/>
                <w:sz w:val="21"/>
                <w:szCs w:val="21"/>
                <w:lang w:bidi="ar"/>
              </w:rPr>
            </w:pPr>
            <w:r>
              <w:rPr>
                <w:bCs/>
                <w:color w:val="auto"/>
                <w:sz w:val="21"/>
                <w:szCs w:val="21"/>
                <w:lang w:bidi="ar"/>
              </w:rPr>
              <w:t>21.04</w:t>
            </w:r>
          </w:p>
        </w:tc>
        <w:tc>
          <w:tcPr>
            <w:tcW w:w="763" w:type="dxa"/>
            <w:tcBorders>
              <w:tl2br w:val="nil"/>
              <w:tr2bl w:val="nil"/>
            </w:tcBorders>
            <w:vAlign w:val="center"/>
          </w:tcPr>
          <w:p>
            <w:pPr>
              <w:pStyle w:val="17"/>
              <w:widowControl w:val="0"/>
              <w:rPr>
                <w:color w:val="auto"/>
                <w:sz w:val="21"/>
                <w:szCs w:val="21"/>
                <w:lang w:bidi="ar"/>
              </w:rPr>
            </w:pPr>
            <w:r>
              <w:rPr>
                <w:bCs/>
                <w:color w:val="auto"/>
                <w:sz w:val="21"/>
                <w:szCs w:val="21"/>
                <w:lang w:bidi="ar"/>
              </w:rPr>
              <w:t>-0.27</w:t>
            </w:r>
          </w:p>
        </w:tc>
        <w:tc>
          <w:tcPr>
            <w:tcW w:w="795" w:type="dxa"/>
            <w:tcBorders>
              <w:tl2br w:val="nil"/>
              <w:tr2bl w:val="nil"/>
            </w:tcBorders>
            <w:vAlign w:val="center"/>
          </w:tcPr>
          <w:p>
            <w:pPr>
              <w:pStyle w:val="17"/>
              <w:widowControl w:val="0"/>
              <w:rPr>
                <w:color w:val="auto"/>
                <w:sz w:val="21"/>
                <w:szCs w:val="21"/>
                <w:lang w:bidi="ar"/>
              </w:rPr>
            </w:pPr>
            <w:r>
              <w:rPr>
                <w:bCs/>
                <w:color w:val="auto"/>
                <w:sz w:val="21"/>
                <w:szCs w:val="21"/>
                <w:lang w:bidi="ar"/>
              </w:rPr>
              <w:t>167.36</w:t>
            </w:r>
          </w:p>
        </w:tc>
        <w:tc>
          <w:tcPr>
            <w:tcW w:w="748" w:type="dxa"/>
            <w:tcBorders>
              <w:tl2br w:val="nil"/>
              <w:tr2bl w:val="nil"/>
            </w:tcBorders>
            <w:vAlign w:val="center"/>
          </w:tcPr>
          <w:p>
            <w:pPr>
              <w:pStyle w:val="17"/>
              <w:widowControl w:val="0"/>
              <w:rPr>
                <w:color w:val="auto"/>
                <w:sz w:val="21"/>
                <w:szCs w:val="21"/>
                <w:lang w:bidi="ar"/>
              </w:rPr>
            </w:pPr>
            <w:r>
              <w:rPr>
                <w:bCs/>
                <w:color w:val="auto"/>
                <w:sz w:val="21"/>
                <w:szCs w:val="21"/>
                <w:lang w:bidi="ar"/>
              </w:rPr>
              <w:t>5.64</w:t>
            </w:r>
          </w:p>
        </w:tc>
        <w:tc>
          <w:tcPr>
            <w:tcW w:w="775" w:type="dxa"/>
            <w:tcBorders>
              <w:tl2br w:val="nil"/>
              <w:tr2bl w:val="nil"/>
            </w:tcBorders>
            <w:vAlign w:val="center"/>
          </w:tcPr>
          <w:p>
            <w:pPr>
              <w:pStyle w:val="17"/>
              <w:widowControl w:val="0"/>
              <w:rPr>
                <w:color w:val="auto"/>
                <w:sz w:val="21"/>
                <w:szCs w:val="21"/>
                <w:lang w:bidi="ar"/>
              </w:rPr>
            </w:pPr>
            <w:r>
              <w:rPr>
                <w:bCs/>
                <w:color w:val="auto"/>
                <w:sz w:val="21"/>
                <w:szCs w:val="21"/>
                <w:lang w:bidi="ar"/>
              </w:rPr>
              <w:t>0.742</w:t>
            </w:r>
          </w:p>
        </w:tc>
        <w:tc>
          <w:tcPr>
            <w:tcW w:w="779" w:type="dxa"/>
            <w:tcBorders>
              <w:tl2br w:val="nil"/>
              <w:tr2bl w:val="nil"/>
            </w:tcBorders>
            <w:vAlign w:val="center"/>
          </w:tcPr>
          <w:p>
            <w:pPr>
              <w:pStyle w:val="17"/>
              <w:widowControl w:val="0"/>
              <w:rPr>
                <w:color w:val="auto"/>
                <w:sz w:val="21"/>
                <w:szCs w:val="21"/>
                <w:lang w:bidi="ar"/>
              </w:rPr>
            </w:pPr>
            <w:r>
              <w:rPr>
                <w:bCs/>
                <w:color w:val="auto"/>
                <w:sz w:val="21"/>
                <w:szCs w:val="21"/>
                <w:lang w:bidi="ar"/>
              </w:rPr>
              <w:t>3.90</w:t>
            </w:r>
          </w:p>
        </w:tc>
        <w:tc>
          <w:tcPr>
            <w:tcW w:w="779" w:type="dxa"/>
            <w:tcBorders>
              <w:tl2br w:val="nil"/>
              <w:tr2bl w:val="nil"/>
            </w:tcBorders>
            <w:vAlign w:val="center"/>
          </w:tcPr>
          <w:p>
            <w:pPr>
              <w:pStyle w:val="17"/>
              <w:widowControl w:val="0"/>
              <w:rPr>
                <w:color w:val="auto"/>
                <w:sz w:val="21"/>
                <w:szCs w:val="21"/>
                <w:lang w:bidi="ar"/>
              </w:rPr>
            </w:pPr>
            <w:r>
              <w:rPr>
                <w:bCs/>
                <w:color w:val="auto"/>
                <w:sz w:val="21"/>
                <w:szCs w:val="21"/>
                <w:lang w:bidi="ar"/>
              </w:rPr>
              <w:t>2.88</w:t>
            </w:r>
          </w:p>
        </w:tc>
        <w:tc>
          <w:tcPr>
            <w:tcW w:w="795" w:type="dxa"/>
            <w:tcBorders>
              <w:tl2br w:val="nil"/>
              <w:tr2bl w:val="nil"/>
            </w:tcBorders>
            <w:vAlign w:val="center"/>
          </w:tcPr>
          <w:p>
            <w:pPr>
              <w:pStyle w:val="17"/>
              <w:widowControl w:val="0"/>
              <w:rPr>
                <w:color w:val="auto"/>
                <w:sz w:val="21"/>
                <w:szCs w:val="21"/>
                <w:lang w:bidi="ar"/>
              </w:rPr>
            </w:pPr>
            <w:r>
              <w:rPr>
                <w:bCs/>
                <w:color w:val="auto"/>
                <w:sz w:val="21"/>
                <w:szCs w:val="21"/>
                <w:lang w:bidi="ar"/>
              </w:rPr>
              <w:t>1.2557</w:t>
            </w:r>
          </w:p>
        </w:tc>
        <w:tc>
          <w:tcPr>
            <w:tcW w:w="988" w:type="dxa"/>
            <w:tcBorders>
              <w:tl2br w:val="nil"/>
              <w:tr2bl w:val="nil"/>
            </w:tcBorders>
            <w:vAlign w:val="center"/>
          </w:tcPr>
          <w:p>
            <w:pPr>
              <w:pStyle w:val="17"/>
              <w:widowControl w:val="0"/>
              <w:rPr>
                <w:color w:val="auto"/>
                <w:sz w:val="21"/>
                <w:szCs w:val="21"/>
                <w:lang w:bidi="ar"/>
              </w:rPr>
            </w:pPr>
            <w:r>
              <w:rPr>
                <w:bCs/>
                <w:color w:val="auto"/>
                <w:sz w:val="21"/>
                <w:szCs w:val="21"/>
                <w:lang w:bidi="ar"/>
              </w:rPr>
              <w:t>57.0</w:t>
            </w:r>
          </w:p>
        </w:tc>
      </w:tr>
    </w:tbl>
    <w:p>
      <w:pPr>
        <w:pStyle w:val="57"/>
        <w:keepNext w:val="0"/>
        <w:keepLines w:val="0"/>
        <w:pageBreakBefore w:val="0"/>
        <w:kinsoku/>
        <w:wordWrap/>
        <w:overflowPunct/>
        <w:topLinePunct w:val="0"/>
        <w:autoSpaceDE/>
        <w:autoSpaceDN/>
        <w:bidi w:val="0"/>
        <w:adjustRightInd/>
        <w:snapToGrid/>
        <w:spacing w:line="480" w:lineRule="exact"/>
        <w:ind w:left="0" w:leftChars="0" w:firstLine="480" w:firstLineChars="200"/>
        <w:rPr>
          <w:color w:val="auto"/>
          <w:highlight w:val="none"/>
        </w:rPr>
      </w:pPr>
      <w:r>
        <w:rPr>
          <w:rFonts w:hint="eastAsia"/>
          <w:color w:val="auto"/>
          <w:highlight w:val="none"/>
        </w:rPr>
        <w:t>（</w:t>
      </w:r>
      <w:r>
        <w:rPr>
          <w:rFonts w:hint="eastAsia"/>
          <w:color w:val="auto"/>
          <w:highlight w:val="none"/>
          <w:lang w:val="en-US" w:eastAsia="zh-CN"/>
        </w:rPr>
        <w:t>2</w:t>
      </w:r>
      <w:r>
        <w:rPr>
          <w:rFonts w:hint="eastAsia"/>
          <w:color w:val="auto"/>
          <w:highlight w:val="none"/>
        </w:rPr>
        <w:t>）天然气性质</w:t>
      </w:r>
    </w:p>
    <w:p>
      <w:pPr>
        <w:pStyle w:val="57"/>
        <w:keepNext w:val="0"/>
        <w:keepLines w:val="0"/>
        <w:pageBreakBefore w:val="0"/>
        <w:kinsoku/>
        <w:wordWrap/>
        <w:overflowPunct/>
        <w:topLinePunct w:val="0"/>
        <w:autoSpaceDE/>
        <w:autoSpaceDN/>
        <w:bidi w:val="0"/>
        <w:adjustRightInd/>
        <w:snapToGrid/>
        <w:spacing w:line="480" w:lineRule="exact"/>
        <w:rPr>
          <w:rFonts w:hint="eastAsia"/>
          <w:color w:val="auto"/>
          <w:highlight w:val="none"/>
        </w:rPr>
      </w:pPr>
      <w:r>
        <w:rPr>
          <w:rFonts w:hint="eastAsia"/>
          <w:color w:val="auto"/>
          <w:highlight w:val="none"/>
        </w:rPr>
        <w:t>丰探1井区风二段天然气相对密度平均为0.774，甲烷平均含量73.24%，乙烷平均含量13.26%，丙烷平均含量6.54%，氮平均含量1.76%，无H</w:t>
      </w:r>
      <w:r>
        <w:rPr>
          <w:rFonts w:hint="eastAsia"/>
          <w:color w:val="auto"/>
          <w:highlight w:val="none"/>
          <w:vertAlign w:val="subscript"/>
        </w:rPr>
        <w:t>2</w:t>
      </w:r>
      <w:r>
        <w:rPr>
          <w:rFonts w:hint="eastAsia"/>
          <w:color w:val="auto"/>
          <w:highlight w:val="none"/>
        </w:rPr>
        <w:t>S。</w:t>
      </w:r>
    </w:p>
    <w:p>
      <w:pPr>
        <w:pStyle w:val="54"/>
        <w:keepNext w:val="0"/>
        <w:keepLines w:val="0"/>
        <w:pageBreakBefore w:val="0"/>
        <w:kinsoku/>
        <w:wordWrap/>
        <w:overflowPunct/>
        <w:topLinePunct w:val="0"/>
        <w:autoSpaceDE/>
        <w:autoSpaceDN/>
        <w:bidi w:val="0"/>
        <w:adjustRightInd/>
        <w:snapToGrid/>
        <w:spacing w:line="480" w:lineRule="exact"/>
        <w:ind w:firstLine="482"/>
        <w:rPr>
          <w:rFonts w:hint="eastAsia" w:cs="Times New Roman"/>
          <w:color w:val="auto"/>
          <w:highlight w:val="none"/>
        </w:rPr>
      </w:pPr>
      <w:r>
        <w:rPr>
          <w:rFonts w:hint="eastAsia" w:cs="Times New Roman"/>
          <w:color w:val="auto"/>
          <w:highlight w:val="none"/>
        </w:rPr>
        <w:t>表</w:t>
      </w:r>
      <w:r>
        <w:rPr>
          <w:rFonts w:hint="eastAsia"/>
          <w:color w:val="auto"/>
          <w:highlight w:val="none"/>
        </w:rPr>
        <w:t>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2</w:t>
      </w:r>
      <w:r>
        <w:rPr>
          <w:rFonts w:hint="eastAsia" w:cs="Times New Roman"/>
          <w:color w:val="auto"/>
          <w:highlight w:val="none"/>
        </w:rPr>
        <w:t xml:space="preserve">  玛51X-丰探1井区风城组天然气性质数据表</w:t>
      </w:r>
    </w:p>
    <w:tbl>
      <w:tblPr>
        <w:tblStyle w:val="34"/>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Layout w:type="autofit"/>
        <w:tblCellMar>
          <w:top w:w="0" w:type="dxa"/>
          <w:left w:w="0" w:type="dxa"/>
          <w:bottom w:w="0" w:type="dxa"/>
          <w:right w:w="0" w:type="dxa"/>
        </w:tblCellMar>
      </w:tblPr>
      <w:tblGrid>
        <w:gridCol w:w="938"/>
        <w:gridCol w:w="811"/>
        <w:gridCol w:w="609"/>
        <w:gridCol w:w="787"/>
        <w:gridCol w:w="785"/>
        <w:gridCol w:w="785"/>
        <w:gridCol w:w="785"/>
        <w:gridCol w:w="785"/>
        <w:gridCol w:w="786"/>
        <w:gridCol w:w="909"/>
        <w:gridCol w:w="6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397" w:hRule="atLeast"/>
        </w:trPr>
        <w:tc>
          <w:tcPr>
            <w:tcW w:w="542" w:type="pct"/>
            <w:vMerge w:val="restart"/>
            <w:tcBorders>
              <w:top w:val="single" w:color="000000" w:sz="12" w:space="0"/>
              <w:left w:val="single" w:color="000000" w:sz="12"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层位</w:t>
            </w:r>
          </w:p>
        </w:tc>
        <w:tc>
          <w:tcPr>
            <w:tcW w:w="469" w:type="pct"/>
            <w:vMerge w:val="restart"/>
            <w:tcBorders>
              <w:top w:val="single" w:color="000000" w:sz="12"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相对</w:t>
            </w:r>
          </w:p>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密度</w:t>
            </w:r>
          </w:p>
        </w:tc>
        <w:tc>
          <w:tcPr>
            <w:tcW w:w="3987" w:type="pct"/>
            <w:gridSpan w:val="9"/>
            <w:tcBorders>
              <w:top w:val="single" w:color="000000" w:sz="12" w:space="0"/>
              <w:left w:val="single" w:color="000000" w:sz="8" w:space="0"/>
              <w:bottom w:val="single" w:color="000000" w:sz="8" w:space="0"/>
              <w:right w:val="single" w:color="000000" w:sz="12"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天 然 气 组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42" w:type="pct"/>
            <w:vMerge w:val="continue"/>
            <w:tcBorders>
              <w:top w:val="single" w:color="000000" w:sz="8" w:space="0"/>
              <w:left w:val="single" w:color="000000" w:sz="12" w:space="0"/>
              <w:bottom w:val="single" w:color="000000" w:sz="8" w:space="0"/>
              <w:right w:val="single" w:color="000000" w:sz="8" w:space="0"/>
            </w:tcBorders>
            <w:shd w:val="clear" w:color="auto" w:fill="FFFFFF" w:themeFill="background1"/>
            <w:vAlign w:val="center"/>
          </w:tcPr>
          <w:p>
            <w:pPr>
              <w:rPr>
                <w:color w:val="auto"/>
                <w:szCs w:val="21"/>
              </w:rPr>
            </w:pPr>
          </w:p>
        </w:tc>
        <w:tc>
          <w:tcPr>
            <w:tcW w:w="469" w:type="pct"/>
            <w:vMerge w:val="continue"/>
            <w:tcBorders>
              <w:top w:val="single" w:color="000000" w:sz="8" w:space="0"/>
              <w:left w:val="single" w:color="000000" w:sz="8" w:space="0"/>
              <w:bottom w:val="single" w:color="000000" w:sz="8" w:space="0"/>
              <w:right w:val="single" w:color="000000" w:sz="8" w:space="0"/>
            </w:tcBorders>
            <w:shd w:val="clear" w:color="auto" w:fill="FFFFFF" w:themeFill="background1"/>
            <w:vAlign w:val="center"/>
          </w:tcPr>
          <w:p>
            <w:pPr>
              <w:rPr>
                <w:color w:val="auto"/>
                <w:szCs w:val="21"/>
              </w:rPr>
            </w:pPr>
          </w:p>
        </w:tc>
        <w:tc>
          <w:tcPr>
            <w:tcW w:w="352"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甲烷</w:t>
            </w:r>
          </w:p>
        </w:tc>
        <w:tc>
          <w:tcPr>
            <w:tcW w:w="455"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乙烷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丙烷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异丁烷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正丁烷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异戊烷</w:t>
            </w:r>
          </w:p>
        </w:tc>
        <w:tc>
          <w:tcPr>
            <w:tcW w:w="454"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正戊烷</w:t>
            </w:r>
          </w:p>
        </w:tc>
        <w:tc>
          <w:tcPr>
            <w:tcW w:w="525" w:type="pct"/>
            <w:tcBorders>
              <w:top w:val="single" w:color="000000" w:sz="8" w:space="0"/>
              <w:left w:val="single" w:color="000000" w:sz="8" w:space="0"/>
              <w:bottom w:val="single" w:color="000000" w:sz="8"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二氧化碳</w:t>
            </w:r>
          </w:p>
        </w:tc>
        <w:tc>
          <w:tcPr>
            <w:tcW w:w="385" w:type="pct"/>
            <w:tcBorders>
              <w:top w:val="single" w:color="000000" w:sz="8" w:space="0"/>
              <w:left w:val="single" w:color="000000" w:sz="8" w:space="0"/>
              <w:bottom w:val="single" w:color="000000" w:sz="8" w:space="0"/>
              <w:right w:val="single" w:color="000000" w:sz="12"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shd w:val="clear" w:color="auto" w:fill="FFFFFF" w:themeFill="background1"/>
          <w:tblCellMar>
            <w:top w:w="0" w:type="dxa"/>
            <w:left w:w="0" w:type="dxa"/>
            <w:bottom w:w="0" w:type="dxa"/>
            <w:right w:w="0" w:type="dxa"/>
          </w:tblCellMar>
        </w:tblPrEx>
        <w:trPr>
          <w:trHeight w:val="397" w:hRule="atLeast"/>
        </w:trPr>
        <w:tc>
          <w:tcPr>
            <w:tcW w:w="542" w:type="pct"/>
            <w:tcBorders>
              <w:top w:val="single" w:color="000000" w:sz="8" w:space="0"/>
              <w:left w:val="single" w:color="000000" w:sz="12" w:space="0"/>
              <w:bottom w:val="single" w:color="000000" w:sz="12" w:space="0"/>
              <w:right w:val="single" w:color="000000" w:sz="8" w:space="0"/>
            </w:tcBorders>
            <w:shd w:val="clear" w:color="auto" w:fill="FFFFFF" w:themeFill="background1"/>
            <w:tcMar>
              <w:top w:w="15" w:type="dxa"/>
              <w:left w:w="108" w:type="dxa"/>
              <w:bottom w:w="0" w:type="dxa"/>
              <w:right w:w="108"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color w:val="auto"/>
                <w:kern w:val="24"/>
                <w:sz w:val="21"/>
                <w:szCs w:val="21"/>
              </w:rPr>
              <w:t>丰探1</w:t>
            </w:r>
          </w:p>
        </w:tc>
        <w:tc>
          <w:tcPr>
            <w:tcW w:w="469"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0.774</w:t>
            </w:r>
          </w:p>
        </w:tc>
        <w:tc>
          <w:tcPr>
            <w:tcW w:w="352"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73.24</w:t>
            </w:r>
          </w:p>
        </w:tc>
        <w:tc>
          <w:tcPr>
            <w:tcW w:w="455"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13.26</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6.54</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1.19</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2.24</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0.55</w:t>
            </w:r>
          </w:p>
        </w:tc>
        <w:tc>
          <w:tcPr>
            <w:tcW w:w="454"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1.06</w:t>
            </w:r>
          </w:p>
        </w:tc>
        <w:tc>
          <w:tcPr>
            <w:tcW w:w="525" w:type="pct"/>
            <w:tcBorders>
              <w:top w:val="single" w:color="000000" w:sz="8" w:space="0"/>
              <w:left w:val="single" w:color="000000" w:sz="8" w:space="0"/>
              <w:bottom w:val="single" w:color="000000" w:sz="12" w:space="0"/>
              <w:right w:val="single" w:color="000000" w:sz="8"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0.18</w:t>
            </w:r>
          </w:p>
        </w:tc>
        <w:tc>
          <w:tcPr>
            <w:tcW w:w="385" w:type="pct"/>
            <w:tcBorders>
              <w:top w:val="single" w:color="000000" w:sz="8" w:space="0"/>
              <w:left w:val="single" w:color="000000" w:sz="8" w:space="0"/>
              <w:bottom w:val="single" w:color="000000" w:sz="12" w:space="0"/>
              <w:right w:val="single" w:color="000000" w:sz="12" w:space="0"/>
            </w:tcBorders>
            <w:shd w:val="clear" w:color="auto" w:fill="FFFFFF" w:themeFill="background1"/>
            <w:tcMar>
              <w:top w:w="14" w:type="dxa"/>
              <w:left w:w="14" w:type="dxa"/>
              <w:bottom w:w="0" w:type="dxa"/>
              <w:right w:w="14" w:type="dxa"/>
            </w:tcMar>
            <w:vAlign w:val="center"/>
          </w:tcPr>
          <w:p>
            <w:pPr>
              <w:pStyle w:val="31"/>
              <w:spacing w:before="0" w:beforeAutospacing="0" w:after="0" w:afterAutospacing="0"/>
              <w:jc w:val="center"/>
              <w:textAlignment w:val="center"/>
              <w:rPr>
                <w:rFonts w:ascii="Times New Roman" w:hAnsi="Times New Roman" w:cs="Times New Roman"/>
                <w:color w:val="auto"/>
                <w:sz w:val="21"/>
                <w:szCs w:val="21"/>
              </w:rPr>
            </w:pPr>
            <w:r>
              <w:rPr>
                <w:rFonts w:ascii="Times New Roman" w:hAnsi="Times New Roman" w:cs="Times New Roman"/>
                <w:bCs/>
                <w:color w:val="auto"/>
                <w:kern w:val="24"/>
                <w:sz w:val="21"/>
                <w:szCs w:val="21"/>
              </w:rPr>
              <w:t>1.76</w:t>
            </w:r>
          </w:p>
        </w:tc>
      </w:tr>
    </w:tbl>
    <w:p>
      <w:pPr>
        <w:pStyle w:val="57"/>
        <w:keepNext w:val="0"/>
        <w:keepLines w:val="0"/>
        <w:pageBreakBefore w:val="0"/>
        <w:kinsoku/>
        <w:wordWrap/>
        <w:overflowPunct/>
        <w:topLinePunct w:val="0"/>
        <w:autoSpaceDE/>
        <w:autoSpaceDN/>
        <w:bidi w:val="0"/>
        <w:adjustRightInd/>
        <w:snapToGrid/>
        <w:spacing w:line="480" w:lineRule="exact"/>
        <w:ind w:left="0" w:leftChars="0" w:firstLine="480" w:firstLineChars="200"/>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）地层水性质</w:t>
      </w:r>
    </w:p>
    <w:p>
      <w:pPr>
        <w:pStyle w:val="57"/>
        <w:keepNext w:val="0"/>
        <w:keepLines w:val="0"/>
        <w:pageBreakBefore w:val="0"/>
        <w:kinsoku/>
        <w:wordWrap/>
        <w:overflowPunct/>
        <w:topLinePunct w:val="0"/>
        <w:autoSpaceDE/>
        <w:autoSpaceDN/>
        <w:bidi w:val="0"/>
        <w:adjustRightInd/>
        <w:snapToGrid/>
        <w:spacing w:line="480" w:lineRule="exact"/>
        <w:rPr>
          <w:rFonts w:hint="eastAsia"/>
          <w:color w:val="auto"/>
          <w:highlight w:val="none"/>
          <w:lang w:val="en-US" w:eastAsia="zh-CN"/>
        </w:rPr>
      </w:pPr>
      <w:r>
        <w:rPr>
          <w:rFonts w:hint="eastAsia"/>
          <w:color w:val="auto"/>
          <w:highlight w:val="none"/>
        </w:rPr>
        <w:t>丰探1井区</w:t>
      </w:r>
      <w:r>
        <w:rPr>
          <w:snapToGrid w:val="0"/>
          <w:color w:val="auto"/>
          <w:spacing w:val="-4"/>
          <w:kern w:val="0"/>
          <w:sz w:val="24"/>
        </w:rPr>
        <w:t>风城组二段水型以NaHCO</w:t>
      </w:r>
      <w:r>
        <w:rPr>
          <w:snapToGrid w:val="0"/>
          <w:color w:val="auto"/>
          <w:spacing w:val="-4"/>
          <w:kern w:val="0"/>
          <w:sz w:val="24"/>
          <w:vertAlign w:val="subscript"/>
        </w:rPr>
        <w:t>3</w:t>
      </w:r>
      <w:r>
        <w:rPr>
          <w:snapToGrid w:val="0"/>
          <w:color w:val="auto"/>
          <w:spacing w:val="-4"/>
          <w:kern w:val="0"/>
          <w:sz w:val="24"/>
        </w:rPr>
        <w:t>为主</w:t>
      </w:r>
      <w:r>
        <w:rPr>
          <w:rFonts w:hint="eastAsia"/>
          <w:snapToGrid w:val="0"/>
          <w:color w:val="auto"/>
          <w:spacing w:val="-4"/>
          <w:kern w:val="0"/>
          <w:sz w:val="24"/>
          <w:lang w:eastAsia="zh-CN"/>
        </w:rPr>
        <w:t>，</w:t>
      </w:r>
      <w:r>
        <w:rPr>
          <w:rFonts w:hint="eastAsia"/>
          <w:color w:val="auto"/>
          <w:highlight w:val="none"/>
        </w:rPr>
        <w:t>密度平均</w:t>
      </w:r>
      <w:r>
        <w:rPr>
          <w:rFonts w:hint="eastAsia"/>
          <w:color w:val="auto"/>
          <w:highlight w:val="none"/>
          <w:lang w:val="en-US" w:eastAsia="zh-CN"/>
        </w:rPr>
        <w:t>1.101</w:t>
      </w:r>
      <w:r>
        <w:rPr>
          <w:rFonts w:hint="eastAsia"/>
          <w:color w:val="auto"/>
          <w:highlight w:val="none"/>
        </w:rPr>
        <w:t>g/cm</w:t>
      </w:r>
      <w:r>
        <w:rPr>
          <w:rFonts w:hint="eastAsia"/>
          <w:color w:val="auto"/>
          <w:highlight w:val="none"/>
          <w:vertAlign w:val="superscript"/>
        </w:rPr>
        <w:t>3</w:t>
      </w:r>
      <w:r>
        <w:rPr>
          <w:rFonts w:hint="eastAsia"/>
          <w:color w:val="auto"/>
          <w:highlight w:val="none"/>
          <w:vertAlign w:val="baseline"/>
          <w:lang w:eastAsia="zh-CN"/>
        </w:rPr>
        <w:t>，</w:t>
      </w:r>
      <w:r>
        <w:rPr>
          <w:snapToGrid w:val="0"/>
          <w:color w:val="auto"/>
          <w:spacing w:val="-4"/>
          <w:kern w:val="0"/>
          <w:sz w:val="24"/>
        </w:rPr>
        <w:t>地层水矿化度为8306</w:t>
      </w:r>
      <w:r>
        <w:rPr>
          <w:rFonts w:hint="eastAsia"/>
          <w:snapToGrid w:val="0"/>
          <w:color w:val="auto"/>
          <w:spacing w:val="-4"/>
          <w:kern w:val="0"/>
          <w:sz w:val="24"/>
        </w:rPr>
        <w:t>.0</w:t>
      </w:r>
      <w:r>
        <w:rPr>
          <w:color w:val="auto"/>
          <w:kern w:val="24"/>
          <w:sz w:val="24"/>
        </w:rPr>
        <w:t>mg/L</w:t>
      </w:r>
      <w:r>
        <w:rPr>
          <w:rFonts w:hint="eastAsia"/>
          <w:color w:val="auto"/>
          <w:kern w:val="24"/>
          <w:sz w:val="24"/>
          <w:lang w:eastAsia="zh-CN"/>
        </w:rPr>
        <w:t>，</w:t>
      </w:r>
      <w:r>
        <w:rPr>
          <w:rFonts w:hint="eastAsia"/>
          <w:color w:val="auto"/>
          <w:highlight w:val="none"/>
        </w:rPr>
        <w:t>氯根平均</w:t>
      </w:r>
      <w:r>
        <w:rPr>
          <w:rFonts w:hint="eastAsia"/>
          <w:color w:val="auto"/>
          <w:highlight w:val="none"/>
          <w:lang w:val="en-US" w:eastAsia="zh-CN"/>
        </w:rPr>
        <w:t>3390.72</w:t>
      </w:r>
      <w:r>
        <w:rPr>
          <w:rFonts w:hint="eastAsia"/>
          <w:color w:val="auto"/>
          <w:highlight w:val="none"/>
        </w:rPr>
        <w:t>mg/L</w:t>
      </w:r>
      <w:r>
        <w:rPr>
          <w:rFonts w:hint="eastAsia"/>
          <w:color w:val="auto"/>
          <w:highlight w:val="none"/>
          <w:lang w:val="en-US" w:eastAsia="zh-CN"/>
        </w:rPr>
        <w:t>。</w:t>
      </w:r>
    </w:p>
    <w:p>
      <w:pPr>
        <w:pStyle w:val="54"/>
        <w:keepNext w:val="0"/>
        <w:keepLines w:val="0"/>
        <w:pageBreakBefore w:val="0"/>
        <w:kinsoku/>
        <w:wordWrap/>
        <w:overflowPunct/>
        <w:topLinePunct w:val="0"/>
        <w:autoSpaceDE/>
        <w:autoSpaceDN/>
        <w:bidi w:val="0"/>
        <w:adjustRightInd/>
        <w:snapToGrid/>
        <w:spacing w:line="480" w:lineRule="exact"/>
        <w:ind w:firstLine="482"/>
        <w:rPr>
          <w:rFonts w:hint="eastAsia" w:cs="Times New Roman"/>
          <w:color w:val="auto"/>
          <w:highlight w:val="none"/>
        </w:rPr>
      </w:pPr>
      <w:r>
        <w:rPr>
          <w:rFonts w:hint="eastAsia" w:cs="Times New Roman"/>
          <w:color w:val="auto"/>
          <w:highlight w:val="none"/>
        </w:rPr>
        <w:t>表</w:t>
      </w:r>
      <w:r>
        <w:rPr>
          <w:rFonts w:hint="eastAsia"/>
          <w:color w:val="auto"/>
          <w:highlight w:val="none"/>
        </w:rPr>
        <w:t>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3</w:t>
      </w:r>
      <w:r>
        <w:rPr>
          <w:rFonts w:hint="eastAsia" w:cs="Times New Roman"/>
          <w:color w:val="auto"/>
          <w:highlight w:val="none"/>
        </w:rPr>
        <w:t xml:space="preserve"> 丰探1井区块二叠系风城组P1f2油藏地层水性质表</w:t>
      </w:r>
    </w:p>
    <w:tbl>
      <w:tblPr>
        <w:tblStyle w:val="34"/>
        <w:tblW w:w="8278" w:type="dxa"/>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0" w:type="dxa"/>
          <w:bottom w:w="0" w:type="dxa"/>
          <w:right w:w="0" w:type="dxa"/>
        </w:tblCellMar>
      </w:tblPr>
      <w:tblGrid>
        <w:gridCol w:w="578"/>
        <w:gridCol w:w="689"/>
        <w:gridCol w:w="747"/>
        <w:gridCol w:w="526"/>
        <w:gridCol w:w="526"/>
        <w:gridCol w:w="747"/>
        <w:gridCol w:w="747"/>
        <w:gridCol w:w="527"/>
        <w:gridCol w:w="747"/>
        <w:gridCol w:w="1615"/>
        <w:gridCol w:w="82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0" w:type="auto"/>
            <w:gridSpan w:val="2"/>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物理性质</w:t>
            </w:r>
          </w:p>
        </w:tc>
        <w:tc>
          <w:tcPr>
            <w:tcW w:w="0" w:type="auto"/>
            <w:gridSpan w:val="7"/>
            <w:tcBorders>
              <w:tl2br w:val="nil"/>
              <w:tr2bl w:val="nil"/>
            </w:tcBorders>
            <w:tcMar>
              <w:top w:w="13" w:type="dxa"/>
              <w:left w:w="13" w:type="dxa"/>
              <w:bottom w:w="0" w:type="dxa"/>
              <w:right w:w="13" w:type="dxa"/>
            </w:tcMar>
            <w:vAlign w:val="center"/>
          </w:tcPr>
          <w:p>
            <w:pPr>
              <w:adjustRightInd w:val="0"/>
              <w:snapToGrid w:val="0"/>
              <w:ind w:firstLine="420" w:firstLineChars="200"/>
              <w:jc w:val="center"/>
              <w:rPr>
                <w:color w:val="auto"/>
                <w:kern w:val="0"/>
                <w:szCs w:val="21"/>
              </w:rPr>
            </w:pPr>
            <w:r>
              <w:rPr>
                <w:color w:val="auto"/>
                <w:kern w:val="0"/>
                <w:szCs w:val="21"/>
              </w:rPr>
              <w:t>化学性质</w:t>
            </w:r>
          </w:p>
        </w:tc>
        <w:tc>
          <w:tcPr>
            <w:tcW w:w="0" w:type="auto"/>
            <w:vMerge w:val="restart"/>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矿化度</w:t>
            </w:r>
            <w:r>
              <w:rPr>
                <w:rFonts w:hint="eastAsia"/>
                <w:color w:val="auto"/>
                <w:kern w:val="0"/>
                <w:szCs w:val="21"/>
                <w:lang w:eastAsia="zh-CN"/>
              </w:rPr>
              <w:t>（</w:t>
            </w:r>
            <w:r>
              <w:rPr>
                <w:color w:val="auto"/>
                <w:kern w:val="0"/>
                <w:szCs w:val="21"/>
              </w:rPr>
              <w:t>mg/L</w:t>
            </w:r>
            <w:r>
              <w:rPr>
                <w:rFonts w:hint="eastAsia"/>
                <w:color w:val="auto"/>
                <w:kern w:val="0"/>
                <w:szCs w:val="21"/>
                <w:lang w:eastAsia="zh-CN"/>
              </w:rPr>
              <w:t>）</w:t>
            </w:r>
          </w:p>
        </w:tc>
        <w:tc>
          <w:tcPr>
            <w:tcW w:w="0" w:type="auto"/>
            <w:vMerge w:val="restart"/>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水型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0" w:type="auto"/>
            <w:vMerge w:val="restart"/>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rFonts w:hint="eastAsia"/>
                <w:color w:val="auto"/>
                <w:kern w:val="0"/>
                <w:szCs w:val="21"/>
                <w:lang w:eastAsia="zh-CN"/>
              </w:rPr>
              <w:t>pH值</w:t>
            </w:r>
          </w:p>
        </w:tc>
        <w:tc>
          <w:tcPr>
            <w:tcW w:w="0" w:type="auto"/>
            <w:vMerge w:val="restart"/>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密度</w:t>
            </w:r>
            <w:r>
              <w:rPr>
                <w:color w:val="auto"/>
                <w:kern w:val="0"/>
                <w:szCs w:val="21"/>
              </w:rPr>
              <w:br w:type="textWrapping"/>
            </w:r>
            <w:r>
              <w:rPr>
                <w:color w:val="auto"/>
                <w:kern w:val="0"/>
                <w:szCs w:val="21"/>
              </w:rPr>
              <w:t>(g/cm</w:t>
            </w:r>
            <w:r>
              <w:rPr>
                <w:color w:val="auto"/>
                <w:kern w:val="0"/>
                <w:szCs w:val="21"/>
                <w:vertAlign w:val="superscript"/>
              </w:rPr>
              <w:t>3</w:t>
            </w:r>
            <w:r>
              <w:rPr>
                <w:color w:val="auto"/>
                <w:kern w:val="0"/>
                <w:szCs w:val="21"/>
              </w:rPr>
              <w:t>)</w:t>
            </w:r>
          </w:p>
        </w:tc>
        <w:tc>
          <w:tcPr>
            <w:tcW w:w="0" w:type="auto"/>
            <w:gridSpan w:val="3"/>
            <w:tcBorders>
              <w:tl2br w:val="nil"/>
              <w:tr2bl w:val="nil"/>
            </w:tcBorders>
            <w:tcMar>
              <w:top w:w="13" w:type="dxa"/>
              <w:left w:w="13" w:type="dxa"/>
              <w:bottom w:w="0" w:type="dxa"/>
              <w:right w:w="13" w:type="dxa"/>
            </w:tcMar>
            <w:vAlign w:val="center"/>
          </w:tcPr>
          <w:p>
            <w:pPr>
              <w:adjustRightInd w:val="0"/>
              <w:snapToGrid w:val="0"/>
              <w:ind w:firstLine="420" w:firstLineChars="200"/>
              <w:jc w:val="center"/>
              <w:rPr>
                <w:color w:val="auto"/>
                <w:kern w:val="0"/>
                <w:szCs w:val="21"/>
              </w:rPr>
            </w:pPr>
            <w:r>
              <w:rPr>
                <w:color w:val="auto"/>
                <w:kern w:val="0"/>
                <w:szCs w:val="21"/>
              </w:rPr>
              <w:t>阳离子</w:t>
            </w:r>
          </w:p>
        </w:tc>
        <w:tc>
          <w:tcPr>
            <w:tcW w:w="0" w:type="auto"/>
            <w:gridSpan w:val="4"/>
            <w:tcBorders>
              <w:tl2br w:val="nil"/>
              <w:tr2bl w:val="nil"/>
            </w:tcBorders>
            <w:tcMar>
              <w:top w:w="13" w:type="dxa"/>
              <w:left w:w="13" w:type="dxa"/>
              <w:bottom w:w="0" w:type="dxa"/>
              <w:right w:w="13" w:type="dxa"/>
            </w:tcMar>
            <w:vAlign w:val="center"/>
          </w:tcPr>
          <w:p>
            <w:pPr>
              <w:adjustRightInd w:val="0"/>
              <w:snapToGrid w:val="0"/>
              <w:ind w:firstLine="420" w:firstLineChars="200"/>
              <w:jc w:val="center"/>
              <w:rPr>
                <w:color w:val="auto"/>
                <w:kern w:val="0"/>
                <w:szCs w:val="21"/>
              </w:rPr>
            </w:pPr>
            <w:r>
              <w:rPr>
                <w:color w:val="auto"/>
                <w:kern w:val="0"/>
                <w:szCs w:val="21"/>
              </w:rPr>
              <w:t>阴离子</w:t>
            </w:r>
          </w:p>
        </w:tc>
        <w:tc>
          <w:tcPr>
            <w:tcW w:w="0" w:type="auto"/>
            <w:vMerge w:val="continue"/>
            <w:tcBorders>
              <w:tl2br w:val="nil"/>
              <w:tr2bl w:val="nil"/>
            </w:tcBorders>
            <w:vAlign w:val="center"/>
          </w:tcPr>
          <w:p>
            <w:pPr>
              <w:adjustRightInd w:val="0"/>
              <w:snapToGrid w:val="0"/>
              <w:ind w:firstLine="420" w:firstLineChars="200"/>
              <w:jc w:val="center"/>
              <w:rPr>
                <w:color w:val="auto"/>
                <w:kern w:val="0"/>
                <w:szCs w:val="21"/>
              </w:rPr>
            </w:pPr>
          </w:p>
        </w:tc>
        <w:tc>
          <w:tcPr>
            <w:tcW w:w="0" w:type="auto"/>
            <w:vMerge w:val="continue"/>
            <w:tcBorders>
              <w:tl2br w:val="nil"/>
              <w:tr2bl w:val="nil"/>
            </w:tcBorders>
            <w:vAlign w:val="center"/>
          </w:tcPr>
          <w:p>
            <w:pPr>
              <w:adjustRightInd w:val="0"/>
              <w:snapToGrid w:val="0"/>
              <w:ind w:firstLine="420" w:firstLineChars="200"/>
              <w:jc w:val="center"/>
              <w:rPr>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54" w:hRule="atLeast"/>
          <w:jc w:val="center"/>
        </w:trPr>
        <w:tc>
          <w:tcPr>
            <w:tcW w:w="0" w:type="auto"/>
            <w:vMerge w:val="continue"/>
            <w:tcBorders>
              <w:tl2br w:val="nil"/>
              <w:tr2bl w:val="nil"/>
            </w:tcBorders>
            <w:vAlign w:val="center"/>
          </w:tcPr>
          <w:p>
            <w:pPr>
              <w:adjustRightInd w:val="0"/>
              <w:snapToGrid w:val="0"/>
              <w:ind w:firstLine="420" w:firstLineChars="200"/>
              <w:jc w:val="center"/>
              <w:rPr>
                <w:color w:val="auto"/>
                <w:kern w:val="0"/>
                <w:szCs w:val="21"/>
              </w:rPr>
            </w:pPr>
          </w:p>
        </w:tc>
        <w:tc>
          <w:tcPr>
            <w:tcW w:w="0" w:type="auto"/>
            <w:vMerge w:val="continue"/>
            <w:tcBorders>
              <w:tl2br w:val="nil"/>
              <w:tr2bl w:val="nil"/>
            </w:tcBorders>
            <w:vAlign w:val="center"/>
          </w:tcPr>
          <w:p>
            <w:pPr>
              <w:adjustRightInd w:val="0"/>
              <w:snapToGrid w:val="0"/>
              <w:ind w:firstLine="420" w:firstLineChars="200"/>
              <w:jc w:val="center"/>
              <w:rPr>
                <w:color w:val="auto"/>
                <w:kern w:val="0"/>
                <w:szCs w:val="21"/>
              </w:rPr>
            </w:pP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K</w:t>
            </w:r>
            <w:r>
              <w:rPr>
                <w:color w:val="auto"/>
                <w:kern w:val="0"/>
                <w:szCs w:val="21"/>
                <w:vertAlign w:val="superscript"/>
              </w:rPr>
              <w:t>+</w:t>
            </w:r>
            <w:r>
              <w:rPr>
                <w:color w:val="auto"/>
                <w:kern w:val="0"/>
                <w:szCs w:val="21"/>
              </w:rPr>
              <w:t>+Na</w:t>
            </w:r>
            <w:r>
              <w:rPr>
                <w:color w:val="auto"/>
                <w:kern w:val="0"/>
                <w:szCs w:val="21"/>
                <w:vertAlign w:val="superscript"/>
              </w:rPr>
              <w:t>+</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Ca</w:t>
            </w:r>
            <w:r>
              <w:rPr>
                <w:color w:val="auto"/>
                <w:kern w:val="0"/>
                <w:szCs w:val="21"/>
                <w:vertAlign w:val="superscript"/>
              </w:rPr>
              <w:t>2+</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Mg</w:t>
            </w:r>
            <w:r>
              <w:rPr>
                <w:color w:val="auto"/>
                <w:kern w:val="0"/>
                <w:szCs w:val="21"/>
                <w:vertAlign w:val="superscript"/>
              </w:rPr>
              <w:t>2+</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CL</w:t>
            </w:r>
            <w:r>
              <w:rPr>
                <w:color w:val="auto"/>
                <w:kern w:val="0"/>
                <w:szCs w:val="21"/>
                <w:vertAlign w:val="superscript"/>
              </w:rPr>
              <w:t>-</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SO</w:t>
            </w:r>
            <w:r>
              <w:rPr>
                <w:color w:val="auto"/>
                <w:kern w:val="0"/>
                <w:szCs w:val="21"/>
                <w:vertAlign w:val="subscript"/>
              </w:rPr>
              <w:t>4</w:t>
            </w:r>
            <w:r>
              <w:rPr>
                <w:color w:val="auto"/>
                <w:kern w:val="0"/>
                <w:szCs w:val="21"/>
                <w:vertAlign w:val="superscript"/>
              </w:rPr>
              <w:t>2-</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CO</w:t>
            </w:r>
            <w:r>
              <w:rPr>
                <w:color w:val="auto"/>
                <w:kern w:val="0"/>
                <w:szCs w:val="21"/>
                <w:vertAlign w:val="subscript"/>
              </w:rPr>
              <w:t>3</w:t>
            </w:r>
            <w:r>
              <w:rPr>
                <w:color w:val="auto"/>
                <w:kern w:val="0"/>
                <w:szCs w:val="21"/>
                <w:vertAlign w:val="superscript"/>
              </w:rPr>
              <w:t>2-</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HCO</w:t>
            </w:r>
            <w:r>
              <w:rPr>
                <w:color w:val="auto"/>
                <w:kern w:val="0"/>
                <w:szCs w:val="21"/>
                <w:vertAlign w:val="subscript"/>
              </w:rPr>
              <w:t>3</w:t>
            </w:r>
            <w:r>
              <w:rPr>
                <w:color w:val="auto"/>
                <w:kern w:val="0"/>
                <w:szCs w:val="21"/>
                <w:vertAlign w:val="superscript"/>
              </w:rPr>
              <w:t>-</w:t>
            </w:r>
          </w:p>
        </w:tc>
        <w:tc>
          <w:tcPr>
            <w:tcW w:w="0" w:type="auto"/>
            <w:vMerge w:val="continue"/>
            <w:tcBorders>
              <w:tl2br w:val="nil"/>
              <w:tr2bl w:val="nil"/>
            </w:tcBorders>
            <w:vAlign w:val="center"/>
          </w:tcPr>
          <w:p>
            <w:pPr>
              <w:adjustRightInd w:val="0"/>
              <w:snapToGrid w:val="0"/>
              <w:ind w:firstLine="420" w:firstLineChars="200"/>
              <w:jc w:val="center"/>
              <w:rPr>
                <w:color w:val="auto"/>
                <w:kern w:val="0"/>
                <w:szCs w:val="21"/>
              </w:rPr>
            </w:pPr>
          </w:p>
        </w:tc>
        <w:tc>
          <w:tcPr>
            <w:tcW w:w="0" w:type="auto"/>
            <w:vMerge w:val="continue"/>
            <w:tcBorders>
              <w:tl2br w:val="nil"/>
              <w:tr2bl w:val="nil"/>
            </w:tcBorders>
            <w:vAlign w:val="center"/>
          </w:tcPr>
          <w:p>
            <w:pPr>
              <w:adjustRightInd w:val="0"/>
              <w:snapToGrid w:val="0"/>
              <w:ind w:firstLine="420" w:firstLineChars="200"/>
              <w:jc w:val="center"/>
              <w:rPr>
                <w:color w:val="auto"/>
                <w:kern w:val="0"/>
                <w:szCs w:val="21"/>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465" w:hRule="atLeast"/>
          <w:jc w:val="center"/>
        </w:trPr>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8.5</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1.108</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3120.64</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43.89</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18.59</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3390.72</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1095.41</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114.3</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1045.88</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8306</w:t>
            </w:r>
            <w:r>
              <w:rPr>
                <w:rFonts w:hint="eastAsia"/>
                <w:color w:val="auto"/>
                <w:kern w:val="0"/>
                <w:szCs w:val="21"/>
              </w:rPr>
              <w:t>.0</w:t>
            </w:r>
          </w:p>
        </w:tc>
        <w:tc>
          <w:tcPr>
            <w:tcW w:w="0" w:type="auto"/>
            <w:tcBorders>
              <w:tl2br w:val="nil"/>
              <w:tr2bl w:val="nil"/>
            </w:tcBorders>
            <w:tcMar>
              <w:top w:w="13" w:type="dxa"/>
              <w:left w:w="13" w:type="dxa"/>
              <w:bottom w:w="0" w:type="dxa"/>
              <w:right w:w="13" w:type="dxa"/>
            </w:tcMar>
            <w:vAlign w:val="center"/>
          </w:tcPr>
          <w:p>
            <w:pPr>
              <w:adjustRightInd w:val="0"/>
              <w:snapToGrid w:val="0"/>
              <w:jc w:val="center"/>
              <w:rPr>
                <w:color w:val="auto"/>
                <w:kern w:val="0"/>
                <w:szCs w:val="21"/>
              </w:rPr>
            </w:pPr>
            <w:r>
              <w:rPr>
                <w:color w:val="auto"/>
                <w:kern w:val="0"/>
                <w:szCs w:val="21"/>
              </w:rPr>
              <w:t>NaHCO</w:t>
            </w:r>
            <w:r>
              <w:rPr>
                <w:color w:val="auto"/>
                <w:kern w:val="0"/>
                <w:szCs w:val="21"/>
                <w:vertAlign w:val="subscript"/>
              </w:rPr>
              <w:t>3</w:t>
            </w:r>
          </w:p>
        </w:tc>
      </w:tr>
    </w:tbl>
    <w:p>
      <w:pPr>
        <w:pStyle w:val="53"/>
        <w:pageBreakBefore w:val="0"/>
        <w:kinsoku/>
        <w:wordWrap/>
        <w:overflowPunct/>
        <w:topLinePunct w:val="0"/>
        <w:autoSpaceDE/>
        <w:autoSpaceDN/>
        <w:bidi w:val="0"/>
        <w:spacing w:line="480" w:lineRule="exact"/>
        <w:rPr>
          <w:rFonts w:hAnsi="宋体" w:cs="宋体"/>
          <w:color w:val="auto"/>
          <w:sz w:val="25"/>
          <w:szCs w:val="25"/>
          <w:highlight w:val="none"/>
        </w:rPr>
      </w:pPr>
      <w:bookmarkStart w:id="279" w:name="_Toc27469"/>
      <w:bookmarkStart w:id="280" w:name="_Toc173941830"/>
      <w:r>
        <w:rPr>
          <w:color w:val="auto"/>
          <w:highlight w:val="none"/>
        </w:rPr>
        <w:t>3.</w:t>
      </w:r>
      <w:r>
        <w:rPr>
          <w:rFonts w:hint="eastAsia"/>
          <w:color w:val="auto"/>
          <w:highlight w:val="none"/>
          <w:lang w:val="en-US" w:eastAsia="zh-CN"/>
        </w:rPr>
        <w:t>2</w:t>
      </w:r>
      <w:r>
        <w:rPr>
          <w:color w:val="auto"/>
          <w:highlight w:val="none"/>
        </w:rPr>
        <w:t>.3</w:t>
      </w:r>
      <w:r>
        <w:rPr>
          <w:rFonts w:hint="eastAsia" w:hAnsi="宋体" w:cs="宋体"/>
          <w:color w:val="auto"/>
          <w:sz w:val="25"/>
          <w:szCs w:val="25"/>
          <w:highlight w:val="none"/>
        </w:rPr>
        <w:t>主要技术经济指标</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本工程主要技术经济指标见表3.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4</w:t>
      </w:r>
      <w:r>
        <w:rPr>
          <w:rFonts w:hint="eastAsia"/>
          <w:color w:val="auto"/>
          <w:highlight w:val="none"/>
        </w:rPr>
        <w:t>。</w:t>
      </w:r>
    </w:p>
    <w:p>
      <w:pPr>
        <w:pStyle w:val="54"/>
        <w:pageBreakBefore w:val="0"/>
        <w:kinsoku/>
        <w:wordWrap/>
        <w:overflowPunct/>
        <w:topLinePunct w:val="0"/>
        <w:autoSpaceDE/>
        <w:autoSpaceDN/>
        <w:bidi w:val="0"/>
        <w:spacing w:line="480" w:lineRule="exact"/>
        <w:ind w:firstLine="482"/>
        <w:rPr>
          <w:color w:val="auto"/>
          <w:highlight w:val="none"/>
        </w:rPr>
      </w:pPr>
      <w:bookmarkStart w:id="281" w:name="_Toc2824"/>
      <w:r>
        <w:rPr>
          <w:rFonts w:hint="eastAsia"/>
          <w:color w:val="auto"/>
          <w:highlight w:val="none"/>
        </w:rPr>
        <w:t>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4</w:t>
      </w:r>
      <w:r>
        <w:rPr>
          <w:rFonts w:hint="eastAsia"/>
          <w:color w:val="auto"/>
          <w:highlight w:val="none"/>
        </w:rPr>
        <w:t xml:space="preserve">      本工程主要技术经济指标一览表</w:t>
      </w:r>
      <w:bookmarkEnd w:id="281"/>
    </w:p>
    <w:tbl>
      <w:tblPr>
        <w:tblStyle w:val="34"/>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89"/>
        <w:gridCol w:w="1277"/>
        <w:gridCol w:w="2323"/>
        <w:gridCol w:w="1376"/>
        <w:gridCol w:w="279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3" w:type="pct"/>
            <w:tcBorders>
              <w:tl2br w:val="nil"/>
              <w:tr2bl w:val="nil"/>
            </w:tcBorders>
            <w:vAlign w:val="center"/>
          </w:tcPr>
          <w:p>
            <w:pPr>
              <w:pStyle w:val="41"/>
              <w:rPr>
                <w:color w:val="auto"/>
                <w:highlight w:val="none"/>
              </w:rPr>
            </w:pPr>
            <w:r>
              <w:rPr>
                <w:rFonts w:hint="eastAsia"/>
                <w:color w:val="auto"/>
                <w:highlight w:val="none"/>
              </w:rPr>
              <w:t>序号</w:t>
            </w:r>
          </w:p>
        </w:tc>
        <w:tc>
          <w:tcPr>
            <w:tcW w:w="2077" w:type="pct"/>
            <w:gridSpan w:val="2"/>
            <w:tcBorders>
              <w:tl2br w:val="nil"/>
              <w:tr2bl w:val="nil"/>
            </w:tcBorders>
            <w:vAlign w:val="center"/>
          </w:tcPr>
          <w:p>
            <w:pPr>
              <w:pStyle w:val="41"/>
              <w:rPr>
                <w:color w:val="auto"/>
                <w:highlight w:val="none"/>
              </w:rPr>
            </w:pPr>
            <w:r>
              <w:rPr>
                <w:rFonts w:hint="eastAsia"/>
                <w:color w:val="auto"/>
                <w:highlight w:val="none"/>
              </w:rPr>
              <w:t>项目</w:t>
            </w:r>
          </w:p>
        </w:tc>
        <w:tc>
          <w:tcPr>
            <w:tcW w:w="794" w:type="pct"/>
            <w:tcBorders>
              <w:tl2br w:val="nil"/>
              <w:tr2bl w:val="nil"/>
            </w:tcBorders>
            <w:vAlign w:val="center"/>
          </w:tcPr>
          <w:p>
            <w:pPr>
              <w:pStyle w:val="41"/>
              <w:rPr>
                <w:color w:val="auto"/>
                <w:highlight w:val="none"/>
              </w:rPr>
            </w:pPr>
            <w:r>
              <w:rPr>
                <w:rFonts w:hint="eastAsia"/>
                <w:color w:val="auto"/>
                <w:highlight w:val="none"/>
              </w:rPr>
              <w:t>单位</w:t>
            </w:r>
          </w:p>
        </w:tc>
        <w:tc>
          <w:tcPr>
            <w:tcW w:w="1615" w:type="pct"/>
            <w:tcBorders>
              <w:tl2br w:val="nil"/>
              <w:tr2bl w:val="nil"/>
            </w:tcBorders>
            <w:vAlign w:val="center"/>
          </w:tcPr>
          <w:p>
            <w:pPr>
              <w:pStyle w:val="41"/>
              <w:rPr>
                <w:color w:val="auto"/>
                <w:highlight w:val="none"/>
              </w:rPr>
            </w:pPr>
            <w:r>
              <w:rPr>
                <w:rFonts w:hint="eastAsia"/>
                <w:color w:val="auto"/>
                <w:highlight w:val="none"/>
              </w:rPr>
              <w:t>数量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vAlign w:val="center"/>
          </w:tcPr>
          <w:p>
            <w:pPr>
              <w:pStyle w:val="41"/>
              <w:rPr>
                <w:rFonts w:hint="eastAsia"/>
                <w:color w:val="auto"/>
                <w:highlight w:val="none"/>
              </w:rPr>
            </w:pPr>
          </w:p>
        </w:tc>
        <w:tc>
          <w:tcPr>
            <w:tcW w:w="736" w:type="pct"/>
            <w:vMerge w:val="restart"/>
            <w:tcBorders>
              <w:tl2br w:val="nil"/>
              <w:tr2bl w:val="nil"/>
            </w:tcBorders>
            <w:vAlign w:val="center"/>
          </w:tcPr>
          <w:p>
            <w:pPr>
              <w:pStyle w:val="41"/>
              <w:rPr>
                <w:color w:val="auto"/>
                <w:highlight w:val="none"/>
              </w:rPr>
            </w:pPr>
            <w:r>
              <w:rPr>
                <w:rFonts w:hint="eastAsia"/>
                <w:color w:val="auto"/>
                <w:highlight w:val="none"/>
              </w:rPr>
              <w:t>开发指标</w:t>
            </w:r>
          </w:p>
        </w:tc>
        <w:tc>
          <w:tcPr>
            <w:tcW w:w="1340"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新部署采油井</w:t>
            </w:r>
          </w:p>
        </w:tc>
        <w:tc>
          <w:tcPr>
            <w:tcW w:w="794" w:type="pct"/>
            <w:tcBorders>
              <w:tl2br w:val="nil"/>
              <w:tr2bl w:val="nil"/>
            </w:tcBorders>
            <w:vAlign w:val="center"/>
          </w:tcPr>
          <w:p>
            <w:pPr>
              <w:pStyle w:val="41"/>
              <w:rPr>
                <w:rFonts w:hint="eastAsia" w:eastAsia="宋体"/>
                <w:color w:val="auto"/>
                <w:highlight w:val="none"/>
                <w:lang w:val="en-US" w:eastAsia="zh-CN"/>
              </w:rPr>
            </w:pPr>
            <w:r>
              <w:rPr>
                <w:rFonts w:hint="eastAsia"/>
                <w:color w:val="auto"/>
                <w:highlight w:val="none"/>
                <w:lang w:val="en-US" w:eastAsia="zh-CN"/>
              </w:rPr>
              <w:t>口</w:t>
            </w:r>
          </w:p>
        </w:tc>
        <w:tc>
          <w:tcPr>
            <w:tcW w:w="1615" w:type="pct"/>
            <w:tcBorders>
              <w:tl2br w:val="nil"/>
              <w:tr2bl w:val="nil"/>
            </w:tcBorders>
            <w:vAlign w:val="center"/>
          </w:tcPr>
          <w:p>
            <w:pPr>
              <w:pStyle w:val="41"/>
              <w:rPr>
                <w:rFonts w:hint="eastAsia" w:eastAsia="宋体"/>
                <w:color w:val="auto"/>
                <w:highlight w:val="none"/>
                <w:lang w:val="en-US" w:eastAsia="zh-CN"/>
              </w:rPr>
            </w:pPr>
            <w:r>
              <w:rPr>
                <w:rFonts w:hint="eastAsia"/>
                <w:color w:val="auto"/>
                <w:highlight w:val="none"/>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vAlign w:val="center"/>
          </w:tcPr>
          <w:p>
            <w:pPr>
              <w:pStyle w:val="41"/>
              <w:rPr>
                <w:color w:val="auto"/>
                <w:highlight w:val="none"/>
              </w:rPr>
            </w:pPr>
            <w:r>
              <w:rPr>
                <w:rFonts w:hint="eastAsia"/>
                <w:color w:val="auto"/>
                <w:highlight w:val="none"/>
              </w:rPr>
              <w:t>1</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color w:val="auto"/>
                <w:sz w:val="21"/>
                <w:szCs w:val="21"/>
                <w:highlight w:val="none"/>
              </w:rPr>
            </w:pPr>
            <w:r>
              <w:rPr>
                <w:rFonts w:hint="eastAsia"/>
                <w:color w:val="auto"/>
                <w:sz w:val="21"/>
                <w:szCs w:val="21"/>
                <w:highlight w:val="none"/>
              </w:rPr>
              <w:t>标准化井场数量</w:t>
            </w:r>
          </w:p>
        </w:tc>
        <w:tc>
          <w:tcPr>
            <w:tcW w:w="794" w:type="pct"/>
            <w:tcBorders>
              <w:tl2br w:val="nil"/>
              <w:tr2bl w:val="nil"/>
            </w:tcBorders>
            <w:vAlign w:val="center"/>
          </w:tcPr>
          <w:p>
            <w:pPr>
              <w:pStyle w:val="41"/>
              <w:rPr>
                <w:color w:val="auto"/>
                <w:sz w:val="21"/>
                <w:szCs w:val="21"/>
                <w:highlight w:val="none"/>
              </w:rPr>
            </w:pPr>
            <w:r>
              <w:rPr>
                <w:rFonts w:hint="eastAsia"/>
                <w:color w:val="auto"/>
                <w:sz w:val="21"/>
                <w:szCs w:val="21"/>
                <w:highlight w:val="none"/>
              </w:rPr>
              <w:t>口</w:t>
            </w:r>
          </w:p>
        </w:tc>
        <w:tc>
          <w:tcPr>
            <w:tcW w:w="1615" w:type="pct"/>
            <w:tcBorders>
              <w:tl2br w:val="nil"/>
              <w:tr2bl w:val="nil"/>
            </w:tcBorders>
            <w:vAlign w:val="center"/>
          </w:tcPr>
          <w:p>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rPr>
                <w:color w:val="auto"/>
                <w:highlight w:val="none"/>
              </w:rPr>
            </w:pPr>
            <w:r>
              <w:rPr>
                <w:rFonts w:hint="eastAsia"/>
                <w:color w:val="auto"/>
                <w:highlight w:val="none"/>
              </w:rPr>
              <w:t>2</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shd w:val="clear" w:color="auto" w:fill="auto"/>
            <w:vAlign w:val="center"/>
          </w:tcPr>
          <w:p>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新建产能</w:t>
            </w:r>
          </w:p>
        </w:tc>
        <w:tc>
          <w:tcPr>
            <w:tcW w:w="794" w:type="pct"/>
            <w:tcBorders>
              <w:tl2br w:val="nil"/>
              <w:tr2bl w:val="nil"/>
            </w:tcBorders>
            <w:shd w:val="clear" w:color="auto" w:fill="auto"/>
            <w:vAlign w:val="center"/>
          </w:tcPr>
          <w:p>
            <w:pPr>
              <w:pStyle w:val="41"/>
              <w:rPr>
                <w:color w:val="auto"/>
                <w:sz w:val="21"/>
                <w:szCs w:val="21"/>
                <w:highlight w:val="none"/>
              </w:rPr>
            </w:pPr>
            <w:r>
              <w:rPr>
                <w:rFonts w:hint="default" w:ascii="Times New Roman" w:hAnsi="Times New Roman" w:eastAsia="宋体" w:cs="Times New Roman"/>
                <w:color w:val="auto"/>
                <w:sz w:val="21"/>
                <w:szCs w:val="21"/>
                <w:highlight w:val="none"/>
                <w:lang w:val="en-US" w:eastAsia="zh-CN" w:bidi="ar-SA"/>
              </w:rPr>
              <w:t>10</w:t>
            </w:r>
            <w:r>
              <w:rPr>
                <w:rFonts w:hint="default" w:ascii="Times New Roman" w:hAnsi="Times New Roman" w:eastAsia="宋体" w:cs="Times New Roman"/>
                <w:color w:val="auto"/>
                <w:sz w:val="21"/>
                <w:szCs w:val="21"/>
                <w:highlight w:val="none"/>
                <w:vertAlign w:val="superscript"/>
                <w:lang w:val="en-US" w:eastAsia="zh-CN" w:bidi="ar-SA"/>
              </w:rPr>
              <w:t>4</w:t>
            </w:r>
            <w:r>
              <w:rPr>
                <w:rFonts w:hint="default" w:ascii="Times New Roman" w:hAnsi="Times New Roman" w:eastAsia="宋体" w:cs="Times New Roman"/>
                <w:color w:val="auto"/>
                <w:sz w:val="21"/>
                <w:szCs w:val="21"/>
                <w:highlight w:val="none"/>
                <w:lang w:val="en-US" w:eastAsia="zh-CN" w:bidi="ar-SA"/>
              </w:rPr>
              <w:t>t/a</w:t>
            </w:r>
          </w:p>
        </w:tc>
        <w:tc>
          <w:tcPr>
            <w:tcW w:w="1615" w:type="pct"/>
            <w:tcBorders>
              <w:tl2br w:val="nil"/>
              <w:tr2bl w:val="nil"/>
            </w:tcBorders>
            <w:shd w:val="clear" w:color="auto" w:fill="auto"/>
            <w:vAlign w:val="center"/>
          </w:tcPr>
          <w:p>
            <w:pPr>
              <w:pStyle w:val="41"/>
              <w:rPr>
                <w:rFonts w:hint="default"/>
                <w:color w:val="auto"/>
                <w:sz w:val="21"/>
                <w:szCs w:val="21"/>
                <w:highlight w:val="none"/>
                <w:lang w:val="en-US"/>
              </w:rPr>
            </w:pPr>
            <w:r>
              <w:rPr>
                <w:rFonts w:hint="eastAsia" w:cs="Times New Roman"/>
                <w:color w:val="auto"/>
                <w:sz w:val="21"/>
                <w:szCs w:val="21"/>
                <w:highlight w:val="none"/>
                <w:lang w:val="en-US" w:eastAsia="zh-CN" w:bidi="ar-SA"/>
              </w:rPr>
              <w:t>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rPr>
                <w:color w:val="auto"/>
                <w:highlight w:val="none"/>
              </w:rPr>
            </w:pPr>
            <w:r>
              <w:rPr>
                <w:rFonts w:hint="eastAsia"/>
                <w:color w:val="auto"/>
                <w:highlight w:val="none"/>
              </w:rPr>
              <w:t>3</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color w:val="auto"/>
                <w:highlight w:val="none"/>
              </w:rPr>
            </w:pPr>
            <w:r>
              <w:rPr>
                <w:rFonts w:hint="eastAsia"/>
                <w:color w:val="auto"/>
                <w:highlight w:val="none"/>
                <w:lang w:val="en-US" w:eastAsia="zh-CN"/>
              </w:rPr>
              <w:t>集输</w:t>
            </w:r>
            <w:r>
              <w:rPr>
                <w:rFonts w:hint="eastAsia"/>
                <w:color w:val="auto"/>
                <w:highlight w:val="none"/>
              </w:rPr>
              <w:t>管线</w:t>
            </w:r>
          </w:p>
        </w:tc>
        <w:tc>
          <w:tcPr>
            <w:tcW w:w="794" w:type="pct"/>
            <w:tcBorders>
              <w:tl2br w:val="nil"/>
              <w:tr2bl w:val="nil"/>
            </w:tcBorders>
            <w:vAlign w:val="center"/>
          </w:tcPr>
          <w:p>
            <w:pPr>
              <w:pStyle w:val="41"/>
              <w:rPr>
                <w:color w:val="auto"/>
                <w:highlight w:val="none"/>
              </w:rPr>
            </w:pPr>
            <w:r>
              <w:rPr>
                <w:rFonts w:hint="eastAsia"/>
                <w:color w:val="auto"/>
                <w:highlight w:val="none"/>
              </w:rPr>
              <w:t>km</w:t>
            </w:r>
          </w:p>
        </w:tc>
        <w:tc>
          <w:tcPr>
            <w:tcW w:w="1615"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34.25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rPr>
                <w:color w:val="auto"/>
                <w:highlight w:val="none"/>
              </w:rPr>
            </w:pPr>
            <w:r>
              <w:rPr>
                <w:rFonts w:hint="eastAsia"/>
                <w:color w:val="auto"/>
                <w:highlight w:val="none"/>
              </w:rPr>
              <w:t>4</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rFonts w:hint="eastAsia" w:eastAsia="宋体"/>
                <w:color w:val="auto"/>
                <w:highlight w:val="none"/>
                <w:lang w:val="en-US" w:eastAsia="zh-CN"/>
              </w:rPr>
            </w:pPr>
            <w:r>
              <w:rPr>
                <w:rFonts w:hint="eastAsia"/>
                <w:color w:val="auto"/>
                <w:highlight w:val="none"/>
                <w:lang w:val="en-US" w:eastAsia="zh-CN"/>
              </w:rPr>
              <w:t>拉油站</w:t>
            </w:r>
          </w:p>
        </w:tc>
        <w:tc>
          <w:tcPr>
            <w:tcW w:w="794" w:type="pct"/>
            <w:tcBorders>
              <w:tl2br w:val="nil"/>
              <w:tr2bl w:val="nil"/>
            </w:tcBorders>
            <w:vAlign w:val="center"/>
          </w:tcPr>
          <w:p>
            <w:pPr>
              <w:pStyle w:val="41"/>
              <w:ind w:firstLine="0" w:firstLineChars="0"/>
              <w:rPr>
                <w:rFonts w:hint="eastAsia" w:eastAsia="宋体"/>
                <w:color w:val="auto"/>
                <w:highlight w:val="none"/>
                <w:lang w:eastAsia="zh-CN"/>
              </w:rPr>
            </w:pPr>
            <w:r>
              <w:rPr>
                <w:rFonts w:hint="eastAsia"/>
                <w:color w:val="auto"/>
                <w:highlight w:val="none"/>
              </w:rPr>
              <w:t>座</w:t>
            </w:r>
          </w:p>
        </w:tc>
        <w:tc>
          <w:tcPr>
            <w:tcW w:w="1615" w:type="pct"/>
            <w:tcBorders>
              <w:tl2br w:val="nil"/>
              <w:tr2bl w:val="nil"/>
            </w:tcBorders>
            <w:vAlign w:val="center"/>
          </w:tcPr>
          <w:p>
            <w:pPr>
              <w:pStyle w:val="41"/>
              <w:ind w:firstLine="0" w:firstLineChars="0"/>
              <w:rPr>
                <w:rFonts w:hint="eastAsia" w:eastAsia="宋体"/>
                <w:color w:val="auto"/>
                <w:highlight w:val="none"/>
                <w:lang w:val="en-US" w:eastAsia="zh-CN"/>
              </w:rPr>
            </w:pPr>
            <w:r>
              <w:rPr>
                <w:rFonts w:hint="eastAsia"/>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rPr>
                <w:rFonts w:hint="eastAsia" w:eastAsia="宋体"/>
                <w:color w:val="auto"/>
                <w:highlight w:val="none"/>
                <w:lang w:val="en-US" w:eastAsia="zh-CN"/>
              </w:rPr>
            </w:pPr>
            <w:r>
              <w:rPr>
                <w:rFonts w:hint="eastAsia"/>
                <w:color w:val="auto"/>
                <w:highlight w:val="none"/>
                <w:lang w:val="en-US" w:eastAsia="zh-CN"/>
              </w:rPr>
              <w:t>5</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rFonts w:hint="eastAsia" w:eastAsia="宋体"/>
                <w:color w:val="auto"/>
                <w:highlight w:val="none"/>
                <w:lang w:val="en-US" w:eastAsia="zh-CN"/>
              </w:rPr>
            </w:pPr>
            <w:r>
              <w:rPr>
                <w:rFonts w:hint="eastAsia"/>
                <w:color w:val="auto"/>
                <w:highlight w:val="none"/>
                <w:lang w:val="en-US" w:eastAsia="zh-CN"/>
              </w:rPr>
              <w:t>计量站</w:t>
            </w:r>
          </w:p>
        </w:tc>
        <w:tc>
          <w:tcPr>
            <w:tcW w:w="794" w:type="pct"/>
            <w:tcBorders>
              <w:tl2br w:val="nil"/>
              <w:tr2bl w:val="nil"/>
            </w:tcBorders>
            <w:vAlign w:val="center"/>
          </w:tcPr>
          <w:p>
            <w:pPr>
              <w:pStyle w:val="41"/>
              <w:rPr>
                <w:color w:val="auto"/>
                <w:highlight w:val="none"/>
              </w:rPr>
            </w:pPr>
            <w:r>
              <w:rPr>
                <w:rFonts w:hint="eastAsia"/>
                <w:color w:val="auto"/>
                <w:highlight w:val="none"/>
              </w:rPr>
              <w:t>座</w:t>
            </w:r>
          </w:p>
        </w:tc>
        <w:tc>
          <w:tcPr>
            <w:tcW w:w="1615" w:type="pct"/>
            <w:tcBorders>
              <w:tl2br w:val="nil"/>
              <w:tr2bl w:val="nil"/>
            </w:tcBorders>
            <w:vAlign w:val="center"/>
          </w:tcPr>
          <w:p>
            <w:pPr>
              <w:pStyle w:val="41"/>
              <w:rPr>
                <w:rFonts w:hint="eastAsia" w:eastAsia="宋体"/>
                <w:color w:val="auto"/>
                <w:highlight w:val="none"/>
                <w:lang w:eastAsia="zh-CN"/>
              </w:rPr>
            </w:pPr>
            <w:r>
              <w:rPr>
                <w:rFonts w:hint="eastAsia"/>
                <w:color w:val="auto"/>
                <w:highlight w:val="none"/>
                <w:lang w:val="en-US" w:eastAsia="zh-CN"/>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6</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color w:val="auto"/>
                <w:highlight w:val="none"/>
              </w:rPr>
            </w:pPr>
            <w:r>
              <w:rPr>
                <w:rFonts w:hint="eastAsia"/>
                <w:color w:val="auto"/>
                <w:highlight w:val="none"/>
              </w:rPr>
              <w:t>新建阀室</w:t>
            </w:r>
          </w:p>
        </w:tc>
        <w:tc>
          <w:tcPr>
            <w:tcW w:w="794" w:type="pct"/>
            <w:tcBorders>
              <w:tl2br w:val="nil"/>
              <w:tr2bl w:val="nil"/>
            </w:tcBorders>
            <w:vAlign w:val="center"/>
          </w:tcPr>
          <w:p>
            <w:pPr>
              <w:pStyle w:val="41"/>
              <w:rPr>
                <w:color w:val="auto"/>
                <w:highlight w:val="none"/>
              </w:rPr>
            </w:pPr>
            <w:r>
              <w:rPr>
                <w:rFonts w:hint="eastAsia"/>
                <w:color w:val="auto"/>
                <w:highlight w:val="none"/>
              </w:rPr>
              <w:t>座</w:t>
            </w:r>
          </w:p>
        </w:tc>
        <w:tc>
          <w:tcPr>
            <w:tcW w:w="1615" w:type="pct"/>
            <w:tcBorders>
              <w:tl2br w:val="nil"/>
              <w:tr2bl w:val="nil"/>
            </w:tcBorders>
            <w:vAlign w:val="center"/>
          </w:tcPr>
          <w:p>
            <w:pPr>
              <w:pStyle w:val="41"/>
              <w:rPr>
                <w:color w:val="auto"/>
                <w:highlight w:val="none"/>
              </w:rPr>
            </w:pPr>
            <w:r>
              <w:rPr>
                <w:rFonts w:hint="eastAsia"/>
                <w:color w:val="auto"/>
                <w:highlight w:val="none"/>
              </w:rPr>
              <w:t>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7</w:t>
            </w:r>
          </w:p>
        </w:tc>
        <w:tc>
          <w:tcPr>
            <w:tcW w:w="736" w:type="pct"/>
            <w:tcBorders>
              <w:tl2br w:val="nil"/>
              <w:tr2bl w:val="nil"/>
            </w:tcBorders>
            <w:vAlign w:val="center"/>
          </w:tcPr>
          <w:p>
            <w:pPr>
              <w:pStyle w:val="41"/>
              <w:rPr>
                <w:color w:val="auto"/>
                <w:highlight w:val="none"/>
              </w:rPr>
            </w:pPr>
            <w:r>
              <w:rPr>
                <w:rFonts w:hint="eastAsia"/>
                <w:color w:val="auto"/>
                <w:highlight w:val="none"/>
              </w:rPr>
              <w:t>能耗指标</w:t>
            </w:r>
          </w:p>
        </w:tc>
        <w:tc>
          <w:tcPr>
            <w:tcW w:w="1340" w:type="pct"/>
            <w:tcBorders>
              <w:tl2br w:val="nil"/>
              <w:tr2bl w:val="nil"/>
            </w:tcBorders>
            <w:vAlign w:val="center"/>
          </w:tcPr>
          <w:p>
            <w:pPr>
              <w:pStyle w:val="41"/>
              <w:rPr>
                <w:color w:val="auto"/>
                <w:highlight w:val="none"/>
              </w:rPr>
            </w:pPr>
            <w:r>
              <w:rPr>
                <w:rFonts w:hint="eastAsia"/>
                <w:color w:val="auto"/>
                <w:highlight w:val="none"/>
              </w:rPr>
              <w:t>年电耗量</w:t>
            </w:r>
          </w:p>
        </w:tc>
        <w:tc>
          <w:tcPr>
            <w:tcW w:w="794" w:type="pct"/>
            <w:tcBorders>
              <w:tl2br w:val="nil"/>
              <w:tr2bl w:val="nil"/>
            </w:tcBorders>
            <w:vAlign w:val="center"/>
          </w:tcPr>
          <w:p>
            <w:pPr>
              <w:pStyle w:val="41"/>
              <w:rPr>
                <w:color w:val="auto"/>
                <w:highlight w:val="none"/>
              </w:rPr>
            </w:pPr>
            <w:r>
              <w:rPr>
                <w:rFonts w:hint="eastAsia"/>
                <w:color w:val="auto"/>
                <w:highlight w:val="none"/>
              </w:rPr>
              <w:t>10</w:t>
            </w:r>
            <w:r>
              <w:rPr>
                <w:rFonts w:hint="eastAsia"/>
                <w:color w:val="auto"/>
                <w:highlight w:val="none"/>
                <w:vertAlign w:val="superscript"/>
              </w:rPr>
              <w:t>4</w:t>
            </w:r>
            <w:r>
              <w:rPr>
                <w:rFonts w:hint="eastAsia"/>
                <w:color w:val="auto"/>
                <w:highlight w:val="none"/>
              </w:rPr>
              <w:t>kW·h/a</w:t>
            </w:r>
          </w:p>
        </w:tc>
        <w:tc>
          <w:tcPr>
            <w:tcW w:w="1615"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316.64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bidi="ar-SA"/>
              </w:rPr>
              <w:t>8</w:t>
            </w:r>
          </w:p>
        </w:tc>
        <w:tc>
          <w:tcPr>
            <w:tcW w:w="736" w:type="pct"/>
            <w:vMerge w:val="restart"/>
            <w:tcBorders>
              <w:tl2br w:val="nil"/>
              <w:tr2bl w:val="nil"/>
            </w:tcBorders>
            <w:vAlign w:val="center"/>
          </w:tcPr>
          <w:p>
            <w:pPr>
              <w:pStyle w:val="41"/>
              <w:rPr>
                <w:color w:val="auto"/>
                <w:highlight w:val="none"/>
              </w:rPr>
            </w:pPr>
            <w:r>
              <w:rPr>
                <w:rFonts w:hint="eastAsia"/>
                <w:color w:val="auto"/>
                <w:highlight w:val="none"/>
              </w:rPr>
              <w:t>综合指标</w:t>
            </w:r>
          </w:p>
        </w:tc>
        <w:tc>
          <w:tcPr>
            <w:tcW w:w="1340" w:type="pct"/>
            <w:tcBorders>
              <w:tl2br w:val="nil"/>
              <w:tr2bl w:val="nil"/>
            </w:tcBorders>
            <w:vAlign w:val="center"/>
          </w:tcPr>
          <w:p>
            <w:pPr>
              <w:pStyle w:val="41"/>
              <w:rPr>
                <w:color w:val="auto"/>
                <w:highlight w:val="none"/>
              </w:rPr>
            </w:pPr>
            <w:r>
              <w:rPr>
                <w:rFonts w:hint="eastAsia"/>
                <w:color w:val="auto"/>
                <w:highlight w:val="none"/>
              </w:rPr>
              <w:t>总投资</w:t>
            </w:r>
          </w:p>
        </w:tc>
        <w:tc>
          <w:tcPr>
            <w:tcW w:w="794" w:type="pct"/>
            <w:tcBorders>
              <w:tl2br w:val="nil"/>
              <w:tr2bl w:val="nil"/>
            </w:tcBorders>
            <w:vAlign w:val="center"/>
          </w:tcPr>
          <w:p>
            <w:pPr>
              <w:pStyle w:val="41"/>
              <w:rPr>
                <w:color w:val="auto"/>
                <w:highlight w:val="none"/>
              </w:rPr>
            </w:pPr>
            <w:r>
              <w:rPr>
                <w:rFonts w:hint="eastAsia"/>
                <w:color w:val="auto"/>
                <w:highlight w:val="none"/>
              </w:rPr>
              <w:t>万元</w:t>
            </w:r>
          </w:p>
        </w:tc>
        <w:tc>
          <w:tcPr>
            <w:tcW w:w="1615" w:type="pct"/>
            <w:tcBorders>
              <w:tl2br w:val="nil"/>
              <w:tr2bl w:val="nil"/>
            </w:tcBorders>
            <w:vAlign w:val="center"/>
          </w:tcPr>
          <w:p>
            <w:pPr>
              <w:pStyle w:val="41"/>
              <w:rPr>
                <w:rFonts w:hint="eastAsia" w:eastAsia="宋体"/>
                <w:color w:val="auto"/>
                <w:highlight w:val="none"/>
                <w:lang w:eastAsia="zh-CN"/>
              </w:rPr>
            </w:pPr>
            <w:r>
              <w:rPr>
                <w:rFonts w:hint="eastAsia"/>
                <w:color w:val="auto"/>
                <w:highlight w:val="none"/>
                <w:lang w:eastAsia="zh-CN"/>
              </w:rPr>
              <w:t>5321.98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9</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color w:val="auto"/>
                <w:highlight w:val="none"/>
              </w:rPr>
            </w:pPr>
            <w:r>
              <w:rPr>
                <w:rFonts w:hint="eastAsia"/>
                <w:color w:val="auto"/>
                <w:highlight w:val="none"/>
              </w:rPr>
              <w:t>环保投资</w:t>
            </w:r>
          </w:p>
        </w:tc>
        <w:tc>
          <w:tcPr>
            <w:tcW w:w="794" w:type="pct"/>
            <w:tcBorders>
              <w:tl2br w:val="nil"/>
              <w:tr2bl w:val="nil"/>
            </w:tcBorders>
            <w:vAlign w:val="center"/>
          </w:tcPr>
          <w:p>
            <w:pPr>
              <w:pStyle w:val="41"/>
              <w:rPr>
                <w:color w:val="auto"/>
                <w:highlight w:val="none"/>
              </w:rPr>
            </w:pPr>
            <w:r>
              <w:rPr>
                <w:rFonts w:hint="eastAsia"/>
                <w:color w:val="auto"/>
                <w:highlight w:val="none"/>
              </w:rPr>
              <w:t>万元</w:t>
            </w:r>
          </w:p>
        </w:tc>
        <w:tc>
          <w:tcPr>
            <w:tcW w:w="1615"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945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10</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color w:val="auto"/>
                <w:highlight w:val="none"/>
              </w:rPr>
            </w:pPr>
            <w:r>
              <w:rPr>
                <w:rFonts w:hint="eastAsia"/>
                <w:color w:val="auto"/>
                <w:highlight w:val="none"/>
              </w:rPr>
              <w:t>总占地面积</w:t>
            </w:r>
          </w:p>
        </w:tc>
        <w:tc>
          <w:tcPr>
            <w:tcW w:w="794" w:type="pct"/>
            <w:tcBorders>
              <w:tl2br w:val="nil"/>
              <w:tr2bl w:val="nil"/>
            </w:tcBorders>
            <w:vAlign w:val="center"/>
          </w:tcPr>
          <w:p>
            <w:pPr>
              <w:pStyle w:val="41"/>
              <w:rPr>
                <w:color w:val="auto"/>
                <w:highlight w:val="none"/>
              </w:rPr>
            </w:pPr>
            <w:r>
              <w:rPr>
                <w:rFonts w:hint="eastAsia"/>
                <w:color w:val="auto"/>
                <w:highlight w:val="none"/>
              </w:rPr>
              <w:t>hm</w:t>
            </w:r>
            <w:r>
              <w:rPr>
                <w:rFonts w:hint="eastAsia"/>
                <w:color w:val="auto"/>
                <w:highlight w:val="none"/>
                <w:vertAlign w:val="superscript"/>
              </w:rPr>
              <w:t>2</w:t>
            </w:r>
          </w:p>
        </w:tc>
        <w:tc>
          <w:tcPr>
            <w:tcW w:w="1615" w:type="pct"/>
            <w:tcBorders>
              <w:tl2br w:val="nil"/>
              <w:tr2bl w:val="nil"/>
            </w:tcBorders>
            <w:vAlign w:val="center"/>
          </w:tcPr>
          <w:p>
            <w:pPr>
              <w:pStyle w:val="41"/>
              <w:rPr>
                <w:rFonts w:hint="eastAsia" w:eastAsia="宋体"/>
                <w:color w:val="auto"/>
                <w:highlight w:val="none"/>
                <w:lang w:eastAsia="zh-CN"/>
              </w:rPr>
            </w:pPr>
            <w:r>
              <w:rPr>
                <w:rFonts w:hint="eastAsia"/>
                <w:color w:val="auto"/>
                <w:highlight w:val="none"/>
                <w:lang w:eastAsia="zh-CN"/>
              </w:rPr>
              <w:t>51.696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11</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color w:val="auto"/>
                <w:highlight w:val="none"/>
              </w:rPr>
            </w:pPr>
            <w:r>
              <w:rPr>
                <w:rFonts w:hint="eastAsia"/>
                <w:color w:val="auto"/>
                <w:highlight w:val="none"/>
              </w:rPr>
              <w:t>永久占地面积</w:t>
            </w:r>
          </w:p>
        </w:tc>
        <w:tc>
          <w:tcPr>
            <w:tcW w:w="794" w:type="pct"/>
            <w:tcBorders>
              <w:tl2br w:val="nil"/>
              <w:tr2bl w:val="nil"/>
            </w:tcBorders>
            <w:vAlign w:val="center"/>
          </w:tcPr>
          <w:p>
            <w:pPr>
              <w:pStyle w:val="41"/>
              <w:rPr>
                <w:color w:val="auto"/>
                <w:highlight w:val="none"/>
              </w:rPr>
            </w:pPr>
            <w:r>
              <w:rPr>
                <w:rFonts w:hint="eastAsia"/>
                <w:color w:val="auto"/>
                <w:highlight w:val="none"/>
              </w:rPr>
              <w:t>hm</w:t>
            </w:r>
            <w:r>
              <w:rPr>
                <w:rFonts w:hint="eastAsia"/>
                <w:color w:val="auto"/>
                <w:highlight w:val="none"/>
                <w:vertAlign w:val="superscript"/>
              </w:rPr>
              <w:t>2</w:t>
            </w:r>
          </w:p>
        </w:tc>
        <w:tc>
          <w:tcPr>
            <w:tcW w:w="1615"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3.176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12</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color w:val="auto"/>
                <w:highlight w:val="none"/>
              </w:rPr>
            </w:pPr>
            <w:r>
              <w:rPr>
                <w:rFonts w:hint="eastAsia"/>
                <w:color w:val="auto"/>
                <w:highlight w:val="none"/>
              </w:rPr>
              <w:t>临时占地面积</w:t>
            </w:r>
          </w:p>
        </w:tc>
        <w:tc>
          <w:tcPr>
            <w:tcW w:w="794" w:type="pct"/>
            <w:tcBorders>
              <w:tl2br w:val="nil"/>
              <w:tr2bl w:val="nil"/>
            </w:tcBorders>
            <w:vAlign w:val="center"/>
          </w:tcPr>
          <w:p>
            <w:pPr>
              <w:pStyle w:val="41"/>
              <w:rPr>
                <w:color w:val="auto"/>
                <w:highlight w:val="none"/>
              </w:rPr>
            </w:pPr>
            <w:r>
              <w:rPr>
                <w:rFonts w:hint="eastAsia"/>
                <w:color w:val="auto"/>
                <w:highlight w:val="none"/>
              </w:rPr>
              <w:t>hm</w:t>
            </w:r>
            <w:r>
              <w:rPr>
                <w:rFonts w:hint="eastAsia"/>
                <w:color w:val="auto"/>
                <w:highlight w:val="none"/>
                <w:vertAlign w:val="superscript"/>
              </w:rPr>
              <w:t>2</w:t>
            </w:r>
          </w:p>
        </w:tc>
        <w:tc>
          <w:tcPr>
            <w:tcW w:w="1615" w:type="pct"/>
            <w:tcBorders>
              <w:tl2br w:val="nil"/>
              <w:tr2bl w:val="nil"/>
            </w:tcBorders>
            <w:vAlign w:val="center"/>
          </w:tcPr>
          <w:p>
            <w:pPr>
              <w:pStyle w:val="41"/>
              <w:rPr>
                <w:rFonts w:hint="eastAsia" w:eastAsia="宋体"/>
                <w:color w:val="auto"/>
                <w:highlight w:val="none"/>
                <w:lang w:eastAsia="zh-CN"/>
              </w:rPr>
            </w:pPr>
            <w:r>
              <w:rPr>
                <w:rFonts w:hint="eastAsia"/>
                <w:color w:val="auto"/>
                <w:highlight w:val="none"/>
                <w:lang w:eastAsia="zh-CN"/>
              </w:rPr>
              <w:t>48.52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13" w:type="pct"/>
            <w:tcBorders>
              <w:tl2br w:val="nil"/>
              <w:tr2bl w:val="nil"/>
            </w:tcBorders>
            <w:shd w:val="clear" w:color="auto" w:fill="auto"/>
            <w:vAlign w:val="center"/>
          </w:tcPr>
          <w:p>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13</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color w:val="auto"/>
                <w:highlight w:val="none"/>
              </w:rPr>
            </w:pPr>
            <w:r>
              <w:rPr>
                <w:rFonts w:hint="eastAsia"/>
                <w:color w:val="auto"/>
                <w:highlight w:val="none"/>
              </w:rPr>
              <w:t>劳动定员</w:t>
            </w:r>
          </w:p>
        </w:tc>
        <w:tc>
          <w:tcPr>
            <w:tcW w:w="794" w:type="pct"/>
            <w:tcBorders>
              <w:tl2br w:val="nil"/>
              <w:tr2bl w:val="nil"/>
            </w:tcBorders>
            <w:vAlign w:val="center"/>
          </w:tcPr>
          <w:p>
            <w:pPr>
              <w:pStyle w:val="41"/>
              <w:rPr>
                <w:color w:val="auto"/>
                <w:highlight w:val="none"/>
              </w:rPr>
            </w:pPr>
            <w:r>
              <w:rPr>
                <w:rFonts w:hint="eastAsia"/>
                <w:color w:val="auto"/>
                <w:highlight w:val="none"/>
              </w:rPr>
              <w:t>人</w:t>
            </w:r>
          </w:p>
        </w:tc>
        <w:tc>
          <w:tcPr>
            <w:tcW w:w="1615" w:type="pct"/>
            <w:tcBorders>
              <w:tl2br w:val="nil"/>
              <w:tr2bl w:val="nil"/>
            </w:tcBorders>
            <w:vAlign w:val="center"/>
          </w:tcPr>
          <w:p>
            <w:pPr>
              <w:pStyle w:val="41"/>
              <w:rPr>
                <w:color w:val="auto"/>
                <w:highlight w:val="none"/>
              </w:rPr>
            </w:pPr>
            <w:r>
              <w:rPr>
                <w:rFonts w:hint="eastAsia"/>
                <w:color w:val="auto"/>
                <w:highlight w:val="none"/>
              </w:rPr>
              <w:t>无人值守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513" w:type="pct"/>
            <w:tcBorders>
              <w:tl2br w:val="nil"/>
              <w:tr2bl w:val="nil"/>
            </w:tcBorders>
            <w:shd w:val="clear" w:color="auto" w:fill="auto"/>
            <w:vAlign w:val="center"/>
          </w:tcPr>
          <w:p>
            <w:pPr>
              <w:pStyle w:val="41"/>
              <w:ind w:firstLine="0" w:firstLineChars="0"/>
              <w:rPr>
                <w:rFonts w:ascii="Times New Roman" w:hAnsi="Times New Roman" w:eastAsia="宋体" w:cs="Times New Roman"/>
                <w:color w:val="auto"/>
                <w:sz w:val="21"/>
                <w:szCs w:val="21"/>
                <w:highlight w:val="none"/>
                <w:lang w:val="en-US" w:eastAsia="zh-CN" w:bidi="ar-SA"/>
              </w:rPr>
            </w:pPr>
            <w:r>
              <w:rPr>
                <w:rFonts w:hint="eastAsia"/>
                <w:color w:val="auto"/>
                <w:highlight w:val="none"/>
              </w:rPr>
              <w:t>14</w:t>
            </w:r>
          </w:p>
        </w:tc>
        <w:tc>
          <w:tcPr>
            <w:tcW w:w="736" w:type="pct"/>
            <w:vMerge w:val="continue"/>
            <w:tcBorders>
              <w:tl2br w:val="nil"/>
              <w:tr2bl w:val="nil"/>
            </w:tcBorders>
            <w:vAlign w:val="center"/>
          </w:tcPr>
          <w:p>
            <w:pPr>
              <w:pStyle w:val="41"/>
              <w:rPr>
                <w:color w:val="auto"/>
                <w:highlight w:val="none"/>
              </w:rPr>
            </w:pPr>
          </w:p>
        </w:tc>
        <w:tc>
          <w:tcPr>
            <w:tcW w:w="1340" w:type="pct"/>
            <w:tcBorders>
              <w:tl2br w:val="nil"/>
              <w:tr2bl w:val="nil"/>
            </w:tcBorders>
            <w:vAlign w:val="center"/>
          </w:tcPr>
          <w:p>
            <w:pPr>
              <w:pStyle w:val="41"/>
              <w:rPr>
                <w:color w:val="auto"/>
                <w:highlight w:val="none"/>
              </w:rPr>
            </w:pPr>
            <w:r>
              <w:rPr>
                <w:rFonts w:hint="eastAsia"/>
                <w:color w:val="auto"/>
                <w:highlight w:val="none"/>
              </w:rPr>
              <w:t>工作制度</w:t>
            </w:r>
          </w:p>
        </w:tc>
        <w:tc>
          <w:tcPr>
            <w:tcW w:w="794" w:type="pct"/>
            <w:tcBorders>
              <w:tl2br w:val="nil"/>
              <w:tr2bl w:val="nil"/>
            </w:tcBorders>
            <w:vAlign w:val="center"/>
          </w:tcPr>
          <w:p>
            <w:pPr>
              <w:pStyle w:val="41"/>
              <w:rPr>
                <w:color w:val="auto"/>
                <w:highlight w:val="none"/>
              </w:rPr>
            </w:pPr>
            <w:r>
              <w:rPr>
                <w:rFonts w:hint="eastAsia"/>
                <w:color w:val="auto"/>
                <w:highlight w:val="none"/>
              </w:rPr>
              <w:t>h</w:t>
            </w:r>
          </w:p>
        </w:tc>
        <w:tc>
          <w:tcPr>
            <w:tcW w:w="1615" w:type="pct"/>
            <w:tcBorders>
              <w:tl2br w:val="nil"/>
              <w:tr2bl w:val="nil"/>
            </w:tcBorders>
            <w:vAlign w:val="center"/>
          </w:tcPr>
          <w:p>
            <w:pPr>
              <w:pStyle w:val="41"/>
              <w:rPr>
                <w:color w:val="auto"/>
                <w:highlight w:val="none"/>
              </w:rPr>
            </w:pPr>
            <w:r>
              <w:rPr>
                <w:rFonts w:hint="eastAsia"/>
                <w:color w:val="auto"/>
                <w:highlight w:val="none"/>
              </w:rPr>
              <w:t>8</w:t>
            </w:r>
            <w:r>
              <w:rPr>
                <w:color w:val="auto"/>
                <w:highlight w:val="none"/>
              </w:rPr>
              <w:t>760</w:t>
            </w:r>
          </w:p>
        </w:tc>
      </w:tr>
    </w:tbl>
    <w:p>
      <w:pPr>
        <w:pStyle w:val="53"/>
        <w:pageBreakBefore w:val="0"/>
        <w:kinsoku/>
        <w:wordWrap/>
        <w:overflowPunct/>
        <w:topLinePunct w:val="0"/>
        <w:autoSpaceDE/>
        <w:autoSpaceDN/>
        <w:bidi w:val="0"/>
        <w:spacing w:line="480" w:lineRule="exact"/>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w:t>
      </w:r>
      <w:bookmarkEnd w:id="279"/>
      <w:bookmarkEnd w:id="280"/>
      <w:r>
        <w:rPr>
          <w:rFonts w:hint="eastAsia"/>
          <w:color w:val="auto"/>
          <w:highlight w:val="none"/>
        </w:rPr>
        <w:t>工程组成</w:t>
      </w:r>
    </w:p>
    <w:p>
      <w:pPr>
        <w:pStyle w:val="5"/>
        <w:pageBreakBefore w:val="0"/>
        <w:kinsoku/>
        <w:wordWrap/>
        <w:overflowPunct/>
        <w:topLinePunct w:val="0"/>
        <w:autoSpaceDE/>
        <w:autoSpaceDN/>
        <w:bidi w:val="0"/>
        <w:spacing w:line="480" w:lineRule="exact"/>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w:t>
      </w:r>
      <w:r>
        <w:rPr>
          <w:color w:val="auto"/>
          <w:highlight w:val="none"/>
        </w:rPr>
        <w:t>.1</w:t>
      </w:r>
      <w:r>
        <w:rPr>
          <w:rFonts w:hint="eastAsia"/>
          <w:color w:val="auto"/>
          <w:highlight w:val="none"/>
        </w:rPr>
        <w:t>主要建设内容</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本次工程主要建设内容为</w:t>
      </w:r>
      <w:r>
        <w:rPr>
          <w:rFonts w:hint="eastAsia" w:ascii="Times New Roman" w:hAnsi="Times New Roman" w:eastAsia="宋体" w:cs="Times New Roman"/>
          <w:color w:val="auto"/>
          <w:highlight w:val="none"/>
          <w:lang w:val="en-US" w:eastAsia="zh-CN"/>
        </w:rPr>
        <w:t>钻井工程、井场</w:t>
      </w:r>
      <w:r>
        <w:rPr>
          <w:rFonts w:hint="eastAsia" w:ascii="Times New Roman" w:hAnsi="Times New Roman" w:eastAsia="宋体" w:cs="Times New Roman"/>
          <w:color w:val="auto"/>
          <w:highlight w:val="none"/>
        </w:rPr>
        <w:t>地面工程建设、站场工程、油气集输工程、公辅工程、环保工程等；工程组成见表3.</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rPr>
        <w:t>。</w:t>
      </w:r>
    </w:p>
    <w:p>
      <w:pPr>
        <w:pStyle w:val="54"/>
        <w:pageBreakBefore w:val="0"/>
        <w:kinsoku/>
        <w:wordWrap/>
        <w:overflowPunct/>
        <w:topLinePunct w:val="0"/>
        <w:autoSpaceDE/>
        <w:autoSpaceDN/>
        <w:bidi w:val="0"/>
        <w:spacing w:line="480" w:lineRule="exact"/>
        <w:ind w:firstLine="482"/>
        <w:rPr>
          <w:rFonts w:hint="eastAsia"/>
          <w:color w:val="auto"/>
          <w:highlight w:val="none"/>
        </w:rPr>
      </w:pPr>
      <w:r>
        <w:rPr>
          <w:rFonts w:hint="eastAsia"/>
          <w:color w:val="auto"/>
          <w:highlight w:val="none"/>
        </w:rPr>
        <w:t>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5</w:t>
      </w:r>
      <w:r>
        <w:rPr>
          <w:rFonts w:hint="eastAsia"/>
          <w:color w:val="auto"/>
          <w:highlight w:val="none"/>
        </w:rPr>
        <w:t xml:space="preserve">  工程组成一览表</w:t>
      </w:r>
    </w:p>
    <w:tbl>
      <w:tblPr>
        <w:tblStyle w:val="34"/>
        <w:tblW w:w="8850" w:type="dxa"/>
        <w:tblInd w:w="-96"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525"/>
        <w:gridCol w:w="537"/>
        <w:gridCol w:w="456"/>
        <w:gridCol w:w="7332"/>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工程类别</w:t>
            </w: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工程名称</w:t>
            </w:r>
          </w:p>
        </w:tc>
        <w:tc>
          <w:tcPr>
            <w:tcW w:w="7332" w:type="dxa"/>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工程内容及规模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518" w:type="dxa"/>
            <w:gridSpan w:val="3"/>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产能</w:t>
            </w:r>
          </w:p>
        </w:tc>
        <w:tc>
          <w:tcPr>
            <w:tcW w:w="7332" w:type="dxa"/>
            <w:tcBorders>
              <w:tl2br w:val="nil"/>
              <w:tr2bl w:val="nil"/>
            </w:tcBorders>
            <w:noWrap w:val="0"/>
            <w:vAlign w:val="center"/>
          </w:tcPr>
          <w:p>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新建产能</w:t>
            </w:r>
            <w:r>
              <w:rPr>
                <w:rFonts w:hint="default" w:ascii="Times New Roman" w:hAnsi="Times New Roman" w:cs="Times New Roman"/>
                <w:color w:val="auto"/>
                <w:sz w:val="21"/>
                <w:szCs w:val="21"/>
                <w:highlight w:val="none"/>
                <w:shd w:val="clear" w:color="auto" w:fill="auto"/>
              </w:rPr>
              <w:t>为</w:t>
            </w:r>
            <w:r>
              <w:rPr>
                <w:rFonts w:hint="eastAsia" w:cs="Times New Roman"/>
                <w:color w:val="auto"/>
                <w:sz w:val="21"/>
                <w:szCs w:val="21"/>
                <w:highlight w:val="none"/>
                <w:shd w:val="clear" w:color="auto" w:fill="auto"/>
                <w:lang w:val="en-US" w:eastAsia="zh-CN"/>
              </w:rPr>
              <w:t>15.5</w:t>
            </w:r>
            <w:r>
              <w:rPr>
                <w:rFonts w:hint="default" w:ascii="Times New Roman" w:hAnsi="Times New Roman" w:cs="Times New Roman"/>
                <w:color w:val="auto"/>
                <w:sz w:val="21"/>
                <w:szCs w:val="21"/>
                <w:highlight w:val="none"/>
                <w:shd w:val="clear" w:color="auto" w:fill="auto"/>
              </w:rPr>
              <w:t>×10</w:t>
            </w:r>
            <w:r>
              <w:rPr>
                <w:rFonts w:hint="default" w:ascii="Times New Roman" w:hAnsi="Times New Roman" w:cs="Times New Roman"/>
                <w:color w:val="auto"/>
                <w:sz w:val="21"/>
                <w:szCs w:val="21"/>
                <w:highlight w:val="none"/>
                <w:shd w:val="clear" w:color="auto" w:fill="auto"/>
                <w:vertAlign w:val="superscript"/>
              </w:rPr>
              <w:t>4</w:t>
            </w:r>
            <w:r>
              <w:rPr>
                <w:rFonts w:hint="default" w:ascii="Times New Roman" w:hAnsi="Times New Roman" w:cs="Times New Roman"/>
                <w:color w:val="auto"/>
                <w:sz w:val="21"/>
                <w:szCs w:val="21"/>
                <w:highlight w:val="none"/>
                <w:shd w:val="clear" w:color="auto" w:fill="auto"/>
              </w:rPr>
              <w:t>t/a</w:t>
            </w:r>
            <w:r>
              <w:rPr>
                <w:rFonts w:hint="eastAsia" w:ascii="Times New Roman" w:hAnsi="Times New Roman"/>
                <w:color w:val="auto"/>
                <w:kern w:val="2"/>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restart"/>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主体工程</w:t>
            </w: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钻井工程</w:t>
            </w:r>
          </w:p>
        </w:tc>
        <w:tc>
          <w:tcPr>
            <w:tcW w:w="7332" w:type="dxa"/>
            <w:tcBorders>
              <w:tl2br w:val="nil"/>
              <w:tr2bl w:val="nil"/>
            </w:tcBorders>
            <w:noWrap w:val="0"/>
            <w:vAlign w:val="center"/>
          </w:tcPr>
          <w:p>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新钻7口采油井，均为水平井，均采用三开井身结构，钻井总进尺</w:t>
            </w:r>
            <w:r>
              <w:rPr>
                <w:rFonts w:hint="eastAsia" w:cs="Times New Roman"/>
                <w:color w:val="auto"/>
                <w:sz w:val="21"/>
                <w:szCs w:val="21"/>
                <w:highlight w:val="none"/>
                <w:shd w:val="clear" w:color="auto" w:fill="auto"/>
                <w:lang w:val="en-US" w:eastAsia="zh-CN"/>
              </w:rPr>
              <w:t>48644</w:t>
            </w:r>
            <w:r>
              <w:rPr>
                <w:rFonts w:hint="default" w:ascii="Times New Roman" w:hAnsi="Times New Roman" w:cs="Times New Roman"/>
                <w:color w:val="auto"/>
                <w:sz w:val="21"/>
                <w:szCs w:val="21"/>
                <w:highlight w:val="none"/>
                <w:shd w:val="clear" w:color="auto" w:fill="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right="-97" w:rightChars="-46"/>
              <w:rPr>
                <w:color w:val="auto"/>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储层改造工程</w:t>
            </w:r>
          </w:p>
        </w:tc>
        <w:tc>
          <w:tcPr>
            <w:tcW w:w="7332" w:type="dxa"/>
            <w:tcBorders>
              <w:tl2br w:val="nil"/>
              <w:tr2bl w:val="nil"/>
            </w:tcBorders>
            <w:noWrap w:val="0"/>
            <w:vAlign w:val="center"/>
          </w:tcPr>
          <w:p>
            <w:pPr>
              <w:autoSpaceDE w:val="0"/>
              <w:autoSpaceDN w:val="0"/>
              <w:ind w:left="-86" w:leftChars="-41"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本工程采用套管压裂工艺配套的电缆传输射孔方式，后期压裂时根据每口井的具体油藏地质特点进行压裂设计。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right="-97" w:rightChars="-46"/>
              <w:rPr>
                <w:color w:val="auto"/>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right="-97" w:rightChars="-46"/>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集输工程</w:t>
            </w:r>
          </w:p>
        </w:tc>
        <w:tc>
          <w:tcPr>
            <w:tcW w:w="7332" w:type="dxa"/>
            <w:tcBorders>
              <w:tl2br w:val="nil"/>
              <w:tr2bl w:val="nil"/>
            </w:tcBorders>
            <w:noWrap w:val="0"/>
            <w:vAlign w:val="center"/>
          </w:tcPr>
          <w:p>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本工程新</w:t>
            </w:r>
            <w:r>
              <w:rPr>
                <w:rFonts w:hint="eastAsia" w:cs="Times New Roman"/>
                <w:color w:val="auto"/>
                <w:sz w:val="21"/>
                <w:szCs w:val="21"/>
                <w:highlight w:val="none"/>
                <w:shd w:val="clear" w:color="auto" w:fill="auto"/>
                <w:lang w:val="en-US" w:eastAsia="zh-CN"/>
              </w:rPr>
              <w:t>部署的</w:t>
            </w:r>
            <w:r>
              <w:rPr>
                <w:rFonts w:hint="eastAsia" w:ascii="Times New Roman" w:hAnsi="Times New Roman" w:eastAsia="宋体" w:cs="Times New Roman"/>
                <w:color w:val="auto"/>
                <w:sz w:val="21"/>
                <w:szCs w:val="21"/>
                <w:highlight w:val="none"/>
                <w:shd w:val="clear" w:color="auto" w:fill="auto"/>
                <w:lang w:val="en-US" w:eastAsia="zh-CN"/>
              </w:rPr>
              <w:t>7口采油井</w:t>
            </w:r>
            <w:r>
              <w:rPr>
                <w:rFonts w:hint="eastAsia" w:cs="Times New Roman"/>
                <w:color w:val="auto"/>
                <w:sz w:val="21"/>
                <w:szCs w:val="21"/>
                <w:highlight w:val="none"/>
                <w:shd w:val="clear" w:color="auto" w:fill="auto"/>
                <w:lang w:val="en-US" w:eastAsia="zh-CN"/>
              </w:rPr>
              <w:t>和3口老井</w:t>
            </w:r>
            <w:r>
              <w:rPr>
                <w:rFonts w:hint="eastAsia" w:ascii="Times New Roman" w:hAnsi="Times New Roman" w:eastAsia="宋体" w:cs="Times New Roman"/>
                <w:color w:val="auto"/>
                <w:sz w:val="21"/>
                <w:szCs w:val="21"/>
                <w:highlight w:val="none"/>
                <w:shd w:val="clear" w:color="auto" w:fill="auto"/>
                <w:lang w:val="en-US" w:eastAsia="zh-CN"/>
              </w:rPr>
              <w:t>均</w:t>
            </w:r>
            <w:r>
              <w:rPr>
                <w:rFonts w:hint="eastAsia" w:ascii="Times New Roman" w:hAnsi="Times New Roman" w:eastAsia="宋体" w:cs="Times New Roman"/>
                <w:color w:val="auto"/>
                <w:sz w:val="21"/>
                <w:szCs w:val="21"/>
                <w:highlight w:val="none"/>
                <w:shd w:val="clear" w:color="auto" w:fill="auto"/>
              </w:rPr>
              <w:t>采用密闭集输工艺</w:t>
            </w:r>
            <w:r>
              <w:rPr>
                <w:rFonts w:hint="eastAsia" w:cs="Times New Roman"/>
                <w:color w:val="auto"/>
                <w:sz w:val="21"/>
                <w:szCs w:val="21"/>
                <w:highlight w:val="none"/>
                <w:shd w:val="clear" w:color="auto" w:fill="auto"/>
                <w:lang w:eastAsia="zh-CN"/>
              </w:rPr>
              <w:t>，</w:t>
            </w:r>
            <w:r>
              <w:rPr>
                <w:rFonts w:hint="eastAsia" w:cs="Times New Roman"/>
                <w:color w:val="auto"/>
                <w:sz w:val="21"/>
                <w:szCs w:val="21"/>
                <w:highlight w:val="none"/>
                <w:shd w:val="clear" w:color="auto" w:fill="auto"/>
                <w:lang w:val="en-US" w:eastAsia="zh-CN"/>
              </w:rPr>
              <w:t>其余8口老井采用单井拉油集输工艺。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537" w:type="dxa"/>
            <w:vMerge w:val="restart"/>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地面工程</w:t>
            </w:r>
          </w:p>
        </w:tc>
        <w:tc>
          <w:tcPr>
            <w:tcW w:w="456" w:type="dxa"/>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井场</w:t>
            </w:r>
          </w:p>
        </w:tc>
        <w:tc>
          <w:tcPr>
            <w:tcW w:w="7332" w:type="dxa"/>
            <w:tcBorders>
              <w:tl2br w:val="nil"/>
              <w:tr2bl w:val="nil"/>
            </w:tcBorders>
            <w:noWrap w:val="0"/>
            <w:vAlign w:val="center"/>
          </w:tcPr>
          <w:p>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新建标准化采油</w:t>
            </w:r>
            <w:r>
              <w:rPr>
                <w:rFonts w:hint="eastAsia" w:ascii="Times New Roman" w:hAnsi="Times New Roman" w:eastAsia="宋体" w:cs="Times New Roman"/>
                <w:color w:val="auto"/>
                <w:sz w:val="21"/>
                <w:szCs w:val="21"/>
                <w:highlight w:val="none"/>
                <w:shd w:val="clear" w:color="auto" w:fill="auto"/>
                <w:lang w:val="en-US" w:eastAsia="zh-CN"/>
              </w:rPr>
              <w:t>井场18座，其中密闭集输井场10座，单井拉油井场8座</w:t>
            </w:r>
            <w:r>
              <w:rPr>
                <w:rFonts w:hint="eastAsia" w:ascii="Times New Roman" w:hAnsi="Times New Roman" w:eastAsia="宋体"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right="-97" w:rightChars="-46"/>
              <w:rPr>
                <w:color w:val="auto"/>
                <w:sz w:val="21"/>
                <w:szCs w:val="21"/>
                <w:highlight w:val="none"/>
                <w:shd w:val="clear" w:color="auto" w:fill="auto"/>
              </w:rPr>
            </w:pPr>
          </w:p>
        </w:tc>
        <w:tc>
          <w:tcPr>
            <w:tcW w:w="537" w:type="dxa"/>
            <w:vMerge w:val="continue"/>
            <w:tcBorders>
              <w:tl2br w:val="nil"/>
              <w:tr2bl w:val="nil"/>
            </w:tcBorders>
            <w:noWrap w:val="0"/>
            <w:vAlign w:val="center"/>
          </w:tcPr>
          <w:p>
            <w:pPr>
              <w:autoSpaceDE w:val="0"/>
              <w:autoSpaceDN w:val="0"/>
              <w:ind w:right="-97" w:rightChars="-46"/>
              <w:rPr>
                <w:color w:val="auto"/>
                <w:sz w:val="21"/>
                <w:szCs w:val="21"/>
                <w:highlight w:val="none"/>
                <w:shd w:val="clear" w:color="auto" w:fill="auto"/>
              </w:rPr>
            </w:pPr>
          </w:p>
        </w:tc>
        <w:tc>
          <w:tcPr>
            <w:tcW w:w="456" w:type="dxa"/>
            <w:vMerge w:val="restart"/>
            <w:tcBorders>
              <w:tl2br w:val="nil"/>
              <w:tr2bl w:val="nil"/>
            </w:tcBorders>
            <w:noWrap w:val="0"/>
            <w:vAlign w:val="center"/>
          </w:tcPr>
          <w:p>
            <w:pPr>
              <w:autoSpaceDE w:val="0"/>
              <w:autoSpaceDN w:val="0"/>
              <w:ind w:right="-97" w:rightChars="-46"/>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站场</w:t>
            </w:r>
          </w:p>
        </w:tc>
        <w:tc>
          <w:tcPr>
            <w:tcW w:w="7332" w:type="dxa"/>
            <w:tcBorders>
              <w:tl2br w:val="nil"/>
              <w:tr2bl w:val="nil"/>
            </w:tcBorders>
            <w:noWrap w:val="0"/>
            <w:vAlign w:val="center"/>
          </w:tcPr>
          <w:p>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新建</w:t>
            </w:r>
            <w:r>
              <w:rPr>
                <w:rFonts w:hint="eastAsia" w:ascii="Times New Roman" w:hAnsi="Times New Roman" w:cs="Times New Roman"/>
                <w:color w:val="auto"/>
                <w:sz w:val="21"/>
                <w:szCs w:val="21"/>
                <w:highlight w:val="none"/>
                <w:shd w:val="clear" w:color="auto" w:fill="auto"/>
                <w:lang w:val="en-US" w:eastAsia="zh-CN"/>
              </w:rPr>
              <w:t>12井式</w:t>
            </w:r>
            <w:r>
              <w:rPr>
                <w:rFonts w:hint="default" w:ascii="Times New Roman" w:hAnsi="Times New Roman" w:cs="Times New Roman"/>
                <w:color w:val="auto"/>
                <w:sz w:val="21"/>
                <w:szCs w:val="21"/>
                <w:highlight w:val="none"/>
                <w:shd w:val="clear" w:color="auto" w:fill="auto"/>
              </w:rPr>
              <w:t>计量站</w:t>
            </w:r>
            <w:r>
              <w:rPr>
                <w:rFonts w:hint="eastAsia" w:ascii="Times New Roman" w:hAnsi="Times New Roman" w:cs="Times New Roman"/>
                <w:color w:val="auto"/>
                <w:sz w:val="21"/>
                <w:szCs w:val="21"/>
                <w:highlight w:val="none"/>
                <w:shd w:val="clear" w:color="auto" w:fill="auto"/>
                <w:lang w:val="en-US" w:eastAsia="zh-CN"/>
              </w:rPr>
              <w:t>1</w:t>
            </w:r>
            <w:r>
              <w:rPr>
                <w:rFonts w:hint="default" w:ascii="Times New Roman" w:hAnsi="Times New Roman" w:cs="Times New Roman"/>
                <w:color w:val="auto"/>
                <w:sz w:val="21"/>
                <w:szCs w:val="21"/>
                <w:highlight w:val="none"/>
                <w:shd w:val="clear" w:color="auto" w:fill="auto"/>
              </w:rPr>
              <w:t>座（丰探1计量站）</w:t>
            </w:r>
            <w:r>
              <w:rPr>
                <w:rFonts w:hint="eastAsia"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right="-97" w:rightChars="-46"/>
              <w:rPr>
                <w:color w:val="auto"/>
                <w:highlight w:val="none"/>
                <w:shd w:val="clear" w:color="auto" w:fill="auto"/>
              </w:rPr>
            </w:pPr>
          </w:p>
        </w:tc>
        <w:tc>
          <w:tcPr>
            <w:tcW w:w="537" w:type="dxa"/>
            <w:vMerge w:val="continue"/>
            <w:tcBorders>
              <w:tl2br w:val="nil"/>
              <w:tr2bl w:val="nil"/>
            </w:tcBorders>
            <w:noWrap w:val="0"/>
            <w:vAlign w:val="center"/>
          </w:tcPr>
          <w:p>
            <w:pPr>
              <w:autoSpaceDE w:val="0"/>
              <w:autoSpaceDN w:val="0"/>
              <w:ind w:right="-97" w:rightChars="-46"/>
              <w:rPr>
                <w:color w:val="auto"/>
                <w:highlight w:val="none"/>
                <w:shd w:val="clear" w:color="auto" w:fill="auto"/>
              </w:rPr>
            </w:pPr>
          </w:p>
        </w:tc>
        <w:tc>
          <w:tcPr>
            <w:tcW w:w="456" w:type="dxa"/>
            <w:vMerge w:val="continue"/>
            <w:tcBorders>
              <w:tl2br w:val="nil"/>
              <w:tr2bl w:val="nil"/>
            </w:tcBorders>
            <w:noWrap w:val="0"/>
            <w:vAlign w:val="center"/>
          </w:tcPr>
          <w:p>
            <w:pPr>
              <w:autoSpaceDE w:val="0"/>
              <w:autoSpaceDN w:val="0"/>
              <w:ind w:right="-97" w:rightChars="-46"/>
              <w:rPr>
                <w:color w:val="auto"/>
                <w:highlight w:val="none"/>
                <w:shd w:val="clear" w:color="auto" w:fill="auto"/>
              </w:rPr>
            </w:pPr>
          </w:p>
        </w:tc>
        <w:tc>
          <w:tcPr>
            <w:tcW w:w="7332" w:type="dxa"/>
            <w:tcBorders>
              <w:tl2br w:val="nil"/>
              <w:tr2bl w:val="nil"/>
            </w:tcBorders>
            <w:noWrap w:val="0"/>
            <w:vAlign w:val="center"/>
          </w:tcPr>
          <w:p>
            <w:pPr>
              <w:keepNext w:val="0"/>
              <w:keepLines w:val="0"/>
              <w:pageBreakBefore w:val="0"/>
              <w:widowControl/>
              <w:kinsoku/>
              <w:wordWrap/>
              <w:overflowPunct/>
              <w:topLinePunct w:val="0"/>
              <w:autoSpaceDE w:val="0"/>
              <w:autoSpaceDN w:val="0"/>
              <w:bidi w:val="0"/>
              <w:adjustRightInd/>
              <w:snapToGrid/>
              <w:ind w:right="-97" w:rightChars="-46"/>
              <w:jc w:val="left"/>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新建</w:t>
            </w:r>
            <w:r>
              <w:rPr>
                <w:rFonts w:hint="default" w:ascii="Times New Roman" w:hAnsi="Times New Roman" w:cs="Times New Roman"/>
                <w:color w:val="auto"/>
                <w:sz w:val="21"/>
                <w:szCs w:val="21"/>
                <w:highlight w:val="none"/>
                <w:shd w:val="clear" w:color="auto" w:fill="auto"/>
                <w:lang w:val="en-US" w:eastAsia="zh-CN"/>
              </w:rPr>
              <w:t>集中拉油站</w:t>
            </w:r>
            <w:r>
              <w:rPr>
                <w:rFonts w:hint="default" w:ascii="Times New Roman" w:hAnsi="Times New Roman" w:cs="Times New Roman"/>
                <w:color w:val="auto"/>
                <w:sz w:val="21"/>
                <w:szCs w:val="21"/>
                <w:highlight w:val="none"/>
                <w:shd w:val="clear" w:color="auto" w:fill="auto"/>
              </w:rPr>
              <w:t>1座</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lang w:val="en-US" w:eastAsia="zh-CN"/>
              </w:rPr>
              <w:t>规模为</w:t>
            </w:r>
            <w:r>
              <w:rPr>
                <w:rFonts w:hint="default" w:ascii="Times New Roman" w:hAnsi="Times New Roman" w:cs="Times New Roman"/>
                <w:color w:val="auto"/>
                <w:sz w:val="21"/>
                <w:szCs w:val="21"/>
                <w:highlight w:val="none"/>
              </w:rPr>
              <w:t>30×10</w:t>
            </w:r>
            <w:r>
              <w:rPr>
                <w:rFonts w:hint="default" w:ascii="Times New Roman" w:hAnsi="Times New Roman" w:cs="Times New Roman"/>
                <w:color w:val="auto"/>
                <w:sz w:val="21"/>
                <w:szCs w:val="21"/>
                <w:highlight w:val="none"/>
                <w:vertAlign w:val="superscript"/>
              </w:rPr>
              <w:t>4</w:t>
            </w:r>
            <w:r>
              <w:rPr>
                <w:rFonts w:hint="default" w:ascii="Times New Roman" w:hAnsi="Times New Roman" w:cs="Times New Roman"/>
                <w:color w:val="auto"/>
                <w:sz w:val="21"/>
                <w:szCs w:val="21"/>
                <w:highlight w:val="none"/>
              </w:rPr>
              <w:t>t/a（液）</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lang w:val="en-US" w:eastAsia="zh-CN"/>
              </w:rPr>
              <w:t>集中拉油站内设备主要有</w:t>
            </w:r>
            <w:r>
              <w:rPr>
                <w:rStyle w:val="67"/>
                <w:rFonts w:hint="default" w:ascii="Times New Roman" w:hAnsi="Times New Roman" w:cs="Times New Roman"/>
                <w:color w:val="auto"/>
                <w:lang w:bidi="ar"/>
              </w:rPr>
              <w:t>生产分离器（</w:t>
            </w:r>
            <w:r>
              <w:rPr>
                <w:rStyle w:val="68"/>
                <w:rFonts w:hint="default" w:ascii="Times New Roman" w:hAnsi="Times New Roman" w:cs="Times New Roman"/>
                <w:color w:val="auto"/>
                <w:lang w:bidi="ar"/>
              </w:rPr>
              <w:t>Φ</w:t>
            </w:r>
            <w:r>
              <w:rPr>
                <w:rFonts w:hint="default" w:ascii="Times New Roman" w:hAnsi="Times New Roman" w:cs="Times New Roman"/>
                <w:bCs/>
                <w:color w:val="auto"/>
                <w:szCs w:val="21"/>
              </w:rPr>
              <w:t>3.0m×9.0m</w:t>
            </w:r>
            <w:r>
              <w:rPr>
                <w:rStyle w:val="67"/>
                <w:rFonts w:hint="default" w:ascii="Times New Roman" w:hAnsi="Times New Roman" w:cs="Times New Roman"/>
                <w:color w:val="auto"/>
                <w:lang w:bidi="ar"/>
              </w:rPr>
              <w:t>）</w:t>
            </w:r>
            <w:r>
              <w:rPr>
                <w:rStyle w:val="67"/>
                <w:rFonts w:hint="default" w:ascii="Times New Roman" w:hAnsi="Times New Roman" w:cs="Times New Roman"/>
                <w:color w:val="auto"/>
                <w:lang w:val="en-US" w:eastAsia="zh-CN" w:bidi="ar"/>
              </w:rPr>
              <w:t>1座，拉油罐（</w:t>
            </w:r>
            <w:r>
              <w:rPr>
                <w:rFonts w:hint="default" w:ascii="Times New Roman" w:hAnsi="Times New Roman" w:cs="Times New Roman"/>
                <w:color w:val="auto"/>
                <w:kern w:val="0"/>
                <w:szCs w:val="21"/>
                <w:lang w:bidi="ar"/>
              </w:rPr>
              <w:t>1000m</w:t>
            </w:r>
            <w:r>
              <w:rPr>
                <w:rStyle w:val="69"/>
                <w:rFonts w:hint="default" w:ascii="Times New Roman" w:hAnsi="Times New Roman" w:cs="Times New Roman"/>
                <w:color w:val="auto"/>
                <w:lang w:bidi="ar"/>
              </w:rPr>
              <w:t>3</w:t>
            </w:r>
            <w:r>
              <w:rPr>
                <w:rStyle w:val="67"/>
                <w:rFonts w:hint="default" w:ascii="Times New Roman" w:hAnsi="Times New Roman" w:cs="Times New Roman"/>
                <w:color w:val="auto"/>
                <w:lang w:val="en-US" w:eastAsia="zh-CN" w:bidi="ar"/>
              </w:rPr>
              <w:t>）2座，</w:t>
            </w:r>
            <w:r>
              <w:rPr>
                <w:rFonts w:hint="default" w:ascii="Times New Roman" w:hAnsi="Times New Roman" w:cs="Times New Roman"/>
                <w:color w:val="auto"/>
                <w:kern w:val="0"/>
                <w:szCs w:val="21"/>
                <w:lang w:bidi="ar"/>
              </w:rPr>
              <w:t>密闭装车撬（含两台装车泵</w:t>
            </w:r>
            <w:r>
              <w:rPr>
                <w:rFonts w:hint="default" w:ascii="Times New Roman" w:hAnsi="Times New Roman" w:cs="Times New Roman"/>
                <w:color w:val="auto"/>
                <w:kern w:val="0"/>
                <w:szCs w:val="21"/>
                <w:lang w:eastAsia="zh-CN" w:bidi="ar"/>
              </w:rPr>
              <w:t>，</w:t>
            </w:r>
            <w:r>
              <w:rPr>
                <w:rStyle w:val="67"/>
                <w:rFonts w:hint="default" w:ascii="Times New Roman" w:hAnsi="Times New Roman" w:cs="Times New Roman"/>
                <w:color w:val="auto"/>
                <w:lang w:bidi="ar"/>
              </w:rPr>
              <w:t>一用一备）</w:t>
            </w:r>
            <w:r>
              <w:rPr>
                <w:rStyle w:val="67"/>
                <w:rFonts w:hint="default" w:ascii="Times New Roman" w:hAnsi="Times New Roman" w:cs="Times New Roman"/>
                <w:color w:val="auto"/>
                <w:lang w:val="en-US" w:eastAsia="zh-CN" w:bidi="ar"/>
              </w:rPr>
              <w:t>3套，除液器1座（（Φ1.0m×3.0m），储罐防爆电加热器（380V 200kW），呼阻一体式呼吸阀2套，</w:t>
            </w:r>
            <w:r>
              <w:rPr>
                <w:rStyle w:val="68"/>
                <w:rFonts w:hint="default" w:ascii="Times New Roman" w:hAnsi="Times New Roman" w:cs="Times New Roman"/>
                <w:color w:val="auto"/>
                <w:lang w:bidi="ar"/>
              </w:rPr>
              <w:t>DN80</w:t>
            </w:r>
            <w:r>
              <w:rPr>
                <w:rStyle w:val="67"/>
                <w:rFonts w:hint="default" w:ascii="Times New Roman" w:hAnsi="Times New Roman" w:cs="Times New Roman"/>
                <w:color w:val="auto"/>
                <w:lang w:bidi="ar"/>
              </w:rPr>
              <w:t>分流式无气源自动点火放空火炬（内含自动点火装置）</w:t>
            </w:r>
            <w:r>
              <w:rPr>
                <w:rStyle w:val="67"/>
                <w:rFonts w:hint="default" w:ascii="Times New Roman" w:hAnsi="Times New Roman" w:cs="Times New Roman"/>
                <w:color w:val="auto"/>
                <w:lang w:val="en-US" w:eastAsia="zh-CN" w:bidi="ar"/>
              </w:rPr>
              <w:t>1座等。</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537" w:type="dxa"/>
            <w:vMerge w:val="continue"/>
            <w:tcBorders>
              <w:tl2br w:val="nil"/>
              <w:tr2bl w:val="nil"/>
            </w:tcBorders>
            <w:noWrap w:val="0"/>
            <w:vAlign w:val="center"/>
          </w:tcPr>
          <w:p>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456" w:type="dxa"/>
            <w:vMerge w:val="continue"/>
            <w:tcBorders>
              <w:tl2br w:val="nil"/>
              <w:tr2bl w:val="nil"/>
            </w:tcBorders>
            <w:noWrap w:val="0"/>
            <w:vAlign w:val="center"/>
          </w:tcPr>
          <w:p>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7332" w:type="dxa"/>
            <w:tcBorders>
              <w:tl2br w:val="nil"/>
              <w:tr2bl w:val="nil"/>
            </w:tcBorders>
            <w:noWrap w:val="0"/>
            <w:vAlign w:val="center"/>
          </w:tcPr>
          <w:p>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新建阀池1座。</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trPr>
        <w:tc>
          <w:tcPr>
            <w:tcW w:w="525"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537"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456" w:type="dxa"/>
            <w:vMerge w:val="restart"/>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管线</w:t>
            </w:r>
          </w:p>
        </w:tc>
        <w:tc>
          <w:tcPr>
            <w:tcW w:w="7332" w:type="dxa"/>
            <w:tcBorders>
              <w:tl2br w:val="nil"/>
              <w:tr2bl w:val="nil"/>
            </w:tcBorders>
            <w:noWrap w:val="0"/>
            <w:vAlign w:val="center"/>
          </w:tcPr>
          <w:p>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新建</w:t>
            </w:r>
            <w:r>
              <w:rPr>
                <w:rFonts w:ascii="Times New Roman" w:hAnsi="Times New Roman"/>
                <w:color w:val="auto"/>
                <w:szCs w:val="21"/>
              </w:rPr>
              <w:t>单井</w:t>
            </w:r>
            <w:r>
              <w:rPr>
                <w:rFonts w:hint="eastAsia"/>
                <w:color w:val="auto"/>
                <w:szCs w:val="21"/>
                <w:lang w:val="en-US" w:eastAsia="zh-CN"/>
              </w:rPr>
              <w:t>输油</w:t>
            </w:r>
            <w:r>
              <w:rPr>
                <w:rFonts w:ascii="Times New Roman" w:hAnsi="Times New Roman"/>
                <w:color w:val="auto"/>
                <w:szCs w:val="21"/>
              </w:rPr>
              <w:t>管线</w:t>
            </w:r>
            <w:r>
              <w:rPr>
                <w:rFonts w:hint="eastAsia"/>
                <w:color w:val="auto"/>
                <w:szCs w:val="21"/>
                <w:lang w:val="en-US" w:eastAsia="zh-CN"/>
              </w:rPr>
              <w:t>15km（</w:t>
            </w:r>
            <w:r>
              <w:rPr>
                <w:rFonts w:ascii="Times New Roman" w:hAnsi="Times New Roman"/>
                <w:color w:val="auto"/>
                <w:kern w:val="0"/>
                <w:szCs w:val="21"/>
                <w:lang w:bidi="ar"/>
              </w:rPr>
              <w:t>DN65</w:t>
            </w:r>
            <w:r>
              <w:rPr>
                <w:rFonts w:hint="eastAsia"/>
                <w:color w:val="auto"/>
                <w:szCs w:val="21"/>
                <w:lang w:val="en-US" w:eastAsia="zh-CN"/>
              </w:rPr>
              <w:t>）</w:t>
            </w:r>
            <w:r>
              <w:rPr>
                <w:rFonts w:ascii="Times New Roman" w:hAnsi="Times New Roman"/>
                <w:color w:val="auto"/>
                <w:szCs w:val="21"/>
              </w:rPr>
              <w:t>，</w:t>
            </w:r>
            <w:r>
              <w:rPr>
                <w:rFonts w:hint="eastAsia"/>
                <w:color w:val="auto"/>
                <w:szCs w:val="21"/>
                <w:lang w:val="en-US" w:eastAsia="zh-CN"/>
              </w:rPr>
              <w:t>材质为</w:t>
            </w:r>
            <w:r>
              <w:rPr>
                <w:rFonts w:ascii="Times New Roman" w:hAnsi="Times New Roman"/>
                <w:color w:val="auto"/>
                <w:szCs w:val="21"/>
              </w:rPr>
              <w:t>柔性复合管（Ⅱ型）</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6" w:hRule="atLeast"/>
        </w:trPr>
        <w:tc>
          <w:tcPr>
            <w:tcW w:w="525" w:type="dxa"/>
            <w:vMerge w:val="continue"/>
            <w:tcBorders>
              <w:tl2br w:val="nil"/>
              <w:tr2bl w:val="nil"/>
            </w:tcBorders>
            <w:noWrap w:val="0"/>
            <w:vAlign w:val="center"/>
          </w:tcPr>
          <w:p>
            <w:pPr>
              <w:autoSpaceDE w:val="0"/>
              <w:autoSpaceDN w:val="0"/>
              <w:ind w:right="-97" w:rightChars="-46"/>
              <w:jc w:val="left"/>
              <w:rPr>
                <w:color w:val="auto"/>
              </w:rPr>
            </w:pPr>
          </w:p>
        </w:tc>
        <w:tc>
          <w:tcPr>
            <w:tcW w:w="537" w:type="dxa"/>
            <w:vMerge w:val="continue"/>
            <w:tcBorders>
              <w:tl2br w:val="nil"/>
              <w:tr2bl w:val="nil"/>
            </w:tcBorders>
            <w:noWrap w:val="0"/>
            <w:vAlign w:val="center"/>
          </w:tcPr>
          <w:p>
            <w:pPr>
              <w:autoSpaceDE w:val="0"/>
              <w:autoSpaceDN w:val="0"/>
              <w:ind w:right="-97" w:rightChars="-46"/>
              <w:jc w:val="left"/>
              <w:rPr>
                <w:color w:val="auto"/>
              </w:rPr>
            </w:pPr>
          </w:p>
        </w:tc>
        <w:tc>
          <w:tcPr>
            <w:tcW w:w="456" w:type="dxa"/>
            <w:vMerge w:val="continue"/>
            <w:tcBorders>
              <w:tl2br w:val="nil"/>
              <w:tr2bl w:val="nil"/>
            </w:tcBorders>
            <w:noWrap w:val="0"/>
            <w:vAlign w:val="center"/>
          </w:tcPr>
          <w:p>
            <w:pPr>
              <w:autoSpaceDE w:val="0"/>
              <w:autoSpaceDN w:val="0"/>
              <w:ind w:right="-97" w:rightChars="-46"/>
              <w:jc w:val="left"/>
              <w:rPr>
                <w:color w:val="auto"/>
              </w:rPr>
            </w:pPr>
          </w:p>
        </w:tc>
        <w:tc>
          <w:tcPr>
            <w:tcW w:w="7332" w:type="dxa"/>
            <w:tcBorders>
              <w:tl2br w:val="nil"/>
              <w:tr2bl w:val="nil"/>
            </w:tcBorders>
            <w:noWrap w:val="0"/>
            <w:vAlign w:val="center"/>
          </w:tcPr>
          <w:p>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新建集输支线</w:t>
            </w:r>
            <w:r>
              <w:rPr>
                <w:rFonts w:hint="eastAsia"/>
                <w:color w:val="auto"/>
                <w:szCs w:val="21"/>
                <w:lang w:val="en-US" w:eastAsia="zh-CN"/>
              </w:rPr>
              <w:t>3.5km（</w:t>
            </w:r>
            <w:r>
              <w:rPr>
                <w:rFonts w:ascii="Times New Roman" w:hAnsi="Times New Roman"/>
                <w:color w:val="auto"/>
                <w:kern w:val="0"/>
                <w:szCs w:val="21"/>
                <w:lang w:bidi="ar"/>
              </w:rPr>
              <w:t>DN</w:t>
            </w:r>
            <w:r>
              <w:rPr>
                <w:rFonts w:hint="eastAsia" w:ascii="Times New Roman" w:hAnsi="Times New Roman"/>
                <w:color w:val="auto"/>
                <w:kern w:val="0"/>
                <w:szCs w:val="21"/>
                <w:lang w:val="en-US" w:eastAsia="zh-CN" w:bidi="ar"/>
              </w:rPr>
              <w:t>150</w:t>
            </w:r>
            <w:r>
              <w:rPr>
                <w:rFonts w:hint="eastAsia"/>
                <w:color w:val="auto"/>
                <w:szCs w:val="21"/>
                <w:lang w:val="en-US" w:eastAsia="zh-CN"/>
              </w:rPr>
              <w:t>），材质为</w:t>
            </w:r>
            <w:r>
              <w:rPr>
                <w:rFonts w:ascii="Times New Roman" w:hAnsi="Times New Roman"/>
                <w:color w:val="auto"/>
                <w:szCs w:val="21"/>
              </w:rPr>
              <w:t>热塑性塑料内衬玻璃钢复合管</w:t>
            </w:r>
            <w:r>
              <w:rPr>
                <w:rFonts w:hint="eastAsia"/>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126" w:hRule="atLeast"/>
        </w:trPr>
        <w:tc>
          <w:tcPr>
            <w:tcW w:w="525" w:type="dxa"/>
            <w:vMerge w:val="continue"/>
            <w:tcBorders>
              <w:tl2br w:val="nil"/>
              <w:tr2bl w:val="nil"/>
            </w:tcBorders>
            <w:noWrap w:val="0"/>
            <w:vAlign w:val="center"/>
          </w:tcPr>
          <w:p>
            <w:pPr>
              <w:autoSpaceDE w:val="0"/>
              <w:autoSpaceDN w:val="0"/>
              <w:ind w:right="-97" w:rightChars="-46"/>
              <w:jc w:val="left"/>
              <w:rPr>
                <w:color w:val="auto"/>
              </w:rPr>
            </w:pPr>
          </w:p>
        </w:tc>
        <w:tc>
          <w:tcPr>
            <w:tcW w:w="537" w:type="dxa"/>
            <w:vMerge w:val="continue"/>
            <w:tcBorders>
              <w:tl2br w:val="nil"/>
              <w:tr2bl w:val="nil"/>
            </w:tcBorders>
            <w:noWrap w:val="0"/>
            <w:vAlign w:val="center"/>
          </w:tcPr>
          <w:p>
            <w:pPr>
              <w:autoSpaceDE w:val="0"/>
              <w:autoSpaceDN w:val="0"/>
              <w:ind w:right="-97" w:rightChars="-46"/>
              <w:jc w:val="left"/>
              <w:rPr>
                <w:color w:val="auto"/>
              </w:rPr>
            </w:pPr>
          </w:p>
        </w:tc>
        <w:tc>
          <w:tcPr>
            <w:tcW w:w="456" w:type="dxa"/>
            <w:vMerge w:val="continue"/>
            <w:tcBorders>
              <w:tl2br w:val="nil"/>
              <w:tr2bl w:val="nil"/>
            </w:tcBorders>
            <w:noWrap w:val="0"/>
            <w:vAlign w:val="center"/>
          </w:tcPr>
          <w:p>
            <w:pPr>
              <w:autoSpaceDE w:val="0"/>
              <w:autoSpaceDN w:val="0"/>
              <w:ind w:right="-97" w:rightChars="-46"/>
              <w:jc w:val="left"/>
              <w:rPr>
                <w:color w:val="auto"/>
              </w:rPr>
            </w:pPr>
          </w:p>
        </w:tc>
        <w:tc>
          <w:tcPr>
            <w:tcW w:w="7332" w:type="dxa"/>
            <w:tcBorders>
              <w:tl2br w:val="nil"/>
              <w:tr2bl w:val="nil"/>
            </w:tcBorders>
            <w:noWrap w:val="0"/>
            <w:vAlign w:val="center"/>
          </w:tcPr>
          <w:p>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新建输气管道0.25km（D219×5），材质为</w:t>
            </w:r>
            <w:r>
              <w:rPr>
                <w:rFonts w:ascii="Times New Roman" w:hAnsi="Times New Roman"/>
                <w:color w:val="auto"/>
                <w:szCs w:val="21"/>
              </w:rPr>
              <w:t>直缝高频焊钢管</w:t>
            </w:r>
            <w:r>
              <w:rPr>
                <w:rFonts w:hint="eastAsia" w:ascii="Times New Roman" w:hAnsi="Times New Roman"/>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65" w:hRule="atLeast"/>
        </w:trPr>
        <w:tc>
          <w:tcPr>
            <w:tcW w:w="525" w:type="dxa"/>
            <w:vMerge w:val="continue"/>
            <w:tcBorders>
              <w:tl2br w:val="nil"/>
              <w:tr2bl w:val="nil"/>
            </w:tcBorders>
            <w:noWrap w:val="0"/>
            <w:vAlign w:val="center"/>
          </w:tcPr>
          <w:p>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p>
        </w:tc>
        <w:tc>
          <w:tcPr>
            <w:tcW w:w="537" w:type="dxa"/>
            <w:vMerge w:val="continue"/>
            <w:tcBorders>
              <w:tl2br w:val="nil"/>
              <w:tr2bl w:val="nil"/>
            </w:tcBorders>
            <w:noWrap w:val="0"/>
            <w:vAlign w:val="center"/>
          </w:tcPr>
          <w:p>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p>
        </w:tc>
        <w:tc>
          <w:tcPr>
            <w:tcW w:w="456" w:type="dxa"/>
            <w:vMerge w:val="continue"/>
            <w:tcBorders>
              <w:tl2br w:val="nil"/>
              <w:tr2bl w:val="nil"/>
            </w:tcBorders>
            <w:noWrap w:val="0"/>
            <w:vAlign w:val="center"/>
          </w:tcPr>
          <w:p>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p>
        </w:tc>
        <w:tc>
          <w:tcPr>
            <w:tcW w:w="7332" w:type="dxa"/>
            <w:tcBorders>
              <w:tl2br w:val="nil"/>
              <w:tr2bl w:val="nil"/>
            </w:tcBorders>
            <w:noWrap w:val="0"/>
            <w:vAlign w:val="center"/>
          </w:tcPr>
          <w:p>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新建</w:t>
            </w:r>
            <w:bookmarkStart w:id="282" w:name="OLE_LINK22"/>
            <w:r>
              <w:rPr>
                <w:rFonts w:ascii="Times New Roman" w:hAnsi="Times New Roman"/>
                <w:color w:val="auto"/>
                <w:szCs w:val="21"/>
              </w:rPr>
              <w:t>净化油外输管线</w:t>
            </w:r>
            <w:r>
              <w:rPr>
                <w:rFonts w:hint="eastAsia" w:cs="Times New Roman"/>
                <w:color w:val="auto"/>
                <w:sz w:val="21"/>
                <w:szCs w:val="21"/>
                <w:highlight w:val="none"/>
                <w:shd w:val="clear" w:color="auto" w:fill="auto"/>
                <w:lang w:val="en-US" w:eastAsia="zh-CN"/>
              </w:rPr>
              <w:t>15.5</w:t>
            </w:r>
            <w:r>
              <w:rPr>
                <w:rFonts w:hint="eastAsia"/>
                <w:color w:val="auto"/>
                <w:szCs w:val="21"/>
                <w:lang w:val="en-US" w:eastAsia="zh-CN"/>
              </w:rPr>
              <w:t>km（</w:t>
            </w:r>
            <w:r>
              <w:rPr>
                <w:rFonts w:ascii="Times New Roman" w:hAnsi="Times New Roman"/>
                <w:color w:val="auto"/>
                <w:szCs w:val="21"/>
              </w:rPr>
              <w:t>D219×6</w:t>
            </w:r>
            <w:r>
              <w:rPr>
                <w:rFonts w:hint="eastAsia"/>
                <w:color w:val="auto"/>
                <w:szCs w:val="21"/>
                <w:lang w:val="en-US" w:eastAsia="zh-CN"/>
              </w:rPr>
              <w:t>）</w:t>
            </w:r>
            <w:bookmarkEnd w:id="282"/>
            <w:r>
              <w:rPr>
                <w:rFonts w:hint="eastAsia"/>
                <w:color w:val="auto"/>
                <w:szCs w:val="21"/>
                <w:lang w:val="en-US" w:eastAsia="zh-CN"/>
              </w:rPr>
              <w:t>，材质为</w:t>
            </w:r>
            <w:r>
              <w:rPr>
                <w:rFonts w:ascii="Times New Roman" w:hAnsi="Times New Roman"/>
                <w:color w:val="auto"/>
                <w:szCs w:val="21"/>
              </w:rPr>
              <w:t>无缝钢管</w:t>
            </w:r>
            <w:r>
              <w:rPr>
                <w:rFonts w:hint="eastAsia"/>
                <w:color w:val="auto"/>
                <w:szCs w:val="21"/>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restart"/>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公辅</w:t>
            </w:r>
            <w:r>
              <w:rPr>
                <w:rFonts w:hint="default" w:ascii="Times New Roman" w:hAnsi="Times New Roman" w:cs="Times New Roman"/>
                <w:color w:val="auto"/>
                <w:sz w:val="21"/>
                <w:szCs w:val="21"/>
                <w:highlight w:val="none"/>
                <w:shd w:val="clear" w:color="auto" w:fill="auto"/>
              </w:rPr>
              <w:t>工程</w:t>
            </w: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道路工程</w:t>
            </w:r>
          </w:p>
        </w:tc>
        <w:tc>
          <w:tcPr>
            <w:tcW w:w="7332" w:type="dxa"/>
            <w:tcBorders>
              <w:tl2br w:val="nil"/>
              <w:tr2bl w:val="nil"/>
            </w:tcBorders>
            <w:noWrap w:val="0"/>
            <w:vAlign w:val="center"/>
          </w:tcPr>
          <w:p>
            <w:pPr>
              <w:autoSpaceDE w:val="0"/>
              <w:autoSpaceDN w:val="0"/>
              <w:ind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rPr>
              <w:t>不新建道路，利用现有已建道路。</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供电工程</w:t>
            </w:r>
          </w:p>
        </w:tc>
        <w:tc>
          <w:tcPr>
            <w:tcW w:w="7332" w:type="dxa"/>
            <w:tcBorders>
              <w:tl2br w:val="nil"/>
              <w:tr2bl w:val="nil"/>
            </w:tcBorders>
            <w:noWrap w:val="0"/>
            <w:vAlign w:val="center"/>
          </w:tcPr>
          <w:p>
            <w:pPr>
              <w:autoSpaceDE w:val="0"/>
              <w:autoSpaceDN w:val="0"/>
              <w:ind w:right="-97" w:rightChars="-46"/>
              <w:jc w:val="left"/>
              <w:rPr>
                <w:rFonts w:hint="eastAsia"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本次在每口井设2座杆架式变电站，</w:t>
            </w:r>
            <w:r>
              <w:rPr>
                <w:rFonts w:ascii="Times New Roman" w:hAnsi="Times New Roman"/>
                <w:color w:val="auto"/>
              </w:rPr>
              <w:t>容量设为80~160kV</w:t>
            </w:r>
            <w:r>
              <w:rPr>
                <w:rFonts w:hint="eastAsia" w:ascii="Times New Roman" w:hAnsi="Times New Roman" w:cs="Times New Roman"/>
                <w:color w:val="auto"/>
                <w:sz w:val="21"/>
                <w:szCs w:val="21"/>
                <w:highlight w:val="none"/>
                <w:shd w:val="clear" w:color="auto" w:fill="auto"/>
                <w:lang w:val="en-US" w:eastAsia="zh-CN"/>
              </w:rPr>
              <w:t>，采用二级能效节能型电力变压器，变压器负荷率为58.2%，采用电缆直埋地敷设至井口配电箱；</w:t>
            </w:r>
            <w:r>
              <w:rPr>
                <w:rFonts w:hint="eastAsia" w:ascii="Times New Roman" w:hAnsi="Times New Roman"/>
                <w:color w:val="auto"/>
              </w:rPr>
              <w:t>计量橇</w:t>
            </w:r>
          </w:p>
          <w:p>
            <w:pPr>
              <w:autoSpaceDE w:val="0"/>
              <w:autoSpaceDN w:val="0"/>
              <w:ind w:right="-97" w:rightChars="-46"/>
              <w:jc w:val="left"/>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olor w:val="auto"/>
              </w:rPr>
              <w:t>采用0.4kV架空线路配电，用电依托油区新建杆架式变电站</w:t>
            </w:r>
            <w:r>
              <w:rPr>
                <w:rFonts w:hint="eastAsia"/>
                <w:color w:val="auto"/>
                <w:lang w:eastAsia="zh-CN"/>
              </w:rPr>
              <w:t>；</w:t>
            </w:r>
            <w:r>
              <w:rPr>
                <w:rFonts w:hint="eastAsia" w:ascii="Times New Roman" w:hAnsi="Times New Roman" w:cs="Times New Roman"/>
                <w:color w:val="auto"/>
                <w:sz w:val="21"/>
                <w:szCs w:val="21"/>
                <w:highlight w:val="none"/>
                <w:shd w:val="clear" w:color="auto" w:fill="auto"/>
                <w:lang w:val="en-US" w:eastAsia="zh-CN"/>
              </w:rPr>
              <w:t>集中拉油站</w:t>
            </w:r>
            <w:r>
              <w:rPr>
                <w:rFonts w:ascii="Times New Roman" w:hAnsi="Times New Roman"/>
                <w:color w:val="auto"/>
              </w:rPr>
              <w:t>外设1座杆架式变电站，变压器容量为</w:t>
            </w:r>
            <w:r>
              <w:rPr>
                <w:rFonts w:hint="eastAsia" w:ascii="Times New Roman" w:hAnsi="Times New Roman"/>
                <w:color w:val="auto"/>
              </w:rPr>
              <w:t>315</w:t>
            </w:r>
            <w:r>
              <w:rPr>
                <w:rFonts w:ascii="Times New Roman" w:hAnsi="Times New Roman"/>
                <w:color w:val="auto"/>
              </w:rPr>
              <w:t>kVA，负责站内负荷供电</w:t>
            </w:r>
            <w:r>
              <w:rPr>
                <w:rFonts w:hint="eastAsia"/>
                <w:color w:val="auto"/>
                <w:lang w:eastAsia="zh-CN"/>
              </w:rPr>
              <w:t>。</w:t>
            </w:r>
            <w:r>
              <w:rPr>
                <w:rFonts w:hint="eastAsia"/>
                <w:color w:val="auto"/>
                <w:lang w:val="en-US" w:eastAsia="zh-CN"/>
              </w:rPr>
              <w:t>本工程</w:t>
            </w:r>
            <w:r>
              <w:rPr>
                <w:rFonts w:hint="eastAsia" w:ascii="Times New Roman" w:hAnsi="Times New Roman"/>
                <w:color w:val="auto"/>
              </w:rPr>
              <w:t>新增电力负荷628kW</w:t>
            </w:r>
            <w:r>
              <w:rPr>
                <w:rFonts w:hint="eastAsia"/>
                <w:color w:val="auto"/>
                <w:lang w:eastAsia="zh-CN"/>
              </w:rPr>
              <w:t>，</w:t>
            </w:r>
            <w:r>
              <w:rPr>
                <w:rFonts w:hint="eastAsia" w:ascii="Times New Roman" w:hAnsi="Times New Roman"/>
                <w:color w:val="auto"/>
              </w:rPr>
              <w:t>依托10kV夏四线供电</w:t>
            </w:r>
            <w:r>
              <w:rPr>
                <w:rFonts w:hint="eastAsia"/>
                <w:color w:val="auto"/>
                <w:lang w:eastAsia="zh-CN"/>
              </w:rPr>
              <w:t>。</w:t>
            </w:r>
          </w:p>
          <w:p>
            <w:pPr>
              <w:autoSpaceDE w:val="0"/>
              <w:autoSpaceDN w:val="0"/>
              <w:ind w:right="-97" w:rightChars="-46"/>
              <w:jc w:val="left"/>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本工程</w:t>
            </w:r>
            <w:r>
              <w:rPr>
                <w:rFonts w:hint="default" w:ascii="Times New Roman" w:hAnsi="Times New Roman" w:cs="Times New Roman"/>
                <w:color w:val="auto"/>
                <w:sz w:val="21"/>
                <w:szCs w:val="21"/>
                <w:highlight w:val="none"/>
                <w:shd w:val="clear" w:color="auto" w:fill="auto"/>
                <w:lang w:val="en-US" w:eastAsia="zh-CN"/>
              </w:rPr>
              <w:t>施工期钻机动力、办公等用电等</w:t>
            </w:r>
            <w:r>
              <w:rPr>
                <w:rFonts w:hint="eastAsia" w:ascii="Times New Roman" w:hAnsi="Times New Roman" w:cs="Times New Roman"/>
                <w:color w:val="auto"/>
                <w:sz w:val="21"/>
                <w:szCs w:val="21"/>
                <w:highlight w:val="none"/>
                <w:shd w:val="clear" w:color="auto" w:fill="auto"/>
                <w:lang w:val="en-US" w:eastAsia="zh-CN"/>
              </w:rPr>
              <w:t>采用</w:t>
            </w:r>
            <w:r>
              <w:rPr>
                <w:rFonts w:hint="default" w:ascii="Times New Roman" w:hAnsi="Times New Roman" w:cs="Times New Roman"/>
                <w:color w:val="auto"/>
                <w:sz w:val="21"/>
                <w:szCs w:val="21"/>
                <w:highlight w:val="none"/>
                <w:shd w:val="clear" w:color="auto" w:fill="auto"/>
                <w:lang w:val="en-US" w:eastAsia="zh-CN"/>
              </w:rPr>
              <w:t>柴油发电机作为电源。</w:t>
            </w:r>
          </w:p>
          <w:p>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本工程运营期</w:t>
            </w:r>
            <w:r>
              <w:rPr>
                <w:rFonts w:hint="default" w:ascii="Times New Roman" w:hAnsi="Times New Roman" w:cs="Times New Roman"/>
                <w:color w:val="auto"/>
                <w:sz w:val="21"/>
                <w:szCs w:val="21"/>
                <w:highlight w:val="none"/>
                <w:shd w:val="clear" w:color="auto" w:fill="auto"/>
                <w:lang w:val="en-US" w:eastAsia="zh-CN"/>
              </w:rPr>
              <w:t>用电</w:t>
            </w:r>
            <w:r>
              <w:rPr>
                <w:rFonts w:hint="eastAsia" w:ascii="Times New Roman" w:hAnsi="Times New Roman" w:cs="Times New Roman"/>
                <w:color w:val="auto"/>
                <w:sz w:val="21"/>
                <w:szCs w:val="21"/>
                <w:highlight w:val="none"/>
                <w:shd w:val="clear" w:color="auto" w:fill="auto"/>
                <w:lang w:val="en-US" w:eastAsia="zh-CN"/>
              </w:rPr>
              <w:t>均采用电网供电。</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供水工程</w:t>
            </w:r>
          </w:p>
        </w:tc>
        <w:tc>
          <w:tcPr>
            <w:tcW w:w="7332" w:type="dxa"/>
            <w:tcBorders>
              <w:tl2br w:val="nil"/>
              <w:tr2bl w:val="nil"/>
            </w:tcBorders>
            <w:noWrap w:val="0"/>
            <w:vAlign w:val="center"/>
          </w:tcPr>
          <w:p>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施工</w:t>
            </w:r>
            <w:r>
              <w:rPr>
                <w:rFonts w:hint="default" w:ascii="Times New Roman" w:hAnsi="Times New Roman" w:cs="Times New Roman"/>
                <w:color w:val="auto"/>
                <w:sz w:val="21"/>
                <w:szCs w:val="21"/>
                <w:highlight w:val="none"/>
                <w:shd w:val="clear" w:color="auto" w:fill="auto"/>
              </w:rPr>
              <w:t>过程用水由罐车拉运，</w:t>
            </w:r>
            <w:r>
              <w:rPr>
                <w:rFonts w:hint="eastAsia" w:ascii="Times New Roman" w:hAnsi="Times New Roman" w:cs="Times New Roman"/>
                <w:color w:val="auto"/>
                <w:sz w:val="21"/>
                <w:szCs w:val="21"/>
                <w:highlight w:val="none"/>
                <w:shd w:val="clear" w:color="auto" w:fill="auto"/>
                <w:lang w:eastAsia="zh-CN"/>
              </w:rPr>
              <w:t>运营期</w:t>
            </w:r>
            <w:r>
              <w:rPr>
                <w:rFonts w:hint="default" w:ascii="Times New Roman" w:hAnsi="Times New Roman" w:cs="Times New Roman"/>
                <w:color w:val="auto"/>
                <w:sz w:val="21"/>
                <w:szCs w:val="21"/>
                <w:highlight w:val="none"/>
                <w:shd w:val="clear" w:color="auto" w:fill="auto"/>
              </w:rPr>
              <w:t>不消耗新鲜水。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通信工程</w:t>
            </w:r>
          </w:p>
        </w:tc>
        <w:tc>
          <w:tcPr>
            <w:tcW w:w="7332" w:type="dxa"/>
            <w:tcBorders>
              <w:tl2br w:val="nil"/>
              <w:tr2bl w:val="nil"/>
            </w:tcBorders>
            <w:noWrap w:val="0"/>
            <w:vAlign w:val="center"/>
          </w:tcPr>
          <w:p>
            <w:pPr>
              <w:autoSpaceDE w:val="0"/>
              <w:autoSpaceDN w:val="0"/>
              <w:ind w:right="-97" w:rightChars="-46"/>
              <w:jc w:val="left"/>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本次在新建计量撬内设置1套壁挂式通信网络机柜，柜内设置1套三层工业以太网交换机，交换机配置4个光口，24个电口，用于自控及视频数据传输，自控及视频数据逻辑隔离</w:t>
            </w:r>
            <w:r>
              <w:rPr>
                <w:rFonts w:hint="eastAsia" w:ascii="Times New Roman" w:hAnsi="Times New Roman" w:cs="Times New Roman"/>
                <w:color w:val="auto"/>
                <w:sz w:val="21"/>
                <w:szCs w:val="21"/>
                <w:highlight w:val="none"/>
                <w:shd w:val="clear" w:color="auto" w:fill="auto"/>
                <w:lang w:eastAsia="zh-CN"/>
              </w:rPr>
              <w:t>；新建计量橇至集中拉油站间光缆线路，新建光缆线路均与工艺管道同沟敷设（24芯*4km）。</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消防工程</w:t>
            </w:r>
          </w:p>
        </w:tc>
        <w:tc>
          <w:tcPr>
            <w:tcW w:w="7332" w:type="dxa"/>
            <w:tcBorders>
              <w:tl2br w:val="nil"/>
              <w:tr2bl w:val="nil"/>
            </w:tcBorders>
            <w:noWrap w:val="0"/>
            <w:vAlign w:val="center"/>
          </w:tcPr>
          <w:p>
            <w:pPr>
              <w:autoSpaceDE w:val="0"/>
              <w:autoSpaceDN w:val="0"/>
              <w:ind w:left="-86" w:leftChars="-41" w:right="-97" w:rightChars="-46"/>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本次方案新建井场</w:t>
            </w:r>
            <w:r>
              <w:rPr>
                <w:rFonts w:hint="eastAsia" w:ascii="Times New Roman" w:hAnsi="Times New Roman" w:eastAsia="宋体" w:cs="Times New Roman"/>
                <w:color w:val="auto"/>
                <w:sz w:val="21"/>
                <w:szCs w:val="21"/>
                <w:highlight w:val="none"/>
                <w:shd w:val="clear" w:color="auto" w:fill="auto"/>
                <w:lang w:val="en-US" w:eastAsia="zh-CN"/>
              </w:rPr>
              <w:t>、站场</w:t>
            </w:r>
            <w:r>
              <w:rPr>
                <w:rFonts w:hint="default" w:ascii="Times New Roman" w:hAnsi="Times New Roman" w:eastAsia="宋体" w:cs="Times New Roman"/>
                <w:color w:val="auto"/>
                <w:sz w:val="21"/>
                <w:szCs w:val="21"/>
                <w:highlight w:val="none"/>
                <w:shd w:val="clear" w:color="auto" w:fill="auto"/>
                <w:lang w:val="en-US" w:eastAsia="zh-CN"/>
              </w:rPr>
              <w:t>配置相应干粉灭火器等设施。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right="-97" w:rightChars="-46"/>
              <w:rPr>
                <w:rFonts w:hint="default" w:ascii="Times New Roman" w:hAnsi="Times New Roman" w:cs="Times New Roman"/>
                <w:color w:val="auto"/>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仪表自动化</w:t>
            </w:r>
          </w:p>
        </w:tc>
        <w:tc>
          <w:tcPr>
            <w:tcW w:w="7332" w:type="dxa"/>
            <w:tcBorders>
              <w:tl2br w:val="nil"/>
              <w:tr2bl w:val="nil"/>
            </w:tcBorders>
            <w:noWrap w:val="0"/>
            <w:vAlign w:val="center"/>
          </w:tcPr>
          <w:p>
            <w:pPr>
              <w:autoSpaceDE w:val="0"/>
              <w:autoSpaceDN w:val="0"/>
              <w:ind w:left="-86" w:leftChars="-41" w:right="-97" w:rightChars="-46"/>
              <w:jc w:val="both"/>
              <w:rPr>
                <w:rFonts w:hint="default" w:ascii="Times New Roman" w:hAnsi="Times New Roman" w:eastAsia="宋体" w:cs="Times New Roman"/>
                <w:color w:val="auto"/>
                <w:sz w:val="21"/>
                <w:szCs w:val="21"/>
                <w:highlight w:val="none"/>
                <w:shd w:val="clear" w:color="auto" w:fill="auto"/>
                <w:lang w:val="en-US" w:eastAsia="zh-CN"/>
              </w:rPr>
            </w:pPr>
            <w:r>
              <w:rPr>
                <w:rFonts w:ascii="Times New Roman" w:hAnsi="Times New Roman"/>
                <w:color w:val="auto"/>
              </w:rPr>
              <w:t>井口仪表采用LoRa+无线仪表</w:t>
            </w:r>
            <w:r>
              <w:rPr>
                <w:rFonts w:hint="eastAsia"/>
                <w:color w:val="auto"/>
                <w:lang w:eastAsia="zh-CN"/>
              </w:rPr>
              <w:t>，</w:t>
            </w:r>
            <w:r>
              <w:rPr>
                <w:rFonts w:ascii="Times New Roman" w:hAnsi="Times New Roman"/>
                <w:color w:val="auto"/>
              </w:rPr>
              <w:t>计量橇新建LoRa+网关1座，井场数据通过LoRa+网关汇聚落地后与计量橇PLC数据通过新建光缆将监控数据（MODBUSTCP协议）上传至集中拉油站就地监控，但预留数据上传所需的通讯接口，以满足后期数据上传的需要</w:t>
            </w:r>
            <w:r>
              <w:rPr>
                <w:rFonts w:hint="default"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restart"/>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环保工程</w:t>
            </w: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废气</w:t>
            </w:r>
          </w:p>
        </w:tc>
        <w:tc>
          <w:tcPr>
            <w:tcW w:w="733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eastAsia" w:ascii="Times New Roman" w:hAnsi="Times New Roman" w:eastAsia="宋体" w:cs="Times New Roman"/>
                <w:color w:val="auto"/>
                <w:spacing w:val="0"/>
                <w:sz w:val="21"/>
                <w:szCs w:val="21"/>
                <w:highlight w:val="none"/>
                <w:shd w:val="clear" w:color="auto" w:fill="auto"/>
                <w:lang w:eastAsia="zh-CN"/>
              </w:rPr>
            </w:pPr>
            <w:r>
              <w:rPr>
                <w:rFonts w:hint="default" w:ascii="Times New Roman" w:hAnsi="Times New Roman" w:eastAsia="宋体" w:cs="Times New Roman"/>
                <w:b/>
                <w:bCs/>
                <w:color w:val="auto"/>
                <w:spacing w:val="0"/>
                <w:sz w:val="21"/>
                <w:szCs w:val="21"/>
                <w:highlight w:val="none"/>
                <w:shd w:val="clear" w:color="auto" w:fill="auto"/>
              </w:rPr>
              <w:t>施工期：</w:t>
            </w:r>
            <w:r>
              <w:rPr>
                <w:rFonts w:hint="default" w:ascii="Times New Roman" w:hAnsi="Times New Roman" w:eastAsia="宋体" w:cs="Times New Roman"/>
                <w:color w:val="auto"/>
                <w:spacing w:val="0"/>
                <w:sz w:val="21"/>
                <w:szCs w:val="21"/>
                <w:highlight w:val="none"/>
                <w:shd w:val="clear" w:color="auto" w:fill="auto"/>
              </w:rPr>
              <w:t>废气包括施工扬尘和车辆尾气等；施工扬尘采取进出车辆采取减速慢行、物料苫盖、使用国家合格燃料等措施</w:t>
            </w:r>
            <w:r>
              <w:rPr>
                <w:rFonts w:hint="eastAsia" w:ascii="Times New Roman" w:hAnsi="Times New Roman" w:eastAsia="宋体" w:cs="Times New Roman"/>
                <w:color w:val="auto"/>
                <w:spacing w:val="0"/>
                <w:sz w:val="21"/>
                <w:szCs w:val="21"/>
                <w:highlight w:val="none"/>
                <w:shd w:val="clear" w:color="auto" w:fill="auto"/>
                <w:lang w:eastAsia="zh-CN"/>
              </w:rPr>
              <w:t>。</w:t>
            </w:r>
          </w:p>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lang w:eastAsia="zh-CN"/>
              </w:rPr>
            </w:pPr>
            <w:r>
              <w:rPr>
                <w:rFonts w:hint="default" w:ascii="Times New Roman" w:hAnsi="Times New Roman" w:eastAsia="宋体" w:cs="Times New Roman"/>
                <w:b/>
                <w:bCs/>
                <w:color w:val="auto"/>
                <w:spacing w:val="0"/>
                <w:sz w:val="21"/>
                <w:szCs w:val="21"/>
                <w:highlight w:val="none"/>
                <w:shd w:val="clear" w:color="auto" w:fill="auto"/>
                <w:lang w:val="en-US" w:eastAsia="zh-CN"/>
              </w:rPr>
              <w:t>运营期</w:t>
            </w:r>
            <w:r>
              <w:rPr>
                <w:rFonts w:hint="default" w:ascii="Times New Roman" w:hAnsi="Times New Roman" w:eastAsia="宋体" w:cs="Times New Roman"/>
                <w:b/>
                <w:bCs/>
                <w:color w:val="auto"/>
                <w:spacing w:val="0"/>
                <w:sz w:val="21"/>
                <w:szCs w:val="21"/>
                <w:highlight w:val="none"/>
                <w:shd w:val="clear" w:color="auto" w:fill="auto"/>
              </w:rPr>
              <w:t>：</w:t>
            </w:r>
            <w:r>
              <w:rPr>
                <w:rFonts w:hint="default" w:ascii="Times New Roman" w:hAnsi="Times New Roman" w:eastAsia="宋体" w:cs="Times New Roman"/>
                <w:color w:val="auto"/>
                <w:spacing w:val="0"/>
                <w:sz w:val="21"/>
                <w:szCs w:val="21"/>
                <w:highlight w:val="none"/>
                <w:shd w:val="clear" w:color="auto" w:fill="auto"/>
              </w:rPr>
              <w:t>本工程采用密闭集输工艺，</w:t>
            </w:r>
            <w:r>
              <w:rPr>
                <w:rFonts w:hint="eastAsia"/>
                <w:color w:val="auto"/>
                <w:szCs w:val="21"/>
                <w:highlight w:val="none"/>
              </w:rPr>
              <w:t>伴生气经</w:t>
            </w:r>
            <w:r>
              <w:rPr>
                <w:rFonts w:hint="eastAsia"/>
                <w:color w:val="auto"/>
                <w:szCs w:val="21"/>
                <w:highlight w:val="none"/>
                <w:lang w:val="en-US" w:eastAsia="zh-CN"/>
              </w:rPr>
              <w:t>新建</w:t>
            </w:r>
            <w:r>
              <w:rPr>
                <w:rFonts w:hint="eastAsia" w:ascii="Times New Roman" w:hAnsi="Times New Roman" w:cs="Times New Roman"/>
                <w:color w:val="auto"/>
                <w:sz w:val="21"/>
                <w:szCs w:val="21"/>
                <w:highlight w:val="none"/>
                <w:shd w:val="clear" w:color="auto" w:fill="auto"/>
                <w:lang w:val="en-US" w:eastAsia="zh-CN"/>
              </w:rPr>
              <w:t>集中拉油站</w:t>
            </w:r>
            <w:r>
              <w:rPr>
                <w:rFonts w:hint="eastAsia"/>
                <w:color w:val="auto"/>
                <w:szCs w:val="21"/>
                <w:highlight w:val="none"/>
              </w:rPr>
              <w:t>分离后，依托夏子街天然气增压站进行增压处理外输</w:t>
            </w:r>
            <w:r>
              <w:rPr>
                <w:rFonts w:hint="default" w:ascii="Times New Roman" w:hAnsi="Times New Roman" w:eastAsia="宋体"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废水</w:t>
            </w:r>
          </w:p>
        </w:tc>
        <w:tc>
          <w:tcPr>
            <w:tcW w:w="733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sz w:val="21"/>
                <w:szCs w:val="21"/>
                <w:highlight w:val="none"/>
                <w:shd w:val="clear" w:color="auto" w:fill="auto"/>
              </w:rPr>
              <w:t>施工期：</w:t>
            </w:r>
            <w:r>
              <w:rPr>
                <w:rFonts w:ascii="Times New Roman" w:hAnsi="Times New Roman" w:eastAsia="宋体" w:cs="Times New Roman"/>
                <w:color w:val="auto"/>
                <w:spacing w:val="0"/>
                <w:sz w:val="21"/>
                <w:szCs w:val="21"/>
                <w:highlight w:val="none"/>
                <w:shd w:val="clear" w:color="auto" w:fill="auto"/>
              </w:rPr>
              <w:t>施工期废水包括钻井废水</w:t>
            </w:r>
            <w:r>
              <w:rPr>
                <w:rFonts w:hint="eastAsia" w:ascii="Times New Roman" w:hAnsi="Times New Roman" w:eastAsia="宋体" w:cs="Times New Roman"/>
                <w:color w:val="auto"/>
                <w:spacing w:val="0"/>
                <w:sz w:val="21"/>
                <w:szCs w:val="21"/>
                <w:highlight w:val="none"/>
                <w:shd w:val="clear" w:color="auto" w:fill="auto"/>
                <w:lang w:eastAsia="zh-CN"/>
              </w:rPr>
              <w:t>、</w:t>
            </w:r>
            <w:r>
              <w:rPr>
                <w:rFonts w:ascii="Times New Roman" w:hAnsi="Times New Roman" w:eastAsia="宋体" w:cs="Times New Roman"/>
                <w:color w:val="auto"/>
                <w:spacing w:val="0"/>
                <w:sz w:val="21"/>
                <w:szCs w:val="21"/>
                <w:highlight w:val="none"/>
                <w:shd w:val="clear" w:color="auto" w:fill="auto"/>
              </w:rPr>
              <w:t>管线试压废水及生活污水。</w:t>
            </w:r>
            <w:r>
              <w:rPr>
                <w:rFonts w:hint="eastAsia" w:ascii="Times New Roman" w:hAnsi="Times New Roman" w:eastAsia="宋体" w:cs="Times New Roman"/>
                <w:color w:val="auto"/>
                <w:spacing w:val="0"/>
                <w:sz w:val="21"/>
                <w:szCs w:val="21"/>
                <w:highlight w:val="none"/>
                <w:shd w:val="clear" w:color="auto" w:fill="auto"/>
              </w:rPr>
              <w:t>钻井废水循环携带出井口，在地面经振动筛分离出来，进入不落地系统，分离后的钻井液循环使用</w:t>
            </w:r>
            <w:r>
              <w:rPr>
                <w:rFonts w:ascii="Times New Roman" w:hAnsi="Times New Roman" w:eastAsia="宋体" w:cs="Times New Roman"/>
                <w:color w:val="auto"/>
                <w:spacing w:val="0"/>
                <w:sz w:val="21"/>
                <w:szCs w:val="21"/>
                <w:highlight w:val="none"/>
                <w:shd w:val="clear" w:color="auto" w:fill="auto"/>
              </w:rPr>
              <w:t>；管线试压废水属于清净废水，试压完成后用于降尘；生活污水</w:t>
            </w:r>
            <w:r>
              <w:rPr>
                <w:rFonts w:hint="default" w:ascii="Times New Roman" w:hAnsi="Times New Roman" w:eastAsia="宋体" w:cs="Times New Roman"/>
                <w:color w:val="auto"/>
                <w:spacing w:val="0"/>
                <w:sz w:val="21"/>
                <w:szCs w:val="21"/>
                <w:highlight w:val="none"/>
                <w:shd w:val="clear" w:color="auto" w:fill="auto"/>
              </w:rPr>
              <w:t>排入生活污水池暂存，定期拉运至</w:t>
            </w:r>
            <w:r>
              <w:rPr>
                <w:rFonts w:hint="eastAsia" w:ascii="Times New Roman" w:hAnsi="Times New Roman" w:eastAsia="宋体" w:cs="Times New Roman"/>
                <w:color w:val="auto"/>
                <w:spacing w:val="0"/>
                <w:sz w:val="21"/>
                <w:szCs w:val="21"/>
                <w:highlight w:val="none"/>
                <w:shd w:val="clear" w:color="auto" w:fill="auto"/>
                <w:lang w:eastAsia="zh-CN"/>
              </w:rPr>
              <w:t>乌尔禾污水处理厂</w:t>
            </w:r>
            <w:r>
              <w:rPr>
                <w:rFonts w:hint="default" w:ascii="Times New Roman" w:hAnsi="Times New Roman" w:eastAsia="宋体" w:cs="Times New Roman"/>
                <w:color w:val="auto"/>
                <w:spacing w:val="0"/>
                <w:sz w:val="21"/>
                <w:szCs w:val="21"/>
                <w:highlight w:val="none"/>
                <w:shd w:val="clear" w:color="auto" w:fill="auto"/>
              </w:rPr>
              <w:t>处理</w:t>
            </w:r>
            <w:r>
              <w:rPr>
                <w:rFonts w:hint="eastAsia" w:ascii="Times New Roman" w:hAnsi="Times New Roman" w:eastAsia="宋体" w:cs="Times New Roman"/>
                <w:color w:val="auto"/>
                <w:spacing w:val="0"/>
                <w:sz w:val="21"/>
                <w:szCs w:val="21"/>
                <w:highlight w:val="none"/>
                <w:shd w:val="clear" w:color="auto" w:fill="auto"/>
                <w:lang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压裂返排液</w:t>
            </w:r>
            <w:r>
              <w:rPr>
                <w:rFonts w:hint="default" w:ascii="Times New Roman" w:hAnsi="Times New Roman" w:eastAsia="宋体" w:cs="Times New Roman"/>
                <w:color w:val="auto"/>
                <w:spacing w:val="0"/>
                <w:sz w:val="21"/>
                <w:szCs w:val="21"/>
                <w:highlight w:val="none"/>
                <w:shd w:val="clear" w:color="auto" w:fill="auto"/>
                <w:lang w:val="en-US" w:eastAsia="zh-CN"/>
              </w:rPr>
              <w:t>采用专用罐回收，</w:t>
            </w:r>
            <w:r>
              <w:rPr>
                <w:rFonts w:hint="default" w:ascii="Times New Roman" w:hAnsi="Times New Roman" w:eastAsia="宋体" w:cs="Times New Roman"/>
                <w:color w:val="auto"/>
                <w:spacing w:val="0"/>
                <w:sz w:val="21"/>
                <w:szCs w:val="21"/>
                <w:highlight w:val="none"/>
                <w:shd w:val="clear" w:color="auto" w:fill="auto"/>
                <w:lang w:eastAsia="zh-CN"/>
              </w:rPr>
              <w:t>集中收集进入</w:t>
            </w:r>
            <w:r>
              <w:rPr>
                <w:rFonts w:hint="eastAsia" w:ascii="Times New Roman" w:hAnsi="Times New Roman" w:eastAsia="宋体" w:cs="Times New Roman"/>
                <w:color w:val="auto"/>
                <w:spacing w:val="0"/>
                <w:sz w:val="21"/>
                <w:szCs w:val="21"/>
                <w:highlight w:val="none"/>
                <w:shd w:val="clear" w:color="auto" w:fill="auto"/>
                <w:lang w:eastAsia="zh-CN"/>
              </w:rPr>
              <w:t>风城二号稠油联合站采出水处理系统</w:t>
            </w:r>
            <w:r>
              <w:rPr>
                <w:rFonts w:hint="default" w:ascii="Times New Roman" w:hAnsi="Times New Roman" w:eastAsia="宋体" w:cs="Times New Roman"/>
                <w:color w:val="auto"/>
                <w:spacing w:val="0"/>
                <w:sz w:val="21"/>
                <w:szCs w:val="21"/>
                <w:highlight w:val="none"/>
                <w:shd w:val="clear" w:color="auto" w:fill="auto"/>
              </w:rPr>
              <w:t>进行处理</w:t>
            </w:r>
            <w:r>
              <w:rPr>
                <w:rFonts w:hint="default" w:ascii="Times New Roman" w:hAnsi="Times New Roman" w:eastAsia="宋体" w:cs="Times New Roman"/>
                <w:color w:val="auto"/>
                <w:spacing w:val="0"/>
                <w:sz w:val="21"/>
                <w:szCs w:val="21"/>
                <w:highlight w:val="none"/>
                <w:shd w:val="clear" w:color="auto" w:fill="auto"/>
                <w:lang w:eastAsia="zh-CN"/>
              </w:rPr>
              <w:t>，达到《碎屑岩油藏注水水质指标技术要求及分析方法》（SY/T5329-20</w:t>
            </w:r>
            <w:r>
              <w:rPr>
                <w:rFonts w:hint="default" w:ascii="Times New Roman" w:hAnsi="Times New Roman" w:eastAsia="宋体" w:cs="Times New Roman"/>
                <w:color w:val="auto"/>
                <w:spacing w:val="0"/>
                <w:sz w:val="21"/>
                <w:szCs w:val="21"/>
                <w:highlight w:val="none"/>
                <w:shd w:val="clear" w:color="auto" w:fill="auto"/>
                <w:lang w:val="en-US" w:eastAsia="zh-CN"/>
              </w:rPr>
              <w:t>22</w:t>
            </w:r>
            <w:r>
              <w:rPr>
                <w:rFonts w:hint="default" w:ascii="Times New Roman" w:hAnsi="Times New Roman" w:eastAsia="宋体" w:cs="Times New Roman"/>
                <w:color w:val="auto"/>
                <w:spacing w:val="0"/>
                <w:sz w:val="21"/>
                <w:szCs w:val="21"/>
                <w:highlight w:val="none"/>
                <w:shd w:val="clear" w:color="auto" w:fill="auto"/>
                <w:lang w:eastAsia="zh-CN"/>
              </w:rPr>
              <w:t>）标准中指标后回注</w:t>
            </w:r>
            <w:r>
              <w:rPr>
                <w:rFonts w:hint="eastAsia" w:ascii="Times New Roman" w:hAnsi="Times New Roman" w:eastAsia="宋体" w:cs="Times New Roman"/>
                <w:color w:val="auto"/>
                <w:spacing w:val="0"/>
                <w:sz w:val="21"/>
                <w:szCs w:val="21"/>
                <w:highlight w:val="none"/>
                <w:shd w:val="clear" w:color="auto" w:fill="auto"/>
                <w:lang w:eastAsia="zh-CN"/>
              </w:rPr>
              <w:t>油藏</w:t>
            </w:r>
            <w:r>
              <w:rPr>
                <w:rFonts w:hint="default" w:ascii="Times New Roman" w:hAnsi="Times New Roman" w:eastAsia="宋体" w:cs="Times New Roman"/>
                <w:color w:val="auto"/>
                <w:spacing w:val="0"/>
                <w:sz w:val="21"/>
                <w:szCs w:val="21"/>
                <w:highlight w:val="none"/>
                <w:shd w:val="clear" w:color="auto" w:fill="auto"/>
                <w:lang w:eastAsia="zh-CN"/>
              </w:rPr>
              <w:t>。</w:t>
            </w:r>
          </w:p>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eastAsia" w:ascii="Times New Roman" w:hAnsi="Times New Roman" w:eastAsia="宋体" w:cs="Times New Roman"/>
                <w:b/>
                <w:bCs/>
                <w:color w:val="auto"/>
                <w:spacing w:val="0"/>
                <w:sz w:val="21"/>
                <w:szCs w:val="21"/>
                <w:highlight w:val="none"/>
                <w:shd w:val="clear" w:color="auto" w:fill="auto"/>
                <w:lang w:val="en-US" w:eastAsia="zh-CN"/>
              </w:rPr>
            </w:pPr>
            <w:r>
              <w:rPr>
                <w:rFonts w:hint="default" w:ascii="Times New Roman" w:hAnsi="Times New Roman" w:eastAsia="宋体" w:cs="Times New Roman"/>
                <w:b/>
                <w:bCs/>
                <w:color w:val="auto"/>
                <w:spacing w:val="0"/>
                <w:sz w:val="21"/>
                <w:szCs w:val="21"/>
                <w:highlight w:val="none"/>
                <w:shd w:val="clear" w:color="auto" w:fill="auto"/>
                <w:lang w:val="en-US" w:eastAsia="zh-CN"/>
              </w:rPr>
              <w:t>运营期</w:t>
            </w:r>
            <w:r>
              <w:rPr>
                <w:rFonts w:hint="default" w:ascii="Times New Roman" w:hAnsi="Times New Roman" w:eastAsia="宋体" w:cs="Times New Roman"/>
                <w:b/>
                <w:bCs/>
                <w:color w:val="auto"/>
                <w:spacing w:val="0"/>
                <w:sz w:val="21"/>
                <w:szCs w:val="21"/>
                <w:highlight w:val="none"/>
                <w:shd w:val="clear" w:color="auto" w:fill="auto"/>
              </w:rPr>
              <w:t>：</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营运期废水包括采出水</w:t>
            </w:r>
            <w:r>
              <w:rPr>
                <w:rFonts w:hint="eastAsia" w:ascii="Times New Roman" w:hAnsi="Times New Roman" w:eastAsia="宋体" w:cs="Times New Roman"/>
                <w:color w:val="auto"/>
                <w:spacing w:val="0"/>
                <w:kern w:val="2"/>
                <w:sz w:val="21"/>
                <w:szCs w:val="21"/>
                <w:highlight w:val="none"/>
                <w:shd w:val="clear" w:color="auto" w:fill="auto"/>
                <w:lang w:val="en-US" w:eastAsia="zh-CN" w:bidi="ar-SA"/>
              </w:rPr>
              <w:t>、</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井下作业废水</w:t>
            </w:r>
            <w:r>
              <w:rPr>
                <w:rFonts w:hint="eastAsia" w:ascii="Times New Roman" w:hAnsi="Times New Roman" w:eastAsia="宋体" w:cs="Times New Roman"/>
                <w:color w:val="auto"/>
                <w:spacing w:val="0"/>
                <w:kern w:val="2"/>
                <w:sz w:val="21"/>
                <w:szCs w:val="21"/>
                <w:highlight w:val="none"/>
                <w:shd w:val="clear" w:color="auto" w:fill="auto"/>
                <w:lang w:val="en-US" w:eastAsia="zh-CN" w:bidi="ar-SA"/>
              </w:rPr>
              <w:t>。</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采出水</w:t>
            </w:r>
            <w:r>
              <w:rPr>
                <w:rFonts w:hint="default" w:ascii="Times New Roman" w:hAnsi="Times New Roman" w:cs="Times New Roman"/>
                <w:color w:val="auto"/>
                <w:spacing w:val="0"/>
                <w:sz w:val="21"/>
                <w:szCs w:val="21"/>
                <w:highlight w:val="none"/>
                <w:shd w:val="clear" w:color="auto" w:fill="auto"/>
              </w:rPr>
              <w:t>依托</w:t>
            </w:r>
            <w:r>
              <w:rPr>
                <w:rFonts w:hint="eastAsia" w:ascii="Times New Roman" w:hAnsi="Times New Roman" w:cs="Times New Roman"/>
                <w:color w:val="auto"/>
                <w:spacing w:val="0"/>
                <w:sz w:val="21"/>
                <w:szCs w:val="21"/>
                <w:highlight w:val="none"/>
                <w:shd w:val="clear" w:color="auto" w:fill="auto"/>
                <w:lang w:val="en-US" w:eastAsia="zh-CN"/>
              </w:rPr>
              <w:t>风城二号稠油联合站</w:t>
            </w:r>
            <w:r>
              <w:rPr>
                <w:rFonts w:hint="eastAsia" w:ascii="Times New Roman" w:hAnsi="Times New Roman" w:cs="Times New Roman"/>
                <w:color w:val="auto"/>
                <w:spacing w:val="0"/>
                <w:sz w:val="21"/>
                <w:szCs w:val="21"/>
                <w:highlight w:val="none"/>
                <w:shd w:val="clear" w:color="auto" w:fill="auto"/>
                <w:lang w:eastAsia="zh-CN"/>
              </w:rPr>
              <w:t>采出水处理系统</w:t>
            </w:r>
            <w:r>
              <w:rPr>
                <w:rFonts w:hint="default" w:ascii="Times New Roman" w:hAnsi="Times New Roman" w:cs="Times New Roman"/>
                <w:color w:val="auto"/>
                <w:spacing w:val="0"/>
                <w:sz w:val="21"/>
                <w:szCs w:val="21"/>
                <w:highlight w:val="none"/>
                <w:shd w:val="clear" w:color="auto" w:fill="auto"/>
              </w:rPr>
              <w:t>处理</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。井下作业废水</w:t>
            </w:r>
            <w:r>
              <w:rPr>
                <w:rFonts w:hint="default" w:ascii="Times New Roman" w:hAnsi="Times New Roman" w:cs="Times New Roman"/>
                <w:color w:val="auto"/>
                <w:spacing w:val="0"/>
                <w:sz w:val="21"/>
                <w:szCs w:val="21"/>
                <w:highlight w:val="none"/>
                <w:shd w:val="clear" w:color="auto" w:fill="auto"/>
              </w:rPr>
              <w:t>集中收集进入</w:t>
            </w:r>
            <w:r>
              <w:rPr>
                <w:rFonts w:hint="eastAsia" w:ascii="Times New Roman" w:hAnsi="Times New Roman" w:cs="Times New Roman"/>
                <w:color w:val="auto"/>
                <w:spacing w:val="0"/>
                <w:sz w:val="21"/>
                <w:szCs w:val="21"/>
                <w:highlight w:val="none"/>
                <w:shd w:val="clear" w:color="auto" w:fill="auto"/>
                <w:lang w:eastAsia="zh-CN"/>
              </w:rPr>
              <w:t>风城二号稠油联合站</w:t>
            </w:r>
            <w:r>
              <w:rPr>
                <w:rFonts w:hint="default" w:ascii="Times New Roman" w:hAnsi="Times New Roman" w:cs="Times New Roman"/>
                <w:color w:val="auto"/>
                <w:spacing w:val="0"/>
                <w:sz w:val="21"/>
                <w:szCs w:val="21"/>
                <w:highlight w:val="none"/>
                <w:shd w:val="clear" w:color="auto" w:fill="auto"/>
              </w:rPr>
              <w:t>处理</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固废</w:t>
            </w:r>
          </w:p>
        </w:tc>
        <w:tc>
          <w:tcPr>
            <w:tcW w:w="7332" w:type="dxa"/>
            <w:tcBorders>
              <w:tl2br w:val="nil"/>
              <w:tr2bl w:val="nil"/>
            </w:tcBorders>
            <w:noWrap w:val="0"/>
            <w:vAlign w:val="center"/>
          </w:tcPr>
          <w:p>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both"/>
              <w:rPr>
                <w:rFonts w:hint="default" w:ascii="Times New Roman" w:hAnsi="Times New Roman" w:eastAsia="宋体" w:cs="Times New Roman"/>
                <w:color w:val="auto"/>
                <w:spacing w:val="0"/>
                <w:sz w:val="21"/>
                <w:szCs w:val="21"/>
                <w:highlight w:val="none"/>
                <w:shd w:val="clear" w:color="auto" w:fill="auto"/>
                <w:lang w:eastAsia="zh-CN"/>
              </w:rPr>
            </w:pPr>
            <w:r>
              <w:rPr>
                <w:rFonts w:hint="default" w:ascii="Times New Roman" w:hAnsi="Times New Roman" w:eastAsia="宋体" w:cs="Times New Roman"/>
                <w:b/>
                <w:bCs/>
                <w:color w:val="auto"/>
                <w:spacing w:val="0"/>
                <w:sz w:val="21"/>
                <w:szCs w:val="21"/>
                <w:highlight w:val="none"/>
                <w:shd w:val="clear" w:color="auto" w:fill="auto"/>
              </w:rPr>
              <w:t>施工期：</w:t>
            </w:r>
            <w:r>
              <w:rPr>
                <w:rFonts w:hint="default" w:ascii="Times New Roman" w:hAnsi="Times New Roman" w:eastAsia="宋体" w:cs="Times New Roman"/>
                <w:b w:val="0"/>
                <w:bCs w:val="0"/>
                <w:color w:val="auto"/>
                <w:spacing w:val="0"/>
                <w:sz w:val="21"/>
                <w:szCs w:val="21"/>
                <w:highlight w:val="none"/>
                <w:shd w:val="clear" w:color="auto" w:fill="auto"/>
              </w:rPr>
              <w:t>施工期固废主要包括钻井泥浆、岩屑、</w:t>
            </w:r>
            <w:r>
              <w:rPr>
                <w:rFonts w:hint="eastAsia" w:ascii="Times New Roman" w:hAnsi="Times New Roman" w:eastAsia="宋体" w:cs="Times New Roman"/>
                <w:b w:val="0"/>
                <w:bCs w:val="0"/>
                <w:color w:val="auto"/>
                <w:spacing w:val="0"/>
                <w:sz w:val="21"/>
                <w:szCs w:val="21"/>
                <w:highlight w:val="none"/>
                <w:shd w:val="clear" w:color="auto" w:fill="auto"/>
                <w:lang w:val="en-US" w:eastAsia="zh-CN"/>
              </w:rPr>
              <w:t>废油、</w:t>
            </w:r>
            <w:r>
              <w:rPr>
                <w:rFonts w:hint="default" w:ascii="Times New Roman" w:hAnsi="Times New Roman" w:eastAsia="宋体" w:cs="Times New Roman"/>
                <w:b w:val="0"/>
                <w:bCs w:val="0"/>
                <w:color w:val="auto"/>
                <w:spacing w:val="0"/>
                <w:sz w:val="21"/>
                <w:szCs w:val="21"/>
                <w:highlight w:val="none"/>
                <w:shd w:val="clear" w:color="auto" w:fill="auto"/>
              </w:rPr>
              <w:t>含油废物、施工土方、施工废料和生活垃圾。</w:t>
            </w:r>
            <w:r>
              <w:rPr>
                <w:rFonts w:hint="eastAsia" w:ascii="Times New Roman" w:hAnsi="Times New Roman" w:eastAsia="宋体" w:cs="Times New Roman"/>
                <w:color w:val="auto"/>
                <w:spacing w:val="0"/>
                <w:sz w:val="21"/>
                <w:szCs w:val="21"/>
                <w:highlight w:val="none"/>
                <w:shd w:val="clear" w:color="auto" w:fill="auto"/>
                <w:lang w:eastAsia="zh-CN"/>
              </w:rPr>
              <w:t>本工程钻井采用泥浆不落地系统，钻井岩屑随泥浆一同进入泥浆不落地系统处理，在井场进行固液分离，分离后的液相回用于钻井液配备，分离后的固相暂存于岩屑储罐，委托第三方处置单位进行处理，处理后经检测满足《油气田钻井固体废物综合利用污染控制要求》（DB65/T3997-2017）中相关标准要求后综合利用</w:t>
            </w:r>
            <w:r>
              <w:rPr>
                <w:rFonts w:hint="default" w:ascii="Times New Roman" w:hAnsi="Times New Roman" w:eastAsia="宋体" w:cs="Times New Roman"/>
                <w:b w:val="0"/>
                <w:bCs w:val="0"/>
                <w:color w:val="auto"/>
                <w:spacing w:val="0"/>
                <w:sz w:val="21"/>
                <w:szCs w:val="21"/>
                <w:highlight w:val="none"/>
                <w:shd w:val="clear" w:color="auto" w:fill="auto"/>
              </w:rPr>
              <w:t>；废油、含油废物委托有危废处置资质单位进行处置；</w:t>
            </w:r>
            <w:r>
              <w:rPr>
                <w:rFonts w:hint="default" w:ascii="Times New Roman" w:hAnsi="Times New Roman" w:eastAsia="宋体" w:cs="Times New Roman"/>
                <w:color w:val="auto"/>
                <w:spacing w:val="0"/>
                <w:sz w:val="21"/>
                <w:szCs w:val="21"/>
                <w:highlight w:val="none"/>
                <w:shd w:val="clear" w:color="auto" w:fill="auto"/>
              </w:rPr>
              <w:t>施工土方全部用于管沟和井场回填；施工废料首先考虑回收利用，不可回收利用部分拉运至</w:t>
            </w:r>
            <w:r>
              <w:rPr>
                <w:rFonts w:hint="eastAsia" w:ascii="Times New Roman" w:hAnsi="Times New Roman" w:eastAsia="宋体" w:cs="Times New Roman"/>
                <w:color w:val="auto"/>
                <w:spacing w:val="0"/>
                <w:sz w:val="21"/>
                <w:szCs w:val="21"/>
                <w:highlight w:val="none"/>
                <w:shd w:val="clear" w:color="auto" w:fill="auto"/>
                <w:lang w:val="en-US" w:eastAsia="zh-CN"/>
              </w:rPr>
              <w:t>克拉玛依市</w:t>
            </w:r>
            <w:r>
              <w:rPr>
                <w:rFonts w:hint="eastAsia" w:ascii="Times New Roman" w:hAnsi="Times New Roman" w:eastAsia="宋体" w:cs="Times New Roman"/>
                <w:color w:val="auto"/>
                <w:spacing w:val="0"/>
                <w:sz w:val="21"/>
                <w:szCs w:val="21"/>
                <w:highlight w:val="none"/>
                <w:shd w:val="clear" w:color="auto" w:fill="auto"/>
                <w:lang w:eastAsia="zh-CN"/>
              </w:rPr>
              <w:t>建筑垃圾填埋场</w:t>
            </w:r>
            <w:r>
              <w:rPr>
                <w:rFonts w:hint="default" w:ascii="Times New Roman" w:hAnsi="Times New Roman" w:eastAsia="宋体" w:cs="Times New Roman"/>
                <w:color w:val="auto"/>
                <w:spacing w:val="0"/>
                <w:sz w:val="21"/>
                <w:szCs w:val="21"/>
                <w:highlight w:val="none"/>
                <w:shd w:val="clear" w:color="auto" w:fill="auto"/>
              </w:rPr>
              <w:t>进行处置；生活垃圾集中收集后，拉运至</w:t>
            </w:r>
            <w:r>
              <w:rPr>
                <w:rFonts w:hint="eastAsia" w:ascii="Times New Roman" w:hAnsi="Times New Roman" w:eastAsia="宋体" w:cs="Times New Roman"/>
                <w:color w:val="auto"/>
                <w:spacing w:val="0"/>
                <w:sz w:val="21"/>
                <w:szCs w:val="21"/>
                <w:highlight w:val="none"/>
                <w:shd w:val="clear" w:color="auto" w:fill="auto"/>
                <w:lang w:val="en-US" w:eastAsia="zh-CN"/>
              </w:rPr>
              <w:t>乌尔禾区生活垃圾填埋场</w:t>
            </w:r>
            <w:r>
              <w:rPr>
                <w:rFonts w:hint="default" w:ascii="Times New Roman" w:hAnsi="Times New Roman" w:eastAsia="宋体" w:cs="Times New Roman"/>
                <w:color w:val="auto"/>
                <w:spacing w:val="0"/>
                <w:sz w:val="21"/>
                <w:szCs w:val="21"/>
                <w:highlight w:val="none"/>
                <w:shd w:val="clear" w:color="auto" w:fill="auto"/>
              </w:rPr>
              <w:t>进行处置</w:t>
            </w:r>
            <w:r>
              <w:rPr>
                <w:rFonts w:hint="default" w:ascii="Times New Roman" w:hAnsi="Times New Roman" w:eastAsia="宋体" w:cs="Times New Roman"/>
                <w:color w:val="auto"/>
                <w:spacing w:val="0"/>
                <w:sz w:val="21"/>
                <w:szCs w:val="21"/>
                <w:highlight w:val="none"/>
                <w:shd w:val="clear" w:color="auto" w:fill="auto"/>
                <w:lang w:eastAsia="zh-CN"/>
              </w:rPr>
              <w:t>。</w:t>
            </w:r>
          </w:p>
          <w:p>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kern w:val="2"/>
                <w:sz w:val="21"/>
                <w:szCs w:val="21"/>
                <w:highlight w:val="none"/>
                <w:shd w:val="clear" w:color="auto" w:fill="auto"/>
                <w:lang w:val="en-US" w:eastAsia="zh-CN" w:bidi="ar-SA"/>
              </w:rPr>
              <w:t>运营期：</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运营期产生的固体废物主要为油泥砂、清管废渣、</w:t>
            </w:r>
            <w:r>
              <w:rPr>
                <w:rFonts w:hint="default" w:ascii="Times New Roman" w:hAnsi="Times New Roman" w:eastAsia="宋体" w:cs="Times New Roman"/>
                <w:color w:val="auto"/>
                <w:spacing w:val="0"/>
                <w:sz w:val="21"/>
                <w:szCs w:val="21"/>
                <w:highlight w:val="none"/>
                <w:shd w:val="clear" w:color="auto" w:fill="auto"/>
                <w:lang w:eastAsia="zh-CN"/>
              </w:rPr>
              <w:t>废防渗膜、</w:t>
            </w:r>
            <w:r>
              <w:rPr>
                <w:rFonts w:hint="default" w:ascii="Times New Roman" w:hAnsi="Times New Roman" w:eastAsia="宋体" w:cs="Times New Roman"/>
                <w:color w:val="auto"/>
                <w:spacing w:val="0"/>
                <w:sz w:val="21"/>
                <w:szCs w:val="21"/>
                <w:highlight w:val="none"/>
                <w:shd w:val="clear" w:color="auto" w:fill="auto"/>
                <w:lang w:val="en-US" w:eastAsia="zh-CN"/>
              </w:rPr>
              <w:t>废润滑油和落地油。</w:t>
            </w:r>
            <w:r>
              <w:rPr>
                <w:rFonts w:hint="default" w:ascii="Times New Roman" w:hAnsi="Times New Roman" w:eastAsia="宋体" w:cs="Times New Roman"/>
                <w:color w:val="auto"/>
                <w:spacing w:val="0"/>
                <w:kern w:val="2"/>
                <w:sz w:val="21"/>
                <w:szCs w:val="21"/>
                <w:highlight w:val="none"/>
                <w:shd w:val="clear" w:color="auto" w:fill="auto"/>
                <w:lang w:val="en-US" w:eastAsia="zh-CN" w:bidi="ar-SA"/>
              </w:rPr>
              <w:t>油泥砂、清管废渣、</w:t>
            </w:r>
            <w:r>
              <w:rPr>
                <w:rFonts w:hint="default" w:ascii="Times New Roman" w:hAnsi="Times New Roman" w:eastAsia="宋体" w:cs="Times New Roman"/>
                <w:color w:val="auto"/>
                <w:spacing w:val="0"/>
                <w:sz w:val="21"/>
                <w:szCs w:val="21"/>
                <w:highlight w:val="none"/>
                <w:shd w:val="clear" w:color="auto" w:fill="auto"/>
                <w:lang w:eastAsia="zh-CN"/>
              </w:rPr>
              <w:t>废防渗膜、</w:t>
            </w:r>
            <w:r>
              <w:rPr>
                <w:rFonts w:hint="default" w:ascii="Times New Roman" w:hAnsi="Times New Roman" w:eastAsia="宋体" w:cs="Times New Roman"/>
                <w:color w:val="auto"/>
                <w:spacing w:val="0"/>
                <w:sz w:val="21"/>
                <w:szCs w:val="21"/>
                <w:highlight w:val="none"/>
                <w:shd w:val="clear" w:color="auto" w:fill="auto"/>
                <w:lang w:val="en-US" w:eastAsia="zh-CN"/>
              </w:rPr>
              <w:t>废润滑油</w:t>
            </w: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落地油委托</w:t>
            </w:r>
            <w:r>
              <w:rPr>
                <w:rFonts w:hint="default" w:ascii="Times New Roman" w:hAnsi="Times New Roman" w:eastAsia="宋体" w:cs="Times New Roman"/>
                <w:b w:val="0"/>
                <w:bCs w:val="0"/>
                <w:color w:val="auto"/>
                <w:spacing w:val="0"/>
                <w:sz w:val="21"/>
                <w:szCs w:val="21"/>
                <w:highlight w:val="none"/>
                <w:shd w:val="clear" w:color="auto" w:fill="auto"/>
              </w:rPr>
              <w:t>有危废处置资质单位进行处置</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cs="Times New Roman"/>
                <w:color w:val="auto"/>
                <w:spacing w:val="0"/>
                <w:sz w:val="21"/>
                <w:szCs w:val="21"/>
                <w:highlight w:val="none"/>
                <w:shd w:val="clear" w:color="auto" w:fill="auto"/>
              </w:rPr>
              <w:t>落地原油由作业单位100%回收</w:t>
            </w:r>
            <w:r>
              <w:rPr>
                <w:rFonts w:hint="eastAsia" w:ascii="Times New Roman" w:hAnsi="Times New Roman" w:cs="Times New Roman"/>
                <w:color w:val="auto"/>
                <w:spacing w:val="0"/>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lang w:val="en-US" w:eastAsia="zh-CN"/>
              </w:rPr>
              <w:t>噪声</w:t>
            </w:r>
          </w:p>
        </w:tc>
        <w:tc>
          <w:tcPr>
            <w:tcW w:w="733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sz w:val="21"/>
                <w:szCs w:val="21"/>
                <w:highlight w:val="none"/>
                <w:shd w:val="clear" w:color="auto" w:fill="auto"/>
                <w:lang w:val="en-US" w:eastAsia="zh-CN" w:bidi="ar-SA"/>
              </w:rPr>
              <w:t>施工期：</w:t>
            </w:r>
            <w:r>
              <w:rPr>
                <w:rFonts w:hint="default" w:ascii="Times New Roman" w:hAnsi="Times New Roman" w:eastAsia="宋体" w:cs="Times New Roman"/>
                <w:color w:val="auto"/>
                <w:spacing w:val="0"/>
                <w:sz w:val="21"/>
                <w:szCs w:val="21"/>
                <w:highlight w:val="none"/>
                <w:shd w:val="clear" w:color="auto" w:fill="auto"/>
                <w:lang w:val="en-US" w:eastAsia="zh-CN" w:bidi="ar-SA"/>
              </w:rPr>
              <w:t>选用低噪声设备，安装基础减振垫，场区四周设围挡，合理安排作业时间。</w:t>
            </w:r>
          </w:p>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kern w:val="2"/>
                <w:sz w:val="21"/>
                <w:szCs w:val="21"/>
                <w:highlight w:val="none"/>
                <w:shd w:val="clear" w:color="auto" w:fill="auto"/>
                <w:lang w:val="en-US" w:eastAsia="zh-CN" w:bidi="ar-SA"/>
              </w:rPr>
              <w:t>运营期：</w:t>
            </w:r>
            <w:r>
              <w:rPr>
                <w:rFonts w:hint="default" w:ascii="Times New Roman" w:hAnsi="Times New Roman" w:eastAsia="宋体" w:cs="Times New Roman"/>
                <w:color w:val="auto"/>
                <w:spacing w:val="0"/>
                <w:sz w:val="21"/>
                <w:szCs w:val="21"/>
                <w:highlight w:val="none"/>
                <w:shd w:val="clear" w:color="auto" w:fill="auto"/>
                <w:lang w:val="en-US" w:eastAsia="zh-CN" w:bidi="ar-SA"/>
              </w:rPr>
              <w:t>选用低噪声设备，切合实际地提高工艺过程自动化水平，合理安排作业时间。</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pPr>
              <w:pStyle w:val="24"/>
              <w:keepNext w:val="0"/>
              <w:keepLines w:val="0"/>
              <w:pageBreakBefore w:val="0"/>
              <w:widowControl w:val="0"/>
              <w:kinsoku/>
              <w:wordWrap/>
              <w:overflowPunct/>
              <w:topLinePunct w:val="0"/>
              <w:bidi w:val="0"/>
              <w:adjustRightInd/>
              <w:snapToGrid w:val="0"/>
              <w:spacing w:line="0" w:lineRule="atLeast"/>
              <w:ind w:right="-97" w:rightChars="-46"/>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生态保护</w:t>
            </w:r>
          </w:p>
        </w:tc>
        <w:tc>
          <w:tcPr>
            <w:tcW w:w="7332" w:type="dxa"/>
            <w:tcBorders>
              <w:tl2br w:val="nil"/>
              <w:tr2bl w:val="nil"/>
            </w:tcBorders>
            <w:noWrap w:val="0"/>
            <w:vAlign w:val="center"/>
          </w:tcPr>
          <w:p>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sz w:val="21"/>
                <w:szCs w:val="21"/>
                <w:highlight w:val="none"/>
                <w:shd w:val="clear" w:color="auto" w:fill="auto"/>
                <w:lang w:val="en-US" w:eastAsia="zh-CN" w:bidi="ar-SA"/>
              </w:rPr>
              <w:t>施工期：</w:t>
            </w:r>
            <w:r>
              <w:rPr>
                <w:rFonts w:hint="default" w:ascii="Times New Roman" w:hAnsi="Times New Roman" w:cs="Times New Roman"/>
                <w:color w:val="auto"/>
                <w:spacing w:val="0"/>
                <w:sz w:val="21"/>
                <w:szCs w:val="21"/>
                <w:highlight w:val="none"/>
                <w:shd w:val="clear" w:color="auto" w:fill="auto"/>
              </w:rPr>
              <w:t>严格控制施工作业带宽度；填埋所需土方充分利用挖方，做到土方平衡，减少弃</w:t>
            </w:r>
            <w:r>
              <w:rPr>
                <w:rFonts w:hint="default" w:ascii="Times New Roman" w:hAnsi="Times New Roman" w:eastAsia="宋体" w:cs="Times New Roman"/>
                <w:color w:val="auto"/>
                <w:spacing w:val="0"/>
                <w:sz w:val="21"/>
                <w:szCs w:val="21"/>
                <w:highlight w:val="none"/>
                <w:shd w:val="clear" w:color="auto" w:fill="auto"/>
              </w:rPr>
              <w:t>土；临时堆土防尘网苫盖；设置限行彩条旗；洒水降尘。</w:t>
            </w:r>
          </w:p>
          <w:p>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b/>
                <w:bCs/>
                <w:color w:val="auto"/>
                <w:spacing w:val="0"/>
                <w:sz w:val="21"/>
                <w:szCs w:val="21"/>
                <w:highlight w:val="none"/>
                <w:shd w:val="clear" w:color="auto" w:fill="auto"/>
                <w:lang w:val="en-US" w:eastAsia="zh-CN" w:bidi="ar-SA"/>
              </w:rPr>
              <w:t>运营期：</w:t>
            </w:r>
            <w:r>
              <w:rPr>
                <w:rFonts w:hint="default" w:ascii="Times New Roman" w:hAnsi="Times New Roman" w:cs="Times New Roman"/>
                <w:color w:val="auto"/>
                <w:spacing w:val="0"/>
                <w:sz w:val="21"/>
                <w:szCs w:val="21"/>
                <w:highlight w:val="none"/>
                <w:shd w:val="clear" w:color="auto" w:fill="auto"/>
              </w:rPr>
              <w:t>管线上方设置标志，定时巡查井场</w:t>
            </w:r>
            <w:r>
              <w:rPr>
                <w:rFonts w:hint="eastAsia" w:ascii="Times New Roman" w:hAnsi="Times New Roman" w:cs="Times New Roman"/>
                <w:color w:val="auto"/>
                <w:spacing w:val="0"/>
                <w:sz w:val="21"/>
                <w:szCs w:val="21"/>
                <w:highlight w:val="none"/>
                <w:shd w:val="clear" w:color="auto" w:fill="auto"/>
                <w:lang w:eastAsia="zh-CN"/>
              </w:rPr>
              <w:t>、</w:t>
            </w:r>
            <w:r>
              <w:rPr>
                <w:rFonts w:hint="eastAsia" w:ascii="Times New Roman" w:hAnsi="Times New Roman" w:cs="Times New Roman"/>
                <w:color w:val="auto"/>
                <w:spacing w:val="0"/>
                <w:sz w:val="21"/>
                <w:szCs w:val="21"/>
                <w:highlight w:val="none"/>
                <w:shd w:val="clear" w:color="auto" w:fill="auto"/>
                <w:lang w:val="en-US" w:eastAsia="zh-CN"/>
              </w:rPr>
              <w:t>站场</w:t>
            </w:r>
            <w:r>
              <w:rPr>
                <w:rFonts w:hint="default" w:ascii="Times New Roman" w:hAnsi="Times New Roman" w:cs="Times New Roman"/>
                <w:color w:val="auto"/>
                <w:spacing w:val="0"/>
                <w:sz w:val="21"/>
                <w:szCs w:val="21"/>
                <w:highlight w:val="none"/>
                <w:shd w:val="clear" w:color="auto" w:fill="auto"/>
              </w:rPr>
              <w:t>、管线。</w:t>
            </w:r>
          </w:p>
          <w:p>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b/>
                <w:bCs/>
                <w:color w:val="auto"/>
                <w:spacing w:val="0"/>
                <w:sz w:val="21"/>
                <w:szCs w:val="21"/>
                <w:highlight w:val="none"/>
                <w:shd w:val="clear" w:color="auto" w:fill="auto"/>
                <w:lang w:val="en-US" w:eastAsia="zh-CN" w:bidi="ar-SA"/>
              </w:rPr>
              <w:t>退役期</w:t>
            </w:r>
            <w:r>
              <w:rPr>
                <w:rFonts w:hint="default" w:ascii="Times New Roman" w:hAnsi="Times New Roman" w:eastAsia="宋体" w:cs="Times New Roman"/>
                <w:b/>
                <w:bCs/>
                <w:color w:val="auto"/>
                <w:spacing w:val="0"/>
                <w:sz w:val="21"/>
                <w:szCs w:val="21"/>
                <w:highlight w:val="none"/>
                <w:shd w:val="clear" w:color="auto" w:fill="auto"/>
                <w:lang w:val="en-US" w:eastAsia="zh-CN" w:bidi="ar-SA"/>
              </w:rPr>
              <w:t>：</w:t>
            </w:r>
            <w:r>
              <w:rPr>
                <w:rFonts w:hint="default" w:ascii="Times New Roman" w:hAnsi="Times New Roman" w:cs="Times New Roman"/>
                <w:color w:val="auto"/>
                <w:spacing w:val="0"/>
                <w:sz w:val="21"/>
                <w:szCs w:val="21"/>
                <w:highlight w:val="none"/>
                <w:shd w:val="clear" w:color="auto" w:fill="auto"/>
                <w:lang w:bidi="ar"/>
              </w:rPr>
              <w:t>地面设施拆除、封井和井场清理等工作，恢复原有生态机能。</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pStyle w:val="24"/>
              <w:keepNext w:val="0"/>
              <w:keepLines w:val="0"/>
              <w:pageBreakBefore w:val="0"/>
              <w:widowControl w:val="0"/>
              <w:kinsoku/>
              <w:wordWrap/>
              <w:overflowPunct/>
              <w:topLinePunct w:val="0"/>
              <w:bidi w:val="0"/>
              <w:adjustRightInd/>
              <w:snapToGrid w:val="0"/>
              <w:spacing w:line="0" w:lineRule="atLeast"/>
              <w:ind w:left="-84" w:leftChars="-40" w:right="-97" w:rightChars="-46"/>
              <w:jc w:val="left"/>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环境风险</w:t>
            </w:r>
          </w:p>
        </w:tc>
        <w:tc>
          <w:tcPr>
            <w:tcW w:w="733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lang w:val="en-US" w:eastAsia="zh-CN" w:bidi="ar-SA"/>
              </w:rPr>
            </w:pPr>
            <w:r>
              <w:rPr>
                <w:rFonts w:hint="default" w:ascii="Times New Roman" w:hAnsi="Times New Roman" w:eastAsia="宋体" w:cs="Times New Roman"/>
                <w:color w:val="auto"/>
                <w:spacing w:val="0"/>
                <w:sz w:val="21"/>
                <w:szCs w:val="21"/>
                <w:highlight w:val="none"/>
                <w:shd w:val="clear" w:color="auto" w:fill="auto"/>
                <w:lang w:val="en-US" w:eastAsia="zh-CN" w:bidi="ar-SA"/>
              </w:rPr>
              <w:t>加强风险管理，完善应急预案；定期对井场、</w:t>
            </w:r>
            <w:r>
              <w:rPr>
                <w:rFonts w:hint="eastAsia" w:ascii="Times New Roman" w:hAnsi="Times New Roman" w:eastAsia="宋体" w:cs="Times New Roman"/>
                <w:color w:val="auto"/>
                <w:spacing w:val="0"/>
                <w:sz w:val="21"/>
                <w:szCs w:val="21"/>
                <w:highlight w:val="none"/>
                <w:shd w:val="clear" w:color="auto" w:fill="auto"/>
                <w:lang w:val="en-US" w:eastAsia="zh-CN" w:bidi="ar-SA"/>
              </w:rPr>
              <w:t>站场、</w:t>
            </w:r>
            <w:r>
              <w:rPr>
                <w:rFonts w:hint="default" w:ascii="Times New Roman" w:hAnsi="Times New Roman" w:eastAsia="宋体" w:cs="Times New Roman"/>
                <w:color w:val="auto"/>
                <w:spacing w:val="0"/>
                <w:sz w:val="21"/>
                <w:szCs w:val="21"/>
                <w:highlight w:val="none"/>
                <w:shd w:val="clear" w:color="auto" w:fill="auto"/>
                <w:lang w:val="en-US" w:eastAsia="zh-CN" w:bidi="ar-SA"/>
              </w:rPr>
              <w:t>管线进行巡视。</w:t>
            </w:r>
          </w:p>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color w:val="auto"/>
                <w:spacing w:val="0"/>
                <w:sz w:val="21"/>
                <w:szCs w:val="21"/>
                <w:highlight w:val="none"/>
                <w:shd w:val="clear" w:color="auto" w:fill="auto"/>
              </w:rPr>
            </w:pPr>
            <w:r>
              <w:rPr>
                <w:rFonts w:hint="default" w:ascii="Times New Roman" w:hAnsi="Times New Roman" w:eastAsia="宋体" w:cs="Times New Roman"/>
                <w:b w:val="0"/>
                <w:color w:val="auto"/>
                <w:spacing w:val="0"/>
                <w:kern w:val="0"/>
                <w:sz w:val="21"/>
                <w:szCs w:val="21"/>
                <w:highlight w:val="none"/>
                <w:shd w:val="clear" w:color="auto" w:fill="auto"/>
                <w:lang w:val="en-US" w:eastAsia="zh-CN" w:bidi="ar-SA"/>
              </w:rPr>
              <w:t>钻井期设置井控装置防止井漏和油水窜层</w:t>
            </w:r>
            <w:r>
              <w:rPr>
                <w:rFonts w:hint="eastAsia" w:ascii="Times New Roman" w:hAnsi="Times New Roman" w:eastAsia="宋体" w:cs="Times New Roman"/>
                <w:b w:val="0"/>
                <w:color w:val="auto"/>
                <w:spacing w:val="0"/>
                <w:kern w:val="0"/>
                <w:sz w:val="21"/>
                <w:szCs w:val="21"/>
                <w:highlight w:val="none"/>
                <w:shd w:val="clear" w:color="auto" w:fill="auto"/>
                <w:lang w:val="en-US" w:eastAsia="zh-CN" w:bidi="ar-SA"/>
              </w:rPr>
              <w:t>。</w:t>
            </w:r>
            <w:r>
              <w:rPr>
                <w:rFonts w:hint="default" w:ascii="Times New Roman" w:hAnsi="Times New Roman" w:eastAsia="宋体" w:cs="Times New Roman"/>
                <w:b w:val="0"/>
                <w:color w:val="auto"/>
                <w:spacing w:val="0"/>
                <w:kern w:val="0"/>
                <w:sz w:val="21"/>
                <w:szCs w:val="21"/>
                <w:highlight w:val="none"/>
                <w:shd w:val="clear" w:color="auto" w:fill="auto"/>
                <w:lang w:val="en-US" w:eastAsia="zh-CN" w:bidi="ar-SA"/>
              </w:rPr>
              <w:t>运营期管线上方设置标识，定期对管线壁厚进行超声波检查，</w:t>
            </w:r>
            <w:r>
              <w:rPr>
                <w:rFonts w:hint="eastAsia" w:ascii="Times New Roman" w:hAnsi="Times New Roman" w:eastAsia="宋体" w:cs="Times New Roman"/>
                <w:b w:val="0"/>
                <w:color w:val="auto"/>
                <w:spacing w:val="0"/>
                <w:kern w:val="0"/>
                <w:sz w:val="21"/>
                <w:szCs w:val="21"/>
                <w:highlight w:val="none"/>
                <w:shd w:val="clear" w:color="auto" w:fill="auto"/>
                <w:lang w:val="en-US" w:eastAsia="zh-CN" w:bidi="ar-SA"/>
              </w:rPr>
              <w:t>采油井场、</w:t>
            </w:r>
            <w:r>
              <w:rPr>
                <w:rFonts w:hint="default" w:ascii="Times New Roman" w:hAnsi="Times New Roman" w:eastAsia="宋体" w:cs="Times New Roman"/>
                <w:b w:val="0"/>
                <w:color w:val="auto"/>
                <w:spacing w:val="0"/>
                <w:kern w:val="0"/>
                <w:sz w:val="21"/>
                <w:szCs w:val="21"/>
                <w:highlight w:val="none"/>
                <w:shd w:val="clear" w:color="auto" w:fill="auto"/>
                <w:lang w:val="en-US" w:eastAsia="zh-CN" w:bidi="ar-SA"/>
              </w:rPr>
              <w:t>站场设置可燃气体报警仪</w:t>
            </w:r>
            <w:r>
              <w:rPr>
                <w:rFonts w:hint="default" w:ascii="Times New Roman" w:hAnsi="Times New Roman" w:eastAsia="宋体" w:cs="Times New Roman"/>
                <w:color w:val="auto"/>
                <w:spacing w:val="0"/>
                <w:sz w:val="21"/>
                <w:szCs w:val="21"/>
                <w:highlight w:val="none"/>
                <w:shd w:val="clear" w:color="auto" w:fill="auto"/>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防渗</w:t>
            </w:r>
          </w:p>
        </w:tc>
        <w:tc>
          <w:tcPr>
            <w:tcW w:w="733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default" w:ascii="Times New Roman" w:hAnsi="Times New Roman" w:eastAsia="宋体" w:cs="Times New Roman"/>
                <w:color w:val="auto"/>
                <w:spacing w:val="0"/>
                <w:sz w:val="21"/>
                <w:szCs w:val="21"/>
                <w:highlight w:val="none"/>
                <w:shd w:val="clear" w:color="auto" w:fill="auto"/>
                <w:lang w:val="en-US" w:eastAsia="zh-CN" w:bidi="ar-SA"/>
              </w:rPr>
            </w:pPr>
            <w:r>
              <w:rPr>
                <w:rFonts w:hint="default" w:ascii="Times New Roman" w:hAnsi="Times New Roman" w:eastAsia="宋体" w:cs="Times New Roman"/>
                <w:color w:val="auto"/>
                <w:spacing w:val="0"/>
                <w:sz w:val="21"/>
                <w:szCs w:val="21"/>
                <w:highlight w:val="none"/>
                <w:shd w:val="clear" w:color="auto" w:fill="auto"/>
                <w:lang w:val="en-US" w:eastAsia="zh-CN" w:bidi="ar-SA"/>
              </w:rPr>
              <w:t>井场</w:t>
            </w:r>
            <w:r>
              <w:rPr>
                <w:rFonts w:hint="eastAsia" w:cs="Times New Roman"/>
                <w:color w:val="auto"/>
                <w:spacing w:val="0"/>
                <w:sz w:val="21"/>
                <w:szCs w:val="21"/>
                <w:highlight w:val="none"/>
                <w:shd w:val="clear" w:color="auto" w:fill="auto"/>
                <w:lang w:val="en-US" w:eastAsia="zh-CN" w:bidi="ar-SA"/>
              </w:rPr>
              <w:t>、站场</w:t>
            </w:r>
            <w:r>
              <w:rPr>
                <w:rFonts w:hint="default" w:ascii="Times New Roman" w:hAnsi="Times New Roman" w:eastAsia="宋体" w:cs="Times New Roman"/>
                <w:color w:val="auto"/>
                <w:spacing w:val="0"/>
                <w:sz w:val="21"/>
                <w:szCs w:val="21"/>
                <w:highlight w:val="none"/>
                <w:shd w:val="clear" w:color="auto" w:fill="auto"/>
                <w:lang w:val="en-US" w:eastAsia="zh-CN" w:bidi="ar-SA"/>
              </w:rPr>
              <w:t>进行分区防渗。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restart"/>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依托工程</w:t>
            </w:r>
          </w:p>
        </w:tc>
        <w:tc>
          <w:tcPr>
            <w:tcW w:w="993" w:type="dxa"/>
            <w:gridSpan w:val="2"/>
            <w:tcBorders>
              <w:tl2br w:val="nil"/>
              <w:tr2bl w:val="nil"/>
            </w:tcBorders>
            <w:noWrap w:val="0"/>
            <w:vAlign w:val="center"/>
          </w:tcPr>
          <w:p>
            <w:pPr>
              <w:pStyle w:val="66"/>
              <w:spacing w:line="240" w:lineRule="auto"/>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cs="Times New Roman"/>
                <w:color w:val="auto"/>
                <w:spacing w:val="0"/>
                <w:sz w:val="21"/>
                <w:szCs w:val="21"/>
                <w:highlight w:val="none"/>
                <w:shd w:val="clear" w:color="auto" w:fill="auto"/>
                <w:lang w:val="en-US" w:eastAsia="zh-CN"/>
              </w:rPr>
              <w:t>风城二号稠油联合站</w:t>
            </w:r>
          </w:p>
        </w:tc>
        <w:tc>
          <w:tcPr>
            <w:tcW w:w="7332" w:type="dxa"/>
            <w:tcBorders>
              <w:tl2br w:val="nil"/>
              <w:tr2bl w:val="nil"/>
            </w:tcBorders>
            <w:noWrap w:val="0"/>
            <w:vAlign w:val="center"/>
          </w:tcPr>
          <w:p>
            <w:pPr>
              <w:keepNext w:val="0"/>
              <w:keepLines w:val="0"/>
              <w:pageBreakBefore w:val="0"/>
              <w:widowControl w:val="0"/>
              <w:kinsoku/>
              <w:wordWrap/>
              <w:overflowPunct/>
              <w:topLinePunct w:val="0"/>
              <w:autoSpaceDE w:val="0"/>
              <w:autoSpaceDN w:val="0"/>
              <w:bidi w:val="0"/>
              <w:adjustRightInd/>
              <w:snapToGrid w:val="0"/>
              <w:ind w:left="-84" w:leftChars="-40" w:right="-97" w:rightChars="-46"/>
              <w:jc w:val="left"/>
              <w:rPr>
                <w:rFonts w:hint="eastAsia" w:ascii="Times New Roman" w:hAnsi="Times New Roman" w:eastAsia="宋体" w:cs="Times New Roman"/>
                <w:color w:val="auto"/>
                <w:spacing w:val="0"/>
                <w:sz w:val="21"/>
                <w:szCs w:val="21"/>
                <w:highlight w:val="none"/>
                <w:shd w:val="clear" w:color="auto" w:fill="auto"/>
                <w:lang w:val="en-US" w:eastAsia="zh-CN" w:bidi="ar-SA"/>
              </w:rPr>
            </w:pPr>
            <w:r>
              <w:rPr>
                <w:rFonts w:hint="default" w:ascii="Times New Roman" w:hAnsi="Times New Roman" w:eastAsia="宋体" w:cs="Times New Roman"/>
                <w:color w:val="auto"/>
                <w:spacing w:val="0"/>
                <w:sz w:val="21"/>
                <w:szCs w:val="21"/>
                <w:highlight w:val="none"/>
                <w:shd w:val="clear" w:color="auto" w:fill="auto"/>
                <w:lang w:val="en-US" w:eastAsia="zh-CN" w:bidi="ar-SA"/>
              </w:rPr>
              <w:t>本工程</w:t>
            </w:r>
            <w:r>
              <w:rPr>
                <w:rFonts w:hint="eastAsia" w:ascii="Times New Roman" w:hAnsi="Times New Roman" w:eastAsia="宋体" w:cs="Times New Roman"/>
                <w:color w:val="auto"/>
                <w:spacing w:val="0"/>
                <w:sz w:val="21"/>
                <w:szCs w:val="21"/>
                <w:highlight w:val="none"/>
                <w:shd w:val="clear" w:color="auto" w:fill="auto"/>
                <w:lang w:val="en-US" w:eastAsia="zh-CN" w:bidi="ar-SA"/>
              </w:rPr>
              <w:t>部署采油井的原油、采出水依托风城二号稠油联合站</w:t>
            </w:r>
            <w:r>
              <w:rPr>
                <w:rFonts w:hint="default" w:ascii="Times New Roman" w:hAnsi="Times New Roman" w:eastAsia="宋体" w:cs="Times New Roman"/>
                <w:color w:val="auto"/>
                <w:spacing w:val="0"/>
                <w:sz w:val="21"/>
                <w:szCs w:val="21"/>
                <w:highlight w:val="none"/>
                <w:shd w:val="clear" w:color="auto" w:fill="auto"/>
                <w:lang w:val="en-US" w:eastAsia="zh-CN" w:bidi="ar-SA"/>
              </w:rPr>
              <w:t>进行处理。</w:t>
            </w:r>
            <w:r>
              <w:rPr>
                <w:rFonts w:hint="eastAsia" w:ascii="Times New Roman" w:hAnsi="Times New Roman" w:eastAsia="宋体" w:cs="Times New Roman"/>
                <w:color w:val="auto"/>
                <w:spacing w:val="0"/>
                <w:sz w:val="21"/>
                <w:szCs w:val="21"/>
                <w:highlight w:val="none"/>
                <w:shd w:val="clear" w:color="auto" w:fill="auto"/>
                <w:lang w:val="en-US" w:eastAsia="zh-CN" w:bidi="ar-SA"/>
              </w:rPr>
              <w:t>风城</w:t>
            </w:r>
            <w:r>
              <w:rPr>
                <w:rFonts w:hint="default" w:ascii="Times New Roman" w:hAnsi="Times New Roman" w:eastAsia="宋体" w:cs="Times New Roman"/>
                <w:color w:val="auto"/>
                <w:spacing w:val="0"/>
                <w:sz w:val="21"/>
                <w:szCs w:val="21"/>
                <w:highlight w:val="none"/>
                <w:shd w:val="clear" w:color="auto" w:fill="auto"/>
                <w:lang w:val="en-US" w:eastAsia="zh-CN" w:bidi="ar-SA"/>
              </w:rPr>
              <w:t>2</w:t>
            </w:r>
            <w:r>
              <w:rPr>
                <w:rFonts w:hint="eastAsia" w:ascii="Times New Roman" w:hAnsi="Times New Roman" w:eastAsia="宋体" w:cs="Times New Roman"/>
                <w:color w:val="auto"/>
                <w:spacing w:val="0"/>
                <w:sz w:val="21"/>
                <w:szCs w:val="21"/>
                <w:highlight w:val="none"/>
                <w:shd w:val="clear" w:color="auto" w:fill="auto"/>
                <w:lang w:val="en-US" w:eastAsia="zh-CN" w:bidi="ar-SA"/>
              </w:rPr>
              <w:t>号稠油联合处理站主要包括常规原油处理系统、污水处理系统、</w:t>
            </w:r>
            <w:r>
              <w:rPr>
                <w:rFonts w:hint="default" w:ascii="Times New Roman" w:hAnsi="Times New Roman" w:eastAsia="宋体" w:cs="Times New Roman"/>
                <w:color w:val="auto"/>
                <w:spacing w:val="0"/>
                <w:sz w:val="21"/>
                <w:szCs w:val="21"/>
                <w:highlight w:val="none"/>
                <w:shd w:val="clear" w:color="auto" w:fill="auto"/>
                <w:lang w:val="en-US" w:eastAsia="zh-CN" w:bidi="ar-SA"/>
              </w:rPr>
              <w:t>SAGD</w:t>
            </w:r>
            <w:r>
              <w:rPr>
                <w:rFonts w:hint="eastAsia" w:ascii="Times New Roman" w:hAnsi="Times New Roman" w:eastAsia="宋体" w:cs="Times New Roman"/>
                <w:color w:val="auto"/>
                <w:spacing w:val="0"/>
                <w:sz w:val="21"/>
                <w:szCs w:val="21"/>
                <w:highlight w:val="none"/>
                <w:shd w:val="clear" w:color="auto" w:fill="auto"/>
                <w:lang w:val="en-US" w:eastAsia="zh-CN" w:bidi="ar-SA"/>
              </w:rPr>
              <w:t>循环液处理装置、废水达标处理系统及</w:t>
            </w:r>
            <w:r>
              <w:rPr>
                <w:rFonts w:hint="default" w:ascii="Times New Roman" w:hAnsi="Times New Roman" w:eastAsia="宋体" w:cs="Times New Roman"/>
                <w:color w:val="auto"/>
                <w:spacing w:val="0"/>
                <w:sz w:val="21"/>
                <w:szCs w:val="21"/>
                <w:highlight w:val="none"/>
                <w:shd w:val="clear" w:color="auto" w:fill="auto"/>
                <w:lang w:val="en-US" w:eastAsia="zh-CN" w:bidi="ar-SA"/>
              </w:rPr>
              <w:t xml:space="preserve">SAGD </w:t>
            </w:r>
            <w:r>
              <w:rPr>
                <w:rFonts w:hint="eastAsia" w:ascii="Times New Roman" w:hAnsi="Times New Roman" w:eastAsia="宋体" w:cs="Times New Roman"/>
                <w:color w:val="auto"/>
                <w:spacing w:val="0"/>
                <w:sz w:val="21"/>
                <w:szCs w:val="21"/>
                <w:highlight w:val="none"/>
                <w:shd w:val="clear" w:color="auto" w:fill="auto"/>
                <w:lang w:val="en-US" w:eastAsia="zh-CN" w:bidi="ar-SA"/>
              </w:rPr>
              <w:t xml:space="preserve">密闭处理站循环液处理，设计处理能力分别为 </w:t>
            </w:r>
            <w:r>
              <w:rPr>
                <w:rFonts w:hint="default" w:ascii="Times New Roman" w:hAnsi="Times New Roman" w:eastAsia="宋体" w:cs="Times New Roman"/>
                <w:color w:val="auto"/>
                <w:spacing w:val="0"/>
                <w:sz w:val="21"/>
                <w:szCs w:val="21"/>
                <w:highlight w:val="none"/>
                <w:shd w:val="clear" w:color="auto" w:fill="auto"/>
                <w:lang w:val="en-US" w:eastAsia="zh-CN" w:bidi="ar-SA"/>
              </w:rPr>
              <w:t>150×10</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4</w:t>
            </w:r>
            <w:r>
              <w:rPr>
                <w:rFonts w:hint="default" w:ascii="Times New Roman" w:hAnsi="Times New Roman" w:eastAsia="宋体" w:cs="Times New Roman"/>
                <w:color w:val="auto"/>
                <w:spacing w:val="0"/>
                <w:sz w:val="21"/>
                <w:szCs w:val="21"/>
                <w:highlight w:val="none"/>
                <w:shd w:val="clear" w:color="auto" w:fill="auto"/>
                <w:lang w:val="en-US" w:eastAsia="zh-CN" w:bidi="ar-SA"/>
              </w:rPr>
              <w:t>t/a</w:t>
            </w:r>
            <w:r>
              <w:rPr>
                <w:rFonts w:hint="eastAsia" w:ascii="Times New Roman" w:hAnsi="Times New Roman" w:eastAsia="宋体" w:cs="Times New Roman"/>
                <w:color w:val="auto"/>
                <w:spacing w:val="0"/>
                <w:sz w:val="21"/>
                <w:szCs w:val="21"/>
                <w:highlight w:val="none"/>
                <w:shd w:val="clear" w:color="auto" w:fill="auto"/>
                <w:lang w:val="en-US" w:eastAsia="zh-CN" w:bidi="ar-SA"/>
              </w:rPr>
              <w:t>、</w:t>
            </w:r>
            <w:r>
              <w:rPr>
                <w:rFonts w:hint="default" w:ascii="Times New Roman" w:hAnsi="Times New Roman" w:eastAsia="宋体" w:cs="Times New Roman"/>
                <w:color w:val="auto"/>
                <w:spacing w:val="0"/>
                <w:sz w:val="21"/>
                <w:szCs w:val="21"/>
                <w:highlight w:val="none"/>
                <w:shd w:val="clear" w:color="auto" w:fill="auto"/>
                <w:lang w:val="en-US" w:eastAsia="zh-CN" w:bidi="ar-SA"/>
              </w:rPr>
              <w:t>40000m</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3</w:t>
            </w:r>
            <w:r>
              <w:rPr>
                <w:rFonts w:hint="default" w:ascii="Times New Roman" w:hAnsi="Times New Roman" w:eastAsia="宋体" w:cs="Times New Roman"/>
                <w:color w:val="auto"/>
                <w:spacing w:val="0"/>
                <w:sz w:val="21"/>
                <w:szCs w:val="21"/>
                <w:highlight w:val="none"/>
                <w:shd w:val="clear" w:color="auto" w:fill="auto"/>
                <w:lang w:val="en-US" w:eastAsia="zh-CN" w:bidi="ar-SA"/>
              </w:rPr>
              <w:t>/d</w:t>
            </w:r>
            <w:r>
              <w:rPr>
                <w:rFonts w:hint="eastAsia" w:ascii="Times New Roman" w:hAnsi="Times New Roman" w:eastAsia="宋体" w:cs="Times New Roman"/>
                <w:color w:val="auto"/>
                <w:spacing w:val="0"/>
                <w:sz w:val="21"/>
                <w:szCs w:val="21"/>
                <w:highlight w:val="none"/>
                <w:shd w:val="clear" w:color="auto" w:fill="auto"/>
                <w:lang w:val="en-US" w:eastAsia="zh-CN" w:bidi="ar-SA"/>
              </w:rPr>
              <w:t>、</w:t>
            </w:r>
            <w:r>
              <w:rPr>
                <w:rFonts w:hint="default" w:ascii="Times New Roman" w:hAnsi="Times New Roman" w:eastAsia="宋体" w:cs="Times New Roman"/>
                <w:color w:val="auto"/>
                <w:spacing w:val="0"/>
                <w:sz w:val="21"/>
                <w:szCs w:val="21"/>
                <w:highlight w:val="none"/>
                <w:shd w:val="clear" w:color="auto" w:fill="auto"/>
                <w:lang w:val="en-US" w:eastAsia="zh-CN" w:bidi="ar-SA"/>
              </w:rPr>
              <w:t>6000m</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3</w:t>
            </w:r>
            <w:r>
              <w:rPr>
                <w:rFonts w:hint="default" w:ascii="Times New Roman" w:hAnsi="Times New Roman" w:eastAsia="宋体" w:cs="Times New Roman"/>
                <w:color w:val="auto"/>
                <w:spacing w:val="0"/>
                <w:sz w:val="21"/>
                <w:szCs w:val="21"/>
                <w:highlight w:val="none"/>
                <w:shd w:val="clear" w:color="auto" w:fill="auto"/>
                <w:lang w:val="en-US" w:eastAsia="zh-CN" w:bidi="ar-SA"/>
              </w:rPr>
              <w:t>/d</w:t>
            </w:r>
            <w:r>
              <w:rPr>
                <w:rFonts w:hint="eastAsia" w:ascii="Times New Roman" w:hAnsi="Times New Roman" w:eastAsia="宋体" w:cs="Times New Roman"/>
                <w:color w:val="auto"/>
                <w:spacing w:val="0"/>
                <w:sz w:val="21"/>
                <w:szCs w:val="21"/>
                <w:highlight w:val="none"/>
                <w:shd w:val="clear" w:color="auto" w:fill="auto"/>
                <w:lang w:val="en-US" w:eastAsia="zh-CN" w:bidi="ar-SA"/>
              </w:rPr>
              <w:t>、</w:t>
            </w:r>
            <w:r>
              <w:rPr>
                <w:rFonts w:hint="default" w:ascii="Times New Roman" w:hAnsi="Times New Roman" w:eastAsia="宋体" w:cs="Times New Roman"/>
                <w:color w:val="auto"/>
                <w:spacing w:val="0"/>
                <w:sz w:val="21"/>
                <w:szCs w:val="21"/>
                <w:highlight w:val="none"/>
                <w:shd w:val="clear" w:color="auto" w:fill="auto"/>
                <w:lang w:val="en-US" w:eastAsia="zh-CN" w:bidi="ar-SA"/>
              </w:rPr>
              <w:t>2500m</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3</w:t>
            </w:r>
            <w:r>
              <w:rPr>
                <w:rFonts w:hint="default" w:ascii="Times New Roman" w:hAnsi="Times New Roman" w:eastAsia="宋体" w:cs="Times New Roman"/>
                <w:color w:val="auto"/>
                <w:spacing w:val="0"/>
                <w:sz w:val="21"/>
                <w:szCs w:val="21"/>
                <w:highlight w:val="none"/>
                <w:shd w:val="clear" w:color="auto" w:fill="auto"/>
                <w:lang w:val="en-US" w:eastAsia="zh-CN" w:bidi="ar-SA"/>
              </w:rPr>
              <w:t>/d</w:t>
            </w:r>
            <w:r>
              <w:rPr>
                <w:rFonts w:hint="eastAsia" w:ascii="Times New Roman" w:hAnsi="Times New Roman" w:eastAsia="宋体" w:cs="Times New Roman"/>
                <w:color w:val="auto"/>
                <w:spacing w:val="0"/>
                <w:sz w:val="21"/>
                <w:szCs w:val="21"/>
                <w:highlight w:val="none"/>
                <w:shd w:val="clear" w:color="auto" w:fill="auto"/>
                <w:lang w:val="en-US" w:eastAsia="zh-CN" w:bidi="ar-SA"/>
              </w:rPr>
              <w:t>、</w:t>
            </w:r>
            <w:r>
              <w:rPr>
                <w:rFonts w:hint="default" w:ascii="Times New Roman" w:hAnsi="Times New Roman" w:eastAsia="宋体" w:cs="Times New Roman"/>
                <w:color w:val="auto"/>
                <w:spacing w:val="0"/>
                <w:sz w:val="21"/>
                <w:szCs w:val="21"/>
                <w:highlight w:val="none"/>
                <w:shd w:val="clear" w:color="auto" w:fill="auto"/>
                <w:lang w:val="en-US" w:eastAsia="zh-CN" w:bidi="ar-SA"/>
              </w:rPr>
              <w:t>120×10</w:t>
            </w:r>
            <w:r>
              <w:rPr>
                <w:rFonts w:hint="default" w:ascii="Times New Roman" w:hAnsi="Times New Roman" w:eastAsia="宋体" w:cs="Times New Roman"/>
                <w:color w:val="auto"/>
                <w:spacing w:val="0"/>
                <w:sz w:val="21"/>
                <w:szCs w:val="21"/>
                <w:highlight w:val="none"/>
                <w:shd w:val="clear" w:color="auto" w:fill="auto"/>
                <w:vertAlign w:val="superscript"/>
                <w:lang w:val="en-US" w:eastAsia="zh-CN" w:bidi="ar-SA"/>
              </w:rPr>
              <w:t>4</w:t>
            </w:r>
            <w:r>
              <w:rPr>
                <w:rFonts w:hint="default" w:ascii="Times New Roman" w:hAnsi="Times New Roman" w:eastAsia="宋体" w:cs="Times New Roman"/>
                <w:color w:val="auto"/>
                <w:spacing w:val="0"/>
                <w:sz w:val="21"/>
                <w:szCs w:val="21"/>
                <w:highlight w:val="none"/>
                <w:shd w:val="clear" w:color="auto" w:fill="auto"/>
                <w:lang w:val="en-US" w:eastAsia="zh-CN" w:bidi="ar-SA"/>
              </w:rPr>
              <w:t>t/a</w:t>
            </w:r>
            <w:r>
              <w:rPr>
                <w:rFonts w:hint="eastAsia" w:ascii="Times New Roman" w:hAnsi="Times New Roman" w:eastAsia="宋体" w:cs="Times New Roman"/>
                <w:color w:val="auto"/>
                <w:spacing w:val="0"/>
                <w:sz w:val="21"/>
                <w:szCs w:val="21"/>
                <w:highlight w:val="none"/>
                <w:shd w:val="clear" w:color="auto" w:fill="auto"/>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525" w:type="dxa"/>
            <w:vMerge w:val="continue"/>
            <w:tcBorders>
              <w:tl2br w:val="nil"/>
              <w:tr2bl w:val="nil"/>
            </w:tcBorders>
            <w:noWrap w:val="0"/>
            <w:vAlign w:val="center"/>
          </w:tcPr>
          <w:p>
            <w:pPr>
              <w:autoSpaceDE w:val="0"/>
              <w:autoSpaceDN w:val="0"/>
              <w:ind w:left="-86" w:leftChars="-41" w:right="-97" w:rightChars="-46"/>
              <w:jc w:val="center"/>
              <w:rPr>
                <w:rFonts w:hint="default" w:ascii="Times New Roman" w:hAnsi="Times New Roman" w:cs="Times New Roman"/>
                <w:color w:val="auto"/>
                <w:spacing w:val="0"/>
                <w:sz w:val="21"/>
                <w:szCs w:val="21"/>
                <w:highlight w:val="none"/>
                <w:shd w:val="clear" w:color="auto" w:fill="auto"/>
              </w:rPr>
            </w:pPr>
          </w:p>
        </w:tc>
        <w:tc>
          <w:tcPr>
            <w:tcW w:w="993" w:type="dxa"/>
            <w:gridSpan w:val="2"/>
            <w:tcBorders>
              <w:tl2br w:val="nil"/>
              <w:tr2bl w:val="nil"/>
            </w:tcBorders>
            <w:noWrap w:val="0"/>
            <w:vAlign w:val="center"/>
          </w:tcPr>
          <w:p>
            <w:pPr>
              <w:pStyle w:val="66"/>
              <w:spacing w:line="240" w:lineRule="auto"/>
              <w:rPr>
                <w:rFonts w:hint="eastAsia" w:ascii="Times New Roman" w:hAnsi="Times New Roman" w:cs="Times New Roman"/>
                <w:color w:val="auto"/>
                <w:spacing w:val="0"/>
                <w:sz w:val="21"/>
                <w:szCs w:val="21"/>
                <w:highlight w:val="none"/>
                <w:shd w:val="clear" w:color="auto" w:fill="auto"/>
                <w:lang w:val="en-US" w:eastAsia="zh-CN"/>
              </w:rPr>
            </w:pPr>
            <w:r>
              <w:rPr>
                <w:rFonts w:hint="eastAsia"/>
                <w:color w:val="auto"/>
                <w:spacing w:val="-6"/>
                <w:sz w:val="21"/>
                <w:szCs w:val="21"/>
                <w:highlight w:val="none"/>
              </w:rPr>
              <w:t>夏子街天然气增压站</w:t>
            </w:r>
          </w:p>
        </w:tc>
        <w:tc>
          <w:tcPr>
            <w:tcW w:w="7332" w:type="dxa"/>
            <w:tcBorders>
              <w:tl2br w:val="nil"/>
              <w:tr2bl w:val="nil"/>
            </w:tcBorders>
            <w:noWrap w:val="0"/>
            <w:vAlign w:val="center"/>
          </w:tcPr>
          <w:p>
            <w:pPr>
              <w:pStyle w:val="66"/>
              <w:spacing w:line="240" w:lineRule="auto"/>
              <w:jc w:val="both"/>
              <w:rPr>
                <w:rFonts w:hint="default" w:ascii="Times New Roman" w:hAnsi="Times New Roman"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zCs w:val="21"/>
                <w:highlight w:val="none"/>
                <w:lang w:val="en-US" w:eastAsia="zh-CN"/>
              </w:rPr>
              <w:t>本工程</w:t>
            </w:r>
            <w:r>
              <w:rPr>
                <w:rFonts w:hint="eastAsia"/>
                <w:color w:val="auto"/>
                <w:spacing w:val="-6"/>
                <w:sz w:val="21"/>
                <w:szCs w:val="21"/>
                <w:highlight w:val="none"/>
                <w:lang w:val="en-US" w:eastAsia="zh-CN"/>
              </w:rPr>
              <w:t>采出液密闭集输至新建集中拉油站</w:t>
            </w:r>
            <w:r>
              <w:rPr>
                <w:rFonts w:hint="eastAsia"/>
                <w:color w:val="auto"/>
                <w:spacing w:val="-6"/>
                <w:sz w:val="21"/>
                <w:szCs w:val="21"/>
                <w:highlight w:val="none"/>
                <w:lang w:eastAsia="zh-CN"/>
              </w:rPr>
              <w:t>，</w:t>
            </w:r>
            <w:r>
              <w:rPr>
                <w:rFonts w:hint="eastAsia"/>
                <w:color w:val="auto"/>
                <w:spacing w:val="-6"/>
                <w:sz w:val="21"/>
                <w:szCs w:val="21"/>
                <w:highlight w:val="none"/>
                <w:lang w:val="en-US" w:eastAsia="zh-CN"/>
              </w:rPr>
              <w:t>经气液</w:t>
            </w:r>
            <w:r>
              <w:rPr>
                <w:rFonts w:hint="eastAsia"/>
                <w:color w:val="auto"/>
                <w:spacing w:val="-6"/>
                <w:sz w:val="21"/>
                <w:szCs w:val="21"/>
                <w:highlight w:val="none"/>
              </w:rPr>
              <w:t>分离后，</w:t>
            </w:r>
            <w:r>
              <w:rPr>
                <w:rFonts w:hint="eastAsia"/>
                <w:color w:val="auto"/>
                <w:spacing w:val="-6"/>
                <w:sz w:val="21"/>
                <w:szCs w:val="21"/>
                <w:highlight w:val="none"/>
                <w:lang w:val="en-US" w:eastAsia="zh-CN"/>
              </w:rPr>
              <w:t>分离出的伴生气</w:t>
            </w:r>
            <w:r>
              <w:rPr>
                <w:rFonts w:hint="eastAsia"/>
                <w:color w:val="auto"/>
                <w:spacing w:val="-6"/>
                <w:sz w:val="21"/>
                <w:szCs w:val="21"/>
                <w:highlight w:val="none"/>
              </w:rPr>
              <w:t>依托夏子街天然气增压站进行处理增压外输</w:t>
            </w:r>
            <w:r>
              <w:rPr>
                <w:rFonts w:hint="eastAsia"/>
                <w:color w:val="auto"/>
                <w:spacing w:val="-6"/>
                <w:sz w:val="21"/>
                <w:szCs w:val="21"/>
                <w:highlight w:val="none"/>
                <w:lang w:eastAsia="zh-CN"/>
              </w:rPr>
              <w:t>。夏子街伴生气增压站设计增压规模为20×10</w:t>
            </w:r>
            <w:r>
              <w:rPr>
                <w:rFonts w:hint="eastAsia"/>
                <w:color w:val="auto"/>
                <w:spacing w:val="-6"/>
                <w:sz w:val="21"/>
                <w:szCs w:val="21"/>
                <w:highlight w:val="none"/>
                <w:vertAlign w:val="superscript"/>
                <w:lang w:eastAsia="zh-CN"/>
              </w:rPr>
              <w:t>4</w:t>
            </w:r>
            <w:r>
              <w:rPr>
                <w:rFonts w:hint="eastAsia"/>
                <w:color w:val="auto"/>
                <w:spacing w:val="-6"/>
                <w:sz w:val="21"/>
                <w:szCs w:val="21"/>
                <w:highlight w:val="none"/>
                <w:lang w:eastAsia="zh-CN"/>
              </w:rPr>
              <w:t>Nm</w:t>
            </w:r>
            <w:r>
              <w:rPr>
                <w:rFonts w:hint="eastAsia"/>
                <w:color w:val="auto"/>
                <w:spacing w:val="-6"/>
                <w:sz w:val="21"/>
                <w:szCs w:val="21"/>
                <w:highlight w:val="none"/>
                <w:vertAlign w:val="superscript"/>
                <w:lang w:eastAsia="zh-CN"/>
              </w:rPr>
              <w:t>3</w:t>
            </w:r>
            <w:r>
              <w:rPr>
                <w:rFonts w:hint="eastAsia"/>
                <w:color w:val="auto"/>
                <w:spacing w:val="-6"/>
                <w:sz w:val="21"/>
                <w:szCs w:val="21"/>
                <w:highlight w:val="none"/>
                <w:lang w:eastAsia="zh-CN"/>
              </w:rPr>
              <w:t>/d，目前实际增压伴生气气量为7×10</w:t>
            </w:r>
            <w:r>
              <w:rPr>
                <w:rFonts w:hint="eastAsia"/>
                <w:color w:val="auto"/>
                <w:spacing w:val="-6"/>
                <w:sz w:val="21"/>
                <w:szCs w:val="21"/>
                <w:highlight w:val="none"/>
                <w:vertAlign w:val="superscript"/>
                <w:lang w:eastAsia="zh-CN"/>
              </w:rPr>
              <w:t>4</w:t>
            </w:r>
            <w:r>
              <w:rPr>
                <w:rFonts w:hint="eastAsia"/>
                <w:color w:val="auto"/>
                <w:spacing w:val="-6"/>
                <w:sz w:val="21"/>
                <w:szCs w:val="21"/>
                <w:highlight w:val="none"/>
                <w:lang w:eastAsia="zh-CN"/>
              </w:rPr>
              <w:t>Nm</w:t>
            </w:r>
            <w:r>
              <w:rPr>
                <w:rFonts w:hint="eastAsia"/>
                <w:color w:val="auto"/>
                <w:spacing w:val="-6"/>
                <w:sz w:val="21"/>
                <w:szCs w:val="21"/>
                <w:highlight w:val="none"/>
                <w:vertAlign w:val="superscript"/>
                <w:lang w:eastAsia="zh-CN"/>
              </w:rPr>
              <w:t>3</w:t>
            </w:r>
            <w:r>
              <w:rPr>
                <w:rFonts w:hint="eastAsia"/>
                <w:color w:val="auto"/>
                <w:spacing w:val="-6"/>
                <w:sz w:val="21"/>
                <w:szCs w:val="21"/>
                <w:highlight w:val="none"/>
                <w:lang w:eastAsia="zh-CN"/>
              </w:rPr>
              <w:t>/d，</w:t>
            </w:r>
            <w:r>
              <w:rPr>
                <w:rFonts w:hint="eastAsia"/>
                <w:color w:val="auto"/>
                <w:spacing w:val="-6"/>
                <w:sz w:val="21"/>
                <w:szCs w:val="21"/>
                <w:highlight w:val="none"/>
                <w:lang w:val="en-US" w:eastAsia="zh-CN"/>
              </w:rPr>
              <w:t>处理</w:t>
            </w:r>
            <w:r>
              <w:rPr>
                <w:rFonts w:hint="eastAsia"/>
                <w:color w:val="auto"/>
                <w:spacing w:val="-6"/>
                <w:sz w:val="21"/>
                <w:szCs w:val="21"/>
                <w:highlight w:val="none"/>
                <w:lang w:eastAsia="zh-CN"/>
              </w:rPr>
              <w:t>后的伴生气汇入天然气环网，通过已建夏～百输气管道输往西北缘管网利用。</w:t>
            </w:r>
          </w:p>
        </w:tc>
      </w:tr>
    </w:tbl>
    <w:p>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.4.2总体布局</w:t>
      </w:r>
    </w:p>
    <w:p>
      <w:pPr>
        <w:pStyle w:val="64"/>
        <w:bidi w:val="0"/>
        <w:rPr>
          <w:rFonts w:hint="default"/>
          <w:color w:val="auto"/>
          <w:sz w:val="24"/>
          <w:szCs w:val="24"/>
          <w:lang w:val="en-US" w:eastAsia="zh-CN"/>
        </w:rPr>
      </w:pPr>
      <w:r>
        <w:rPr>
          <w:rFonts w:hint="default"/>
          <w:color w:val="auto"/>
          <w:sz w:val="24"/>
          <w:szCs w:val="24"/>
        </w:rPr>
        <w:t>丰探1井区距离风城二号稠油处理站38km、距离夏子街联合站4km。为满足丰探1井区及周边玛51X井区采出液密闭处理需求，</w:t>
      </w:r>
      <w:r>
        <w:rPr>
          <w:rFonts w:hint="default"/>
          <w:color w:val="auto"/>
          <w:sz w:val="24"/>
          <w:szCs w:val="24"/>
          <w:lang w:val="en-US" w:eastAsia="zh-CN"/>
        </w:rPr>
        <w:t>本工程在夏子街油田</w:t>
      </w:r>
      <w:r>
        <w:rPr>
          <w:rFonts w:hint="default"/>
          <w:color w:val="auto"/>
          <w:sz w:val="24"/>
          <w:szCs w:val="24"/>
        </w:rPr>
        <w:t>新建计量站1座、集中拉油站1座</w:t>
      </w:r>
      <w:r>
        <w:rPr>
          <w:rFonts w:hint="default"/>
          <w:color w:val="auto"/>
          <w:sz w:val="24"/>
          <w:szCs w:val="24"/>
          <w:lang w:eastAsia="zh-CN"/>
        </w:rPr>
        <w:t>。</w:t>
      </w:r>
      <w:r>
        <w:rPr>
          <w:rFonts w:hint="default"/>
          <w:color w:val="auto"/>
          <w:sz w:val="24"/>
          <w:szCs w:val="24"/>
          <w:lang w:val="en-US" w:eastAsia="zh-CN"/>
        </w:rPr>
        <w:t>本工程</w:t>
      </w:r>
      <w:r>
        <w:rPr>
          <w:rFonts w:hint="eastAsia"/>
          <w:color w:val="auto"/>
          <w:sz w:val="24"/>
          <w:szCs w:val="24"/>
          <w:lang w:val="en-US" w:eastAsia="zh-CN"/>
        </w:rPr>
        <w:t>部署18口采油井（7口新井和11口老井），其中10口井（7口新井、3口老井）</w:t>
      </w:r>
      <w:r>
        <w:rPr>
          <w:rFonts w:hint="default"/>
          <w:color w:val="auto"/>
          <w:sz w:val="24"/>
          <w:szCs w:val="24"/>
        </w:rPr>
        <w:t>采出气液在新建集中拉油站内进行分离，采出液通过拉油方式输至风城二号稠油处理站处理，天然气密闭集输至夏子街增压站处</w:t>
      </w:r>
      <w:r>
        <w:rPr>
          <w:rFonts w:hint="default"/>
          <w:color w:val="auto"/>
          <w:sz w:val="24"/>
          <w:szCs w:val="24"/>
          <w:lang w:eastAsia="zh-CN"/>
        </w:rPr>
        <w:t>，</w:t>
      </w:r>
      <w:r>
        <w:rPr>
          <w:rFonts w:hint="default"/>
          <w:color w:val="auto"/>
          <w:sz w:val="24"/>
          <w:szCs w:val="24"/>
          <w:lang w:val="en-US" w:eastAsia="zh-CN"/>
        </w:rPr>
        <w:t>既</w:t>
      </w:r>
      <w:r>
        <w:rPr>
          <w:rFonts w:hint="default"/>
          <w:color w:val="auto"/>
          <w:sz w:val="24"/>
          <w:szCs w:val="24"/>
        </w:rPr>
        <w:t>集输工艺采用井口→计量</w:t>
      </w:r>
      <w:r>
        <w:rPr>
          <w:rFonts w:hint="default"/>
          <w:color w:val="auto"/>
          <w:sz w:val="24"/>
          <w:szCs w:val="24"/>
          <w:lang w:val="en-US" w:eastAsia="zh-CN"/>
        </w:rPr>
        <w:t>站</w:t>
      </w:r>
      <w:r>
        <w:rPr>
          <w:rFonts w:hint="default"/>
          <w:color w:val="auto"/>
          <w:sz w:val="24"/>
          <w:szCs w:val="24"/>
        </w:rPr>
        <w:t>→集中拉油站→风城二号稠油处理站</w:t>
      </w:r>
      <w:r>
        <w:rPr>
          <w:rFonts w:hint="default"/>
          <w:color w:val="auto"/>
          <w:sz w:val="24"/>
          <w:szCs w:val="24"/>
          <w:lang w:val="en-US" w:eastAsia="zh-CN"/>
        </w:rPr>
        <w:t>三级</w:t>
      </w:r>
      <w:r>
        <w:rPr>
          <w:rFonts w:hint="default"/>
          <w:color w:val="auto"/>
          <w:sz w:val="24"/>
          <w:szCs w:val="24"/>
        </w:rPr>
        <w:t>布站工艺</w:t>
      </w:r>
      <w:r>
        <w:rPr>
          <w:rFonts w:hint="eastAsia"/>
          <w:color w:val="auto"/>
          <w:sz w:val="24"/>
          <w:szCs w:val="24"/>
          <w:lang w:eastAsia="zh-CN"/>
        </w:rPr>
        <w:t>；</w:t>
      </w:r>
      <w:r>
        <w:rPr>
          <w:rFonts w:hint="eastAsia"/>
          <w:color w:val="auto"/>
          <w:sz w:val="24"/>
          <w:szCs w:val="24"/>
          <w:lang w:val="en-US" w:eastAsia="zh-CN"/>
        </w:rPr>
        <w:t>剩余8口老井采用单井拉油工艺，</w:t>
      </w:r>
      <w:r>
        <w:rPr>
          <w:rFonts w:hint="eastAsia"/>
          <w:snapToGrid w:val="0"/>
          <w:color w:val="auto"/>
          <w:kern w:val="0"/>
          <w:sz w:val="24"/>
          <w:lang w:val="en-US" w:eastAsia="zh-CN"/>
        </w:rPr>
        <w:t>伴生气</w:t>
      </w:r>
      <w:r>
        <w:rPr>
          <w:rFonts w:hint="eastAsia"/>
          <w:snapToGrid w:val="0"/>
          <w:color w:val="auto"/>
          <w:kern w:val="0"/>
          <w:sz w:val="24"/>
        </w:rPr>
        <w:t>经过气液分离后</w:t>
      </w:r>
      <w:r>
        <w:rPr>
          <w:rFonts w:hint="eastAsia"/>
          <w:snapToGrid w:val="0"/>
          <w:color w:val="auto"/>
          <w:kern w:val="0"/>
          <w:sz w:val="24"/>
          <w:lang w:val="en-US" w:eastAsia="zh-CN"/>
        </w:rPr>
        <w:t>通过</w:t>
      </w:r>
      <w:r>
        <w:rPr>
          <w:rFonts w:hint="eastAsia"/>
          <w:snapToGrid w:val="0"/>
          <w:color w:val="auto"/>
          <w:kern w:val="0"/>
          <w:sz w:val="24"/>
        </w:rPr>
        <w:t>放喷管线</w:t>
      </w:r>
      <w:r>
        <w:rPr>
          <w:rFonts w:hint="eastAsia"/>
          <w:snapToGrid w:val="0"/>
          <w:color w:val="auto"/>
          <w:kern w:val="0"/>
          <w:sz w:val="24"/>
          <w:lang w:val="en-US" w:eastAsia="zh-CN"/>
        </w:rPr>
        <w:t>输至</w:t>
      </w:r>
      <w:r>
        <w:rPr>
          <w:rFonts w:hint="eastAsia"/>
          <w:snapToGrid w:val="0"/>
          <w:color w:val="auto"/>
          <w:kern w:val="0"/>
          <w:sz w:val="24"/>
        </w:rPr>
        <w:t>放喷池点火排放</w:t>
      </w:r>
      <w:r>
        <w:rPr>
          <w:rFonts w:hint="eastAsia"/>
          <w:snapToGrid w:val="0"/>
          <w:color w:val="auto"/>
          <w:kern w:val="0"/>
          <w:sz w:val="24"/>
          <w:lang w:eastAsia="zh-CN"/>
        </w:rPr>
        <w:t>，</w:t>
      </w:r>
      <w:r>
        <w:rPr>
          <w:rFonts w:hint="default"/>
          <w:color w:val="auto"/>
          <w:sz w:val="24"/>
          <w:szCs w:val="24"/>
        </w:rPr>
        <w:t>采出液</w:t>
      </w:r>
      <w:r>
        <w:rPr>
          <w:rFonts w:hint="eastAsia"/>
          <w:color w:val="auto"/>
          <w:sz w:val="24"/>
          <w:szCs w:val="24"/>
          <w:lang w:val="en-US" w:eastAsia="zh-CN"/>
        </w:rPr>
        <w:t>输至井场内高架罐，拉运至</w:t>
      </w:r>
      <w:r>
        <w:rPr>
          <w:rFonts w:hint="default"/>
          <w:color w:val="auto"/>
          <w:sz w:val="24"/>
          <w:szCs w:val="24"/>
        </w:rPr>
        <w:t>风城二号稠油处理站</w:t>
      </w:r>
      <w:r>
        <w:rPr>
          <w:rFonts w:hint="eastAsia"/>
          <w:color w:val="auto"/>
          <w:sz w:val="24"/>
          <w:szCs w:val="24"/>
          <w:lang w:val="en-US" w:eastAsia="zh-CN"/>
        </w:rPr>
        <w:t>处理</w:t>
      </w:r>
      <w:r>
        <w:rPr>
          <w:rFonts w:hint="default"/>
          <w:color w:val="auto"/>
          <w:sz w:val="24"/>
          <w:szCs w:val="24"/>
          <w:lang w:eastAsia="zh-CN"/>
        </w:rPr>
        <w:t>。</w:t>
      </w:r>
      <w:r>
        <w:rPr>
          <w:rFonts w:hint="default"/>
          <w:color w:val="auto"/>
          <w:sz w:val="24"/>
          <w:szCs w:val="24"/>
          <w:lang w:val="en-US" w:eastAsia="zh-CN"/>
        </w:rPr>
        <w:t>本工程进站情况见表3.</w:t>
      </w:r>
      <w:r>
        <w:rPr>
          <w:rFonts w:hint="eastAsia"/>
          <w:color w:val="auto"/>
          <w:sz w:val="24"/>
          <w:szCs w:val="24"/>
          <w:lang w:val="en-US" w:eastAsia="zh-CN"/>
        </w:rPr>
        <w:t>2</w:t>
      </w:r>
      <w:r>
        <w:rPr>
          <w:rFonts w:hint="default"/>
          <w:color w:val="auto"/>
          <w:sz w:val="24"/>
          <w:szCs w:val="24"/>
          <w:lang w:val="en-US" w:eastAsia="zh-CN"/>
        </w:rPr>
        <w:t>-6。</w:t>
      </w:r>
    </w:p>
    <w:p>
      <w:pPr>
        <w:pStyle w:val="54"/>
        <w:ind w:left="0" w:leftChars="0" w:firstLine="0" w:firstLineChars="0"/>
        <w:jc w:val="center"/>
        <w:rPr>
          <w:rFonts w:hint="default" w:ascii="Times New Roman" w:hAnsi="Times New Roman" w:eastAsia="宋体" w:cs="Times New Roman"/>
          <w:color w:val="auto"/>
          <w:highlight w:val="none"/>
        </w:rPr>
      </w:pPr>
      <w:r>
        <w:rPr>
          <w:rFonts w:hint="default" w:ascii="Times New Roman" w:hAnsi="Times New Roman" w:cs="Times New Roman"/>
          <w:color w:val="auto"/>
        </w:rPr>
        <w:drawing>
          <wp:anchor distT="0" distB="0" distL="114300" distR="114300" simplePos="0" relativeHeight="251680768" behindDoc="0" locked="0" layoutInCell="1" allowOverlap="1">
            <wp:simplePos x="0" y="0"/>
            <wp:positionH relativeFrom="column">
              <wp:posOffset>90170</wp:posOffset>
            </wp:positionH>
            <wp:positionV relativeFrom="paragraph">
              <wp:posOffset>60960</wp:posOffset>
            </wp:positionV>
            <wp:extent cx="5424805" cy="2470150"/>
            <wp:effectExtent l="9525" t="9525" r="13970" b="15875"/>
            <wp:wrapTopAndBottom/>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4"/>
                    <a:stretch>
                      <a:fillRect/>
                    </a:stretch>
                  </pic:blipFill>
                  <pic:spPr>
                    <a:xfrm>
                      <a:off x="0" y="0"/>
                      <a:ext cx="5424805" cy="247015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hint="default" w:ascii="Times New Roman" w:hAnsi="Times New Roman" w:eastAsia="宋体" w:cs="Times New Roman"/>
          <w:color w:val="auto"/>
          <w:highlight w:val="none"/>
        </w:rPr>
        <w:t>图3.3-</w:t>
      </w:r>
      <w:r>
        <w:rPr>
          <w:rFonts w:hint="default" w:ascii="Times New Roman" w:hAnsi="Times New Roman" w:cs="Times New Roman"/>
          <w:color w:val="auto"/>
          <w:highlight w:val="none"/>
        </w:rPr>
        <w:t>2</w:t>
      </w:r>
      <w:r>
        <w:rPr>
          <w:rFonts w:hint="default" w:ascii="Times New Roman" w:hAnsi="Times New Roman" w:eastAsia="宋体" w:cs="Times New Roman"/>
          <w:color w:val="auto"/>
          <w:highlight w:val="none"/>
        </w:rPr>
        <w:t xml:space="preserve">    </w:t>
      </w:r>
      <w:r>
        <w:rPr>
          <w:rFonts w:hint="default" w:ascii="Times New Roman" w:hAnsi="Times New Roman" w:eastAsia="宋体" w:cs="Times New Roman"/>
          <w:color w:val="auto"/>
          <w:highlight w:val="none"/>
          <w:lang w:val="en-US" w:eastAsia="zh-CN"/>
        </w:rPr>
        <w:t>丰</w:t>
      </w:r>
      <w:r>
        <w:rPr>
          <w:rFonts w:hint="default" w:ascii="Times New Roman" w:hAnsi="Times New Roman" w:cs="Times New Roman"/>
          <w:color w:val="auto"/>
          <w:szCs w:val="24"/>
          <w:highlight w:val="none"/>
        </w:rPr>
        <w:t>探1井区</w:t>
      </w:r>
      <w:r>
        <w:rPr>
          <w:rFonts w:hint="default" w:ascii="Times New Roman" w:hAnsi="Times New Roman" w:eastAsia="宋体" w:cs="Times New Roman"/>
          <w:color w:val="auto"/>
          <w:highlight w:val="none"/>
        </w:rPr>
        <w:t>总体流向示意图</w:t>
      </w:r>
    </w:p>
    <w:p>
      <w:pPr>
        <w:pStyle w:val="54"/>
        <w:ind w:firstLine="482"/>
        <w:rPr>
          <w:rFonts w:hint="eastAsia" w:cs="Times New Roman"/>
          <w:color w:val="auto"/>
          <w:highlight w:val="none"/>
          <w:lang w:val="en-US" w:eastAsia="zh-CN"/>
        </w:rPr>
      </w:pPr>
      <w:r>
        <w:rPr>
          <w:rFonts w:hint="eastAsia" w:cs="Times New Roman"/>
          <w:color w:val="auto"/>
          <w:highlight w:val="none"/>
        </w:rPr>
        <w:t>表</w:t>
      </w:r>
      <w:r>
        <w:rPr>
          <w:rFonts w:hint="eastAsia" w:cs="Times New Roman"/>
          <w:color w:val="auto"/>
          <w:highlight w:val="none"/>
          <w:lang w:val="en-US" w:eastAsia="zh-CN"/>
        </w:rPr>
        <w:t>3</w:t>
      </w:r>
      <w:r>
        <w:rPr>
          <w:rFonts w:hint="eastAsia"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6</w:t>
      </w:r>
      <w:r>
        <w:rPr>
          <w:rFonts w:hint="eastAsia" w:cs="Times New Roman"/>
          <w:color w:val="auto"/>
          <w:highlight w:val="none"/>
        </w:rPr>
        <w:t xml:space="preserve">  </w:t>
      </w:r>
      <w:r>
        <w:rPr>
          <w:rFonts w:hint="eastAsia" w:cs="Times New Roman"/>
          <w:color w:val="auto"/>
          <w:highlight w:val="none"/>
          <w:lang w:val="en-US" w:eastAsia="zh-CN"/>
        </w:rPr>
        <w:t>本工程</w:t>
      </w:r>
      <w:r>
        <w:rPr>
          <w:rFonts w:hint="eastAsia" w:cs="Times New Roman"/>
          <w:color w:val="auto"/>
          <w:highlight w:val="none"/>
        </w:rPr>
        <w:t>进站情况</w:t>
      </w:r>
      <w:r>
        <w:rPr>
          <w:rFonts w:hint="eastAsia" w:cs="Times New Roman"/>
          <w:color w:val="auto"/>
          <w:highlight w:val="none"/>
          <w:lang w:val="en-US" w:eastAsia="zh-CN"/>
        </w:rPr>
        <w:t>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449"/>
        <w:gridCol w:w="838"/>
        <w:gridCol w:w="912"/>
        <w:gridCol w:w="2780"/>
        <w:gridCol w:w="1100"/>
        <w:gridCol w:w="1449"/>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235" w:hRule="atLeast"/>
        </w:trPr>
        <w:tc>
          <w:tcPr>
            <w:tcW w:w="1449" w:type="dxa"/>
            <w:tcBorders>
              <w:tl2br w:val="nil"/>
              <w:tr2bl w:val="nil"/>
            </w:tcBorders>
            <w:noWrap w:val="0"/>
            <w:vAlign w:val="center"/>
          </w:tcPr>
          <w:p>
            <w:pPr>
              <w:keepNext w:val="0"/>
              <w:keepLines w:val="0"/>
              <w:widowControl/>
              <w:suppressLineNumbers w:val="0"/>
              <w:jc w:val="center"/>
              <w:rPr>
                <w:rFonts w:hint="eastAsia"/>
                <w:color w:val="auto"/>
                <w:highlight w:val="none"/>
                <w:vertAlign w:val="baseline"/>
                <w:lang w:val="en-US" w:eastAsia="zh-CN"/>
              </w:rPr>
            </w:pPr>
            <w:r>
              <w:rPr>
                <w:rFonts w:ascii="CIDFont" w:hAnsi="CIDFont" w:eastAsia="CIDFont" w:cs="CIDFont"/>
                <w:color w:val="auto"/>
                <w:kern w:val="0"/>
                <w:sz w:val="20"/>
                <w:szCs w:val="20"/>
                <w:highlight w:val="none"/>
                <w:lang w:val="en-US" w:eastAsia="zh-CN" w:bidi="ar"/>
              </w:rPr>
              <w:t>站号</w:t>
            </w:r>
          </w:p>
        </w:tc>
        <w:tc>
          <w:tcPr>
            <w:tcW w:w="838" w:type="dxa"/>
            <w:tcBorders>
              <w:tl2br w:val="nil"/>
              <w:tr2bl w:val="nil"/>
            </w:tcBorders>
            <w:noWrap w:val="0"/>
            <w:vAlign w:val="center"/>
          </w:tcPr>
          <w:p>
            <w:pPr>
              <w:pStyle w:val="28"/>
              <w:widowControl w:val="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空头数（个）</w:t>
            </w:r>
          </w:p>
        </w:tc>
        <w:tc>
          <w:tcPr>
            <w:tcW w:w="912" w:type="dxa"/>
            <w:tcBorders>
              <w:tl2br w:val="nil"/>
              <w:tr2bl w:val="nil"/>
            </w:tcBorders>
            <w:noWrap w:val="0"/>
            <w:vAlign w:val="center"/>
          </w:tcPr>
          <w:p>
            <w:pPr>
              <w:pStyle w:val="28"/>
              <w:widowControl w:val="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接入井数（个）</w:t>
            </w:r>
          </w:p>
        </w:tc>
        <w:tc>
          <w:tcPr>
            <w:tcW w:w="2780" w:type="dxa"/>
            <w:tcBorders>
              <w:tl2br w:val="nil"/>
              <w:tr2bl w:val="nil"/>
            </w:tcBorders>
            <w:noWrap w:val="0"/>
            <w:vAlign w:val="center"/>
          </w:tcPr>
          <w:p>
            <w:pPr>
              <w:pStyle w:val="28"/>
              <w:widowControl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新井井号</w:t>
            </w:r>
          </w:p>
        </w:tc>
        <w:tc>
          <w:tcPr>
            <w:tcW w:w="1100" w:type="dxa"/>
            <w:tcBorders>
              <w:tl2br w:val="nil"/>
              <w:tr2bl w:val="nil"/>
            </w:tcBorders>
            <w:noWrap w:val="0"/>
            <w:vAlign w:val="center"/>
          </w:tcPr>
          <w:p>
            <w:pPr>
              <w:pStyle w:val="28"/>
              <w:widowControl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老井井号</w:t>
            </w:r>
          </w:p>
        </w:tc>
        <w:tc>
          <w:tcPr>
            <w:tcW w:w="1449" w:type="dxa"/>
            <w:tcBorders>
              <w:tl2br w:val="nil"/>
              <w:tr2bl w:val="nil"/>
            </w:tcBorders>
            <w:noWrap w:val="0"/>
            <w:vAlign w:val="center"/>
          </w:tcPr>
          <w:p>
            <w:pPr>
              <w:pStyle w:val="28"/>
              <w:widowControl w:val="0"/>
              <w:ind w:left="0" w:leftChars="0" w:firstLine="0" w:firstLineChars="0"/>
              <w:jc w:val="center"/>
              <w:rPr>
                <w:rFonts w:hint="eastAsia"/>
                <w:color w:val="auto"/>
                <w:highlight w:val="none"/>
                <w:vertAlign w:val="baseline"/>
                <w:lang w:val="en-US" w:eastAsia="zh-CN"/>
              </w:rPr>
            </w:pPr>
            <w:r>
              <w:rPr>
                <w:rFonts w:hint="eastAsia"/>
                <w:color w:val="auto"/>
                <w:highlight w:val="none"/>
                <w:vertAlign w:val="baseline"/>
                <w:lang w:val="en-US" w:eastAsia="zh-CN"/>
              </w:rPr>
              <w:t>情况说明</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1449" w:type="dxa"/>
            <w:tcBorders>
              <w:tl2br w:val="nil"/>
              <w:tr2bl w:val="nil"/>
            </w:tcBorders>
            <w:noWrap w:val="0"/>
            <w:vAlign w:val="center"/>
          </w:tcPr>
          <w:p>
            <w:pPr>
              <w:pStyle w:val="28"/>
              <w:widowControl w:val="0"/>
              <w:ind w:left="0" w:leftChars="0" w:firstLine="0" w:firstLineChars="0"/>
              <w:jc w:val="center"/>
              <w:rPr>
                <w:rFonts w:hint="eastAsia" w:ascii="Times New Roman" w:hAnsi="Times New Roman" w:eastAsia="宋体" w:cs="Times New Roman"/>
                <w:color w:val="auto"/>
                <w:kern w:val="0"/>
                <w:szCs w:val="21"/>
                <w:lang w:val="en-US" w:eastAsia="zh-CN"/>
              </w:rPr>
            </w:pPr>
            <w:r>
              <w:rPr>
                <w:rFonts w:ascii="Times New Roman" w:hAnsi="Times New Roman" w:eastAsia="宋体" w:cs="Times New Roman"/>
                <w:color w:val="auto"/>
                <w:kern w:val="0"/>
                <w:szCs w:val="21"/>
              </w:rPr>
              <w:t>丰探1计量橇</w:t>
            </w:r>
          </w:p>
        </w:tc>
        <w:tc>
          <w:tcPr>
            <w:tcW w:w="838" w:type="dxa"/>
            <w:tcBorders>
              <w:tl2br w:val="nil"/>
              <w:tr2bl w:val="nil"/>
            </w:tcBorders>
            <w:noWrap w:val="0"/>
            <w:vAlign w:val="center"/>
          </w:tcPr>
          <w:p>
            <w:pPr>
              <w:pStyle w:val="28"/>
              <w:widowControl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12</w:t>
            </w:r>
          </w:p>
        </w:tc>
        <w:tc>
          <w:tcPr>
            <w:tcW w:w="912" w:type="dxa"/>
            <w:tcBorders>
              <w:tl2br w:val="nil"/>
              <w:tr2bl w:val="nil"/>
            </w:tcBorders>
            <w:noWrap w:val="0"/>
            <w:vAlign w:val="center"/>
          </w:tcPr>
          <w:p>
            <w:pPr>
              <w:pStyle w:val="28"/>
              <w:widowControl w:val="0"/>
              <w:ind w:left="0" w:leftChars="0" w:firstLine="0" w:firstLineChars="0"/>
              <w:jc w:val="center"/>
              <w:rPr>
                <w:rFonts w:hint="default"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11</w:t>
            </w:r>
          </w:p>
        </w:tc>
        <w:tc>
          <w:tcPr>
            <w:tcW w:w="2780" w:type="dxa"/>
            <w:tcBorders>
              <w:tl2br w:val="nil"/>
              <w:tr2bl w:val="nil"/>
            </w:tcBorders>
            <w:noWrap w:val="0"/>
            <w:vAlign w:val="center"/>
          </w:tcPr>
          <w:p>
            <w:pPr>
              <w:pStyle w:val="28"/>
              <w:widowControl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cs="Times New Roman"/>
                <w:color w:val="auto"/>
                <w:kern w:val="0"/>
                <w:szCs w:val="21"/>
                <w:lang w:val="en-US" w:eastAsia="zh-CN"/>
              </w:rPr>
              <w:t>FTYHW1235</w:t>
            </w:r>
            <w:r>
              <w:rPr>
                <w:rFonts w:hint="eastAsia" w:ascii="Times New Roman" w:hAnsi="Times New Roman" w:eastAsia="宋体" w:cs="Times New Roman"/>
                <w:color w:val="auto"/>
                <w:kern w:val="0"/>
                <w:szCs w:val="21"/>
                <w:lang w:val="en-US" w:eastAsia="zh-CN"/>
              </w:rPr>
              <w:t>、</w:t>
            </w:r>
            <w:r>
              <w:rPr>
                <w:rFonts w:hint="eastAsia" w:ascii="Times New Roman" w:hAnsi="Times New Roman" w:cs="Times New Roman"/>
                <w:color w:val="auto"/>
                <w:kern w:val="0"/>
                <w:szCs w:val="21"/>
                <w:lang w:val="en-US" w:eastAsia="zh-CN"/>
              </w:rPr>
              <w:t>FTYHW0912</w:t>
            </w:r>
            <w:r>
              <w:rPr>
                <w:rFonts w:hint="eastAsia" w:ascii="Times New Roman" w:hAnsi="Times New Roman" w:eastAsia="宋体" w:cs="Times New Roman"/>
                <w:color w:val="auto"/>
                <w:kern w:val="0"/>
                <w:szCs w:val="21"/>
                <w:lang w:val="en-US" w:eastAsia="zh-CN"/>
              </w:rPr>
              <w:t>、FTYHW0911、</w:t>
            </w:r>
            <w:r>
              <w:rPr>
                <w:rFonts w:hint="eastAsia" w:ascii="Times New Roman" w:hAnsi="Times New Roman" w:cs="Times New Roman"/>
                <w:color w:val="auto"/>
                <w:kern w:val="0"/>
                <w:szCs w:val="21"/>
                <w:lang w:val="en-US" w:eastAsia="zh-CN"/>
              </w:rPr>
              <w:t>FTYHW1012</w:t>
            </w:r>
            <w:r>
              <w:rPr>
                <w:rFonts w:hint="eastAsia" w:ascii="Times New Roman" w:hAnsi="Times New Roman" w:eastAsia="宋体" w:cs="Times New Roman"/>
                <w:color w:val="auto"/>
                <w:kern w:val="0"/>
                <w:szCs w:val="21"/>
                <w:lang w:val="en-US" w:eastAsia="zh-CN"/>
              </w:rPr>
              <w:t>、</w:t>
            </w:r>
            <w:r>
              <w:rPr>
                <w:rFonts w:hint="eastAsia" w:ascii="Times New Roman" w:hAnsi="Times New Roman" w:cs="Times New Roman"/>
                <w:color w:val="auto"/>
                <w:kern w:val="0"/>
                <w:szCs w:val="21"/>
                <w:lang w:val="en-US" w:eastAsia="zh-CN"/>
              </w:rPr>
              <w:t>FTYHW1011</w:t>
            </w:r>
            <w:r>
              <w:rPr>
                <w:rFonts w:hint="eastAsia" w:ascii="Times New Roman" w:hAnsi="Times New Roman" w:eastAsia="宋体" w:cs="Times New Roman"/>
                <w:color w:val="auto"/>
                <w:kern w:val="0"/>
                <w:szCs w:val="21"/>
                <w:lang w:val="en-US" w:eastAsia="zh-CN"/>
              </w:rPr>
              <w:t>、FTYHW1010、</w:t>
            </w:r>
            <w:r>
              <w:rPr>
                <w:rFonts w:hint="eastAsia" w:ascii="Times New Roman" w:hAnsi="Times New Roman" w:cs="Times New Roman"/>
                <w:color w:val="auto"/>
                <w:kern w:val="0"/>
                <w:szCs w:val="21"/>
                <w:lang w:val="en-US" w:eastAsia="zh-CN"/>
              </w:rPr>
              <w:t>FTYHW1234</w:t>
            </w:r>
          </w:p>
        </w:tc>
        <w:tc>
          <w:tcPr>
            <w:tcW w:w="1100" w:type="dxa"/>
            <w:tcBorders>
              <w:tl2br w:val="nil"/>
              <w:tr2bl w:val="nil"/>
            </w:tcBorders>
            <w:noWrap w:val="0"/>
            <w:vAlign w:val="center"/>
          </w:tcPr>
          <w:p>
            <w:pPr>
              <w:pStyle w:val="28"/>
              <w:widowControl w:val="0"/>
              <w:ind w:left="0" w:leftChars="0" w:firstLine="0" w:firstLineChars="0"/>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（丰探1、丰探101、风城6X、夏211X）</w:t>
            </w:r>
          </w:p>
        </w:tc>
        <w:tc>
          <w:tcPr>
            <w:tcW w:w="1449" w:type="dxa"/>
            <w:tcBorders>
              <w:tl2br w:val="nil"/>
              <w:tr2bl w:val="nil"/>
            </w:tcBorders>
            <w:noWrap w:val="0"/>
            <w:vAlign w:val="center"/>
          </w:tcPr>
          <w:p>
            <w:pPr>
              <w:pStyle w:val="28"/>
              <w:widowControl w:val="0"/>
              <w:ind w:left="0" w:leftChars="0" w:firstLine="0" w:firstLineChars="0"/>
              <w:jc w:val="center"/>
              <w:rPr>
                <w:rFonts w:hint="eastAsia"/>
                <w:color w:val="auto"/>
                <w:highlight w:val="none"/>
                <w:vertAlign w:val="baseline"/>
                <w:lang w:val="en-US" w:eastAsia="zh-CN"/>
              </w:rPr>
            </w:pPr>
            <w:r>
              <w:rPr>
                <w:rFonts w:hint="eastAsia"/>
                <w:color w:val="auto"/>
                <w:spacing w:val="-11"/>
                <w:sz w:val="21"/>
                <w:highlight w:val="none"/>
                <w:vertAlign w:val="baseline"/>
                <w:lang w:val="en-US" w:eastAsia="zh-CN"/>
              </w:rPr>
              <w:t>新建12井式一体化自动选井计量装置1座</w:t>
            </w:r>
          </w:p>
        </w:tc>
      </w:tr>
    </w:tbl>
    <w:p>
      <w:pPr>
        <w:pStyle w:val="5"/>
        <w:pageBreakBefore w:val="0"/>
        <w:kinsoku/>
        <w:wordWrap/>
        <w:overflowPunct/>
        <w:topLinePunct w:val="0"/>
        <w:autoSpaceDE/>
        <w:autoSpaceDN/>
        <w:bidi w:val="0"/>
        <w:spacing w:line="480" w:lineRule="exact"/>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w:t>
      </w:r>
      <w:r>
        <w:rPr>
          <w:color w:val="auto"/>
          <w:highlight w:val="none"/>
        </w:rPr>
        <w:t>.</w:t>
      </w:r>
      <w:r>
        <w:rPr>
          <w:rFonts w:hint="eastAsia"/>
          <w:color w:val="auto"/>
          <w:highlight w:val="none"/>
        </w:rPr>
        <w:t>3</w:t>
      </w:r>
      <w:r>
        <w:rPr>
          <w:color w:val="auto"/>
          <w:highlight w:val="none"/>
        </w:rPr>
        <w:t>开发指标预测</w:t>
      </w:r>
    </w:p>
    <w:p>
      <w:pPr>
        <w:pStyle w:val="57"/>
        <w:pageBreakBefore w:val="0"/>
        <w:kinsoku/>
        <w:wordWrap/>
        <w:overflowPunct/>
        <w:topLinePunct w:val="0"/>
        <w:autoSpaceDE/>
        <w:autoSpaceDN/>
        <w:bidi w:val="0"/>
        <w:spacing w:line="480" w:lineRule="exact"/>
        <w:rPr>
          <w:rFonts w:hint="eastAsia" w:eastAsia="宋体"/>
          <w:color w:val="auto"/>
          <w:highlight w:val="none"/>
          <w:lang w:eastAsia="zh-CN"/>
        </w:rPr>
      </w:pPr>
      <w:r>
        <w:rPr>
          <w:rFonts w:hint="default" w:ascii="Times New Roman" w:hAnsi="Times New Roman" w:cs="Times New Roman"/>
          <w:color w:val="auto"/>
          <w:highlight w:val="none"/>
          <w:shd w:val="clear" w:color="auto" w:fill="auto"/>
          <w:lang w:val="en-US" w:eastAsia="zh-CN"/>
        </w:rPr>
        <w:t>本工程部署</w:t>
      </w:r>
      <w:r>
        <w:rPr>
          <w:rFonts w:hint="eastAsia"/>
          <w:color w:val="auto"/>
          <w:sz w:val="24"/>
          <w:szCs w:val="24"/>
          <w:lang w:val="en-US" w:eastAsia="zh-CN"/>
        </w:rPr>
        <w:t>18口采油井（7口新井和11口老井）</w:t>
      </w:r>
      <w:r>
        <w:rPr>
          <w:rFonts w:hint="eastAsia" w:ascii="Times New Roman" w:hAnsi="Times New Roman" w:cs="Times New Roman"/>
          <w:color w:val="auto"/>
          <w:highlight w:val="none"/>
          <w:shd w:val="clear" w:color="auto" w:fill="auto"/>
          <w:lang w:val="en-US" w:eastAsia="zh-CN"/>
        </w:rPr>
        <w:t>，</w:t>
      </w:r>
      <w:r>
        <w:rPr>
          <w:rFonts w:hint="default" w:ascii="Times New Roman" w:hAnsi="Times New Roman" w:cs="Times New Roman"/>
          <w:color w:val="auto"/>
          <w:highlight w:val="none"/>
          <w:shd w:val="clear" w:color="auto" w:fill="auto"/>
          <w:lang w:val="en-US" w:eastAsia="zh-CN"/>
        </w:rPr>
        <w:t>新建产能</w:t>
      </w:r>
      <w:r>
        <w:rPr>
          <w:rFonts w:hint="default" w:ascii="Times New Roman" w:hAnsi="Times New Roman" w:cs="Times New Roman"/>
          <w:color w:val="auto"/>
          <w:highlight w:val="none"/>
          <w:shd w:val="clear" w:color="auto" w:fill="auto"/>
        </w:rPr>
        <w:t>为</w:t>
      </w:r>
      <w:r>
        <w:rPr>
          <w:rFonts w:hint="eastAsia" w:cs="Times New Roman"/>
          <w:color w:val="auto"/>
          <w:sz w:val="24"/>
          <w:szCs w:val="24"/>
          <w:highlight w:val="none"/>
          <w:shd w:val="clear" w:color="auto" w:fill="auto"/>
          <w:lang w:val="en-US" w:eastAsia="zh-CN"/>
        </w:rPr>
        <w:t>15.5</w:t>
      </w:r>
      <w:r>
        <w:rPr>
          <w:rFonts w:hint="default" w:ascii="Times New Roman" w:hAnsi="Times New Roman" w:cs="Times New Roman"/>
          <w:color w:val="auto"/>
          <w:sz w:val="24"/>
          <w:szCs w:val="24"/>
          <w:highlight w:val="none"/>
          <w:shd w:val="clear" w:color="auto" w:fill="auto"/>
        </w:rPr>
        <w:t>×10</w:t>
      </w:r>
      <w:r>
        <w:rPr>
          <w:rFonts w:hint="default" w:ascii="Times New Roman" w:hAnsi="Times New Roman" w:cs="Times New Roman"/>
          <w:color w:val="auto"/>
          <w:sz w:val="24"/>
          <w:szCs w:val="24"/>
          <w:highlight w:val="none"/>
          <w:shd w:val="clear" w:color="auto" w:fill="auto"/>
          <w:vertAlign w:val="superscript"/>
        </w:rPr>
        <w:t>4</w:t>
      </w:r>
      <w:r>
        <w:rPr>
          <w:rFonts w:hint="default" w:ascii="Times New Roman" w:hAnsi="Times New Roman" w:cs="Times New Roman"/>
          <w:color w:val="auto"/>
          <w:sz w:val="24"/>
          <w:szCs w:val="24"/>
          <w:highlight w:val="none"/>
          <w:shd w:val="clear" w:color="auto" w:fill="auto"/>
        </w:rPr>
        <w:t>t/a</w:t>
      </w:r>
      <w:r>
        <w:rPr>
          <w:rFonts w:hint="eastAsia" w:cs="Times New Roman"/>
          <w:color w:val="auto"/>
          <w:sz w:val="24"/>
          <w:szCs w:val="24"/>
          <w:highlight w:val="none"/>
          <w:shd w:val="clear" w:color="auto" w:fill="auto"/>
          <w:lang w:eastAsia="zh-CN"/>
        </w:rPr>
        <w:t>。</w:t>
      </w:r>
    </w:p>
    <w:bookmarkEnd w:id="248"/>
    <w:bookmarkEnd w:id="249"/>
    <w:p>
      <w:pPr>
        <w:pStyle w:val="5"/>
        <w:pageBreakBefore w:val="0"/>
        <w:widowControl/>
        <w:kinsoku/>
        <w:wordWrap/>
        <w:overflowPunct/>
        <w:topLinePunct w:val="0"/>
        <w:autoSpaceDE/>
        <w:autoSpaceDN/>
        <w:bidi w:val="0"/>
        <w:spacing w:line="480" w:lineRule="exact"/>
        <w:textAlignment w:val="auto"/>
        <w:rPr>
          <w:color w:val="auto"/>
          <w:highlight w:val="none"/>
        </w:rPr>
      </w:pPr>
      <w:bookmarkStart w:id="283" w:name="_Toc8816"/>
      <w:bookmarkStart w:id="284" w:name="_Toc173941831"/>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color w:val="auto"/>
          <w:highlight w:val="none"/>
        </w:rPr>
        <w:t>主体工程</w:t>
      </w:r>
      <w:bookmarkEnd w:id="283"/>
      <w:bookmarkEnd w:id="284"/>
    </w:p>
    <w:p>
      <w:pPr>
        <w:pStyle w:val="57"/>
        <w:pageBreakBefore w:val="0"/>
        <w:widowControl/>
        <w:kinsoku/>
        <w:wordWrap/>
        <w:overflowPunct/>
        <w:topLinePunct w:val="0"/>
        <w:autoSpaceDE/>
        <w:autoSpaceDN/>
        <w:bidi w:val="0"/>
        <w:spacing w:line="480" w:lineRule="exact"/>
        <w:ind w:left="0" w:leftChars="0" w:firstLine="480" w:firstLineChars="200"/>
        <w:textAlignment w:val="auto"/>
        <w:rPr>
          <w:rFonts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rPr>
        <w:t>主体工程包括钻前工程</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钻井工程、储层改造工程、</w:t>
      </w:r>
      <w:r>
        <w:rPr>
          <w:rFonts w:hint="default" w:ascii="Times New Roman" w:hAnsi="Times New Roman" w:eastAsia="宋体" w:cs="Times New Roman"/>
          <w:color w:val="auto"/>
          <w:szCs w:val="24"/>
          <w:highlight w:val="none"/>
        </w:rPr>
        <w:t>地面工程</w:t>
      </w:r>
      <w:r>
        <w:rPr>
          <w:rFonts w:hint="eastAsia" w:ascii="Times New Roman" w:hAnsi="Times New Roman" w:eastAsia="宋体" w:cs="Times New Roman"/>
          <w:color w:val="auto"/>
          <w:szCs w:val="24"/>
          <w:highlight w:val="none"/>
          <w:lang w:val="en-US" w:eastAsia="zh-CN"/>
        </w:rPr>
        <w:t>、</w:t>
      </w:r>
      <w:r>
        <w:rPr>
          <w:rFonts w:hint="default" w:ascii="Times New Roman" w:hAnsi="Times New Roman" w:eastAsia="宋体" w:cs="Times New Roman"/>
          <w:color w:val="auto"/>
          <w:szCs w:val="24"/>
          <w:highlight w:val="none"/>
        </w:rPr>
        <w:t>采</w:t>
      </w:r>
      <w:r>
        <w:rPr>
          <w:rFonts w:hint="eastAsia" w:ascii="Times New Roman" w:hAnsi="Times New Roman" w:eastAsia="宋体" w:cs="Times New Roman"/>
          <w:color w:val="auto"/>
          <w:szCs w:val="24"/>
          <w:highlight w:val="none"/>
          <w:lang w:val="en-US" w:eastAsia="zh-CN"/>
        </w:rPr>
        <w:t>油</w:t>
      </w:r>
      <w:r>
        <w:rPr>
          <w:rFonts w:hint="default" w:ascii="Times New Roman" w:hAnsi="Times New Roman" w:eastAsia="宋体" w:cs="Times New Roman"/>
          <w:color w:val="auto"/>
          <w:szCs w:val="24"/>
          <w:highlight w:val="none"/>
        </w:rPr>
        <w:t>工程</w:t>
      </w:r>
      <w:r>
        <w:rPr>
          <w:rFonts w:hint="eastAsia" w:ascii="Times New Roman" w:hAnsi="Times New Roman" w:eastAsia="宋体" w:cs="Times New Roman"/>
          <w:color w:val="auto"/>
          <w:szCs w:val="24"/>
          <w:highlight w:val="none"/>
          <w:lang w:val="en-US" w:eastAsia="zh-CN"/>
        </w:rPr>
        <w:t>和油气集输</w:t>
      </w:r>
      <w:r>
        <w:rPr>
          <w:rFonts w:hint="default" w:ascii="Times New Roman" w:hAnsi="Times New Roman" w:eastAsia="宋体" w:cs="Times New Roman"/>
          <w:color w:val="auto"/>
          <w:szCs w:val="24"/>
          <w:highlight w:val="none"/>
          <w:lang w:val="en-US" w:eastAsia="zh-CN"/>
        </w:rPr>
        <w:t>等</w:t>
      </w:r>
      <w:r>
        <w:rPr>
          <w:rFonts w:hint="default" w:ascii="Times New Roman" w:hAnsi="Times New Roman" w:eastAsia="宋体" w:cs="Times New Roman"/>
          <w:color w:val="auto"/>
          <w:szCs w:val="24"/>
          <w:highlight w:val="none"/>
          <w:lang w:eastAsia="zh-CN"/>
        </w:rPr>
        <w:t>，其中地面工程包括井场</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站场</w:t>
      </w:r>
      <w:r>
        <w:rPr>
          <w:rFonts w:hint="default" w:ascii="Times New Roman" w:hAnsi="Times New Roman" w:eastAsia="宋体" w:cs="Times New Roman"/>
          <w:color w:val="auto"/>
          <w:szCs w:val="24"/>
          <w:highlight w:val="none"/>
          <w:lang w:val="en-US" w:eastAsia="zh-CN"/>
        </w:rPr>
        <w:t>和</w:t>
      </w:r>
      <w:r>
        <w:rPr>
          <w:rFonts w:hint="default" w:ascii="Times New Roman" w:hAnsi="Times New Roman" w:eastAsia="宋体" w:cs="Times New Roman"/>
          <w:color w:val="auto"/>
          <w:szCs w:val="24"/>
          <w:highlight w:val="none"/>
          <w:lang w:eastAsia="zh-CN"/>
        </w:rPr>
        <w:t>管线</w:t>
      </w:r>
      <w:r>
        <w:rPr>
          <w:rFonts w:hint="default" w:ascii="Times New Roman" w:hAnsi="Times New Roman" w:eastAsia="宋体" w:cs="Times New Roman"/>
          <w:color w:val="auto"/>
          <w:szCs w:val="24"/>
          <w:highlight w:val="none"/>
        </w:rPr>
        <w:t>。</w:t>
      </w:r>
    </w:p>
    <w:p>
      <w:pPr>
        <w:pStyle w:val="6"/>
        <w:pageBreakBefore w:val="0"/>
        <w:kinsoku/>
        <w:wordWrap/>
        <w:overflowPunct/>
        <w:topLinePunct w:val="0"/>
        <w:autoSpaceDE/>
        <w:autoSpaceDN/>
        <w:bidi w:val="0"/>
        <w:spacing w:line="480" w:lineRule="exact"/>
        <w:rPr>
          <w:rFonts w:hint="eastAsia" w:eastAsia="宋体"/>
          <w:color w:val="auto"/>
          <w:highlight w:val="none"/>
          <w:lang w:val="en-US" w:eastAsia="zh-CN"/>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4.1</w:t>
      </w:r>
      <w:r>
        <w:rPr>
          <w:rFonts w:hint="eastAsia"/>
          <w:color w:val="auto"/>
          <w:highlight w:val="none"/>
          <w:lang w:val="en-US" w:eastAsia="zh-CN"/>
        </w:rPr>
        <w:t>钻前工程</w:t>
      </w:r>
    </w:p>
    <w:p>
      <w:pPr>
        <w:pStyle w:val="57"/>
        <w:pageBreakBefore w:val="0"/>
        <w:widowControl/>
        <w:kinsoku/>
        <w:wordWrap/>
        <w:overflowPunct/>
        <w:topLinePunct w:val="0"/>
        <w:autoSpaceDE/>
        <w:autoSpaceDN/>
        <w:bidi w:val="0"/>
        <w:spacing w:line="480" w:lineRule="exact"/>
        <w:ind w:left="0" w:leftChars="0" w:firstLine="480" w:firstLineChars="200"/>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钻前工程主要进行场地平整和进场道路修建等，施工周期约10d。</w:t>
      </w:r>
      <w:r>
        <w:rPr>
          <w:rFonts w:hint="eastAsia" w:ascii="Times New Roman" w:hAnsi="Times New Roman" w:eastAsia="宋体" w:cs="Times New Roman"/>
          <w:color w:val="auto"/>
          <w:szCs w:val="24"/>
          <w:highlight w:val="none"/>
          <w:lang w:val="en-US" w:eastAsia="zh-CN"/>
        </w:rPr>
        <w:t>本工程</w:t>
      </w:r>
      <w:r>
        <w:rPr>
          <w:rFonts w:hint="default" w:ascii="Times New Roman" w:hAnsi="Times New Roman" w:eastAsia="宋体" w:cs="Times New Roman"/>
          <w:color w:val="auto"/>
          <w:szCs w:val="24"/>
          <w:highlight w:val="none"/>
          <w:lang w:val="en-US" w:eastAsia="zh-CN"/>
        </w:rPr>
        <w:t>新钻</w:t>
      </w:r>
      <w:r>
        <w:rPr>
          <w:rFonts w:hint="eastAsia" w:ascii="Times New Roman" w:hAnsi="Times New Roman" w:eastAsia="宋体" w:cs="Times New Roman"/>
          <w:color w:val="auto"/>
          <w:szCs w:val="24"/>
          <w:highlight w:val="none"/>
          <w:lang w:val="en-US" w:eastAsia="zh-CN"/>
        </w:rPr>
        <w:t>7</w:t>
      </w:r>
      <w:r>
        <w:rPr>
          <w:rFonts w:hint="default" w:ascii="Times New Roman" w:hAnsi="Times New Roman" w:eastAsia="宋体" w:cs="Times New Roman"/>
          <w:color w:val="auto"/>
          <w:szCs w:val="24"/>
          <w:highlight w:val="none"/>
          <w:lang w:val="en-US" w:eastAsia="zh-CN"/>
        </w:rPr>
        <w:t>口采油井</w:t>
      </w:r>
      <w:r>
        <w:rPr>
          <w:rFonts w:hint="eastAsia" w:ascii="Times New Roman" w:hAnsi="Times New Roman" w:eastAsia="宋体" w:cs="Times New Roman"/>
          <w:color w:val="auto"/>
          <w:szCs w:val="24"/>
          <w:highlight w:val="none"/>
        </w:rPr>
        <w:t>，需进行钻前工程建设为后续钻井提供便利条件。</w:t>
      </w:r>
    </w:p>
    <w:p>
      <w:pPr>
        <w:pStyle w:val="57"/>
        <w:pageBreakBefore w:val="0"/>
        <w:widowControl/>
        <w:kinsoku/>
        <w:wordWrap/>
        <w:overflowPunct/>
        <w:topLinePunct w:val="0"/>
        <w:autoSpaceDE/>
        <w:autoSpaceDN/>
        <w:bidi w:val="0"/>
        <w:spacing w:line="480" w:lineRule="exact"/>
        <w:ind w:left="0" w:leftChars="0" w:firstLine="480" w:firstLineChars="200"/>
        <w:textAlignment w:val="auto"/>
        <w:rPr>
          <w:rFonts w:hint="eastAsia" w:ascii="Times New Roman" w:hAnsi="Times New Roman" w:eastAsia="宋体" w:cs="Times New Roman"/>
          <w:color w:val="auto"/>
          <w:szCs w:val="24"/>
          <w:highlight w:val="none"/>
        </w:rPr>
      </w:pPr>
      <w:r>
        <w:rPr>
          <w:rFonts w:hint="eastAsia" w:ascii="Times New Roman" w:hAnsi="Times New Roman" w:eastAsia="宋体" w:cs="Times New Roman"/>
          <w:color w:val="auto"/>
          <w:szCs w:val="24"/>
          <w:highlight w:val="none"/>
        </w:rPr>
        <w:t>钻前工程主要建设内容包括钻井区域地表植被清理、场地平整、池体修建以及配套的营地建设等，营地一般建设在井场周边500m至1km处，主要分布在主干道周边，营地建设主要为地表植被清理、场地平整、撬装房安装、生活污水池开挖等内容</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lang w:val="en-US" w:eastAsia="zh-CN"/>
        </w:rPr>
        <w:t>生活营地主要为施工人员提供住宿、日常饮食、厕所等，保障施工人员基本生活需求；配备急救设施，处理突发医疗情况；配备消防设备和应急措施，确保营地安全</w:t>
      </w:r>
      <w:r>
        <w:rPr>
          <w:rFonts w:hint="eastAsia" w:ascii="Times New Roman" w:hAnsi="Times New Roman" w:eastAsia="宋体" w:cs="Times New Roman"/>
          <w:color w:val="auto"/>
          <w:szCs w:val="24"/>
          <w:highlight w:val="none"/>
          <w:lang w:eastAsia="zh-CN"/>
        </w:rPr>
        <w:t>。</w:t>
      </w:r>
      <w:r>
        <w:rPr>
          <w:rFonts w:hint="eastAsia" w:ascii="Times New Roman" w:hAnsi="Times New Roman" w:eastAsia="宋体" w:cs="Times New Roman"/>
          <w:color w:val="auto"/>
          <w:szCs w:val="24"/>
          <w:highlight w:val="none"/>
        </w:rPr>
        <w:t>具体建设内容及工程量如表</w:t>
      </w:r>
      <w:r>
        <w:rPr>
          <w:rFonts w:hint="eastAsia" w:ascii="Times New Roman" w:hAnsi="Times New Roman" w:eastAsia="宋体" w:cs="Times New Roman"/>
          <w:color w:val="auto"/>
          <w:szCs w:val="24"/>
          <w:highlight w:val="none"/>
          <w:lang w:val="en-US" w:eastAsia="zh-CN"/>
        </w:rPr>
        <w:t>3.2-8</w:t>
      </w:r>
      <w:r>
        <w:rPr>
          <w:rFonts w:hint="eastAsia" w:ascii="Times New Roman" w:hAnsi="Times New Roman" w:eastAsia="宋体" w:cs="Times New Roman"/>
          <w:color w:val="auto"/>
          <w:szCs w:val="24"/>
          <w:highlight w:val="none"/>
        </w:rPr>
        <w:t>所示。</w:t>
      </w:r>
    </w:p>
    <w:p>
      <w:pPr>
        <w:pStyle w:val="54"/>
        <w:pageBreakBefore w:val="0"/>
        <w:kinsoku/>
        <w:wordWrap/>
        <w:overflowPunct/>
        <w:topLinePunct w:val="0"/>
        <w:autoSpaceDE/>
        <w:autoSpaceDN/>
        <w:bidi w:val="0"/>
        <w:spacing w:line="480" w:lineRule="exact"/>
        <w:ind w:firstLine="482"/>
        <w:rPr>
          <w:rFonts w:hint="eastAsia" w:cs="Times New Roman"/>
          <w:color w:val="auto"/>
          <w:highlight w:val="none"/>
        </w:rPr>
      </w:pPr>
      <w:r>
        <w:rPr>
          <w:rFonts w:hint="eastAsia" w:cs="Times New Roman"/>
          <w:color w:val="auto"/>
          <w:highlight w:val="none"/>
        </w:rPr>
        <w:t>表3.</w:t>
      </w:r>
      <w:r>
        <w:rPr>
          <w:rFonts w:hint="eastAsia" w:cs="Times New Roman"/>
          <w:color w:val="auto"/>
          <w:highlight w:val="none"/>
          <w:lang w:val="en-US" w:eastAsia="zh-CN"/>
        </w:rPr>
        <w:t>2-8</w:t>
      </w:r>
      <w:r>
        <w:rPr>
          <w:rFonts w:hint="eastAsia" w:cs="Times New Roman"/>
          <w:color w:val="auto"/>
          <w:highlight w:val="none"/>
        </w:rPr>
        <w:t xml:space="preserve"> </w:t>
      </w:r>
      <w:r>
        <w:rPr>
          <w:rFonts w:hint="eastAsia" w:cs="Times New Roman"/>
          <w:color w:val="auto"/>
          <w:highlight w:val="none"/>
          <w:lang w:val="en-US" w:eastAsia="zh-CN"/>
        </w:rPr>
        <w:t>本工程</w:t>
      </w:r>
      <w:r>
        <w:rPr>
          <w:rFonts w:hint="eastAsia" w:cs="Times New Roman"/>
          <w:color w:val="auto"/>
          <w:highlight w:val="none"/>
        </w:rPr>
        <w:t>钻前工程主要内容和工程量一览表</w:t>
      </w:r>
    </w:p>
    <w:tbl>
      <w:tblPr>
        <w:tblStyle w:val="34"/>
        <w:tblW w:w="5043"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28" w:type="dxa"/>
          <w:bottom w:w="0" w:type="dxa"/>
          <w:right w:w="28" w:type="dxa"/>
        </w:tblCellMar>
      </w:tblPr>
      <w:tblGrid>
        <w:gridCol w:w="585"/>
        <w:gridCol w:w="1130"/>
        <w:gridCol w:w="1083"/>
        <w:gridCol w:w="589"/>
        <w:gridCol w:w="493"/>
        <w:gridCol w:w="4868"/>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04" w:hRule="atLeast"/>
          <w:jc w:val="center"/>
        </w:trPr>
        <w:tc>
          <w:tcPr>
            <w:tcW w:w="334"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序号</w:t>
            </w:r>
          </w:p>
        </w:tc>
        <w:tc>
          <w:tcPr>
            <w:tcW w:w="645"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名称</w:t>
            </w:r>
          </w:p>
        </w:tc>
        <w:tc>
          <w:tcPr>
            <w:tcW w:w="618"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规格参数</w:t>
            </w:r>
          </w:p>
        </w:tc>
        <w:tc>
          <w:tcPr>
            <w:tcW w:w="336"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单位</w:t>
            </w:r>
          </w:p>
        </w:tc>
        <w:tc>
          <w:tcPr>
            <w:tcW w:w="281"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数量</w:t>
            </w:r>
          </w:p>
        </w:tc>
        <w:tc>
          <w:tcPr>
            <w:tcW w:w="2782"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备注</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862" w:hRule="atLeast"/>
          <w:jc w:val="center"/>
        </w:trPr>
        <w:tc>
          <w:tcPr>
            <w:tcW w:w="334"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1</w:t>
            </w:r>
          </w:p>
        </w:tc>
        <w:tc>
          <w:tcPr>
            <w:tcW w:w="645"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井场面积</w:t>
            </w:r>
          </w:p>
        </w:tc>
        <w:tc>
          <w:tcPr>
            <w:tcW w:w="618"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长×宽</w:t>
            </w:r>
            <w:r>
              <w:rPr>
                <w:rFonts w:hint="default" w:ascii="Times New Roman" w:hAnsi="Times New Roman" w:cs="Times New Roman"/>
                <w:color w:val="auto"/>
                <w:spacing w:val="-10"/>
                <w:kern w:val="0"/>
                <w:sz w:val="21"/>
                <w:szCs w:val="21"/>
                <w:highlight w:val="none"/>
                <w:shd w:val="clear" w:color="auto" w:fill="auto"/>
                <w:lang w:eastAsia="zh-CN"/>
              </w:rPr>
              <w:t>（</w:t>
            </w:r>
            <w:r>
              <w:rPr>
                <w:rFonts w:hint="default" w:ascii="Times New Roman" w:hAnsi="Times New Roman" w:cs="Times New Roman"/>
                <w:color w:val="auto"/>
                <w:spacing w:val="-10"/>
                <w:kern w:val="0"/>
                <w:sz w:val="21"/>
                <w:szCs w:val="21"/>
                <w:highlight w:val="none"/>
                <w:shd w:val="clear" w:color="auto" w:fill="auto"/>
              </w:rPr>
              <w:t>120m</w:t>
            </w:r>
          </w:p>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w:t>
            </w:r>
            <w:r>
              <w:rPr>
                <w:rFonts w:hint="default" w:ascii="Times New Roman" w:hAnsi="Times New Roman" w:cs="Times New Roman"/>
                <w:color w:val="auto"/>
                <w:spacing w:val="-10"/>
                <w:kern w:val="0"/>
                <w:sz w:val="21"/>
                <w:szCs w:val="21"/>
                <w:highlight w:val="none"/>
                <w:shd w:val="clear" w:color="auto" w:fill="auto"/>
                <w:lang w:val="en-US" w:eastAsia="zh-CN"/>
              </w:rPr>
              <w:t>100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lang w:eastAsia="zh-CN"/>
              </w:rPr>
              <w:t>）</w:t>
            </w:r>
          </w:p>
        </w:tc>
        <w:tc>
          <w:tcPr>
            <w:tcW w:w="336"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hm</w:t>
            </w:r>
            <w:r>
              <w:rPr>
                <w:rFonts w:hint="default" w:ascii="Times New Roman" w:hAnsi="Times New Roman" w:cs="Times New Roman"/>
                <w:color w:val="auto"/>
                <w:spacing w:val="-10"/>
                <w:kern w:val="0"/>
                <w:sz w:val="21"/>
                <w:szCs w:val="21"/>
                <w:highlight w:val="none"/>
                <w:shd w:val="clear" w:color="auto" w:fill="auto"/>
                <w:vertAlign w:val="superscript"/>
              </w:rPr>
              <w:t>2</w:t>
            </w:r>
          </w:p>
        </w:tc>
        <w:tc>
          <w:tcPr>
            <w:tcW w:w="281" w:type="pct"/>
            <w:tcBorders>
              <w:tl2br w:val="nil"/>
              <w:tr2bl w:val="nil"/>
            </w:tcBorders>
            <w:noWrap w:val="0"/>
            <w:vAlign w:val="center"/>
          </w:tcPr>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8.4</w:t>
            </w:r>
          </w:p>
        </w:tc>
        <w:tc>
          <w:tcPr>
            <w:tcW w:w="2782" w:type="pct"/>
            <w:tcBorders>
              <w:tl2br w:val="nil"/>
              <w:tr2bl w:val="nil"/>
            </w:tcBorders>
            <w:noWrap w:val="0"/>
            <w:vAlign w:val="center"/>
          </w:tcPr>
          <w:p>
            <w:pPr>
              <w:pStyle w:val="72"/>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本项目计划部署</w:t>
            </w:r>
            <w:r>
              <w:rPr>
                <w:rFonts w:hint="eastAsia" w:ascii="Times New Roman" w:hAnsi="Times New Roman" w:cs="Times New Roman"/>
                <w:color w:val="auto"/>
                <w:sz w:val="21"/>
                <w:szCs w:val="21"/>
                <w:highlight w:val="none"/>
                <w:shd w:val="clear" w:color="auto" w:fill="auto"/>
                <w:lang w:val="en-US" w:eastAsia="zh-CN"/>
              </w:rPr>
              <w:t>7</w:t>
            </w:r>
            <w:r>
              <w:rPr>
                <w:rFonts w:hint="default" w:ascii="Times New Roman" w:hAnsi="Times New Roman" w:cs="Times New Roman"/>
                <w:color w:val="auto"/>
                <w:sz w:val="21"/>
                <w:szCs w:val="21"/>
                <w:highlight w:val="none"/>
                <w:shd w:val="clear" w:color="auto" w:fill="auto"/>
              </w:rPr>
              <w:t>口井，其中新建井场</w:t>
            </w:r>
            <w:r>
              <w:rPr>
                <w:rFonts w:hint="eastAsia" w:ascii="Times New Roman" w:hAnsi="Times New Roman" w:cs="Times New Roman"/>
                <w:color w:val="auto"/>
                <w:sz w:val="21"/>
                <w:szCs w:val="21"/>
                <w:highlight w:val="none"/>
                <w:shd w:val="clear" w:color="auto" w:fill="auto"/>
                <w:lang w:val="en-US" w:eastAsia="zh-CN"/>
              </w:rPr>
              <w:t>7</w:t>
            </w:r>
            <w:r>
              <w:rPr>
                <w:rFonts w:hint="default" w:ascii="Times New Roman" w:hAnsi="Times New Roman" w:cs="Times New Roman"/>
                <w:color w:val="auto"/>
                <w:sz w:val="21"/>
                <w:szCs w:val="21"/>
                <w:highlight w:val="none"/>
                <w:shd w:val="clear" w:color="auto" w:fill="auto"/>
              </w:rPr>
              <w:t>座，单个井场规格1</w:t>
            </w:r>
            <w:r>
              <w:rPr>
                <w:rFonts w:hint="default" w:ascii="Times New Roman" w:hAnsi="Times New Roman" w:cs="Times New Roman"/>
                <w:color w:val="auto"/>
                <w:sz w:val="21"/>
                <w:szCs w:val="21"/>
                <w:highlight w:val="none"/>
                <w:shd w:val="clear" w:color="auto" w:fill="auto"/>
                <w:lang w:val="en-US" w:eastAsia="zh-CN"/>
              </w:rPr>
              <w:t>00</w:t>
            </w:r>
            <w:r>
              <w:rPr>
                <w:rFonts w:hint="default" w:ascii="Times New Roman" w:hAnsi="Times New Roman" w:cs="Times New Roman"/>
                <w:color w:val="auto"/>
                <w:sz w:val="21"/>
                <w:szCs w:val="21"/>
                <w:highlight w:val="none"/>
                <w:shd w:val="clear" w:color="auto" w:fill="auto"/>
              </w:rPr>
              <w:t>m×120m，永久占地面积为</w:t>
            </w:r>
            <w:r>
              <w:rPr>
                <w:rFonts w:hint="default" w:ascii="Times New Roman" w:hAnsi="Times New Roman" w:cs="Times New Roman"/>
                <w:color w:val="auto"/>
                <w:sz w:val="21"/>
                <w:szCs w:val="21"/>
                <w:highlight w:val="none"/>
                <w:shd w:val="clear" w:color="auto" w:fill="auto"/>
                <w:lang w:val="en-US" w:eastAsia="zh-CN"/>
              </w:rPr>
              <w:t>1200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2</w:t>
            </w:r>
            <w:r>
              <w:rPr>
                <w:rFonts w:hint="default" w:ascii="Times New Roman" w:hAnsi="Times New Roman" w:cs="Times New Roman"/>
                <w:color w:val="auto"/>
                <w:sz w:val="21"/>
                <w:szCs w:val="21"/>
                <w:highlight w:val="none"/>
                <w:shd w:val="clear" w:color="auto" w:fill="auto"/>
              </w:rPr>
              <w:t>（</w:t>
            </w:r>
            <w:r>
              <w:rPr>
                <w:rFonts w:hint="default" w:ascii="Times New Roman" w:hAnsi="Times New Roman" w:cs="Times New Roman"/>
                <w:color w:val="auto"/>
                <w:sz w:val="21"/>
                <w:szCs w:val="21"/>
                <w:highlight w:val="none"/>
                <w:shd w:val="clear" w:color="auto" w:fill="auto"/>
                <w:lang w:val="en-US" w:eastAsia="zh-CN"/>
              </w:rPr>
              <w:t>30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lang w:val="en-US" w:eastAsia="zh-CN"/>
              </w:rPr>
              <w:t>40</w:t>
            </w:r>
            <w:r>
              <w:rPr>
                <w:rFonts w:hint="default" w:ascii="Times New Roman" w:hAnsi="Times New Roman" w:cs="Times New Roman"/>
                <w:color w:val="auto"/>
                <w:sz w:val="21"/>
                <w:szCs w:val="21"/>
                <w:highlight w:val="none"/>
                <w:shd w:val="clear" w:color="auto" w:fill="auto"/>
              </w:rPr>
              <w:t>m），临时占地面积为</w:t>
            </w:r>
            <w:r>
              <w:rPr>
                <w:rFonts w:hint="default" w:ascii="Times New Roman" w:hAnsi="Times New Roman" w:cs="Times New Roman"/>
                <w:color w:val="auto"/>
                <w:sz w:val="21"/>
                <w:szCs w:val="21"/>
                <w:highlight w:val="none"/>
                <w:shd w:val="clear" w:color="auto" w:fill="auto"/>
                <w:lang w:val="en-US" w:eastAsia="zh-CN"/>
              </w:rPr>
              <w:t>10800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2</w:t>
            </w:r>
            <w:r>
              <w:rPr>
                <w:rFonts w:hint="default" w:ascii="Times New Roman" w:hAnsi="Times New Roman"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294" w:hRule="atLeast"/>
          <w:jc w:val="center"/>
        </w:trPr>
        <w:tc>
          <w:tcPr>
            <w:tcW w:w="334"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2</w:t>
            </w:r>
          </w:p>
        </w:tc>
        <w:tc>
          <w:tcPr>
            <w:tcW w:w="645"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钻井平台</w:t>
            </w:r>
          </w:p>
        </w:tc>
        <w:tc>
          <w:tcPr>
            <w:tcW w:w="618"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w:t>
            </w:r>
          </w:p>
        </w:tc>
        <w:tc>
          <w:tcPr>
            <w:tcW w:w="336"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套</w:t>
            </w:r>
          </w:p>
        </w:tc>
        <w:tc>
          <w:tcPr>
            <w:tcW w:w="28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7</w:t>
            </w:r>
          </w:p>
        </w:tc>
        <w:tc>
          <w:tcPr>
            <w:tcW w:w="2782" w:type="pct"/>
            <w:tcBorders>
              <w:tl2br w:val="nil"/>
              <w:tr2bl w:val="nil"/>
            </w:tcBorders>
            <w:noWrap w:val="0"/>
            <w:vAlign w:val="center"/>
          </w:tcPr>
          <w:p>
            <w:pPr>
              <w:pStyle w:val="72"/>
              <w:spacing w:line="0" w:lineRule="atLeast"/>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新建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77" w:hRule="atLeast"/>
          <w:jc w:val="center"/>
        </w:trPr>
        <w:tc>
          <w:tcPr>
            <w:tcW w:w="334" w:type="pct"/>
            <w:tcBorders>
              <w:tl2br w:val="nil"/>
              <w:tr2bl w:val="nil"/>
            </w:tcBorders>
            <w:noWrap w:val="0"/>
            <w:vAlign w:val="center"/>
          </w:tcPr>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3</w:t>
            </w:r>
          </w:p>
        </w:tc>
        <w:tc>
          <w:tcPr>
            <w:tcW w:w="645" w:type="pct"/>
            <w:tcBorders>
              <w:tl2br w:val="nil"/>
              <w:tr2bl w:val="nil"/>
            </w:tcBorders>
            <w:noWrap w:val="0"/>
            <w:vAlign w:val="center"/>
          </w:tcPr>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泥浆不落地装置</w:t>
            </w:r>
          </w:p>
        </w:tc>
        <w:tc>
          <w:tcPr>
            <w:tcW w:w="618" w:type="pct"/>
            <w:tcBorders>
              <w:tl2br w:val="nil"/>
              <w:tr2bl w:val="nil"/>
            </w:tcBorders>
            <w:noWrap w:val="0"/>
            <w:vAlign w:val="center"/>
          </w:tcPr>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eastAsia="zh-CN"/>
              </w:rPr>
            </w:pPr>
            <w:r>
              <w:rPr>
                <w:rFonts w:hint="default" w:ascii="Times New Roman" w:hAnsi="Times New Roman" w:cs="Times New Roman"/>
                <w:color w:val="auto"/>
                <w:spacing w:val="-10"/>
                <w:kern w:val="0"/>
                <w:sz w:val="21"/>
                <w:szCs w:val="21"/>
                <w:highlight w:val="none"/>
                <w:shd w:val="clear" w:color="auto" w:fill="auto"/>
                <w:lang w:eastAsia="zh-CN"/>
              </w:rPr>
              <w:t>—</w:t>
            </w:r>
          </w:p>
        </w:tc>
        <w:tc>
          <w:tcPr>
            <w:tcW w:w="336" w:type="pct"/>
            <w:tcBorders>
              <w:tl2br w:val="nil"/>
              <w:tr2bl w:val="nil"/>
            </w:tcBorders>
            <w:noWrap w:val="0"/>
            <w:vAlign w:val="center"/>
          </w:tcPr>
          <w:p>
            <w:pPr>
              <w:pStyle w:val="72"/>
              <w:spacing w:line="0" w:lineRule="atLeast"/>
              <w:ind w:left="0" w:leftChars="0" w:firstLine="0" w:firstLineChars="0"/>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套</w:t>
            </w:r>
          </w:p>
        </w:tc>
        <w:tc>
          <w:tcPr>
            <w:tcW w:w="281" w:type="pct"/>
            <w:tcBorders>
              <w:tl2br w:val="nil"/>
              <w:tr2bl w:val="nil"/>
            </w:tcBorders>
            <w:noWrap w:val="0"/>
            <w:vAlign w:val="center"/>
          </w:tcPr>
          <w:p>
            <w:pPr>
              <w:spacing w:line="0" w:lineRule="atLeast"/>
              <w:jc w:val="center"/>
              <w:rPr>
                <w:rFonts w:hint="default" w:ascii="Times New Roman" w:hAnsi="Times New Roman"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7</w:t>
            </w:r>
          </w:p>
        </w:tc>
        <w:tc>
          <w:tcPr>
            <w:tcW w:w="2782" w:type="pct"/>
            <w:tcBorders>
              <w:tl2br w:val="nil"/>
              <w:tr2bl w:val="nil"/>
            </w:tcBorders>
            <w:noWrap w:val="0"/>
            <w:vAlign w:val="center"/>
          </w:tcPr>
          <w:p>
            <w:pPr>
              <w:pStyle w:val="72"/>
              <w:spacing w:line="0" w:lineRule="atLeast"/>
              <w:ind w:left="0" w:leftChars="0" w:firstLine="0" w:firstLineChars="0"/>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新建</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77" w:hRule="atLeast"/>
          <w:jc w:val="center"/>
        </w:trPr>
        <w:tc>
          <w:tcPr>
            <w:tcW w:w="334" w:type="pct"/>
            <w:tcBorders>
              <w:tl2br w:val="nil"/>
              <w:tr2bl w:val="nil"/>
            </w:tcBorders>
            <w:noWrap w:val="0"/>
            <w:vAlign w:val="center"/>
          </w:tcPr>
          <w:p>
            <w:pPr>
              <w:pStyle w:val="57"/>
              <w:adjustRightInd w:val="0"/>
              <w:spacing w:before="0" w:beforeLines="0" w:after="0" w:afterLines="0" w:line="0" w:lineRule="atLeast"/>
              <w:ind w:firstLine="0" w:firstLineChars="0"/>
              <w:jc w:val="center"/>
              <w:rPr>
                <w:rFonts w:hint="default" w:ascii="Times New Roman" w:hAnsi="Times New Roman" w:eastAsia="宋体" w:cs="Times New Roman"/>
                <w:color w:val="auto"/>
                <w:spacing w:val="-10"/>
                <w:kern w:val="0"/>
                <w:sz w:val="21"/>
                <w:szCs w:val="21"/>
                <w:highlight w:val="none"/>
                <w:shd w:val="clear" w:color="auto" w:fill="auto"/>
                <w:lang w:eastAsia="zh-CN"/>
              </w:rPr>
            </w:pPr>
            <w:r>
              <w:rPr>
                <w:rFonts w:hint="default" w:ascii="Times New Roman" w:hAnsi="Times New Roman" w:cs="Times New Roman"/>
                <w:color w:val="auto"/>
                <w:spacing w:val="-10"/>
                <w:kern w:val="0"/>
                <w:sz w:val="21"/>
                <w:szCs w:val="21"/>
                <w:highlight w:val="none"/>
                <w:shd w:val="clear" w:color="auto" w:fill="auto"/>
                <w:lang w:val="en-US" w:eastAsia="zh-CN"/>
              </w:rPr>
              <w:t>4</w:t>
            </w:r>
          </w:p>
        </w:tc>
        <w:tc>
          <w:tcPr>
            <w:tcW w:w="645" w:type="pct"/>
            <w:tcBorders>
              <w:tl2br w:val="nil"/>
              <w:tr2bl w:val="nil"/>
            </w:tcBorders>
            <w:noWrap w:val="0"/>
            <w:vAlign w:val="center"/>
          </w:tcPr>
          <w:p>
            <w:pPr>
              <w:pStyle w:val="57"/>
              <w:adjustRightInd w:val="0"/>
              <w:spacing w:before="0" w:beforeLines="0" w:after="0" w:afterLines="0" w:line="0" w:lineRule="atLeast"/>
              <w:ind w:firstLine="0" w:firstLineChars="0"/>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放喷池</w:t>
            </w:r>
          </w:p>
        </w:tc>
        <w:tc>
          <w:tcPr>
            <w:tcW w:w="618" w:type="pct"/>
            <w:tcBorders>
              <w:tl2br w:val="nil"/>
              <w:tr2bl w:val="nil"/>
            </w:tcBorders>
            <w:noWrap w:val="0"/>
            <w:vAlign w:val="center"/>
          </w:tcPr>
          <w:p>
            <w:pPr>
              <w:pStyle w:val="57"/>
              <w:adjustRightInd w:val="0"/>
              <w:spacing w:before="0" w:beforeLines="0" w:after="0" w:afterLines="0" w:line="0" w:lineRule="atLeast"/>
              <w:ind w:firstLine="0" w:firstLineChars="0"/>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lang w:val="en-US" w:eastAsia="zh-CN"/>
              </w:rPr>
              <w:t>120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vertAlign w:val="superscript"/>
              </w:rPr>
              <w:t>3</w:t>
            </w:r>
          </w:p>
        </w:tc>
        <w:tc>
          <w:tcPr>
            <w:tcW w:w="336" w:type="pct"/>
            <w:tcBorders>
              <w:tl2br w:val="nil"/>
              <w:tr2bl w:val="nil"/>
            </w:tcBorders>
            <w:noWrap w:val="0"/>
            <w:vAlign w:val="center"/>
          </w:tcPr>
          <w:p>
            <w:pPr>
              <w:pStyle w:val="57"/>
              <w:adjustRightInd w:val="0"/>
              <w:spacing w:before="0" w:beforeLines="0" w:after="0" w:afterLines="0" w:line="0" w:lineRule="atLeast"/>
              <w:ind w:firstLine="0" w:firstLineChars="0"/>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座</w:t>
            </w:r>
          </w:p>
        </w:tc>
        <w:tc>
          <w:tcPr>
            <w:tcW w:w="281" w:type="pct"/>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14</w:t>
            </w:r>
          </w:p>
        </w:tc>
        <w:tc>
          <w:tcPr>
            <w:tcW w:w="2782" w:type="pct"/>
            <w:tcBorders>
              <w:tl2br w:val="nil"/>
              <w:tr2bl w:val="nil"/>
            </w:tcBorders>
            <w:noWrap w:val="0"/>
            <w:vAlign w:val="center"/>
          </w:tcPr>
          <w:p>
            <w:pPr>
              <w:pStyle w:val="72"/>
              <w:spacing w:line="0" w:lineRule="atLeast"/>
              <w:jc w:val="center"/>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lang w:val="en-US" w:eastAsia="zh-CN"/>
              </w:rPr>
              <w:t>位于井场外，</w:t>
            </w:r>
            <w:r>
              <w:rPr>
                <w:rFonts w:hint="default" w:ascii="Times New Roman" w:hAnsi="Times New Roman" w:cs="Times New Roman"/>
                <w:color w:val="auto"/>
                <w:spacing w:val="-10"/>
                <w:kern w:val="0"/>
                <w:sz w:val="21"/>
                <w:szCs w:val="21"/>
                <w:highlight w:val="none"/>
                <w:shd w:val="clear" w:color="auto" w:fill="auto"/>
              </w:rPr>
              <w:t>测试放喷过程中放喷出来的污水进行集中存放；“环保防渗膜+水泥压边”防渗</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50" w:hRule="atLeast"/>
          <w:jc w:val="center"/>
        </w:trPr>
        <w:tc>
          <w:tcPr>
            <w:tcW w:w="334" w:type="pct"/>
            <w:tcBorders>
              <w:tl2br w:val="nil"/>
              <w:tr2bl w:val="nil"/>
            </w:tcBorders>
            <w:noWrap w:val="0"/>
            <w:vAlign w:val="center"/>
          </w:tcPr>
          <w:p>
            <w:pPr>
              <w:pStyle w:val="57"/>
              <w:adjustRightInd w:val="0"/>
              <w:spacing w:before="0" w:beforeLines="0" w:after="0" w:afterLines="0" w:line="0" w:lineRule="atLeast"/>
              <w:ind w:firstLine="0" w:firstLineChars="0"/>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5</w:t>
            </w:r>
          </w:p>
        </w:tc>
        <w:tc>
          <w:tcPr>
            <w:tcW w:w="645"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岩屑储罐</w:t>
            </w:r>
          </w:p>
        </w:tc>
        <w:tc>
          <w:tcPr>
            <w:tcW w:w="618"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cs="Times New Roman"/>
                <w:color w:val="auto"/>
                <w:spacing w:val="-10"/>
                <w:kern w:val="0"/>
                <w:sz w:val="21"/>
                <w:szCs w:val="21"/>
                <w:highlight w:val="none"/>
                <w:shd w:val="clear" w:color="auto" w:fill="auto"/>
                <w:lang w:val="en-US" w:eastAsia="zh-CN"/>
              </w:rPr>
              <w:t>20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vertAlign w:val="superscript"/>
              </w:rPr>
              <w:t>3</w:t>
            </w:r>
          </w:p>
        </w:tc>
        <w:tc>
          <w:tcPr>
            <w:tcW w:w="336"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个</w:t>
            </w:r>
          </w:p>
        </w:tc>
        <w:tc>
          <w:tcPr>
            <w:tcW w:w="281"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21</w:t>
            </w:r>
          </w:p>
        </w:tc>
        <w:tc>
          <w:tcPr>
            <w:tcW w:w="2782"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jc w:val="center"/>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位于井场内</w:t>
            </w:r>
            <w:r>
              <w:rPr>
                <w:rFonts w:hint="eastAsia" w:eastAsia="宋体" w:cs="Times New Roman"/>
                <w:color w:val="auto"/>
                <w:sz w:val="21"/>
                <w:szCs w:val="21"/>
                <w:highlight w:val="none"/>
                <w:shd w:val="clear" w:color="auto" w:fill="auto"/>
                <w:lang w:val="en-US" w:eastAsia="zh-CN"/>
              </w:rPr>
              <w:t>，单座井场设置3个</w:t>
            </w:r>
            <w:r>
              <w:rPr>
                <w:rFonts w:hint="default" w:ascii="Times New Roman" w:hAnsi="Times New Roman" w:eastAsia="宋体" w:cs="Times New Roman"/>
                <w:color w:val="auto"/>
                <w:sz w:val="21"/>
                <w:szCs w:val="21"/>
                <w:highlight w:val="none"/>
                <w:shd w:val="clear" w:color="auto" w:fill="auto"/>
                <w:lang w:val="en-US" w:eastAsia="zh-CN"/>
              </w:rPr>
              <w:t>岩屑储罐，每个20m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vertAlign w:val="baseli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690" w:hRule="atLeast"/>
          <w:jc w:val="center"/>
        </w:trPr>
        <w:tc>
          <w:tcPr>
            <w:tcW w:w="334" w:type="pct"/>
            <w:tcBorders>
              <w:tl2br w:val="nil"/>
              <w:tr2bl w:val="nil"/>
            </w:tcBorders>
            <w:noWrap w:val="0"/>
            <w:vAlign w:val="center"/>
          </w:tcPr>
          <w:p>
            <w:pPr>
              <w:pStyle w:val="57"/>
              <w:adjustRightInd w:val="0"/>
              <w:spacing w:before="0" w:beforeLines="0" w:after="0" w:afterLines="0" w:line="0" w:lineRule="atLeast"/>
              <w:ind w:firstLine="0" w:firstLineChars="0"/>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6</w:t>
            </w:r>
          </w:p>
        </w:tc>
        <w:tc>
          <w:tcPr>
            <w:tcW w:w="645"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放喷</w:t>
            </w:r>
            <w:r>
              <w:rPr>
                <w:rFonts w:hint="default" w:ascii="Times New Roman" w:hAnsi="Times New Roman" w:eastAsia="宋体" w:cs="Times New Roman"/>
                <w:color w:val="auto"/>
                <w:sz w:val="21"/>
                <w:szCs w:val="21"/>
                <w:highlight w:val="none"/>
                <w:shd w:val="clear" w:color="auto" w:fill="auto"/>
                <w:lang w:val="en-US" w:eastAsia="zh-CN"/>
              </w:rPr>
              <w:t>管线</w:t>
            </w:r>
          </w:p>
        </w:tc>
        <w:tc>
          <w:tcPr>
            <w:tcW w:w="618"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snapToGrid/>
                <w:color w:val="auto"/>
                <w:kern w:val="2"/>
                <w:sz w:val="21"/>
                <w:szCs w:val="21"/>
                <w:highlight w:val="none"/>
                <w:shd w:val="clear" w:color="auto" w:fill="auto"/>
                <w:lang w:val="en-US" w:eastAsia="zh-CN" w:bidi="ar-SA"/>
              </w:rPr>
              <w:t>2</w:t>
            </w:r>
            <w:r>
              <w:rPr>
                <w:rFonts w:hint="default" w:ascii="Times New Roman" w:hAnsi="Times New Roman" w:cs="Times New Roman"/>
                <w:color w:val="auto"/>
                <w:spacing w:val="-10"/>
                <w:kern w:val="0"/>
                <w:sz w:val="21"/>
                <w:szCs w:val="21"/>
                <w:highlight w:val="none"/>
                <w:shd w:val="clear" w:color="auto" w:fill="auto"/>
              </w:rPr>
              <w:t>×</w:t>
            </w:r>
            <w:r>
              <w:rPr>
                <w:rFonts w:hint="default" w:ascii="Times New Roman" w:hAnsi="Times New Roman" w:cs="Times New Roman"/>
                <w:color w:val="auto"/>
                <w:spacing w:val="-10"/>
                <w:kern w:val="0"/>
                <w:sz w:val="21"/>
                <w:szCs w:val="21"/>
                <w:highlight w:val="none"/>
                <w:shd w:val="clear" w:color="auto" w:fill="auto"/>
                <w:lang w:val="en-US" w:eastAsia="zh-CN"/>
              </w:rPr>
              <w:t>15</w:t>
            </w:r>
            <w:r>
              <w:rPr>
                <w:rFonts w:hint="default" w:ascii="Times New Roman" w:hAnsi="Times New Roman" w:cs="Times New Roman"/>
                <w:color w:val="auto"/>
                <w:spacing w:val="-10"/>
                <w:kern w:val="0"/>
                <w:sz w:val="21"/>
                <w:szCs w:val="21"/>
                <w:highlight w:val="none"/>
                <w:shd w:val="clear" w:color="auto" w:fill="auto"/>
              </w:rPr>
              <w:t>m</w:t>
            </w:r>
          </w:p>
        </w:tc>
        <w:tc>
          <w:tcPr>
            <w:tcW w:w="336"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m</w:t>
            </w:r>
          </w:p>
        </w:tc>
        <w:tc>
          <w:tcPr>
            <w:tcW w:w="281"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eastAsia" w:eastAsia="宋体" w:cs="Times New Roman"/>
                <w:color w:val="auto"/>
                <w:sz w:val="21"/>
                <w:szCs w:val="21"/>
                <w:highlight w:val="none"/>
                <w:shd w:val="clear" w:color="auto" w:fill="auto"/>
                <w:lang w:val="en-US" w:eastAsia="zh-CN"/>
              </w:rPr>
              <w:t>14</w:t>
            </w:r>
          </w:p>
        </w:tc>
        <w:tc>
          <w:tcPr>
            <w:tcW w:w="2782"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jc w:val="center"/>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r>
              <w:rPr>
                <w:rFonts w:hint="default" w:ascii="Times New Roman" w:hAnsi="Times New Roman" w:cs="Times New Roman"/>
                <w:color w:val="auto"/>
                <w:highlight w:val="none"/>
                <w:shd w:val="clear" w:color="auto" w:fill="auto"/>
              </w:rPr>
              <w:t>井场左右两侧各设置1条放喷管线，井喷失控时采用应急放喷池处置</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77" w:hRule="atLeast"/>
          <w:jc w:val="center"/>
        </w:trPr>
        <w:tc>
          <w:tcPr>
            <w:tcW w:w="334" w:type="pct"/>
            <w:vMerge w:val="restart"/>
            <w:tcBorders>
              <w:tl2br w:val="nil"/>
              <w:tr2bl w:val="nil"/>
            </w:tcBorders>
            <w:noWrap w:val="0"/>
            <w:vAlign w:val="center"/>
          </w:tcPr>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7</w:t>
            </w:r>
          </w:p>
        </w:tc>
        <w:tc>
          <w:tcPr>
            <w:tcW w:w="645"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生活</w:t>
            </w:r>
          </w:p>
          <w:p>
            <w:pPr>
              <w:pStyle w:val="72"/>
              <w:spacing w:line="0" w:lineRule="atLeast"/>
              <w:ind w:left="0" w:leftChars="0" w:firstLine="0" w:firstLineChars="0"/>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污水池</w:t>
            </w:r>
          </w:p>
        </w:tc>
        <w:tc>
          <w:tcPr>
            <w:tcW w:w="618" w:type="pct"/>
            <w:tcBorders>
              <w:tl2br w:val="nil"/>
              <w:tr2bl w:val="nil"/>
            </w:tcBorders>
            <w:noWrap w:val="0"/>
            <w:vAlign w:val="center"/>
          </w:tcPr>
          <w:p>
            <w:pPr>
              <w:pStyle w:val="72"/>
              <w:spacing w:line="0" w:lineRule="atLeast"/>
              <w:ind w:left="0" w:leftChars="0" w:firstLine="0" w:firstLineChars="0"/>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lang w:val="en-US" w:eastAsia="zh-CN"/>
              </w:rPr>
              <w:t>90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vertAlign w:val="superscript"/>
              </w:rPr>
              <w:t>3</w:t>
            </w:r>
          </w:p>
        </w:tc>
        <w:tc>
          <w:tcPr>
            <w:tcW w:w="336"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座</w:t>
            </w:r>
          </w:p>
        </w:tc>
        <w:tc>
          <w:tcPr>
            <w:tcW w:w="28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7</w:t>
            </w:r>
          </w:p>
        </w:tc>
        <w:tc>
          <w:tcPr>
            <w:tcW w:w="2782" w:type="pct"/>
            <w:tcBorders>
              <w:tl2br w:val="nil"/>
              <w:tr2bl w:val="nil"/>
            </w:tcBorders>
            <w:noWrap w:val="0"/>
            <w:vAlign w:val="center"/>
          </w:tcPr>
          <w:p>
            <w:pPr>
              <w:pStyle w:val="72"/>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cs="Times New Roman"/>
                <w:color w:val="auto"/>
                <w:spacing w:val="-10"/>
                <w:kern w:val="0"/>
                <w:sz w:val="21"/>
                <w:szCs w:val="21"/>
                <w:highlight w:val="none"/>
                <w:shd w:val="clear" w:color="auto" w:fill="auto"/>
                <w:lang w:val="en-US" w:eastAsia="zh-CN"/>
              </w:rPr>
              <w:t>位于</w:t>
            </w:r>
            <w:r>
              <w:rPr>
                <w:rFonts w:hint="eastAsia" w:ascii="Times New Roman" w:hAnsi="Times New Roman" w:cs="Times New Roman"/>
                <w:color w:val="auto"/>
                <w:spacing w:val="-10"/>
                <w:kern w:val="0"/>
                <w:sz w:val="21"/>
                <w:szCs w:val="21"/>
                <w:highlight w:val="none"/>
                <w:shd w:val="clear" w:color="auto" w:fill="auto"/>
                <w:lang w:val="en-US" w:eastAsia="zh-CN"/>
              </w:rPr>
              <w:t>生活营地</w:t>
            </w:r>
            <w:r>
              <w:rPr>
                <w:rFonts w:hint="default" w:ascii="Times New Roman" w:hAnsi="Times New Roman" w:cs="Times New Roman"/>
                <w:color w:val="auto"/>
                <w:spacing w:val="-10"/>
                <w:kern w:val="0"/>
                <w:sz w:val="21"/>
                <w:szCs w:val="21"/>
                <w:highlight w:val="none"/>
                <w:shd w:val="clear" w:color="auto" w:fill="auto"/>
                <w:lang w:val="en-US" w:eastAsia="zh-CN"/>
              </w:rPr>
              <w:t>内，单座生活污水池规格90</w:t>
            </w:r>
            <w:r>
              <w:rPr>
                <w:rFonts w:hint="default" w:ascii="Times New Roman" w:hAnsi="Times New Roman" w:cs="Times New Roman"/>
                <w:color w:val="auto"/>
                <w:spacing w:val="-10"/>
                <w:kern w:val="0"/>
                <w:sz w:val="21"/>
                <w:szCs w:val="21"/>
                <w:highlight w:val="none"/>
                <w:shd w:val="clear" w:color="auto" w:fill="auto"/>
              </w:rPr>
              <w:t>m</w:t>
            </w:r>
            <w:r>
              <w:rPr>
                <w:rFonts w:hint="default" w:ascii="Times New Roman" w:hAnsi="Times New Roman" w:cs="Times New Roman"/>
                <w:color w:val="auto"/>
                <w:spacing w:val="-10"/>
                <w:kern w:val="0"/>
                <w:sz w:val="21"/>
                <w:szCs w:val="21"/>
                <w:highlight w:val="none"/>
                <w:shd w:val="clear" w:color="auto" w:fill="auto"/>
                <w:vertAlign w:val="superscript"/>
              </w:rPr>
              <w:t>3</w:t>
            </w:r>
            <w:r>
              <w:rPr>
                <w:rFonts w:hint="default" w:ascii="Times New Roman" w:hAnsi="Times New Roman" w:cs="Times New Roman"/>
                <w:color w:val="auto"/>
                <w:spacing w:val="-10"/>
                <w:kern w:val="0"/>
                <w:sz w:val="21"/>
                <w:szCs w:val="21"/>
                <w:highlight w:val="none"/>
                <w:shd w:val="clear" w:color="auto" w:fill="auto"/>
                <w:vertAlign w:val="baseline"/>
                <w:lang w:eastAsia="zh-CN"/>
              </w:rPr>
              <w:t>（</w:t>
            </w:r>
            <w:r>
              <w:rPr>
                <w:rFonts w:hint="default" w:ascii="Times New Roman" w:hAnsi="Times New Roman" w:cs="Times New Roman"/>
                <w:color w:val="auto"/>
                <w:spacing w:val="-10"/>
                <w:kern w:val="0"/>
                <w:sz w:val="21"/>
                <w:szCs w:val="21"/>
                <w:highlight w:val="none"/>
                <w:shd w:val="clear" w:color="auto" w:fill="auto"/>
                <w:vertAlign w:val="baseline"/>
                <w:lang w:val="en-US" w:eastAsia="zh-CN"/>
              </w:rPr>
              <w:t>15</w:t>
            </w:r>
            <w:r>
              <w:rPr>
                <w:rFonts w:hint="default" w:ascii="Times New Roman" w:hAnsi="Times New Roman" w:cs="Times New Roman"/>
                <w:color w:val="auto"/>
                <w:sz w:val="21"/>
                <w:szCs w:val="21"/>
                <w:highlight w:val="none"/>
                <w:shd w:val="clear" w:color="auto" w:fill="auto"/>
                <w:lang w:val="en-US" w:eastAsia="zh-CN"/>
              </w:rPr>
              <w:t>m×3m×2m</w:t>
            </w:r>
            <w:r>
              <w:rPr>
                <w:rFonts w:hint="default" w:ascii="Times New Roman" w:hAnsi="Times New Roman" w:cs="Times New Roman"/>
                <w:color w:val="auto"/>
                <w:spacing w:val="-10"/>
                <w:kern w:val="0"/>
                <w:sz w:val="21"/>
                <w:szCs w:val="21"/>
                <w:highlight w:val="none"/>
                <w:shd w:val="clear" w:color="auto" w:fill="auto"/>
                <w:vertAlign w:val="baseline"/>
                <w:lang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598" w:hRule="atLeast"/>
          <w:jc w:val="center"/>
        </w:trPr>
        <w:tc>
          <w:tcPr>
            <w:tcW w:w="334" w:type="pct"/>
            <w:vMerge w:val="continue"/>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p>
        </w:tc>
        <w:tc>
          <w:tcPr>
            <w:tcW w:w="645"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eastAsia" w:ascii="Times New Roman" w:hAnsi="Times New Roman" w:cs="Times New Roman"/>
                <w:color w:val="auto"/>
                <w:spacing w:val="-10"/>
                <w:kern w:val="0"/>
                <w:sz w:val="21"/>
                <w:szCs w:val="21"/>
                <w:highlight w:val="none"/>
                <w:shd w:val="clear" w:color="auto" w:fill="auto"/>
                <w:lang w:val="en-US" w:eastAsia="zh-CN"/>
              </w:rPr>
              <w:t>生活营地</w:t>
            </w:r>
          </w:p>
        </w:tc>
        <w:tc>
          <w:tcPr>
            <w:tcW w:w="618"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w:t>
            </w:r>
          </w:p>
        </w:tc>
        <w:tc>
          <w:tcPr>
            <w:tcW w:w="336" w:type="pct"/>
            <w:tcBorders>
              <w:tl2br w:val="nil"/>
              <w:tr2bl w:val="nil"/>
            </w:tcBorders>
            <w:noWrap w:val="0"/>
            <w:vAlign w:val="center"/>
          </w:tcPr>
          <w:p>
            <w:pPr>
              <w:pStyle w:val="72"/>
              <w:spacing w:line="0" w:lineRule="atLeast"/>
              <w:rPr>
                <w:rFonts w:hint="default" w:ascii="Times New Roman" w:hAnsi="Times New Roman" w:cs="Times New Roman"/>
                <w:color w:val="auto"/>
                <w:spacing w:val="-10"/>
                <w:kern w:val="0"/>
                <w:sz w:val="21"/>
                <w:szCs w:val="21"/>
                <w:highlight w:val="none"/>
                <w:shd w:val="clear" w:color="auto" w:fill="auto"/>
              </w:rPr>
            </w:pPr>
            <w:r>
              <w:rPr>
                <w:rFonts w:hint="default" w:ascii="Times New Roman" w:hAnsi="Times New Roman" w:cs="Times New Roman"/>
                <w:color w:val="auto"/>
                <w:spacing w:val="-10"/>
                <w:kern w:val="0"/>
                <w:sz w:val="21"/>
                <w:szCs w:val="21"/>
                <w:highlight w:val="none"/>
                <w:shd w:val="clear" w:color="auto" w:fill="auto"/>
              </w:rPr>
              <w:t>座</w:t>
            </w:r>
          </w:p>
        </w:tc>
        <w:tc>
          <w:tcPr>
            <w:tcW w:w="281" w:type="pct"/>
            <w:tcBorders>
              <w:tl2br w:val="nil"/>
              <w:tr2bl w:val="nil"/>
            </w:tcBorders>
            <w:noWrap w:val="0"/>
            <w:vAlign w:val="center"/>
          </w:tcPr>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eastAsia" w:ascii="Times New Roman" w:hAnsi="Times New Roman" w:cs="Times New Roman"/>
                <w:color w:val="auto"/>
                <w:spacing w:val="-10"/>
                <w:kern w:val="0"/>
                <w:sz w:val="21"/>
                <w:szCs w:val="21"/>
                <w:highlight w:val="none"/>
                <w:shd w:val="clear" w:color="auto" w:fill="auto"/>
                <w:lang w:val="en-US" w:eastAsia="zh-CN"/>
              </w:rPr>
              <w:t>7</w:t>
            </w:r>
          </w:p>
        </w:tc>
        <w:tc>
          <w:tcPr>
            <w:tcW w:w="2782" w:type="pct"/>
            <w:tcBorders>
              <w:tl2br w:val="nil"/>
              <w:tr2bl w:val="nil"/>
            </w:tcBorders>
            <w:noWrap w:val="0"/>
            <w:vAlign w:val="center"/>
          </w:tcPr>
          <w:p>
            <w:pPr>
              <w:pStyle w:val="72"/>
              <w:spacing w:line="0" w:lineRule="atLeast"/>
              <w:jc w:val="center"/>
              <w:rPr>
                <w:rFonts w:hint="default" w:ascii="Times New Roman" w:hAnsi="Times New Roman" w:eastAsia="宋体" w:cs="Times New Roman"/>
                <w:color w:val="auto"/>
                <w:spacing w:val="-10"/>
                <w:kern w:val="0"/>
                <w:sz w:val="21"/>
                <w:szCs w:val="21"/>
                <w:highlight w:val="none"/>
                <w:shd w:val="clear" w:color="auto" w:fill="auto"/>
                <w:lang w:eastAsia="zh-CN"/>
              </w:rPr>
            </w:pPr>
            <w:r>
              <w:rPr>
                <w:rFonts w:hint="default" w:ascii="Times New Roman" w:hAnsi="Times New Roman" w:cs="Times New Roman"/>
                <w:color w:val="auto"/>
                <w:spacing w:val="-10"/>
                <w:kern w:val="0"/>
                <w:sz w:val="21"/>
                <w:szCs w:val="21"/>
                <w:highlight w:val="none"/>
                <w:shd w:val="clear" w:color="auto" w:fill="auto"/>
                <w:lang w:val="en-US" w:eastAsia="zh-CN"/>
              </w:rPr>
              <w:t>单座</w:t>
            </w:r>
            <w:r>
              <w:rPr>
                <w:rFonts w:hint="eastAsia" w:ascii="Times New Roman" w:hAnsi="Times New Roman" w:cs="Times New Roman"/>
                <w:color w:val="auto"/>
                <w:spacing w:val="-10"/>
                <w:kern w:val="0"/>
                <w:sz w:val="21"/>
                <w:szCs w:val="21"/>
                <w:highlight w:val="none"/>
                <w:shd w:val="clear" w:color="auto" w:fill="auto"/>
                <w:lang w:val="en-US" w:eastAsia="zh-CN"/>
              </w:rPr>
              <w:t>生活营地</w:t>
            </w:r>
            <w:r>
              <w:rPr>
                <w:rFonts w:hint="default" w:ascii="Times New Roman" w:hAnsi="Times New Roman" w:cs="Times New Roman"/>
                <w:color w:val="auto"/>
                <w:spacing w:val="-10"/>
                <w:kern w:val="0"/>
                <w:sz w:val="21"/>
                <w:szCs w:val="21"/>
                <w:highlight w:val="none"/>
                <w:shd w:val="clear" w:color="auto" w:fill="auto"/>
                <w:lang w:val="en-US" w:eastAsia="zh-CN"/>
              </w:rPr>
              <w:t>规格</w:t>
            </w:r>
            <w:r>
              <w:rPr>
                <w:rFonts w:hint="default" w:ascii="Times New Roman" w:hAnsi="Times New Roman" w:cs="Times New Roman"/>
                <w:color w:val="auto"/>
                <w:sz w:val="21"/>
                <w:szCs w:val="21"/>
                <w:highlight w:val="none"/>
                <w:shd w:val="clear" w:color="auto" w:fill="auto"/>
                <w:lang w:val="en-US" w:eastAsia="zh-CN"/>
              </w:rPr>
              <w:t>2400m</w:t>
            </w:r>
            <w:r>
              <w:rPr>
                <w:rFonts w:hint="default" w:ascii="Times New Roman" w:hAnsi="Times New Roman" w:cs="Times New Roman"/>
                <w:color w:val="auto"/>
                <w:sz w:val="21"/>
                <w:szCs w:val="21"/>
                <w:highlight w:val="none"/>
                <w:shd w:val="clear" w:color="auto" w:fill="auto"/>
                <w:vertAlign w:val="superscript"/>
                <w:lang w:val="en-US" w:eastAsia="zh-CN"/>
              </w:rPr>
              <w:t>2</w:t>
            </w:r>
            <w:r>
              <w:rPr>
                <w:rFonts w:hint="default" w:ascii="Times New Roman" w:hAnsi="Times New Roman" w:cs="Times New Roman"/>
                <w:color w:val="auto"/>
                <w:sz w:val="21"/>
                <w:szCs w:val="21"/>
                <w:highlight w:val="none"/>
                <w:shd w:val="clear" w:color="auto" w:fill="auto"/>
                <w:lang w:val="en-US" w:eastAsia="zh-CN"/>
              </w:rPr>
              <w:t>（40m×60m）；</w:t>
            </w:r>
            <w:r>
              <w:rPr>
                <w:rFonts w:hint="default" w:ascii="Times New Roman" w:hAnsi="Times New Roman" w:cs="Times New Roman"/>
                <w:color w:val="auto"/>
                <w:spacing w:val="-10"/>
                <w:kern w:val="0"/>
                <w:sz w:val="21"/>
                <w:szCs w:val="21"/>
                <w:highlight w:val="none"/>
                <w:shd w:val="clear" w:color="auto" w:fill="auto"/>
              </w:rPr>
              <w:t>人员居住</w:t>
            </w:r>
            <w:r>
              <w:rPr>
                <w:rFonts w:hint="default" w:ascii="Times New Roman" w:hAnsi="Times New Roman" w:cs="Times New Roman"/>
                <w:color w:val="auto"/>
                <w:spacing w:val="-10"/>
                <w:kern w:val="0"/>
                <w:sz w:val="21"/>
                <w:szCs w:val="21"/>
                <w:highlight w:val="none"/>
                <w:shd w:val="clear" w:color="auto" w:fill="auto"/>
                <w:lang w:eastAsia="zh-CN"/>
              </w:rPr>
              <w:t>，</w:t>
            </w:r>
            <w:r>
              <w:rPr>
                <w:rFonts w:hint="default" w:ascii="Times New Roman" w:hAnsi="Times New Roman" w:cs="Times New Roman"/>
                <w:color w:val="auto"/>
                <w:spacing w:val="-10"/>
                <w:kern w:val="0"/>
                <w:sz w:val="21"/>
                <w:szCs w:val="21"/>
                <w:highlight w:val="none"/>
                <w:shd w:val="clear" w:color="auto" w:fill="auto"/>
              </w:rPr>
              <w:t>撬装装置</w:t>
            </w:r>
          </w:p>
        </w:tc>
      </w:tr>
    </w:tbl>
    <w:p>
      <w:pPr>
        <w:pStyle w:val="6"/>
        <w:pageBreakBefore w:val="0"/>
        <w:kinsoku/>
        <w:wordWrap/>
        <w:overflowPunct/>
        <w:topLinePunct w:val="0"/>
        <w:autoSpaceDE/>
        <w:autoSpaceDN/>
        <w:bidi w:val="0"/>
        <w:spacing w:line="480" w:lineRule="exact"/>
        <w:rPr>
          <w:rFonts w:hint="default" w:eastAsia="宋体"/>
          <w:color w:val="auto"/>
          <w:highlight w:val="none"/>
          <w:lang w:val="en-US" w:eastAsia="zh-CN"/>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rFonts w:hint="eastAsia"/>
          <w:color w:val="auto"/>
          <w:highlight w:val="none"/>
          <w:lang w:val="en-US" w:eastAsia="zh-CN"/>
        </w:rPr>
        <w:t>2钻井工程</w:t>
      </w:r>
    </w:p>
    <w:p>
      <w:pPr>
        <w:pStyle w:val="57"/>
        <w:pageBreakBefore w:val="0"/>
        <w:kinsoku/>
        <w:wordWrap/>
        <w:overflowPunct/>
        <w:topLinePunct w:val="0"/>
        <w:autoSpaceDE/>
        <w:autoSpaceDN/>
        <w:bidi w:val="0"/>
        <w:spacing w:line="480" w:lineRule="exact"/>
        <w:rPr>
          <w:rFonts w:hint="default" w:ascii="Times New Roman" w:hAnsi="Times New Roman" w:eastAsia="宋体" w:cs="Times New Roman"/>
          <w:color w:val="auto"/>
          <w:szCs w:val="24"/>
          <w:highlight w:val="none"/>
          <w:lang w:val="en-US" w:eastAsia="zh-CN"/>
        </w:rPr>
      </w:pPr>
      <w:r>
        <w:rPr>
          <w:rFonts w:hint="default" w:ascii="Times New Roman" w:hAnsi="Times New Roman" w:eastAsia="宋体" w:cs="Times New Roman"/>
          <w:color w:val="auto"/>
          <w:szCs w:val="24"/>
          <w:highlight w:val="none"/>
          <w:lang w:val="en-US" w:eastAsia="zh-CN"/>
        </w:rPr>
        <w:t>（1）井号、井位坐标情况</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szCs w:val="24"/>
          <w:highlight w:val="none"/>
        </w:rPr>
      </w:pPr>
      <w:r>
        <w:rPr>
          <w:rFonts w:hint="default" w:ascii="Times New Roman" w:hAnsi="Times New Roman" w:eastAsia="宋体" w:cs="Times New Roman"/>
          <w:color w:val="auto"/>
          <w:szCs w:val="24"/>
          <w:highlight w:val="none"/>
          <w:lang w:val="en-US" w:eastAsia="zh-CN"/>
        </w:rPr>
        <w:t>本工程部署</w:t>
      </w:r>
      <w:r>
        <w:rPr>
          <w:rFonts w:hint="eastAsia" w:ascii="Times New Roman" w:hAnsi="Times New Roman" w:eastAsia="宋体" w:cs="Times New Roman"/>
          <w:color w:val="auto"/>
          <w:szCs w:val="24"/>
          <w:highlight w:val="none"/>
          <w:lang w:val="en-US" w:eastAsia="zh-CN"/>
        </w:rPr>
        <w:t>新钻7口井，均</w:t>
      </w:r>
      <w:r>
        <w:rPr>
          <w:rFonts w:hint="default" w:ascii="Times New Roman" w:hAnsi="Times New Roman" w:eastAsia="宋体" w:cs="Times New Roman"/>
          <w:color w:val="auto"/>
          <w:szCs w:val="24"/>
          <w:highlight w:val="none"/>
          <w:lang w:val="en-US" w:eastAsia="zh-CN"/>
        </w:rPr>
        <w:t>为水平井</w:t>
      </w:r>
      <w:r>
        <w:rPr>
          <w:rFonts w:hint="eastAsia" w:ascii="Times New Roman" w:hAnsi="Times New Roman" w:eastAsia="宋体" w:cs="Times New Roman"/>
          <w:color w:val="auto"/>
          <w:szCs w:val="24"/>
          <w:highlight w:val="none"/>
          <w:lang w:val="en-US" w:eastAsia="zh-CN"/>
        </w:rPr>
        <w:t>，均采用三开井身结构，</w:t>
      </w:r>
      <w:r>
        <w:rPr>
          <w:rFonts w:hint="default" w:ascii="Times New Roman" w:hAnsi="Times New Roman" w:eastAsia="宋体" w:cs="Times New Roman"/>
          <w:color w:val="auto"/>
          <w:szCs w:val="24"/>
          <w:highlight w:val="none"/>
          <w:lang w:val="en-US" w:eastAsia="zh-CN"/>
        </w:rPr>
        <w:t>钻井总进尺</w:t>
      </w:r>
      <w:r>
        <w:rPr>
          <w:rFonts w:hint="eastAsia" w:ascii="Times New Roman" w:hAnsi="Times New Roman" w:eastAsia="宋体" w:cs="Times New Roman"/>
          <w:color w:val="auto"/>
          <w:szCs w:val="24"/>
          <w:highlight w:val="none"/>
          <w:lang w:val="en-US" w:eastAsia="zh-CN"/>
        </w:rPr>
        <w:t>48644</w:t>
      </w:r>
      <w:r>
        <w:rPr>
          <w:rFonts w:hint="default" w:ascii="Times New Roman" w:hAnsi="Times New Roman" w:eastAsia="宋体" w:cs="Times New Roman"/>
          <w:color w:val="auto"/>
          <w:szCs w:val="24"/>
          <w:highlight w:val="none"/>
          <w:lang w:val="en-US" w:eastAsia="zh-CN"/>
        </w:rPr>
        <w:t>m</w:t>
      </w:r>
      <w:r>
        <w:rPr>
          <w:rFonts w:hint="default" w:ascii="Times New Roman" w:hAnsi="Times New Roman" w:eastAsia="宋体" w:cs="Times New Roman"/>
          <w:color w:val="auto"/>
          <w:szCs w:val="24"/>
          <w:highlight w:val="none"/>
        </w:rPr>
        <w:t>。钻井基本情况见表</w:t>
      </w:r>
      <w:r>
        <w:rPr>
          <w:rFonts w:hint="eastAsia" w:ascii="Times New Roman" w:hAnsi="Times New Roman" w:eastAsia="宋体" w:cs="Times New Roman"/>
          <w:color w:val="auto"/>
          <w:szCs w:val="24"/>
          <w:highlight w:val="none"/>
          <w:lang w:val="en-US" w:eastAsia="zh-CN"/>
        </w:rPr>
        <w:t>3.2-9</w:t>
      </w:r>
      <w:r>
        <w:rPr>
          <w:rFonts w:hint="default" w:ascii="Times New Roman" w:hAnsi="Times New Roman" w:eastAsia="宋体" w:cs="Times New Roman"/>
          <w:color w:val="auto"/>
          <w:szCs w:val="24"/>
          <w:highlight w:val="none"/>
        </w:rPr>
        <w:t>。</w:t>
      </w:r>
    </w:p>
    <w:p>
      <w:pPr>
        <w:pStyle w:val="54"/>
        <w:pageBreakBefore w:val="0"/>
        <w:kinsoku/>
        <w:wordWrap/>
        <w:overflowPunct/>
        <w:topLinePunct w:val="0"/>
        <w:autoSpaceDE/>
        <w:autoSpaceDN/>
        <w:bidi w:val="0"/>
        <w:spacing w:line="480" w:lineRule="exact"/>
        <w:ind w:firstLine="482"/>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3.2-9</w:t>
      </w:r>
      <w:r>
        <w:rPr>
          <w:rFonts w:hint="eastAsia" w:cs="Times New Roman"/>
          <w:color w:val="auto"/>
          <w:highlight w:val="none"/>
        </w:rPr>
        <w:t xml:space="preserve">              各</w:t>
      </w:r>
      <w:r>
        <w:rPr>
          <w:rFonts w:hint="eastAsia" w:cs="Times New Roman"/>
          <w:color w:val="auto"/>
          <w:highlight w:val="none"/>
          <w:lang w:val="en-US" w:eastAsia="zh-CN"/>
        </w:rPr>
        <w:t>井</w:t>
      </w:r>
      <w:r>
        <w:rPr>
          <w:rFonts w:hint="eastAsia" w:cs="Times New Roman"/>
          <w:color w:val="auto"/>
          <w:highlight w:val="none"/>
        </w:rPr>
        <w:t>基本情况统计表</w:t>
      </w:r>
    </w:p>
    <w:tbl>
      <w:tblPr>
        <w:tblStyle w:val="34"/>
        <w:tblW w:w="4888" w:type="pct"/>
        <w:tblInd w:w="0"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0" w:type="dxa"/>
          <w:bottom w:w="0" w:type="dxa"/>
          <w:right w:w="0" w:type="dxa"/>
        </w:tblCellMar>
      </w:tblPr>
      <w:tblGrid>
        <w:gridCol w:w="574"/>
        <w:gridCol w:w="1448"/>
        <w:gridCol w:w="1633"/>
        <w:gridCol w:w="1622"/>
        <w:gridCol w:w="626"/>
        <w:gridCol w:w="726"/>
        <w:gridCol w:w="906"/>
        <w:gridCol w:w="92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vMerge w:val="restar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序号</w:t>
            </w:r>
          </w:p>
        </w:tc>
        <w:tc>
          <w:tcPr>
            <w:tcW w:w="856" w:type="pct"/>
            <w:vMerge w:val="restar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井号</w:t>
            </w:r>
          </w:p>
        </w:tc>
        <w:tc>
          <w:tcPr>
            <w:tcW w:w="1924" w:type="pct"/>
            <w:gridSpan w:val="2"/>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井口坐标</w:t>
            </w:r>
          </w:p>
        </w:tc>
        <w:tc>
          <w:tcPr>
            <w:tcW w:w="370" w:type="pct"/>
            <w:vMerge w:val="restar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目的层位</w:t>
            </w:r>
          </w:p>
        </w:tc>
        <w:tc>
          <w:tcPr>
            <w:tcW w:w="429" w:type="pct"/>
            <w:vMerge w:val="restart"/>
            <w:tcBorders>
              <w:tl2br w:val="nil"/>
              <w:tr2bl w:val="nil"/>
            </w:tcBorders>
            <w:noWrap/>
            <w:tcMar>
              <w:top w:w="15" w:type="dxa"/>
              <w:left w:w="15" w:type="dxa"/>
              <w:right w:w="15" w:type="dxa"/>
            </w:tcMar>
            <w:vAlign w:val="center"/>
          </w:tcPr>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eastAsia="宋体" w:cs="Times New Roman"/>
                <w:color w:val="auto"/>
                <w:spacing w:val="-10"/>
                <w:kern w:val="0"/>
                <w:sz w:val="21"/>
                <w:szCs w:val="21"/>
                <w:highlight w:val="none"/>
                <w:shd w:val="clear" w:color="auto" w:fill="auto"/>
                <w:lang w:val="en-US" w:eastAsia="zh-CN"/>
              </w:rPr>
              <w:t>进尺</w:t>
            </w:r>
          </w:p>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eastAsia="宋体" w:cs="Times New Roman"/>
                <w:color w:val="auto"/>
                <w:spacing w:val="-10"/>
                <w:kern w:val="0"/>
                <w:sz w:val="21"/>
                <w:szCs w:val="21"/>
                <w:highlight w:val="none"/>
                <w:shd w:val="clear" w:color="auto" w:fill="auto"/>
                <w:lang w:val="en-US" w:eastAsia="zh-CN"/>
              </w:rPr>
              <w:t>（m）</w:t>
            </w:r>
          </w:p>
        </w:tc>
        <w:tc>
          <w:tcPr>
            <w:tcW w:w="535" w:type="pct"/>
            <w:vMerge w:val="restart"/>
            <w:tcBorders>
              <w:tl2br w:val="nil"/>
              <w:tr2bl w:val="nil"/>
            </w:tcBorders>
            <w:noWrap/>
            <w:tcMar>
              <w:top w:w="15" w:type="dxa"/>
              <w:left w:w="15" w:type="dxa"/>
              <w:right w:w="15" w:type="dxa"/>
            </w:tcMar>
            <w:vAlign w:val="center"/>
          </w:tcPr>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eastAsia="宋体" w:cs="Times New Roman"/>
                <w:color w:val="auto"/>
                <w:spacing w:val="-10"/>
                <w:kern w:val="0"/>
                <w:sz w:val="21"/>
                <w:szCs w:val="21"/>
                <w:highlight w:val="none"/>
                <w:shd w:val="clear" w:color="auto" w:fill="auto"/>
                <w:lang w:val="en-US" w:eastAsia="zh-CN"/>
              </w:rPr>
              <w:t>设计产能</w:t>
            </w:r>
          </w:p>
          <w:p>
            <w:pPr>
              <w:pStyle w:val="72"/>
              <w:spacing w:line="0" w:lineRule="atLeast"/>
              <w:rPr>
                <w:rFonts w:hint="default" w:ascii="Times New Roman" w:hAnsi="Times New Roman" w:eastAsia="宋体" w:cs="Times New Roman"/>
                <w:color w:val="auto"/>
                <w:spacing w:val="-10"/>
                <w:kern w:val="0"/>
                <w:sz w:val="21"/>
                <w:szCs w:val="21"/>
                <w:highlight w:val="none"/>
                <w:shd w:val="clear" w:color="auto" w:fill="auto"/>
                <w:lang w:val="en-US" w:eastAsia="zh-CN"/>
              </w:rPr>
            </w:pPr>
            <w:r>
              <w:rPr>
                <w:rFonts w:hint="default" w:ascii="Times New Roman" w:hAnsi="Times New Roman" w:eastAsia="宋体" w:cs="Times New Roman"/>
                <w:color w:val="auto"/>
                <w:spacing w:val="-10"/>
                <w:kern w:val="0"/>
                <w:sz w:val="21"/>
                <w:szCs w:val="21"/>
                <w:highlight w:val="none"/>
                <w:shd w:val="clear" w:color="auto" w:fill="auto"/>
                <w:lang w:val="en-US" w:eastAsia="zh-CN"/>
              </w:rPr>
              <w:t>（</w:t>
            </w:r>
            <w:r>
              <w:rPr>
                <w:rFonts w:hint="eastAsia" w:ascii="Times New Roman" w:hAnsi="Times New Roman" w:eastAsia="宋体" w:cs="Times New Roman"/>
                <w:color w:val="auto"/>
                <w:spacing w:val="-10"/>
                <w:kern w:val="0"/>
                <w:sz w:val="21"/>
                <w:szCs w:val="21"/>
                <w:highlight w:val="none"/>
                <w:shd w:val="clear" w:color="auto" w:fill="auto"/>
                <w:lang w:val="en-US" w:eastAsia="zh-CN"/>
              </w:rPr>
              <w:t>t</w:t>
            </w:r>
            <w:r>
              <w:rPr>
                <w:rFonts w:hint="default" w:ascii="Times New Roman" w:hAnsi="Times New Roman" w:eastAsia="宋体" w:cs="Times New Roman"/>
                <w:color w:val="auto"/>
                <w:spacing w:val="-10"/>
                <w:kern w:val="0"/>
                <w:sz w:val="21"/>
                <w:szCs w:val="21"/>
                <w:highlight w:val="none"/>
                <w:shd w:val="clear" w:color="auto" w:fill="auto"/>
                <w:lang w:val="en-US" w:eastAsia="zh-CN"/>
              </w:rPr>
              <w:t>/d）</w:t>
            </w:r>
          </w:p>
        </w:tc>
        <w:tc>
          <w:tcPr>
            <w:tcW w:w="544" w:type="pct"/>
            <w:vMerge w:val="restart"/>
            <w:tcBorders>
              <w:tl2br w:val="nil"/>
              <w:tr2bl w:val="nil"/>
            </w:tcBorders>
            <w:noWrap/>
            <w:tcMar>
              <w:top w:w="15" w:type="dxa"/>
              <w:left w:w="15" w:type="dxa"/>
              <w:right w:w="15" w:type="dxa"/>
            </w:tcMar>
            <w:vAlign w:val="center"/>
          </w:tcPr>
          <w:p>
            <w:pPr>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井型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856"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965" w:type="pc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X</w:t>
            </w:r>
          </w:p>
        </w:tc>
        <w:tc>
          <w:tcPr>
            <w:tcW w:w="959"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lang w:bidi="ar"/>
              </w:rPr>
              <w:t>Y</w:t>
            </w:r>
          </w:p>
        </w:tc>
        <w:tc>
          <w:tcPr>
            <w:tcW w:w="370"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429"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535"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c>
          <w:tcPr>
            <w:tcW w:w="544" w:type="pct"/>
            <w:vMerge w:val="continue"/>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center"/>
              <w:rPr>
                <w:rFonts w:hint="default" w:ascii="Times New Roman" w:hAnsi="Times New Roman" w:eastAsia="宋体" w:cs="Times New Roman"/>
                <w:color w:val="auto"/>
                <w:kern w:val="0"/>
                <w:sz w:val="21"/>
                <w:szCs w:val="21"/>
                <w:highlight w:val="none"/>
                <w:shd w:val="clear" w:color="auto" w:fill="auto"/>
                <w:lang w:bidi="ar"/>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bidi="ar"/>
              </w:rPr>
            </w:pPr>
            <w:bookmarkStart w:id="285" w:name="OLE_LINK12" w:colFirst="1" w:colLast="1"/>
            <w:r>
              <w:rPr>
                <w:rFonts w:hint="default" w:ascii="Times New Roman" w:hAnsi="Times New Roman" w:eastAsia="宋体" w:cs="Times New Roman"/>
                <w:color w:val="auto"/>
                <w:kern w:val="0"/>
                <w:sz w:val="21"/>
                <w:szCs w:val="21"/>
                <w:highlight w:val="none"/>
                <w:shd w:val="clear" w:color="auto" w:fill="auto"/>
              </w:rPr>
              <w:t>1</w:t>
            </w:r>
          </w:p>
        </w:tc>
        <w:tc>
          <w:tcPr>
            <w:tcW w:w="856"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FTYHW0911</w:t>
            </w:r>
          </w:p>
        </w:tc>
        <w:tc>
          <w:tcPr>
            <w:tcW w:w="96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restar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C9</w:t>
            </w:r>
          </w:p>
        </w:tc>
        <w:tc>
          <w:tcPr>
            <w:tcW w:w="429"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6773</w:t>
            </w:r>
          </w:p>
        </w:tc>
        <w:tc>
          <w:tcPr>
            <w:tcW w:w="53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bidi="ar"/>
              </w:rPr>
            </w:pPr>
            <w:r>
              <w:rPr>
                <w:rFonts w:hint="default" w:ascii="Times New Roman" w:hAnsi="Times New Roman" w:eastAsia="宋体" w:cs="Times New Roman"/>
                <w:color w:val="auto"/>
                <w:kern w:val="0"/>
                <w:sz w:val="21"/>
                <w:szCs w:val="21"/>
                <w:highlight w:val="none"/>
                <w:shd w:val="clear" w:color="auto" w:fill="auto"/>
              </w:rPr>
              <w:t>2</w:t>
            </w:r>
          </w:p>
        </w:tc>
        <w:tc>
          <w:tcPr>
            <w:tcW w:w="856"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FTYHW0912</w:t>
            </w:r>
          </w:p>
        </w:tc>
        <w:tc>
          <w:tcPr>
            <w:tcW w:w="96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continue"/>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p>
        </w:tc>
        <w:tc>
          <w:tcPr>
            <w:tcW w:w="429"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6784</w:t>
            </w:r>
          </w:p>
        </w:tc>
        <w:tc>
          <w:tcPr>
            <w:tcW w:w="53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eastAsia="zh-CN" w:bidi="ar"/>
              </w:rPr>
            </w:pPr>
            <w:r>
              <w:rPr>
                <w:rFonts w:hint="default" w:ascii="Times New Roman" w:hAnsi="Times New Roman" w:eastAsia="宋体" w:cs="Times New Roman"/>
                <w:color w:val="auto"/>
                <w:kern w:val="0"/>
                <w:sz w:val="21"/>
                <w:szCs w:val="21"/>
                <w:highlight w:val="none"/>
                <w:shd w:val="clear" w:color="auto" w:fill="auto"/>
                <w:lang w:eastAsia="zh-CN"/>
              </w:rPr>
              <w:t>3</w:t>
            </w:r>
          </w:p>
        </w:tc>
        <w:tc>
          <w:tcPr>
            <w:tcW w:w="856"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FTYHW1235</w:t>
            </w:r>
          </w:p>
        </w:tc>
        <w:tc>
          <w:tcPr>
            <w:tcW w:w="96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continue"/>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p>
        </w:tc>
        <w:tc>
          <w:tcPr>
            <w:tcW w:w="429"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6815</w:t>
            </w:r>
          </w:p>
        </w:tc>
        <w:tc>
          <w:tcPr>
            <w:tcW w:w="53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4</w:t>
            </w:r>
          </w:p>
        </w:tc>
        <w:tc>
          <w:tcPr>
            <w:tcW w:w="856"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FTYHW1010</w:t>
            </w:r>
          </w:p>
        </w:tc>
        <w:tc>
          <w:tcPr>
            <w:tcW w:w="96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restar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C10</w:t>
            </w:r>
          </w:p>
        </w:tc>
        <w:tc>
          <w:tcPr>
            <w:tcW w:w="429"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7031</w:t>
            </w:r>
          </w:p>
        </w:tc>
        <w:tc>
          <w:tcPr>
            <w:tcW w:w="53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5</w:t>
            </w:r>
          </w:p>
        </w:tc>
        <w:tc>
          <w:tcPr>
            <w:tcW w:w="856"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FTYHW1011</w:t>
            </w:r>
          </w:p>
        </w:tc>
        <w:tc>
          <w:tcPr>
            <w:tcW w:w="96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continue"/>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p>
        </w:tc>
        <w:tc>
          <w:tcPr>
            <w:tcW w:w="429"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7116</w:t>
            </w:r>
          </w:p>
        </w:tc>
        <w:tc>
          <w:tcPr>
            <w:tcW w:w="53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6</w:t>
            </w:r>
          </w:p>
        </w:tc>
        <w:tc>
          <w:tcPr>
            <w:tcW w:w="856"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FTYHW1012</w:t>
            </w:r>
          </w:p>
        </w:tc>
        <w:tc>
          <w:tcPr>
            <w:tcW w:w="96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vMerge w:val="continue"/>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p>
        </w:tc>
        <w:tc>
          <w:tcPr>
            <w:tcW w:w="429"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7266</w:t>
            </w:r>
          </w:p>
        </w:tc>
        <w:tc>
          <w:tcPr>
            <w:tcW w:w="53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0" w:type="dxa"/>
            <w:bottom w:w="0" w:type="dxa"/>
            <w:right w:w="0" w:type="dxa"/>
          </w:tblCellMar>
        </w:tblPrEx>
        <w:trPr>
          <w:trHeight w:val="397" w:hRule="atLeast"/>
        </w:trPr>
        <w:tc>
          <w:tcPr>
            <w:tcW w:w="339" w:type="pct"/>
            <w:tcBorders>
              <w:tl2br w:val="nil"/>
              <w:tr2bl w:val="nil"/>
            </w:tcBorders>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snapToGrid/>
              <w:spacing w:line="240" w:lineRule="auto"/>
              <w:jc w:val="center"/>
              <w:rPr>
                <w:rFonts w:hint="default" w:ascii="Times New Roman" w:hAnsi="Times New Roman" w:eastAsia="宋体" w:cs="Times New Roman"/>
                <w:color w:val="auto"/>
                <w:kern w:val="0"/>
                <w:sz w:val="21"/>
                <w:szCs w:val="21"/>
                <w:highlight w:val="none"/>
                <w:shd w:val="clear" w:color="auto" w:fill="auto"/>
                <w:lang w:val="en-US" w:eastAsia="zh-CN" w:bidi="ar"/>
              </w:rPr>
            </w:pPr>
            <w:r>
              <w:rPr>
                <w:rFonts w:hint="default" w:ascii="Times New Roman" w:hAnsi="Times New Roman" w:eastAsia="宋体" w:cs="Times New Roman"/>
                <w:color w:val="auto"/>
                <w:kern w:val="0"/>
                <w:sz w:val="21"/>
                <w:szCs w:val="21"/>
                <w:highlight w:val="none"/>
                <w:shd w:val="clear" w:color="auto" w:fill="auto"/>
                <w:lang w:val="en-US" w:eastAsia="zh-CN" w:bidi="ar"/>
              </w:rPr>
              <w:t>7</w:t>
            </w:r>
          </w:p>
        </w:tc>
        <w:tc>
          <w:tcPr>
            <w:tcW w:w="856"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eastAsia="zh-CN"/>
              </w:rPr>
              <w:t>FTYHW1234</w:t>
            </w:r>
          </w:p>
        </w:tc>
        <w:tc>
          <w:tcPr>
            <w:tcW w:w="96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959" w:type="pct"/>
            <w:tcBorders>
              <w:tl2br w:val="nil"/>
              <w:tr2bl w:val="nil"/>
            </w:tcBorders>
            <w:noWrap w:val="0"/>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370"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C12</w:t>
            </w:r>
          </w:p>
        </w:tc>
        <w:tc>
          <w:tcPr>
            <w:tcW w:w="429"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6859</w:t>
            </w:r>
          </w:p>
        </w:tc>
        <w:tc>
          <w:tcPr>
            <w:tcW w:w="535"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34.1</w:t>
            </w:r>
          </w:p>
        </w:tc>
        <w:tc>
          <w:tcPr>
            <w:tcW w:w="544" w:type="pct"/>
            <w:tcBorders>
              <w:tl2br w:val="nil"/>
              <w:tr2bl w:val="nil"/>
            </w:tcBorders>
            <w:noWrap/>
            <w:tcMar>
              <w:top w:w="15" w:type="dxa"/>
              <w:left w:w="15" w:type="dxa"/>
              <w:right w:w="15" w:type="dxa"/>
            </w:tcMar>
            <w:vAlign w:val="center"/>
          </w:tcPr>
          <w:p>
            <w:pPr>
              <w:pStyle w:val="74"/>
              <w:keepNext w:val="0"/>
              <w:keepLines w:val="0"/>
              <w:pageBreakBefore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水平井</w:t>
            </w:r>
          </w:p>
        </w:tc>
      </w:tr>
      <w:bookmarkEnd w:id="285"/>
    </w:tbl>
    <w:p>
      <w:pPr>
        <w:pStyle w:val="75"/>
        <w:keepNext w:val="0"/>
        <w:keepLines w:val="0"/>
        <w:pageBreakBefore w:val="0"/>
        <w:kinsoku/>
        <w:overflowPunct/>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color w:val="auto"/>
          <w:spacing w:val="0"/>
          <w:sz w:val="24"/>
          <w:szCs w:val="24"/>
          <w:highlight w:val="none"/>
          <w:shd w:val="clear" w:color="auto" w:fill="auto"/>
          <w:lang w:val="en-US"/>
        </w:rPr>
        <w:t>（</w:t>
      </w:r>
      <w:r>
        <w:rPr>
          <w:rFonts w:hint="eastAsia"/>
          <w:color w:val="auto"/>
          <w:spacing w:val="0"/>
          <w:sz w:val="24"/>
          <w:szCs w:val="24"/>
          <w:highlight w:val="none"/>
          <w:shd w:val="clear" w:color="auto" w:fill="auto"/>
          <w:lang w:val="en-US" w:eastAsia="zh-CN"/>
        </w:rPr>
        <w:t>2</w:t>
      </w:r>
      <w:r>
        <w:rPr>
          <w:rFonts w:hint="eastAsia"/>
          <w:color w:val="auto"/>
          <w:spacing w:val="0"/>
          <w:sz w:val="24"/>
          <w:szCs w:val="24"/>
          <w:highlight w:val="none"/>
          <w:shd w:val="clear" w:color="auto" w:fill="auto"/>
          <w:lang w:val="en-US"/>
        </w:rPr>
        <w:t>）井身结构</w:t>
      </w:r>
    </w:p>
    <w:p>
      <w:pPr>
        <w:keepNext w:val="0"/>
        <w:keepLines w:val="0"/>
        <w:pageBreakBefore w:val="0"/>
        <w:kinsoku/>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kern w:val="2"/>
          <w:sz w:val="24"/>
          <w:szCs w:val="24"/>
          <w:highlight w:val="none"/>
          <w:shd w:val="clear" w:color="auto" w:fill="auto"/>
          <w:lang w:val="en-US" w:eastAsia="zh-CN" w:bidi="ar-SA"/>
        </w:rPr>
        <w:t>本次工程根据油田原有钻井形成的成熟技术，并考虑经济性和采油要求，</w:t>
      </w:r>
      <w:r>
        <w:rPr>
          <w:rFonts w:hint="eastAsia" w:ascii="Times New Roman" w:hAnsi="Times New Roman" w:eastAsia="宋体" w:cs="Times New Roman"/>
          <w:color w:val="auto"/>
          <w:kern w:val="2"/>
          <w:sz w:val="24"/>
          <w:szCs w:val="24"/>
          <w:highlight w:val="none"/>
          <w:shd w:val="clear" w:color="auto" w:fill="auto"/>
          <w:lang w:val="en-US" w:eastAsia="zh-CN" w:bidi="ar-SA"/>
        </w:rPr>
        <w:t>本次部署的7口井均采用常规三开井身结构</w:t>
      </w:r>
      <w:r>
        <w:rPr>
          <w:rFonts w:hint="eastAsia" w:ascii="Times New Roman" w:hAnsi="Times New Roman" w:eastAsia="宋体" w:cs="Times New Roman"/>
          <w:color w:val="auto"/>
          <w:sz w:val="24"/>
          <w:szCs w:val="24"/>
          <w:highlight w:val="none"/>
          <w:shd w:val="clear" w:color="auto" w:fill="auto"/>
          <w:lang w:val="en-US" w:eastAsia="zh-CN"/>
        </w:rPr>
        <w:t>。</w:t>
      </w:r>
    </w:p>
    <w:p>
      <w:pPr>
        <w:pStyle w:val="76"/>
        <w:keepNext w:val="0"/>
        <w:keepLines w:val="0"/>
        <w:pageBreakBefore w:val="0"/>
        <w:kinsoku/>
        <w:overflowPunct/>
        <w:topLinePunct w:val="0"/>
        <w:autoSpaceDE/>
        <w:autoSpaceDN/>
        <w:bidi w:val="0"/>
        <w:adjustRightInd w:val="0"/>
        <w:snapToGrid w:val="0"/>
        <w:spacing w:line="480" w:lineRule="exact"/>
        <w:ind w:firstLineChars="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一开：采用Φ</w:t>
      </w:r>
      <w:r>
        <w:rPr>
          <w:rFonts w:hint="eastAsia" w:ascii="Times New Roman" w:hAnsi="Times New Roman" w:eastAsia="宋体" w:cs="Times New Roman"/>
          <w:color w:val="auto"/>
          <w:sz w:val="24"/>
          <w:szCs w:val="24"/>
          <w:highlight w:val="none"/>
          <w:shd w:val="clear" w:color="auto" w:fill="auto"/>
          <w:lang w:val="en-US" w:eastAsia="zh-CN"/>
        </w:rPr>
        <w:t>444.5</w:t>
      </w:r>
      <w:r>
        <w:rPr>
          <w:rFonts w:hint="default" w:ascii="Times New Roman" w:hAnsi="Times New Roman" w:eastAsia="宋体" w:cs="Times New Roman"/>
          <w:color w:val="auto"/>
          <w:sz w:val="24"/>
          <w:szCs w:val="24"/>
          <w:highlight w:val="none"/>
          <w:shd w:val="clear" w:color="auto" w:fill="auto"/>
          <w:lang w:val="en-US" w:eastAsia="zh-CN"/>
        </w:rPr>
        <w:t>mm钻头钻至井深500m，下入Φ</w:t>
      </w:r>
      <w:r>
        <w:rPr>
          <w:rFonts w:hint="eastAsia" w:ascii="Times New Roman" w:hAnsi="Times New Roman" w:eastAsia="宋体" w:cs="Times New Roman"/>
          <w:color w:val="auto"/>
          <w:sz w:val="24"/>
          <w:szCs w:val="24"/>
          <w:highlight w:val="none"/>
          <w:shd w:val="clear" w:color="auto" w:fill="auto"/>
          <w:lang w:val="en-US" w:eastAsia="zh-CN"/>
        </w:rPr>
        <w:t>339.7</w:t>
      </w:r>
      <w:r>
        <w:rPr>
          <w:rFonts w:hint="default" w:ascii="Times New Roman" w:hAnsi="Times New Roman" w:eastAsia="宋体" w:cs="Times New Roman"/>
          <w:color w:val="auto"/>
          <w:sz w:val="24"/>
          <w:szCs w:val="24"/>
          <w:highlight w:val="none"/>
          <w:shd w:val="clear" w:color="auto" w:fill="auto"/>
          <w:lang w:val="en-US" w:eastAsia="zh-CN"/>
        </w:rPr>
        <w:t>mm表层套管，固井水泥浆返至地面</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封隔地表疏松地层及浅层水</w:t>
      </w:r>
      <w:r>
        <w:rPr>
          <w:rFonts w:hint="eastAsia" w:ascii="Times New Roman" w:hAnsi="Times New Roman" w:eastAsia="宋体" w:cs="Times New Roman"/>
          <w:color w:val="auto"/>
          <w:sz w:val="24"/>
          <w:szCs w:val="24"/>
          <w:highlight w:val="none"/>
          <w:shd w:val="clear" w:color="auto" w:fill="auto"/>
          <w:lang w:val="en-US" w:eastAsia="zh-CN"/>
        </w:rPr>
        <w:t>。</w:t>
      </w:r>
    </w:p>
    <w:p>
      <w:pPr>
        <w:pStyle w:val="76"/>
        <w:keepNext w:val="0"/>
        <w:keepLines w:val="0"/>
        <w:pageBreakBefore w:val="0"/>
        <w:kinsoku/>
        <w:overflowPunct/>
        <w:topLinePunct w:val="0"/>
        <w:autoSpaceDE/>
        <w:autoSpaceDN/>
        <w:bidi w:val="0"/>
        <w:adjustRightInd w:val="0"/>
        <w:snapToGrid w:val="0"/>
        <w:spacing w:line="480" w:lineRule="exact"/>
        <w:ind w:firstLineChars="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二开：采用Φ</w:t>
      </w:r>
      <w:r>
        <w:rPr>
          <w:rFonts w:hint="eastAsia" w:ascii="Times New Roman" w:hAnsi="Times New Roman" w:eastAsia="宋体" w:cs="Times New Roman"/>
          <w:color w:val="auto"/>
          <w:sz w:val="24"/>
          <w:szCs w:val="24"/>
          <w:highlight w:val="none"/>
          <w:shd w:val="clear" w:color="auto" w:fill="auto"/>
          <w:lang w:val="en-US" w:eastAsia="zh-CN"/>
        </w:rPr>
        <w:t>311.2</w:t>
      </w:r>
      <w:r>
        <w:rPr>
          <w:rFonts w:hint="default" w:ascii="Times New Roman" w:hAnsi="Times New Roman" w:eastAsia="宋体" w:cs="Times New Roman"/>
          <w:color w:val="auto"/>
          <w:sz w:val="24"/>
          <w:szCs w:val="24"/>
          <w:highlight w:val="none"/>
          <w:shd w:val="clear" w:color="auto" w:fill="auto"/>
          <w:lang w:val="en-US" w:eastAsia="zh-CN"/>
        </w:rPr>
        <w:t>mm钻头钻至夏子街组中上部稳定地层，封隔夏子街组顶部易垮塌泥岩段</w:t>
      </w:r>
      <w:r>
        <w:rPr>
          <w:rFonts w:hint="eastAsia"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下入Φ</w:t>
      </w:r>
      <w:r>
        <w:rPr>
          <w:rFonts w:hint="eastAsia" w:ascii="Times New Roman" w:hAnsi="Times New Roman" w:eastAsia="宋体" w:cs="Times New Roman"/>
          <w:color w:val="auto"/>
          <w:sz w:val="24"/>
          <w:szCs w:val="24"/>
          <w:highlight w:val="none"/>
          <w:shd w:val="clear" w:color="auto" w:fill="auto"/>
          <w:lang w:val="en-US" w:eastAsia="zh-CN"/>
        </w:rPr>
        <w:t>244.4</w:t>
      </w:r>
      <w:r>
        <w:rPr>
          <w:rFonts w:hint="default" w:ascii="Times New Roman" w:hAnsi="Times New Roman" w:eastAsia="宋体" w:cs="Times New Roman"/>
          <w:color w:val="auto"/>
          <w:sz w:val="24"/>
          <w:szCs w:val="24"/>
          <w:highlight w:val="none"/>
          <w:shd w:val="clear" w:color="auto" w:fill="auto"/>
          <w:lang w:val="en-US" w:eastAsia="zh-CN"/>
        </w:rPr>
        <w:t>mm</w:t>
      </w:r>
      <w:r>
        <w:rPr>
          <w:rFonts w:hint="eastAsia" w:ascii="Times New Roman" w:hAnsi="Times New Roman" w:eastAsia="宋体" w:cs="Times New Roman"/>
          <w:color w:val="auto"/>
          <w:sz w:val="24"/>
          <w:szCs w:val="24"/>
          <w:highlight w:val="none"/>
          <w:shd w:val="clear" w:color="auto" w:fill="auto"/>
          <w:lang w:val="en-US" w:eastAsia="zh-CN"/>
        </w:rPr>
        <w:t>技术</w:t>
      </w:r>
      <w:r>
        <w:rPr>
          <w:rFonts w:hint="default" w:ascii="Times New Roman" w:hAnsi="Times New Roman" w:eastAsia="宋体" w:cs="Times New Roman"/>
          <w:color w:val="auto"/>
          <w:sz w:val="24"/>
          <w:szCs w:val="24"/>
          <w:highlight w:val="none"/>
          <w:shd w:val="clear" w:color="auto" w:fill="auto"/>
          <w:lang w:val="en-US" w:eastAsia="zh-CN"/>
        </w:rPr>
        <w:t>套管，采用低密度水泥浆体系双级固井</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固井水泥浆返至地面</w:t>
      </w:r>
      <w:r>
        <w:rPr>
          <w:rFonts w:hint="eastAsia" w:ascii="Times New Roman" w:hAnsi="Times New Roman" w:eastAsia="宋体" w:cs="Times New Roman"/>
          <w:color w:val="auto"/>
          <w:sz w:val="24"/>
          <w:szCs w:val="24"/>
          <w:highlight w:val="none"/>
          <w:shd w:val="clear" w:color="auto" w:fill="auto"/>
          <w:lang w:val="en-US" w:eastAsia="zh-CN"/>
        </w:rPr>
        <w:t>。</w:t>
      </w:r>
    </w:p>
    <w:p>
      <w:pPr>
        <w:pStyle w:val="76"/>
        <w:keepNext w:val="0"/>
        <w:keepLines w:val="0"/>
        <w:pageBreakBefore w:val="0"/>
        <w:kinsoku/>
        <w:overflowPunct/>
        <w:topLinePunct w:val="0"/>
        <w:autoSpaceDE/>
        <w:autoSpaceDN/>
        <w:bidi w:val="0"/>
        <w:adjustRightInd w:val="0"/>
        <w:snapToGrid w:val="0"/>
        <w:spacing w:line="480" w:lineRule="exact"/>
        <w:ind w:left="0" w:leftChars="0"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三开：采用Ф</w:t>
      </w:r>
      <w:r>
        <w:rPr>
          <w:rFonts w:hint="eastAsia" w:ascii="Times New Roman" w:hAnsi="Times New Roman" w:eastAsia="宋体" w:cs="Times New Roman"/>
          <w:color w:val="auto"/>
          <w:sz w:val="24"/>
          <w:szCs w:val="24"/>
          <w:highlight w:val="none"/>
          <w:shd w:val="clear" w:color="auto" w:fill="auto"/>
          <w:lang w:val="en-US" w:eastAsia="zh-CN"/>
        </w:rPr>
        <w:t>215.9</w:t>
      </w:r>
      <w:r>
        <w:rPr>
          <w:rFonts w:hint="default" w:ascii="Times New Roman" w:hAnsi="Times New Roman" w:eastAsia="宋体" w:cs="Times New Roman"/>
          <w:color w:val="auto"/>
          <w:sz w:val="24"/>
          <w:szCs w:val="24"/>
          <w:highlight w:val="none"/>
          <w:shd w:val="clear" w:color="auto" w:fill="auto"/>
          <w:lang w:val="en-US" w:eastAsia="zh-CN"/>
        </w:rPr>
        <w:t>mm钻头钻至设计完钻井深，下入Ф</w:t>
      </w:r>
      <w:r>
        <w:rPr>
          <w:rFonts w:hint="eastAsia" w:ascii="Times New Roman" w:hAnsi="Times New Roman" w:eastAsia="宋体" w:cs="Times New Roman"/>
          <w:color w:val="auto"/>
          <w:sz w:val="24"/>
          <w:szCs w:val="24"/>
          <w:highlight w:val="none"/>
          <w:shd w:val="clear" w:color="auto" w:fill="auto"/>
          <w:lang w:val="en-US" w:eastAsia="zh-CN"/>
        </w:rPr>
        <w:t>139.7</w:t>
      </w:r>
      <w:r>
        <w:rPr>
          <w:rFonts w:hint="default" w:ascii="Times New Roman" w:hAnsi="Times New Roman" w:eastAsia="宋体" w:cs="Times New Roman"/>
          <w:color w:val="auto"/>
          <w:sz w:val="24"/>
          <w:szCs w:val="24"/>
          <w:highlight w:val="none"/>
          <w:shd w:val="clear" w:color="auto" w:fill="auto"/>
          <w:lang w:val="en-US" w:eastAsia="zh-CN"/>
        </w:rPr>
        <w:t>mm油层套管至完钻井深，采用低密度水泥浆体系常规固井</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固井水泥浆返至地面</w:t>
      </w:r>
      <w:r>
        <w:rPr>
          <w:rFonts w:hint="eastAsia" w:ascii="Times New Roman" w:hAnsi="Times New Roman" w:eastAsia="宋体" w:cs="Times New Roman"/>
          <w:color w:val="auto"/>
          <w:sz w:val="24"/>
          <w:szCs w:val="24"/>
          <w:highlight w:val="none"/>
          <w:shd w:val="clear" w:color="auto" w:fill="auto"/>
          <w:lang w:val="en-US" w:eastAsia="zh-CN"/>
        </w:rPr>
        <w:t>。</w:t>
      </w:r>
    </w:p>
    <w:p>
      <w:pPr>
        <w:pStyle w:val="75"/>
        <w:keepNext w:val="0"/>
        <w:keepLines w:val="0"/>
        <w:pageBreakBefore w:val="0"/>
        <w:kinsoku/>
        <w:overflowPunct/>
        <w:topLinePunct w:val="0"/>
        <w:autoSpaceDE/>
        <w:autoSpaceDN/>
        <w:bidi w:val="0"/>
        <w:spacing w:line="480" w:lineRule="exact"/>
        <w:ind w:left="0" w:leftChars="0" w:firstLine="480" w:firstLineChars="200"/>
        <w:jc w:val="both"/>
        <w:rPr>
          <w:rFonts w:hint="default" w:ascii="Times New Roman" w:hAnsi="Times New Roman" w:cs="Times New Roman"/>
          <w:color w:val="auto"/>
          <w:highlight w:val="none"/>
          <w:shd w:val="clear" w:color="auto" w:fill="auto"/>
          <w:lang w:val="en-US"/>
        </w:rPr>
      </w:pPr>
      <w:r>
        <w:rPr>
          <w:rFonts w:hint="default" w:ascii="Times New Roman" w:hAnsi="Times New Roman" w:cs="Times New Roman"/>
          <w:color w:val="auto"/>
          <w:highlight w:val="none"/>
          <w:shd w:val="clear" w:color="auto" w:fill="auto"/>
          <w:lang w:val="en-US"/>
        </w:rPr>
        <w:t>（</w:t>
      </w:r>
      <w:r>
        <w:rPr>
          <w:rFonts w:hint="default" w:ascii="Times New Roman" w:hAnsi="Times New Roman" w:cs="Times New Roman"/>
          <w:color w:val="auto"/>
          <w:highlight w:val="none"/>
          <w:shd w:val="clear" w:color="auto" w:fill="auto"/>
          <w:lang w:val="en-US" w:eastAsia="zh-CN"/>
        </w:rPr>
        <w:t>3</w:t>
      </w:r>
      <w:r>
        <w:rPr>
          <w:rFonts w:hint="default" w:ascii="Times New Roman" w:hAnsi="Times New Roman" w:cs="Times New Roman"/>
          <w:color w:val="auto"/>
          <w:highlight w:val="none"/>
          <w:shd w:val="clear" w:color="auto" w:fill="auto"/>
          <w:lang w:val="en-US"/>
        </w:rPr>
        <w:t>）钻井液</w:t>
      </w:r>
    </w:p>
    <w:p>
      <w:pPr>
        <w:keepNext w:val="0"/>
        <w:keepLines w:val="0"/>
        <w:pageBreakBefore w:val="0"/>
        <w:widowControl/>
        <w:kinsoku/>
        <w:overflowPunct/>
        <w:topLinePunct w:val="0"/>
        <w:autoSpaceDE/>
        <w:autoSpaceDN/>
        <w:bidi w:val="0"/>
        <w:spacing w:line="480" w:lineRule="exact"/>
        <w:ind w:firstLine="480" w:firstLineChars="200"/>
        <w:jc w:val="left"/>
        <w:textAlignment w:val="baseline"/>
        <w:rPr>
          <w:rFonts w:hint="eastAsia" w:cs="Times New Roman"/>
          <w:color w:val="auto"/>
          <w:highlight w:val="none"/>
        </w:rPr>
      </w:pPr>
      <w:r>
        <w:rPr>
          <w:rFonts w:hint="eastAsia"/>
          <w:color w:val="auto"/>
          <w:sz w:val="24"/>
          <w:szCs w:val="24"/>
          <w:lang w:eastAsia="zh-CN"/>
        </w:rPr>
        <w:t>本工程</w:t>
      </w:r>
      <w:r>
        <w:rPr>
          <w:rFonts w:hint="eastAsia"/>
          <w:color w:val="auto"/>
          <w:sz w:val="24"/>
          <w:szCs w:val="24"/>
        </w:rPr>
        <w:t>钻井过程中</w:t>
      </w:r>
      <w:r>
        <w:rPr>
          <w:rFonts w:hint="eastAsia"/>
          <w:color w:val="auto"/>
          <w:sz w:val="24"/>
          <w:szCs w:val="24"/>
          <w:lang w:val="en-US"/>
        </w:rPr>
        <w:t>均</w:t>
      </w:r>
      <w:r>
        <w:rPr>
          <w:rFonts w:hint="eastAsia"/>
          <w:color w:val="auto"/>
          <w:sz w:val="24"/>
          <w:szCs w:val="24"/>
        </w:rPr>
        <w:t>采用</w:t>
      </w:r>
      <w:r>
        <w:rPr>
          <w:rFonts w:hint="eastAsia"/>
          <w:color w:val="auto"/>
          <w:sz w:val="24"/>
          <w:szCs w:val="24"/>
          <w:lang w:val="en-US" w:eastAsia="zh-CN"/>
        </w:rPr>
        <w:t>非磺化</w:t>
      </w:r>
      <w:r>
        <w:rPr>
          <w:rFonts w:hint="eastAsia"/>
          <w:color w:val="auto"/>
          <w:sz w:val="24"/>
          <w:szCs w:val="24"/>
        </w:rPr>
        <w:t>水基钻井液，一开采用坂土-CMC钻井液体系，主要成分为坂土、Na</w:t>
      </w:r>
      <w:r>
        <w:rPr>
          <w:rFonts w:hint="eastAsia"/>
          <w:color w:val="auto"/>
          <w:sz w:val="24"/>
          <w:szCs w:val="24"/>
          <w:vertAlign w:val="subscript"/>
        </w:rPr>
        <w:t>2</w:t>
      </w:r>
      <w:r>
        <w:rPr>
          <w:rFonts w:hint="eastAsia"/>
          <w:color w:val="auto"/>
          <w:sz w:val="24"/>
          <w:szCs w:val="24"/>
        </w:rPr>
        <w:t>CO</w:t>
      </w:r>
      <w:r>
        <w:rPr>
          <w:rFonts w:hint="eastAsia"/>
          <w:color w:val="auto"/>
          <w:sz w:val="24"/>
          <w:szCs w:val="24"/>
          <w:vertAlign w:val="subscript"/>
        </w:rPr>
        <w:t>3</w:t>
      </w:r>
      <w:r>
        <w:rPr>
          <w:rFonts w:hint="eastAsia"/>
          <w:color w:val="auto"/>
          <w:sz w:val="24"/>
          <w:szCs w:val="24"/>
        </w:rPr>
        <w:t>、CMC（中）；</w:t>
      </w:r>
      <w:r>
        <w:rPr>
          <w:color w:val="auto"/>
          <w:sz w:val="24"/>
          <w:szCs w:val="24"/>
          <w:highlight w:val="none"/>
        </w:rPr>
        <w:t>二开</w:t>
      </w:r>
      <w:r>
        <w:rPr>
          <w:rFonts w:hint="eastAsia"/>
          <w:color w:val="auto"/>
          <w:sz w:val="24"/>
          <w:szCs w:val="24"/>
          <w:highlight w:val="none"/>
          <w:lang w:val="en-US" w:eastAsia="zh-CN"/>
        </w:rPr>
        <w:t>采用</w:t>
      </w:r>
      <w:r>
        <w:rPr>
          <w:rFonts w:hint="eastAsia"/>
          <w:color w:val="auto"/>
          <w:sz w:val="24"/>
          <w:szCs w:val="24"/>
          <w:highlight w:val="none"/>
        </w:rPr>
        <w:t>钾钙基聚胺钻井完井液体系</w:t>
      </w:r>
      <w:r>
        <w:rPr>
          <w:rFonts w:hint="eastAsia"/>
          <w:color w:val="auto"/>
          <w:sz w:val="24"/>
          <w:szCs w:val="24"/>
          <w:highlight w:val="none"/>
          <w:lang w:eastAsia="zh-CN"/>
        </w:rPr>
        <w:t>，</w:t>
      </w:r>
      <w:r>
        <w:rPr>
          <w:color w:val="auto"/>
          <w:sz w:val="24"/>
          <w:szCs w:val="24"/>
          <w:highlight w:val="none"/>
        </w:rPr>
        <w:t>主要成分为：坂土、Na</w:t>
      </w:r>
      <w:r>
        <w:rPr>
          <w:color w:val="auto"/>
          <w:sz w:val="24"/>
          <w:szCs w:val="24"/>
          <w:highlight w:val="none"/>
          <w:vertAlign w:val="subscript"/>
        </w:rPr>
        <w:t>2</w:t>
      </w:r>
      <w:r>
        <w:rPr>
          <w:color w:val="auto"/>
          <w:sz w:val="24"/>
          <w:szCs w:val="24"/>
          <w:highlight w:val="none"/>
        </w:rPr>
        <w:t>CO</w:t>
      </w:r>
      <w:r>
        <w:rPr>
          <w:color w:val="auto"/>
          <w:sz w:val="24"/>
          <w:szCs w:val="24"/>
          <w:highlight w:val="none"/>
          <w:vertAlign w:val="subscript"/>
        </w:rPr>
        <w:t>3</w:t>
      </w:r>
      <w:r>
        <w:rPr>
          <w:color w:val="auto"/>
          <w:sz w:val="24"/>
          <w:szCs w:val="24"/>
          <w:highlight w:val="none"/>
        </w:rPr>
        <w:t>、MAN101、NaOH、MAN104、复配胺盐、润滑剂、堵漏剂</w:t>
      </w:r>
      <w:r>
        <w:rPr>
          <w:rFonts w:hint="eastAsia"/>
          <w:color w:val="auto"/>
          <w:sz w:val="24"/>
          <w:szCs w:val="24"/>
        </w:rPr>
        <w:t>等</w:t>
      </w:r>
      <w:r>
        <w:rPr>
          <w:rFonts w:hint="eastAsia" w:ascii="Times New Roman" w:hAnsi="Times New Roman" w:cs="Times New Roman"/>
          <w:color w:val="auto"/>
          <w:sz w:val="24"/>
          <w:szCs w:val="24"/>
          <w:highlight w:val="none"/>
          <w:shd w:val="clear" w:color="auto" w:fill="auto"/>
          <w:lang w:val="en-US" w:eastAsia="zh-CN"/>
        </w:rPr>
        <w:t>，三开采用油基钻井液，主要成分：白油、CaCl</w:t>
      </w:r>
      <w:r>
        <w:rPr>
          <w:rFonts w:hint="eastAsia" w:ascii="Times New Roman" w:hAnsi="Times New Roman" w:cs="Times New Roman"/>
          <w:color w:val="auto"/>
          <w:sz w:val="24"/>
          <w:szCs w:val="24"/>
          <w:highlight w:val="none"/>
          <w:shd w:val="clear" w:color="auto" w:fill="auto"/>
          <w:vertAlign w:val="subscript"/>
          <w:lang w:val="en-US" w:eastAsia="zh-CN"/>
        </w:rPr>
        <w:t>2</w:t>
      </w:r>
      <w:r>
        <w:rPr>
          <w:rFonts w:hint="eastAsia" w:ascii="Times New Roman" w:hAnsi="Times New Roman" w:cs="Times New Roman"/>
          <w:color w:val="auto"/>
          <w:sz w:val="24"/>
          <w:szCs w:val="24"/>
          <w:highlight w:val="none"/>
          <w:shd w:val="clear" w:color="auto" w:fill="auto"/>
          <w:lang w:val="en-US" w:eastAsia="zh-CN"/>
        </w:rPr>
        <w:t>、CaO等。</w:t>
      </w:r>
      <w:r>
        <w:rPr>
          <w:rFonts w:hint="eastAsia" w:ascii="Times New Roman" w:hAnsi="Times New Roman" w:eastAsia="宋体" w:cs="Times New Roman"/>
          <w:color w:val="auto"/>
          <w:sz w:val="24"/>
          <w:szCs w:val="24"/>
          <w:highlight w:val="none"/>
          <w:lang w:val="en-US" w:eastAsia="zh-CN"/>
        </w:rPr>
        <w:t>新钻井分段钻井液体系见表3.3-10；钻井液成分明细及用量见表3.3-11，钻井液主要成分理化性质见表3.2-12</w:t>
      </w:r>
      <w:r>
        <w:rPr>
          <w:rFonts w:hint="eastAsia" w:cs="Times New Roman"/>
          <w:color w:val="auto"/>
          <w:sz w:val="24"/>
          <w:szCs w:val="24"/>
          <w:highlight w:val="none"/>
          <w:lang w:val="en-US"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3.2-10</w:t>
      </w:r>
      <w:r>
        <w:rPr>
          <w:rFonts w:hint="eastAsia" w:cs="Times New Roman"/>
          <w:color w:val="auto"/>
          <w:highlight w:val="none"/>
        </w:rPr>
        <w:t xml:space="preserve">    钻井液体系设计</w:t>
      </w:r>
    </w:p>
    <w:tbl>
      <w:tblPr>
        <w:tblStyle w:val="34"/>
        <w:tblW w:w="8478" w:type="dxa"/>
        <w:tblInd w:w="-68" w:type="dxa"/>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fixed"/>
        <w:tblCellMar>
          <w:top w:w="0" w:type="dxa"/>
          <w:left w:w="108" w:type="dxa"/>
          <w:bottom w:w="0" w:type="dxa"/>
          <w:right w:w="108" w:type="dxa"/>
        </w:tblCellMar>
      </w:tblPr>
      <w:tblGrid>
        <w:gridCol w:w="1082"/>
        <w:gridCol w:w="1524"/>
        <w:gridCol w:w="4272"/>
        <w:gridCol w:w="160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38"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开钻次序</w:t>
            </w:r>
          </w:p>
        </w:tc>
        <w:tc>
          <w:tcPr>
            <w:tcW w:w="898"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钻井液体系</w:t>
            </w:r>
          </w:p>
        </w:tc>
        <w:tc>
          <w:tcPr>
            <w:tcW w:w="2519"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主要成分</w:t>
            </w:r>
          </w:p>
        </w:tc>
        <w:tc>
          <w:tcPr>
            <w:tcW w:w="943"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密度（g/cm</w:t>
            </w:r>
            <w:r>
              <w:rPr>
                <w:rFonts w:hint="default" w:ascii="Times New Roman" w:hAnsi="Times New Roman" w:eastAsia="宋体" w:cs="Times New Roman"/>
                <w:snapToGrid w:val="0"/>
                <w:color w:val="auto"/>
                <w:sz w:val="21"/>
                <w:szCs w:val="21"/>
                <w:highlight w:val="none"/>
                <w:vertAlign w:val="superscript"/>
              </w:rPr>
              <w:t>3</w:t>
            </w:r>
            <w:r>
              <w:rPr>
                <w:rFonts w:hint="default" w:ascii="Times New Roman" w:hAnsi="Times New Roman" w:eastAsia="宋体" w:cs="Times New Roman"/>
                <w:snapToGrid w:val="0"/>
                <w:color w:val="auto"/>
                <w:sz w:val="21"/>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38"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一开</w:t>
            </w:r>
          </w:p>
        </w:tc>
        <w:tc>
          <w:tcPr>
            <w:tcW w:w="898"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坂土-聚合物</w:t>
            </w:r>
          </w:p>
        </w:tc>
        <w:tc>
          <w:tcPr>
            <w:tcW w:w="25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80" w:lineRule="exact"/>
              <w:contextualSpacing/>
              <w:textAlignment w:val="auto"/>
              <w:rPr>
                <w:rFonts w:hint="default" w:ascii="Times New Roman" w:hAnsi="Times New Roman" w:eastAsia="宋体" w:cs="Times New Roman"/>
                <w:snapToGrid w:val="0"/>
                <w:color w:val="auto"/>
                <w:spacing w:val="-11"/>
                <w:sz w:val="21"/>
                <w:szCs w:val="21"/>
                <w:highlight w:val="none"/>
              </w:rPr>
            </w:pPr>
            <w:r>
              <w:rPr>
                <w:rFonts w:ascii="Times New Roman" w:hAnsi="Times New Roman" w:cs="Times New Roman"/>
                <w:color w:val="auto"/>
                <w:spacing w:val="-11"/>
                <w:sz w:val="21"/>
                <w:szCs w:val="21"/>
                <w:highlight w:val="none"/>
              </w:rPr>
              <w:t>坂土、CMC</w:t>
            </w:r>
            <w:r>
              <w:rPr>
                <w:rFonts w:hint="eastAsia" w:cs="Times New Roman"/>
                <w:color w:val="auto"/>
                <w:spacing w:val="-11"/>
                <w:sz w:val="21"/>
                <w:szCs w:val="21"/>
                <w:highlight w:val="none"/>
                <w:lang w:eastAsia="zh-CN"/>
              </w:rPr>
              <w:t>（</w:t>
            </w:r>
            <w:r>
              <w:rPr>
                <w:rFonts w:ascii="Times New Roman" w:hAnsi="Times New Roman" w:cs="Times New Roman"/>
                <w:color w:val="auto"/>
                <w:spacing w:val="-11"/>
                <w:sz w:val="21"/>
                <w:szCs w:val="21"/>
                <w:highlight w:val="none"/>
              </w:rPr>
              <w:t>中</w:t>
            </w:r>
            <w:r>
              <w:rPr>
                <w:rFonts w:hint="eastAsia" w:cs="Times New Roman"/>
                <w:color w:val="auto"/>
                <w:spacing w:val="-11"/>
                <w:sz w:val="21"/>
                <w:szCs w:val="21"/>
                <w:highlight w:val="none"/>
                <w:lang w:eastAsia="zh-CN"/>
              </w:rPr>
              <w:t>）</w:t>
            </w:r>
            <w:r>
              <w:rPr>
                <w:rFonts w:ascii="Times New Roman" w:hAnsi="Times New Roman" w:cs="Times New Roman"/>
                <w:color w:val="auto"/>
                <w:spacing w:val="-11"/>
                <w:sz w:val="21"/>
                <w:szCs w:val="21"/>
                <w:highlight w:val="none"/>
              </w:rPr>
              <w:t>、Na</w:t>
            </w:r>
            <w:r>
              <w:rPr>
                <w:rFonts w:ascii="Times New Roman" w:hAnsi="Times New Roman" w:cs="Times New Roman"/>
                <w:color w:val="auto"/>
                <w:spacing w:val="-11"/>
                <w:sz w:val="21"/>
                <w:szCs w:val="21"/>
                <w:highlight w:val="none"/>
                <w:vertAlign w:val="subscript"/>
              </w:rPr>
              <w:t>2</w:t>
            </w:r>
            <w:r>
              <w:rPr>
                <w:rFonts w:ascii="Times New Roman" w:hAnsi="Times New Roman" w:cs="Times New Roman"/>
                <w:color w:val="auto"/>
                <w:spacing w:val="-11"/>
                <w:sz w:val="21"/>
                <w:szCs w:val="21"/>
                <w:highlight w:val="none"/>
              </w:rPr>
              <w:t>CO</w:t>
            </w:r>
            <w:r>
              <w:rPr>
                <w:rFonts w:ascii="Times New Roman" w:hAnsi="Times New Roman" w:cs="Times New Roman"/>
                <w:color w:val="auto"/>
                <w:spacing w:val="-11"/>
                <w:sz w:val="21"/>
                <w:szCs w:val="21"/>
                <w:highlight w:val="none"/>
                <w:vertAlign w:val="subscript"/>
              </w:rPr>
              <w:t>3</w:t>
            </w:r>
            <w:r>
              <w:rPr>
                <w:rFonts w:ascii="Times New Roman" w:hAnsi="Times New Roman" w:cs="Times New Roman"/>
                <w:color w:val="auto"/>
                <w:spacing w:val="-11"/>
                <w:sz w:val="21"/>
                <w:szCs w:val="21"/>
                <w:highlight w:val="none"/>
              </w:rPr>
              <w:t>等</w:t>
            </w:r>
          </w:p>
        </w:tc>
        <w:tc>
          <w:tcPr>
            <w:tcW w:w="943"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pacing w:val="-11"/>
                <w:sz w:val="21"/>
                <w:szCs w:val="21"/>
                <w:highlight w:val="none"/>
                <w:lang w:val="en-US" w:eastAsia="zh-CN"/>
              </w:rPr>
            </w:pPr>
            <w:r>
              <w:rPr>
                <w:rFonts w:hint="eastAsia" w:ascii="Times New Roman" w:hAnsi="Times New Roman" w:eastAsia="宋体" w:cs="Times New Roman"/>
                <w:snapToGrid w:val="0"/>
                <w:color w:val="auto"/>
                <w:spacing w:val="-11"/>
                <w:sz w:val="21"/>
                <w:szCs w:val="21"/>
                <w:highlight w:val="none"/>
                <w:lang w:val="en-US" w:eastAsia="zh-CN"/>
              </w:rPr>
              <w:t>1.10~1.20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38"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lang w:val="en-US"/>
              </w:rPr>
            </w:pPr>
            <w:r>
              <w:rPr>
                <w:rFonts w:hint="eastAsia" w:ascii="Times New Roman" w:hAnsi="Times New Roman" w:eastAsia="宋体" w:cs="Times New Roman"/>
                <w:snapToGrid w:val="0"/>
                <w:color w:val="auto"/>
                <w:sz w:val="21"/>
                <w:szCs w:val="21"/>
                <w:highlight w:val="none"/>
                <w:lang w:val="en-US" w:eastAsia="zh-CN"/>
              </w:rPr>
              <w:t>二开</w:t>
            </w:r>
          </w:p>
        </w:tc>
        <w:tc>
          <w:tcPr>
            <w:tcW w:w="898"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钾钙基-胺基聚合物</w:t>
            </w:r>
          </w:p>
        </w:tc>
        <w:tc>
          <w:tcPr>
            <w:tcW w:w="25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80" w:lineRule="exact"/>
              <w:contextualSpacing/>
              <w:textAlignment w:val="auto"/>
              <w:rPr>
                <w:rFonts w:hint="default" w:ascii="Times New Roman" w:hAnsi="Times New Roman" w:eastAsia="宋体" w:cs="Times New Roman"/>
                <w:snapToGrid w:val="0"/>
                <w:color w:val="auto"/>
                <w:spacing w:val="-11"/>
                <w:sz w:val="21"/>
                <w:szCs w:val="21"/>
                <w:highlight w:val="none"/>
              </w:rPr>
            </w:pPr>
            <w:r>
              <w:rPr>
                <w:rFonts w:ascii="Times New Roman" w:hAnsi="Times New Roman" w:cs="Times New Roman"/>
                <w:color w:val="auto"/>
                <w:sz w:val="21"/>
                <w:szCs w:val="21"/>
                <w:highlight w:val="none"/>
              </w:rPr>
              <w:t>坂土、Na</w:t>
            </w:r>
            <w:r>
              <w:rPr>
                <w:rFonts w:ascii="Times New Roman" w:hAnsi="Times New Roman" w:cs="Times New Roman"/>
                <w:color w:val="auto"/>
                <w:sz w:val="21"/>
                <w:szCs w:val="21"/>
                <w:highlight w:val="none"/>
                <w:vertAlign w:val="subscript"/>
              </w:rPr>
              <w:t>2</w:t>
            </w:r>
            <w:r>
              <w:rPr>
                <w:rFonts w:ascii="Times New Roman" w:hAnsi="Times New Roman" w:cs="Times New Roman"/>
                <w:color w:val="auto"/>
                <w:sz w:val="21"/>
                <w:szCs w:val="21"/>
                <w:highlight w:val="none"/>
              </w:rPr>
              <w:t>CO</w:t>
            </w:r>
            <w:r>
              <w:rPr>
                <w:rFonts w:ascii="Times New Roman" w:hAnsi="Times New Roman" w:cs="Times New Roman"/>
                <w:color w:val="auto"/>
                <w:sz w:val="21"/>
                <w:szCs w:val="21"/>
                <w:highlight w:val="none"/>
                <w:vertAlign w:val="subscript"/>
              </w:rPr>
              <w:t>3</w:t>
            </w:r>
            <w:r>
              <w:rPr>
                <w:rFonts w:ascii="Times New Roman" w:hAnsi="Times New Roman" w:cs="Times New Roman"/>
                <w:color w:val="auto"/>
                <w:sz w:val="21"/>
                <w:szCs w:val="21"/>
                <w:highlight w:val="none"/>
              </w:rPr>
              <w:t>、MAN101、NaOH、MAN104、复配胺盐、润滑剂、堵漏剂等</w:t>
            </w:r>
          </w:p>
        </w:tc>
        <w:tc>
          <w:tcPr>
            <w:tcW w:w="943"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pacing w:val="-11"/>
                <w:sz w:val="21"/>
                <w:szCs w:val="21"/>
                <w:highlight w:val="none"/>
                <w:lang w:val="en-US" w:eastAsia="zh-CN"/>
              </w:rPr>
            </w:pPr>
            <w:r>
              <w:rPr>
                <w:rFonts w:hint="default" w:ascii="Times New Roman" w:hAnsi="Times New Roman" w:eastAsia="宋体" w:cs="Times New Roman"/>
                <w:snapToGrid w:val="0"/>
                <w:color w:val="auto"/>
                <w:spacing w:val="-11"/>
                <w:sz w:val="21"/>
                <w:szCs w:val="21"/>
                <w:highlight w:val="none"/>
              </w:rPr>
              <w:t>1.</w:t>
            </w:r>
            <w:r>
              <w:rPr>
                <w:rFonts w:hint="eastAsia" w:ascii="Times New Roman" w:hAnsi="Times New Roman" w:eastAsia="宋体" w:cs="Times New Roman"/>
                <w:snapToGrid w:val="0"/>
                <w:color w:val="auto"/>
                <w:spacing w:val="-11"/>
                <w:sz w:val="21"/>
                <w:szCs w:val="21"/>
                <w:highlight w:val="none"/>
                <w:lang w:val="en-US" w:eastAsia="zh-CN"/>
              </w:rPr>
              <w:t>20~1.40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trPr>
        <w:tc>
          <w:tcPr>
            <w:tcW w:w="638"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三开</w:t>
            </w:r>
          </w:p>
        </w:tc>
        <w:tc>
          <w:tcPr>
            <w:tcW w:w="898"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eastAsia" w:ascii="Times New Roman" w:hAnsi="Times New Roman" w:cs="Times New Roman"/>
                <w:color w:val="auto"/>
                <w:sz w:val="21"/>
                <w:szCs w:val="21"/>
                <w:highlight w:val="none"/>
                <w:shd w:val="clear" w:color="auto" w:fill="auto"/>
                <w:lang w:val="en-US" w:eastAsia="zh-CN"/>
              </w:rPr>
              <w:t>油基钻井液</w:t>
            </w:r>
          </w:p>
        </w:tc>
        <w:tc>
          <w:tcPr>
            <w:tcW w:w="2519"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80" w:lineRule="exact"/>
              <w:contextualSpacing/>
              <w:textAlignment w:val="auto"/>
              <w:rPr>
                <w:rFonts w:ascii="Times New Roman" w:hAnsi="Times New Roman" w:cs="Times New Roman"/>
                <w:color w:val="auto"/>
                <w:sz w:val="21"/>
                <w:szCs w:val="21"/>
                <w:highlight w:val="none"/>
              </w:rPr>
            </w:pPr>
            <w:r>
              <w:rPr>
                <w:rFonts w:hint="eastAsia" w:ascii="Times New Roman" w:hAnsi="Times New Roman" w:cs="Times New Roman"/>
                <w:color w:val="auto"/>
                <w:sz w:val="21"/>
                <w:szCs w:val="21"/>
                <w:highlight w:val="none"/>
                <w:shd w:val="clear" w:color="auto" w:fill="auto"/>
                <w:lang w:val="en-US" w:eastAsia="zh-CN"/>
              </w:rPr>
              <w:t>白油、CaCl</w:t>
            </w:r>
            <w:r>
              <w:rPr>
                <w:rFonts w:hint="eastAsia" w:ascii="Times New Roman" w:hAnsi="Times New Roman" w:cs="Times New Roman"/>
                <w:color w:val="auto"/>
                <w:sz w:val="21"/>
                <w:szCs w:val="21"/>
                <w:highlight w:val="none"/>
                <w:shd w:val="clear" w:color="auto" w:fill="auto"/>
                <w:vertAlign w:val="subscript"/>
                <w:lang w:val="en-US" w:eastAsia="zh-CN"/>
              </w:rPr>
              <w:t>2</w:t>
            </w:r>
            <w:r>
              <w:rPr>
                <w:rFonts w:hint="eastAsia" w:ascii="Times New Roman" w:hAnsi="Times New Roman" w:cs="Times New Roman"/>
                <w:color w:val="auto"/>
                <w:sz w:val="21"/>
                <w:szCs w:val="21"/>
                <w:highlight w:val="none"/>
                <w:shd w:val="clear" w:color="auto" w:fill="auto"/>
                <w:lang w:val="en-US" w:eastAsia="zh-CN"/>
              </w:rPr>
              <w:t>、CaO等</w:t>
            </w:r>
          </w:p>
        </w:tc>
        <w:tc>
          <w:tcPr>
            <w:tcW w:w="943" w:type="pct"/>
            <w:tcBorders>
              <w:tl2br w:val="nil"/>
              <w:tr2bl w:val="nil"/>
            </w:tcBorders>
            <w:noWrap w:val="0"/>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pacing w:val="-11"/>
                <w:sz w:val="21"/>
                <w:szCs w:val="21"/>
                <w:highlight w:val="none"/>
                <w:lang w:val="en-US"/>
              </w:rPr>
            </w:pPr>
            <w:r>
              <w:rPr>
                <w:rFonts w:hint="default" w:ascii="Times New Roman" w:hAnsi="Times New Roman" w:eastAsia="宋体" w:cs="Times New Roman"/>
                <w:snapToGrid w:val="0"/>
                <w:color w:val="auto"/>
                <w:spacing w:val="-11"/>
                <w:sz w:val="21"/>
                <w:szCs w:val="21"/>
                <w:highlight w:val="none"/>
              </w:rPr>
              <w:t>1.</w:t>
            </w:r>
            <w:r>
              <w:rPr>
                <w:rFonts w:hint="eastAsia" w:ascii="Times New Roman" w:hAnsi="Times New Roman" w:eastAsia="宋体" w:cs="Times New Roman"/>
                <w:snapToGrid w:val="0"/>
                <w:color w:val="auto"/>
                <w:spacing w:val="-11"/>
                <w:sz w:val="21"/>
                <w:szCs w:val="21"/>
                <w:highlight w:val="none"/>
                <w:lang w:val="en-US" w:eastAsia="zh-CN"/>
              </w:rPr>
              <w:t>45~1.95</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lang w:eastAsia="zh-CN"/>
        </w:rPr>
      </w:pPr>
      <w:r>
        <w:rPr>
          <w:rFonts w:hint="eastAsia" w:cs="Times New Roman"/>
          <w:color w:val="auto"/>
          <w:highlight w:val="none"/>
        </w:rPr>
        <w:t>表</w:t>
      </w:r>
      <w:r>
        <w:rPr>
          <w:rFonts w:hint="eastAsia" w:cs="Times New Roman"/>
          <w:color w:val="auto"/>
          <w:highlight w:val="none"/>
          <w:lang w:val="en-US" w:eastAsia="zh-CN"/>
        </w:rPr>
        <w:t xml:space="preserve">3.2-11 </w:t>
      </w:r>
      <w:r>
        <w:rPr>
          <w:rFonts w:hint="eastAsia" w:cs="Times New Roman"/>
          <w:color w:val="auto"/>
          <w:highlight w:val="none"/>
        </w:rPr>
        <w:t xml:space="preserve">   钻井液原辅材料消耗表</w:t>
      </w:r>
      <w:r>
        <w:rPr>
          <w:rFonts w:hint="eastAsia" w:cs="Times New Roman"/>
          <w:color w:val="auto"/>
          <w:highlight w:val="none"/>
          <w:lang w:eastAsia="zh-CN"/>
        </w:rPr>
        <w:t>（</w:t>
      </w:r>
      <w:r>
        <w:rPr>
          <w:rFonts w:hint="eastAsia" w:cs="Times New Roman"/>
          <w:color w:val="auto"/>
          <w:highlight w:val="none"/>
          <w:lang w:val="en-US" w:eastAsia="zh-CN"/>
        </w:rPr>
        <w:t>单井</w:t>
      </w:r>
      <w:r>
        <w:rPr>
          <w:rFonts w:hint="eastAsia" w:cs="Times New Roman"/>
          <w:color w:val="auto"/>
          <w:highlight w:val="none"/>
          <w:lang w:eastAsia="zh-CN"/>
        </w:rPr>
        <w:t>）</w:t>
      </w:r>
    </w:p>
    <w:tbl>
      <w:tblPr>
        <w:tblStyle w:val="62"/>
        <w:tblW w:w="8115" w:type="dxa"/>
        <w:tblInd w:w="125"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3049"/>
        <w:gridCol w:w="1194"/>
        <w:gridCol w:w="1298"/>
        <w:gridCol w:w="1382"/>
        <w:gridCol w:w="1192"/>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材料名称</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一开（t）</w:t>
            </w: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二开（t）</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三开（t）</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小计（t）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坂土（膨润土）</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16.6</w:t>
            </w: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31.4</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22.9</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70.9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CMC（中）</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0.9</w:t>
            </w: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纯碱</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0.9</w:t>
            </w: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1.6</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1.2</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3.7</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NaOH</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3.0</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7.0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SP-8</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5.5</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PMHA-2</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5.5</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9.5</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KCl</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54.9</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40</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94.9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CaO</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2.8</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2.5</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5.3</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复配铵盐</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2.9</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有机盐</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129.9</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129.9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随钻堵漏剂</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15.7</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11.5</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液体润滑剂</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15.9</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19.9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SMP-2</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15.7</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11.5</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SPNH</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15.7</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11.5</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天然沥青</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31.4</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31.5</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62.9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固体润滑剂</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18.8</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18.8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黄原胶</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1.8</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超细碳酸钙</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15.7</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11.5</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27.2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重晶石（4.2g/cm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20</w:t>
            </w: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300</w:t>
            </w: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320</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90"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重晶石（4.3g/cm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882</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882</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气制油合成基（油基）钻井液</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439</w:t>
            </w: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439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3049"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合计</w:t>
            </w:r>
          </w:p>
        </w:tc>
        <w:tc>
          <w:tcPr>
            <w:tcW w:w="1194"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29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38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p>
        </w:tc>
        <w:tc>
          <w:tcPr>
            <w:tcW w:w="119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2191.7</w:t>
            </w:r>
          </w:p>
        </w:tc>
      </w:tr>
    </w:tbl>
    <w:p>
      <w:pPr>
        <w:spacing w:before="29" w:line="221" w:lineRule="auto"/>
        <w:ind w:left="37"/>
        <w:jc w:val="both"/>
        <w:rPr>
          <w:rFonts w:ascii="宋体" w:hAnsi="宋体" w:eastAsia="宋体" w:cs="宋体"/>
          <w:color w:val="auto"/>
          <w:spacing w:val="-1"/>
          <w:sz w:val="21"/>
          <w:szCs w:val="21"/>
        </w:rPr>
      </w:pPr>
      <w:r>
        <w:rPr>
          <w:rFonts w:ascii="宋体" w:hAnsi="宋体" w:eastAsia="宋体" w:cs="宋体"/>
          <w:color w:val="auto"/>
          <w:spacing w:val="-1"/>
          <w:sz w:val="21"/>
          <w:szCs w:val="21"/>
        </w:rPr>
        <w:t>注：实际钻井液用量需根据地层情况进行调整。</w:t>
      </w: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3.2-12</w:t>
      </w:r>
      <w:r>
        <w:rPr>
          <w:rFonts w:hint="eastAsia" w:cs="Times New Roman"/>
          <w:color w:val="auto"/>
          <w:highlight w:val="none"/>
        </w:rPr>
        <w:t xml:space="preserve">    钻井液主要成分理化性质</w:t>
      </w:r>
    </w:p>
    <w:tbl>
      <w:tblPr>
        <w:tblStyle w:val="62"/>
        <w:tblW w:w="8990" w:type="dxa"/>
        <w:tblInd w:w="-164"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0" w:type="dxa"/>
          <w:bottom w:w="0" w:type="dxa"/>
          <w:right w:w="0" w:type="dxa"/>
        </w:tblCellMar>
      </w:tblPr>
      <w:tblGrid>
        <w:gridCol w:w="868"/>
        <w:gridCol w:w="1372"/>
        <w:gridCol w:w="6750"/>
      </w:tblGrid>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成分</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作用</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理化性质</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坂土</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增稠</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又称膨润土，主要成分为蒙脱石，外观是适当粒度的粉末，因含杂质的不同，有白色、灰色、灰黄色和紫红色等颜色，易吸潮，吸潮后结块。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CMC</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增黏剂、流变控制剂和降滤失剂</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羧甲基纤维素（CMC）属阴离子型纤维素醚类，外观为白色或微黄色絮状纤维粉末或白色粉末，无臭无味，无毒；易溶于冷水或热水，形成具有一定黏度的透明溶液。溶液为中性或微碱性，不溶于乙醇、乙醚、异丙醇、丙酮等有机溶剂，可溶于含水60%的乙醇或丙酮溶液。有吸湿性，对光热稳定，黏度随温度升高而降低，溶液在pH值2～10稳定，pH低于2，有固体析出，pH值高于10黏度降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纯碱</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促进膨润土水化，降低泥浆的失水，提高泥浆的黏度和切力</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碳酸钠，白色粉末结晶，密度2.5cg/cm</w:t>
            </w:r>
            <w:r>
              <w:rPr>
                <w:rFonts w:hint="eastAsia" w:ascii="Times New Roman" w:hAnsi="Times New Roman" w:eastAsia="宋体" w:cs="Times New Roman"/>
                <w:snapToGrid w:val="0"/>
                <w:color w:val="auto"/>
                <w:sz w:val="21"/>
                <w:szCs w:val="21"/>
                <w:highlight w:val="none"/>
                <w:vertAlign w:val="superscript"/>
                <w:lang w:val="en-US" w:eastAsia="zh-CN"/>
              </w:rPr>
              <w:t>3</w:t>
            </w:r>
            <w:r>
              <w:rPr>
                <w:rFonts w:hint="eastAsia" w:ascii="Times New Roman" w:hAnsi="Times New Roman" w:eastAsia="宋体" w:cs="Times New Roman"/>
                <w:snapToGrid w:val="0"/>
                <w:color w:val="auto"/>
                <w:sz w:val="21"/>
                <w:szCs w:val="21"/>
                <w:highlight w:val="none"/>
                <w:lang w:val="en-US" w:eastAsia="zh-CN"/>
              </w:rPr>
              <w:t>，易溶于水，水溶液呈碱性，在空气中易吸潮结块。</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NaOH</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调节泥浆pH值，促使膨润土分散造浆</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氢氧化钠又称烧碱、火碱或苛性钠。白色结晶，有液体、固体片状三种产品，纯度从50%至99%不等，密度2～2.2g/cm</w:t>
            </w:r>
            <w:r>
              <w:rPr>
                <w:rFonts w:hint="eastAsia" w:ascii="Times New Roman" w:hAnsi="Times New Roman" w:eastAsia="宋体" w:cs="Times New Roman"/>
                <w:snapToGrid w:val="0"/>
                <w:color w:val="auto"/>
                <w:sz w:val="21"/>
                <w:szCs w:val="21"/>
                <w:highlight w:val="none"/>
                <w:vertAlign w:val="superscript"/>
                <w:lang w:val="en-US" w:eastAsia="zh-CN"/>
              </w:rPr>
              <w:t>3</w:t>
            </w:r>
            <w:r>
              <w:rPr>
                <w:rFonts w:hint="eastAsia" w:ascii="Times New Roman" w:hAnsi="Times New Roman" w:eastAsia="宋体" w:cs="Times New Roman"/>
                <w:snapToGrid w:val="0"/>
                <w:color w:val="auto"/>
                <w:sz w:val="21"/>
                <w:szCs w:val="21"/>
                <w:highlight w:val="none"/>
                <w:lang w:val="en-US" w:eastAsia="zh-CN"/>
              </w:rPr>
              <w:t>，易吸潮，有强烈的腐蚀性。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SP-8</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降滤失</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聚丙烯酰胺钾盐，一种无色无味的结晶体，常见于粉末状或颗粒状。其分子结构含有聚丙烯酰胺基团和钾离子，具有良好的溶解性和稳定性。聚丙烯酰胺钾盐在水中具有高度的吸水性，能迅速形成胶体溶液。此外，它还具有较好的胶凝性和黏附性，可用于沉淀、固化和黏合等多种用途。</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PMHA-2</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增黏剂</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复合金属两性离子聚合物，由复合金属离子与乙烯基单体，阳离子单体聚合而成。产品外观呈白色或灰色细颗粒或粉末</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钻井液用聚丙烯酰胺干粉</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絮凝、润滑、堵漏、降滤失</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白色或微黄色粉末、无毒、无腐蚀、易溶于水，主要用于不分散低固相水基钻井液的选择性絮凝剂。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KCl（氯化钾）</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抑制泥岩分散调整流型</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外观与性状：白色晶体，味极咸，无臭无毒性。易溶于水、醚、甘油及碱类，微溶于乙醇，但不溶于无水乙醇，有吸湿性，易结块；在水中的溶解度随温度的升高而迅速地增加，与钠盐常起复分解作用而生成新的钾盐。</w:t>
            </w:r>
          </w:p>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折射率：1.334；</w:t>
            </w:r>
            <w:r>
              <w:rPr>
                <w:rFonts w:hint="default" w:ascii="Times New Roman" w:hAnsi="Times New Roman" w:eastAsia="宋体" w:cs="Times New Roman"/>
                <w:snapToGrid w:val="0"/>
                <w:color w:val="auto"/>
                <w:sz w:val="21"/>
                <w:szCs w:val="21"/>
                <w:highlight w:val="none"/>
              </w:rPr>
              <w:t>水溶解性：342g/L（20ºC）</w:t>
            </w:r>
            <w:r>
              <w:rPr>
                <w:rFonts w:hint="eastAsia" w:ascii="Times New Roman" w:hAnsi="Times New Roman" w:eastAsia="宋体" w:cs="Times New Roman"/>
                <w:snapToGrid w:val="0"/>
                <w:color w:val="auto"/>
                <w:sz w:val="21"/>
                <w:szCs w:val="21"/>
                <w:highlight w:val="none"/>
                <w:lang w:eastAsia="zh-CN"/>
              </w:rPr>
              <w:t>；</w:t>
            </w:r>
            <w:r>
              <w:rPr>
                <w:rFonts w:hint="default" w:ascii="Times New Roman" w:hAnsi="Times New Roman" w:eastAsia="宋体" w:cs="Times New Roman"/>
                <w:snapToGrid w:val="0"/>
                <w:color w:val="auto"/>
                <w:sz w:val="21"/>
                <w:szCs w:val="21"/>
                <w:highlight w:val="none"/>
              </w:rPr>
              <w:t>稳定性：稳定。与强氧化剂不相容，强酸。防潮。吸湿性。储存条件：2-8ºC</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CaO（氧化钙）</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减水剂</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化学式是CaO，俗名生石灰。物理性质是表面白色粉末，不纯者为灰白色，含有杂质时呈淡黄色或灰色，具有吸湿性。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复配铵盐</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default" w:ascii="Times New Roman" w:hAnsi="Times New Roman" w:eastAsia="宋体" w:cs="Times New Roman"/>
                <w:snapToGrid w:val="0"/>
                <w:color w:val="auto"/>
                <w:sz w:val="21"/>
                <w:szCs w:val="21"/>
                <w:highlight w:val="none"/>
              </w:rPr>
              <w:t>降滤失</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淡黄色粉末，溶于水，含有-COOH、-COONH</w:t>
            </w:r>
            <w:r>
              <w:rPr>
                <w:rFonts w:hint="default" w:ascii="Times New Roman" w:hAnsi="Times New Roman" w:eastAsia="宋体" w:cs="Times New Roman"/>
                <w:snapToGrid w:val="0"/>
                <w:color w:val="auto"/>
                <w:sz w:val="21"/>
                <w:szCs w:val="21"/>
                <w:highlight w:val="none"/>
                <w:vertAlign w:val="subscript"/>
              </w:rPr>
              <w:t>4</w:t>
            </w:r>
            <w:r>
              <w:rPr>
                <w:rFonts w:hint="default" w:ascii="Times New Roman" w:hAnsi="Times New Roman" w:eastAsia="宋体" w:cs="Times New Roman"/>
                <w:snapToGrid w:val="0"/>
                <w:color w:val="auto"/>
                <w:sz w:val="21"/>
                <w:szCs w:val="21"/>
                <w:highlight w:val="none"/>
              </w:rPr>
              <w:t>，-CONH</w:t>
            </w:r>
            <w:r>
              <w:rPr>
                <w:rFonts w:hint="default" w:ascii="Times New Roman" w:hAnsi="Times New Roman" w:eastAsia="宋体" w:cs="Times New Roman"/>
                <w:snapToGrid w:val="0"/>
                <w:color w:val="auto"/>
                <w:sz w:val="21"/>
                <w:szCs w:val="21"/>
                <w:highlight w:val="none"/>
                <w:vertAlign w:val="subscript"/>
              </w:rPr>
              <w:t>4</w:t>
            </w:r>
            <w:r>
              <w:rPr>
                <w:rFonts w:hint="default" w:ascii="Times New Roman" w:hAnsi="Times New Roman" w:eastAsia="宋体" w:cs="Times New Roman"/>
                <w:snapToGrid w:val="0"/>
                <w:color w:val="auto"/>
                <w:sz w:val="21"/>
                <w:szCs w:val="21"/>
                <w:highlight w:val="none"/>
              </w:rPr>
              <w:t>、-CONH</w:t>
            </w:r>
            <w:r>
              <w:rPr>
                <w:rFonts w:hint="default" w:ascii="Times New Roman" w:hAnsi="Times New Roman" w:eastAsia="宋体" w:cs="Times New Roman"/>
                <w:snapToGrid w:val="0"/>
                <w:color w:val="auto"/>
                <w:sz w:val="21"/>
                <w:szCs w:val="21"/>
                <w:highlight w:val="none"/>
                <w:vertAlign w:val="subscript"/>
              </w:rPr>
              <w:t>2</w:t>
            </w:r>
            <w:r>
              <w:rPr>
                <w:rFonts w:hint="default" w:ascii="Times New Roman" w:hAnsi="Times New Roman" w:eastAsia="宋体" w:cs="Times New Roman"/>
                <w:snapToGrid w:val="0"/>
                <w:color w:val="auto"/>
                <w:sz w:val="21"/>
                <w:szCs w:val="21"/>
                <w:highlight w:val="none"/>
              </w:rPr>
              <w:t>、-</w:t>
            </w:r>
          </w:p>
          <w:p>
            <w:pPr>
              <w:pStyle w:val="77"/>
              <w:keepNext w:val="0"/>
              <w:keepLines w:val="0"/>
              <w:pageBreakBefore w:val="0"/>
              <w:kinsoku/>
              <w:wordWrap/>
              <w:overflowPunct/>
              <w:topLinePunct w:val="0"/>
              <w:autoSpaceDE/>
              <w:autoSpaceDN/>
              <w:bidi w:val="0"/>
              <w:adjustRightInd/>
              <w:snapToGrid/>
              <w:spacing w:line="260" w:lineRule="exact"/>
              <w:jc w:val="center"/>
              <w:rPr>
                <w:rFonts w:hint="default" w:ascii="Times New Roman" w:hAnsi="Times New Roman" w:eastAsia="宋体" w:cs="Times New Roman"/>
                <w:snapToGrid w:val="0"/>
                <w:color w:val="auto"/>
                <w:sz w:val="21"/>
                <w:szCs w:val="21"/>
                <w:highlight w:val="none"/>
              </w:rPr>
            </w:pPr>
            <w:r>
              <w:rPr>
                <w:rFonts w:hint="default" w:ascii="Times New Roman" w:hAnsi="Times New Roman" w:eastAsia="宋体" w:cs="Times New Roman"/>
                <w:snapToGrid w:val="0"/>
                <w:color w:val="auto"/>
                <w:sz w:val="21"/>
                <w:szCs w:val="21"/>
                <w:highlight w:val="none"/>
              </w:rPr>
              <w:t>CN等基团，分子量在10000～50000之间</w:t>
            </w:r>
            <w:r>
              <w:rPr>
                <w:rFonts w:hint="eastAsia" w:ascii="Times New Roman" w:hAnsi="Times New Roman" w:cs="Times New Roman"/>
                <w:snapToGrid w:val="0"/>
                <w:color w:val="auto"/>
                <w:sz w:val="21"/>
                <w:szCs w:val="21"/>
                <w:highlight w:val="none"/>
                <w:lang w:eastAsia="zh-CN"/>
              </w:rPr>
              <w:t>，具</w:t>
            </w:r>
            <w:r>
              <w:rPr>
                <w:rFonts w:hint="default" w:ascii="Times New Roman" w:hAnsi="Times New Roman" w:eastAsia="宋体" w:cs="Times New Roman"/>
                <w:snapToGrid w:val="0"/>
                <w:color w:val="auto"/>
                <w:sz w:val="21"/>
                <w:szCs w:val="21"/>
                <w:highlight w:val="none"/>
              </w:rPr>
              <w:t>有降低高压差失水的功能和良好的热稳定性。</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随钻堵漏剂</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降滤失、防渗漏</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随钻堵漏剂外观为灰白色粉末，细度为60目，</w:t>
            </w:r>
            <w:r>
              <w:rPr>
                <w:rFonts w:hint="eastAsia" w:ascii="Times New Roman" w:hAnsi="Times New Roman" w:cs="Times New Roman"/>
                <w:snapToGrid w:val="0"/>
                <w:color w:val="auto"/>
                <w:sz w:val="21"/>
                <w:szCs w:val="21"/>
                <w:highlight w:val="none"/>
                <w:lang w:val="en-US" w:eastAsia="zh-CN"/>
              </w:rPr>
              <w:t>水分</w:t>
            </w:r>
            <w:r>
              <w:rPr>
                <w:rFonts w:hint="eastAsia" w:ascii="Times New Roman" w:hAnsi="Times New Roman" w:eastAsia="宋体" w:cs="Times New Roman"/>
                <w:snapToGrid w:val="0"/>
                <w:color w:val="auto"/>
                <w:sz w:val="21"/>
                <w:szCs w:val="21"/>
                <w:highlight w:val="none"/>
                <w:lang w:val="en-US" w:eastAsia="zh-CN"/>
              </w:rPr>
              <w:t>≤8%，随钻堵漏剂改性植物纤维系</w:t>
            </w:r>
            <w:r>
              <w:rPr>
                <w:rFonts w:hint="eastAsia" w:ascii="Times New Roman" w:hAnsi="Times New Roman" w:cs="Times New Roman"/>
                <w:snapToGrid w:val="0"/>
                <w:color w:val="auto"/>
                <w:sz w:val="21"/>
                <w:szCs w:val="21"/>
                <w:highlight w:val="none"/>
                <w:lang w:val="en-US" w:eastAsia="zh-CN"/>
              </w:rPr>
              <w:t>改性</w:t>
            </w:r>
            <w:r>
              <w:rPr>
                <w:rFonts w:hint="eastAsia" w:ascii="Times New Roman" w:hAnsi="Times New Roman" w:eastAsia="宋体" w:cs="Times New Roman"/>
                <w:snapToGrid w:val="0"/>
                <w:color w:val="auto"/>
                <w:sz w:val="21"/>
                <w:szCs w:val="21"/>
                <w:highlight w:val="none"/>
                <w:lang w:val="en-US" w:eastAsia="zh-CN"/>
              </w:rPr>
              <w:t>天然植物高分子复合材料，具有良好的水溶胀桥接封堵动能，黏附性强，与传统的随钻堵漏剂相比，不受粒径“匹配”限制，适用于各种泥浆体系，可用于封堵漏失层，也可保护低压产层（油、气、水等）。</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液体润滑剂</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润滑</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主要成分为醇醚类、酯类等，或选择同类型润滑剂，密度0.94</w:t>
            </w:r>
            <w:r>
              <w:rPr>
                <w:rFonts w:hint="eastAsia" w:ascii="Times New Roman" w:hAnsi="Times New Roman" w:cs="Times New Roman"/>
                <w:snapToGrid w:val="0"/>
                <w:color w:val="auto"/>
                <w:sz w:val="21"/>
                <w:szCs w:val="21"/>
                <w:highlight w:val="none"/>
                <w:lang w:val="en-US" w:eastAsia="zh-CN"/>
              </w:rPr>
              <w:t>～</w:t>
            </w:r>
            <w:r>
              <w:rPr>
                <w:rFonts w:hint="eastAsia" w:ascii="Times New Roman" w:hAnsi="Times New Roman" w:eastAsia="宋体" w:cs="Times New Roman"/>
                <w:snapToGrid w:val="0"/>
                <w:color w:val="auto"/>
                <w:sz w:val="21"/>
                <w:szCs w:val="21"/>
                <w:highlight w:val="none"/>
                <w:lang w:val="en-US" w:eastAsia="zh-CN"/>
              </w:rPr>
              <w:t>1.04g/cm</w:t>
            </w:r>
            <w:r>
              <w:rPr>
                <w:rFonts w:hint="eastAsia" w:ascii="Times New Roman" w:hAnsi="Times New Roman" w:eastAsia="宋体" w:cs="Times New Roman"/>
                <w:snapToGrid w:val="0"/>
                <w:color w:val="auto"/>
                <w:sz w:val="21"/>
                <w:szCs w:val="21"/>
                <w:highlight w:val="none"/>
                <w:vertAlign w:val="superscript"/>
                <w:lang w:val="en-US" w:eastAsia="zh-CN"/>
              </w:rPr>
              <w:t>3</w:t>
            </w:r>
            <w:r>
              <w:rPr>
                <w:rFonts w:hint="eastAsia" w:ascii="Times New Roman" w:hAnsi="Times New Roman" w:eastAsia="宋体" w:cs="Times New Roman"/>
                <w:snapToGrid w:val="0"/>
                <w:color w:val="auto"/>
                <w:sz w:val="21"/>
                <w:szCs w:val="21"/>
                <w:highlight w:val="none"/>
                <w:lang w:val="en-US" w:eastAsia="zh-CN"/>
              </w:rPr>
              <w:t>，pH值7～9</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SMP-2</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降滤失</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磺化酚醛树脂，淡黄色粉末，是一种钻井液用降滤失剂。含有-COOH、-COONH</w:t>
            </w:r>
            <w:r>
              <w:rPr>
                <w:rFonts w:hint="eastAsia" w:ascii="Times New Roman" w:hAnsi="Times New Roman" w:eastAsia="宋体" w:cs="Times New Roman"/>
                <w:snapToGrid w:val="0"/>
                <w:color w:val="auto"/>
                <w:sz w:val="21"/>
                <w:szCs w:val="21"/>
                <w:highlight w:val="none"/>
                <w:vertAlign w:val="subscript"/>
                <w:lang w:val="en-US" w:eastAsia="zh-CN"/>
              </w:rPr>
              <w:t>4</w:t>
            </w:r>
            <w:r>
              <w:rPr>
                <w:rFonts w:hint="eastAsia" w:ascii="Times New Roman" w:hAnsi="Times New Roman" w:eastAsia="宋体" w:cs="Times New Roman"/>
                <w:snapToGrid w:val="0"/>
                <w:color w:val="auto"/>
                <w:sz w:val="21"/>
                <w:szCs w:val="21"/>
                <w:highlight w:val="none"/>
                <w:lang w:val="en-US" w:eastAsia="zh-CN"/>
              </w:rPr>
              <w:t>、-CN、-CONH</w:t>
            </w:r>
            <w:r>
              <w:rPr>
                <w:rFonts w:hint="eastAsia" w:ascii="Times New Roman" w:hAnsi="Times New Roman" w:eastAsia="宋体" w:cs="Times New Roman"/>
                <w:snapToGrid w:val="0"/>
                <w:color w:val="auto"/>
                <w:sz w:val="21"/>
                <w:szCs w:val="21"/>
                <w:highlight w:val="none"/>
                <w:vertAlign w:val="subscript"/>
                <w:lang w:val="en-US" w:eastAsia="zh-CN"/>
              </w:rPr>
              <w:t>2</w:t>
            </w:r>
            <w:r>
              <w:rPr>
                <w:rFonts w:hint="eastAsia" w:ascii="Times New Roman" w:hAnsi="Times New Roman" w:eastAsia="宋体" w:cs="Times New Roman"/>
                <w:snapToGrid w:val="0"/>
                <w:color w:val="auto"/>
                <w:sz w:val="21"/>
                <w:szCs w:val="21"/>
                <w:highlight w:val="none"/>
                <w:lang w:val="en-US" w:eastAsia="zh-CN"/>
              </w:rPr>
              <w:t>等基团，分子量在10000～50000之间。有降低高压差失水的特殊功能和良好的热稳定性，能改善钻</w:t>
            </w:r>
          </w:p>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井液流变性，防止黏土水化分散，具有一定的抗盐能力。</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SPNH</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抗高温抗盐降滤失水剂</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褐煤树脂是由硝基腐殖酸、磺甲基酚醛树脂等共聚而成的多元共聚型钻井液降滤失剂，并且具有降黏效果，而</w:t>
            </w:r>
            <w:r>
              <w:rPr>
                <w:rFonts w:hint="eastAsia" w:ascii="Times New Roman" w:hAnsi="Times New Roman" w:cs="Times New Roman"/>
                <w:snapToGrid w:val="0"/>
                <w:color w:val="auto"/>
                <w:sz w:val="21"/>
                <w:szCs w:val="21"/>
                <w:highlight w:val="none"/>
                <w:lang w:val="en-US" w:eastAsia="zh-CN"/>
              </w:rPr>
              <w:t>且具</w:t>
            </w:r>
            <w:r>
              <w:rPr>
                <w:rFonts w:hint="eastAsia" w:ascii="Times New Roman" w:hAnsi="Times New Roman" w:eastAsia="宋体" w:cs="Times New Roman"/>
                <w:snapToGrid w:val="0"/>
                <w:color w:val="auto"/>
                <w:sz w:val="21"/>
                <w:szCs w:val="21"/>
                <w:highlight w:val="none"/>
                <w:lang w:val="en-US" w:eastAsia="zh-CN"/>
              </w:rPr>
              <w:t>有抗温抗盐性能。</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重晶石</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提高钻井液密度</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化学组成为BaSO</w:t>
            </w:r>
            <w:r>
              <w:rPr>
                <w:rFonts w:hint="eastAsia" w:ascii="Times New Roman" w:hAnsi="Times New Roman" w:eastAsia="宋体" w:cs="Times New Roman"/>
                <w:snapToGrid w:val="0"/>
                <w:color w:val="auto"/>
                <w:sz w:val="21"/>
                <w:szCs w:val="21"/>
                <w:highlight w:val="none"/>
                <w:vertAlign w:val="subscript"/>
                <w:lang w:val="en-US" w:eastAsia="zh-CN"/>
              </w:rPr>
              <w:t>4</w:t>
            </w:r>
            <w:r>
              <w:rPr>
                <w:rFonts w:hint="eastAsia" w:ascii="Times New Roman" w:hAnsi="Times New Roman" w:eastAsia="宋体" w:cs="Times New Roman"/>
                <w:snapToGrid w:val="0"/>
                <w:color w:val="auto"/>
                <w:sz w:val="21"/>
                <w:szCs w:val="21"/>
                <w:highlight w:val="none"/>
                <w:lang w:val="en-US" w:eastAsia="zh-CN"/>
              </w:rPr>
              <w:t>，常呈厚板状或柱状晶体，多为致密块状、板状或粒状集合体。质纯时无色透明，含杂质时被染成各种颜色，条痕白色，玻璃光泽，透明至半透明。</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天然沥青</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防塌陷、润滑</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沥青粉，又称沥青沉淀物，是一种从石油沥青中提取的黏稠物质，主要由芳香烃类和环烷烃类组成。</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固体润滑剂</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润滑</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天然石墨及油脂类聚合物合成的一种油田化学剂，在钻井过程中主要作用；加固井壁，润滑钻杆，防止塌陷，</w:t>
            </w:r>
            <w:r>
              <w:rPr>
                <w:rFonts w:hint="eastAsia" w:ascii="Times New Roman" w:hAnsi="Times New Roman" w:cs="Times New Roman"/>
                <w:snapToGrid w:val="0"/>
                <w:color w:val="auto"/>
                <w:sz w:val="21"/>
                <w:szCs w:val="21"/>
                <w:highlight w:val="none"/>
                <w:lang w:val="en-US" w:eastAsia="zh-CN"/>
              </w:rPr>
              <w:t>加快</w:t>
            </w:r>
            <w:r>
              <w:rPr>
                <w:rFonts w:hint="eastAsia" w:ascii="Times New Roman" w:hAnsi="Times New Roman" w:eastAsia="宋体" w:cs="Times New Roman"/>
                <w:snapToGrid w:val="0"/>
                <w:color w:val="auto"/>
                <w:sz w:val="21"/>
                <w:szCs w:val="21"/>
                <w:highlight w:val="none"/>
                <w:lang w:val="en-US" w:eastAsia="zh-CN"/>
              </w:rPr>
              <w:t>钻进速度。</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黄原胶</w:t>
            </w:r>
          </w:p>
        </w:tc>
        <w:tc>
          <w:tcPr>
            <w:tcW w:w="1372"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增黏、增稠、抗盐、抗污染</w:t>
            </w:r>
          </w:p>
        </w:tc>
        <w:tc>
          <w:tcPr>
            <w:tcW w:w="6750" w:type="dxa"/>
            <w:tcBorders>
              <w:tl2br w:val="nil"/>
              <w:tr2bl w:val="nil"/>
            </w:tcBorders>
            <w:vAlign w:val="center"/>
          </w:tcPr>
          <w:p>
            <w:pPr>
              <w:pStyle w:val="77"/>
              <w:keepNext w:val="0"/>
              <w:keepLines w:val="0"/>
              <w:pageBreakBefore w:val="0"/>
              <w:kinsoku/>
              <w:wordWrap/>
              <w:overflowPunct/>
              <w:topLinePunct w:val="0"/>
              <w:autoSpaceDE/>
              <w:autoSpaceDN/>
              <w:bidi w:val="0"/>
              <w:adjustRightInd/>
              <w:snapToGrid/>
              <w:spacing w:line="260" w:lineRule="exact"/>
              <w:jc w:val="center"/>
              <w:rPr>
                <w:rFonts w:hint="eastAsia" w:ascii="Times New Roman" w:hAnsi="Times New Roman" w:eastAsia="宋体" w:cs="Times New Roman"/>
                <w:snapToGrid w:val="0"/>
                <w:color w:val="auto"/>
                <w:sz w:val="21"/>
                <w:szCs w:val="21"/>
                <w:highlight w:val="none"/>
                <w:lang w:val="en-US" w:eastAsia="zh-CN"/>
              </w:rPr>
            </w:pPr>
            <w:r>
              <w:rPr>
                <w:rFonts w:hint="eastAsia" w:ascii="Times New Roman" w:hAnsi="Times New Roman" w:eastAsia="宋体" w:cs="Times New Roman"/>
                <w:snapToGrid w:val="0"/>
                <w:color w:val="auto"/>
                <w:sz w:val="21"/>
                <w:szCs w:val="21"/>
                <w:highlight w:val="none"/>
                <w:lang w:val="en-US" w:eastAsia="zh-CN"/>
              </w:rPr>
              <w:t>又名汉生胶，是由野油菜黄单胞杆菌以碳水化合物为主要原料（如玉米淀粉）经发酵工程生产的一种作用广泛的微生物胞外多糖。它具有独特的流变性，良好的水溶性、对热及酸碱的稳定性、与多种盐类有很好的相容性，作为增稠剂、悬浮剂、乳化剂、稳定剂。</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碳酸钙</w:t>
            </w:r>
          </w:p>
        </w:tc>
        <w:tc>
          <w:tcPr>
            <w:tcW w:w="13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增加浆液的密</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度、调节酸碱</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度和防止井壁</w:t>
            </w:r>
          </w:p>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塌陷</w:t>
            </w:r>
          </w:p>
        </w:tc>
        <w:tc>
          <w:tcPr>
            <w:tcW w:w="67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化学式为CaCO₃</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是石灰石、大理石等的主要成分。碳酸钙通常为白色晶体，无味，基本上不溶于水，易与酸反应放出二氧化碳。白色微细结晶粉末，无味、无臭。有无定形和结晶两种形态。结晶型中又可分为斜方晶系和六方晶系（无水碳酸钙为无色斜方晶体，六水碳酸钙为无色单斜晶体），呈柱状或菱形，密度为2.93g/c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0" w:type="dxa"/>
            <w:bottom w:w="0" w:type="dxa"/>
            <w:right w:w="0" w:type="dxa"/>
          </w:tblCellMar>
        </w:tblPrEx>
        <w:trPr>
          <w:trHeight w:val="397" w:hRule="atLeast"/>
        </w:trPr>
        <w:tc>
          <w:tcPr>
            <w:tcW w:w="868"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气制油</w:t>
            </w:r>
          </w:p>
        </w:tc>
        <w:tc>
          <w:tcPr>
            <w:tcW w:w="1372"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防止井漏、井喷、井塌</w:t>
            </w:r>
          </w:p>
        </w:tc>
        <w:tc>
          <w:tcPr>
            <w:tcW w:w="6750" w:type="dxa"/>
            <w:tcBorders>
              <w:tl2br w:val="nil"/>
              <w:tr2bl w:val="nil"/>
            </w:tcBorders>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以天然气为原料，经催化聚合反应制成的大分子烷烃类，具有碳氢比高、十六烷值高、硫含量低、芳香烃含量低、生物降解性好等特点；采用气制油为基础油配制的钻井液具有如下优点：黏度低，有利于提高钻井速度；当量循环密度低，有利于防止井漏、井喷、井塌等井下复杂情况的发生；与各种处理剂配伍性好，性能容易调控</w:t>
            </w:r>
          </w:p>
        </w:tc>
      </w:tr>
    </w:tbl>
    <w:p>
      <w:pPr>
        <w:pStyle w:val="78"/>
        <w:bidi w:val="0"/>
        <w:ind w:left="0" w:leftChars="0" w:firstLine="480" w:firstLineChars="200"/>
        <w:jc w:val="left"/>
        <w:rPr>
          <w:rFonts w:hint="default"/>
          <w:color w:val="auto"/>
          <w:lang w:val="en-US" w:eastAsia="zh-CN"/>
        </w:rPr>
      </w:pPr>
      <w:r>
        <w:rPr>
          <w:rFonts w:hint="eastAsia"/>
          <w:color w:val="auto"/>
          <w:lang w:val="en-US" w:eastAsia="zh-CN"/>
        </w:rPr>
        <w:t>（4）固井</w:t>
      </w:r>
    </w:p>
    <w:p>
      <w:pPr>
        <w:pStyle w:val="78"/>
        <w:bidi w:val="0"/>
        <w:jc w:val="left"/>
        <w:rPr>
          <w:rFonts w:hint="eastAsia"/>
          <w:color w:val="auto"/>
          <w:lang w:val="en-US" w:eastAsia="zh-CN"/>
        </w:rPr>
      </w:pPr>
      <w:r>
        <w:rPr>
          <w:rFonts w:hint="default"/>
          <w:color w:val="auto"/>
          <w:lang w:val="en-US" w:eastAsia="zh-CN"/>
        </w:rPr>
        <w:t>一开采用Φ339.7mm表层套管下入深度500m，采用G级水泥固井，固井水泥浆返至地面</w:t>
      </w:r>
      <w:r>
        <w:rPr>
          <w:rFonts w:hint="eastAsia"/>
          <w:color w:val="auto"/>
          <w:lang w:val="en-US" w:eastAsia="zh-CN"/>
        </w:rPr>
        <w:t>。</w:t>
      </w:r>
    </w:p>
    <w:p>
      <w:pPr>
        <w:pStyle w:val="78"/>
        <w:bidi w:val="0"/>
        <w:jc w:val="left"/>
        <w:rPr>
          <w:rFonts w:hint="default"/>
          <w:color w:val="auto"/>
          <w:lang w:val="en-US" w:eastAsia="zh-CN"/>
        </w:rPr>
      </w:pPr>
      <w:r>
        <w:rPr>
          <w:rFonts w:hint="eastAsia"/>
          <w:color w:val="auto"/>
          <w:lang w:val="en-US" w:eastAsia="zh-CN"/>
        </w:rPr>
        <w:t>二开采用</w:t>
      </w:r>
      <w:r>
        <w:rPr>
          <w:rFonts w:hint="default"/>
          <w:color w:val="auto"/>
          <w:lang w:val="en-US" w:eastAsia="zh-CN"/>
        </w:rPr>
        <w:t>Φ</w:t>
      </w:r>
      <w:r>
        <w:rPr>
          <w:rFonts w:hint="eastAsia"/>
          <w:color w:val="auto"/>
          <w:lang w:val="en-US" w:eastAsia="zh-CN"/>
        </w:rPr>
        <w:t>244.5mm技术套管下入中完井深，采用低密度双凝水泥浆体系（低密度1.35g/cm3+低密度1.50g/cm</w:t>
      </w:r>
      <w:r>
        <w:rPr>
          <w:rFonts w:hint="eastAsia"/>
          <w:color w:val="auto"/>
          <w:vertAlign w:val="superscript"/>
          <w:lang w:val="en-US" w:eastAsia="zh-CN"/>
        </w:rPr>
        <w:t>3</w:t>
      </w:r>
      <w:r>
        <w:rPr>
          <w:rFonts w:hint="eastAsia"/>
          <w:color w:val="auto"/>
          <w:lang w:val="en-US" w:eastAsia="zh-CN"/>
        </w:rPr>
        <w:t>）双胶塞固井，水泥浆返至地面。</w:t>
      </w:r>
    </w:p>
    <w:p>
      <w:pPr>
        <w:pStyle w:val="78"/>
        <w:bidi w:val="0"/>
        <w:jc w:val="left"/>
        <w:rPr>
          <w:rFonts w:hint="default"/>
          <w:color w:val="auto"/>
          <w:lang w:val="en-US" w:eastAsia="zh-CN"/>
        </w:rPr>
      </w:pPr>
      <w:r>
        <w:rPr>
          <w:rFonts w:hint="eastAsia"/>
          <w:color w:val="auto"/>
          <w:lang w:val="en-US" w:eastAsia="zh-CN"/>
        </w:rPr>
        <w:t>三开采用</w:t>
      </w:r>
      <w:r>
        <w:rPr>
          <w:rFonts w:hint="default"/>
          <w:color w:val="auto"/>
          <w:lang w:val="en-US" w:eastAsia="zh-CN"/>
        </w:rPr>
        <w:t>Φ</w:t>
      </w:r>
      <w:r>
        <w:rPr>
          <w:rFonts w:hint="eastAsia"/>
          <w:color w:val="auto"/>
          <w:lang w:val="en-US" w:eastAsia="zh-CN"/>
        </w:rPr>
        <w:t>139.7mm油层套管下至完钻井深，采用三凝三密度水泥浆体系（2.05+1.95+1.90g/cm</w:t>
      </w:r>
      <w:r>
        <w:rPr>
          <w:rFonts w:hint="eastAsia"/>
          <w:color w:val="auto"/>
          <w:vertAlign w:val="superscript"/>
          <w:lang w:val="en-US" w:eastAsia="zh-CN"/>
        </w:rPr>
        <w:t>3</w:t>
      </w:r>
      <w:r>
        <w:rPr>
          <w:rFonts w:hint="eastAsia"/>
          <w:color w:val="auto"/>
          <w:lang w:val="en-US" w:eastAsia="zh-CN"/>
        </w:rPr>
        <w:t>）常规工艺固井，水泥浆返至地面。</w:t>
      </w:r>
    </w:p>
    <w:p>
      <w:pPr>
        <w:pStyle w:val="78"/>
        <w:bidi w:val="0"/>
        <w:jc w:val="left"/>
        <w:rPr>
          <w:rFonts w:hint="default"/>
          <w:color w:val="auto"/>
          <w:lang w:val="en-US" w:eastAsia="zh-CN"/>
        </w:rPr>
      </w:pPr>
      <w:r>
        <w:rPr>
          <w:rFonts w:hint="default"/>
          <w:color w:val="auto"/>
          <w:lang w:val="en-US"/>
        </w:rPr>
        <w:t>（</w:t>
      </w:r>
      <w:r>
        <w:rPr>
          <w:rFonts w:hint="eastAsia"/>
          <w:color w:val="auto"/>
          <w:lang w:val="en-US" w:eastAsia="zh-CN"/>
        </w:rPr>
        <w:t>5</w:t>
      </w:r>
      <w:r>
        <w:rPr>
          <w:rFonts w:hint="default"/>
          <w:color w:val="auto"/>
          <w:lang w:val="en-US"/>
        </w:rPr>
        <w:t>）</w:t>
      </w:r>
      <w:r>
        <w:rPr>
          <w:rFonts w:hint="eastAsia"/>
          <w:color w:val="auto"/>
          <w:lang w:val="en-US" w:eastAsia="zh-CN"/>
        </w:rPr>
        <w:t>完井方式</w:t>
      </w:r>
    </w:p>
    <w:p>
      <w:pPr>
        <w:pStyle w:val="78"/>
        <w:bidi w:val="0"/>
        <w:jc w:val="left"/>
        <w:rPr>
          <w:rFonts w:hint="default"/>
          <w:color w:val="auto"/>
          <w:lang w:val="en-US" w:eastAsia="zh-CN"/>
        </w:rPr>
      </w:pPr>
      <w:r>
        <w:rPr>
          <w:rFonts w:hint="default"/>
          <w:color w:val="auto"/>
        </w:rPr>
        <w:t>本次工程新钻井采用</w:t>
      </w:r>
      <w:r>
        <w:rPr>
          <w:rFonts w:hint="eastAsia"/>
          <w:color w:val="auto"/>
          <w:lang w:val="en-US" w:eastAsia="zh-CN"/>
        </w:rPr>
        <w:t>套管注水泥固井完井</w:t>
      </w:r>
      <w:r>
        <w:rPr>
          <w:rFonts w:hint="default"/>
          <w:color w:val="auto"/>
        </w:rPr>
        <w:t>方式</w:t>
      </w:r>
      <w:r>
        <w:rPr>
          <w:rFonts w:hint="eastAsia"/>
          <w:color w:val="auto"/>
          <w:lang w:eastAsia="zh-CN"/>
        </w:rPr>
        <w:t>，均采用Φ340mm×Φ245mm×Φ140mm×105MPa正规套管头，配备140MPa升压法兰。</w:t>
      </w:r>
    </w:p>
    <w:p>
      <w:pPr>
        <w:pStyle w:val="78"/>
        <w:bidi w:val="0"/>
        <w:jc w:val="left"/>
        <w:rPr>
          <w:rFonts w:hint="default"/>
          <w:color w:val="auto"/>
          <w:lang w:eastAsia="zh-CN"/>
        </w:rPr>
      </w:pPr>
      <w:r>
        <w:rPr>
          <w:rFonts w:hint="default"/>
          <w:color w:val="auto"/>
          <w:lang w:eastAsia="zh-CN"/>
        </w:rPr>
        <w:t>（</w:t>
      </w:r>
      <w:r>
        <w:rPr>
          <w:rFonts w:hint="eastAsia"/>
          <w:color w:val="auto"/>
          <w:lang w:val="en-US" w:eastAsia="zh-CN"/>
        </w:rPr>
        <w:t>6</w:t>
      </w:r>
      <w:r>
        <w:rPr>
          <w:rFonts w:hint="default"/>
          <w:color w:val="auto"/>
          <w:lang w:eastAsia="zh-CN"/>
        </w:rPr>
        <w:t>）原辅材料</w:t>
      </w:r>
    </w:p>
    <w:p>
      <w:pPr>
        <w:pStyle w:val="78"/>
        <w:bidi w:val="0"/>
        <w:jc w:val="left"/>
        <w:rPr>
          <w:rFonts w:hint="default" w:cs="Times New Roman"/>
          <w:color w:val="auto"/>
          <w:highlight w:val="none"/>
        </w:rPr>
      </w:pPr>
      <w:r>
        <w:rPr>
          <w:rFonts w:hint="default"/>
          <w:color w:val="auto"/>
        </w:rPr>
        <w:t>钻井工程原辅材料消耗主要为钻井液调配、钻井、固井等工艺消耗的水、水泥及防塌润滑剂等，钻井期用电采用电网供电。各材料均为袋装，由汽车拉运进场，堆存于场内原辅材料存放区内。烧碱属于危险化学品，单独存放在危险化学品间内。井场原材料消耗与井身结构有关，最终汇总的原材料消耗情况见表3.</w:t>
      </w:r>
      <w:r>
        <w:rPr>
          <w:rFonts w:hint="eastAsia"/>
          <w:color w:val="auto"/>
          <w:lang w:val="en-US" w:eastAsia="zh-CN"/>
        </w:rPr>
        <w:t>2</w:t>
      </w:r>
      <w:r>
        <w:rPr>
          <w:rFonts w:hint="default"/>
          <w:color w:val="auto"/>
        </w:rPr>
        <w:t>-</w:t>
      </w:r>
      <w:r>
        <w:rPr>
          <w:rFonts w:hint="eastAsia"/>
          <w:color w:val="auto"/>
          <w:lang w:val="en-US" w:eastAsia="zh-CN"/>
        </w:rPr>
        <w:t>13</w:t>
      </w:r>
      <w:r>
        <w:rPr>
          <w:rFonts w:hint="default"/>
          <w:color w:val="auto"/>
        </w:rPr>
        <w:t>。</w:t>
      </w: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default" w:cs="Times New Roman"/>
          <w:color w:val="auto"/>
          <w:highlight w:val="none"/>
        </w:rPr>
      </w:pPr>
      <w:r>
        <w:rPr>
          <w:rFonts w:hint="default" w:cs="Times New Roman"/>
          <w:color w:val="auto"/>
          <w:highlight w:val="none"/>
        </w:rPr>
        <w:t>表</w:t>
      </w:r>
      <w:r>
        <w:rPr>
          <w:rFonts w:hint="eastAsia" w:cs="Times New Roman"/>
          <w:color w:val="auto"/>
          <w:highlight w:val="none"/>
          <w:lang w:val="en-US" w:eastAsia="zh-CN"/>
        </w:rPr>
        <w:t>3.2-13</w:t>
      </w:r>
      <w:r>
        <w:rPr>
          <w:rFonts w:hint="default" w:cs="Times New Roman"/>
          <w:color w:val="auto"/>
          <w:highlight w:val="none"/>
        </w:rPr>
        <w:t xml:space="preserve"> </w:t>
      </w:r>
      <w:r>
        <w:rPr>
          <w:rFonts w:hint="eastAsia" w:cs="Times New Roman"/>
          <w:color w:val="auto"/>
          <w:highlight w:val="none"/>
          <w:lang w:val="en-US" w:eastAsia="zh-CN"/>
        </w:rPr>
        <w:t xml:space="preserve"> </w:t>
      </w:r>
      <w:r>
        <w:rPr>
          <w:rFonts w:hint="default" w:cs="Times New Roman"/>
          <w:color w:val="auto"/>
          <w:highlight w:val="none"/>
        </w:rPr>
        <w:t xml:space="preserve"> </w:t>
      </w:r>
      <w:r>
        <w:rPr>
          <w:rFonts w:hint="eastAsia" w:cs="Times New Roman"/>
          <w:color w:val="auto"/>
          <w:highlight w:val="none"/>
          <w:lang w:val="en-US" w:eastAsia="zh-CN"/>
        </w:rPr>
        <w:t>本项目</w:t>
      </w:r>
      <w:r>
        <w:rPr>
          <w:rFonts w:hint="default" w:cs="Times New Roman"/>
          <w:color w:val="auto"/>
          <w:highlight w:val="none"/>
        </w:rPr>
        <w:t>主要材料用量一览表</w:t>
      </w:r>
    </w:p>
    <w:tbl>
      <w:tblPr>
        <w:tblStyle w:val="35"/>
        <w:tblW w:w="4845"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1771"/>
        <w:gridCol w:w="1226"/>
        <w:gridCol w:w="2141"/>
        <w:gridCol w:w="1074"/>
        <w:gridCol w:w="2347"/>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序号</w:t>
            </w:r>
          </w:p>
        </w:tc>
        <w:tc>
          <w:tcPr>
            <w:tcW w:w="324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物料名称</w:t>
            </w:r>
          </w:p>
        </w:tc>
        <w:tc>
          <w:tcPr>
            <w:tcW w:w="1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单位</w:t>
            </w:r>
          </w:p>
        </w:tc>
        <w:tc>
          <w:tcPr>
            <w:tcW w:w="22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合计</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1</w:t>
            </w:r>
          </w:p>
        </w:tc>
        <w:tc>
          <w:tcPr>
            <w:tcW w:w="324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水基钻井液</w:t>
            </w:r>
          </w:p>
        </w:tc>
        <w:tc>
          <w:tcPr>
            <w:tcW w:w="1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5005</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w:t>
            </w:r>
          </w:p>
        </w:tc>
        <w:tc>
          <w:tcPr>
            <w:tcW w:w="324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油基钻井液</w:t>
            </w:r>
          </w:p>
        </w:tc>
        <w:tc>
          <w:tcPr>
            <w:tcW w:w="1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1150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2</w:t>
            </w:r>
          </w:p>
        </w:tc>
        <w:tc>
          <w:tcPr>
            <w:tcW w:w="324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钻井液添加剂</w:t>
            </w:r>
          </w:p>
        </w:tc>
        <w:tc>
          <w:tcPr>
            <w:tcW w:w="1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t</w:t>
            </w:r>
          </w:p>
        </w:tc>
        <w:tc>
          <w:tcPr>
            <w:tcW w:w="2265" w:type="dxa"/>
            <w:tcBorders>
              <w:tl2br w:val="nil"/>
              <w:tr2bl w:val="nil"/>
            </w:tcBorders>
            <w:noWrap w:val="0"/>
            <w:vAlign w:val="center"/>
          </w:tcPr>
          <w:p>
            <w:pPr>
              <w:widowControl w:val="0"/>
              <w:bidi w:val="0"/>
              <w:rPr>
                <w:rFonts w:hint="default" w:eastAsia="宋体"/>
                <w:color w:val="auto"/>
                <w:highlight w:val="none"/>
                <w:lang w:val="en-US" w:eastAsia="zh-CN"/>
              </w:rPr>
            </w:pPr>
            <w:r>
              <w:rPr>
                <w:rFonts w:hint="eastAsia"/>
                <w:color w:val="auto"/>
                <w:highlight w:val="none"/>
                <w:lang w:val="en-US" w:eastAsia="zh-CN"/>
              </w:rPr>
              <w:t>15341.9</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w:t>
            </w:r>
          </w:p>
        </w:tc>
        <w:tc>
          <w:tcPr>
            <w:tcW w:w="324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压裂液</w:t>
            </w:r>
          </w:p>
        </w:tc>
        <w:tc>
          <w:tcPr>
            <w:tcW w:w="1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441000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3</w:t>
            </w:r>
          </w:p>
        </w:tc>
        <w:tc>
          <w:tcPr>
            <w:tcW w:w="1183" w:type="dxa"/>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新鲜用水</w:t>
            </w: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洗井用水</w:t>
            </w:r>
          </w:p>
        </w:tc>
        <w:tc>
          <w:tcPr>
            <w:tcW w:w="1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210</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p>
        </w:tc>
        <w:tc>
          <w:tcPr>
            <w:tcW w:w="11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生活用水</w:t>
            </w:r>
          </w:p>
        </w:tc>
        <w:tc>
          <w:tcPr>
            <w:tcW w:w="1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2352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p>
        </w:tc>
        <w:tc>
          <w:tcPr>
            <w:tcW w:w="1183" w:type="dxa"/>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p>
        </w:tc>
        <w:tc>
          <w:tcPr>
            <w:tcW w:w="206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总计</w:t>
            </w:r>
          </w:p>
        </w:tc>
        <w:tc>
          <w:tcPr>
            <w:tcW w:w="1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p>
        </w:tc>
        <w:tc>
          <w:tcPr>
            <w:tcW w:w="2265"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2562</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1709"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4</w:t>
            </w:r>
          </w:p>
        </w:tc>
        <w:tc>
          <w:tcPr>
            <w:tcW w:w="3249" w:type="dxa"/>
            <w:gridSpan w:val="2"/>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eastAsia"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柴油</w:t>
            </w:r>
          </w:p>
        </w:tc>
        <w:tc>
          <w:tcPr>
            <w:tcW w:w="1036" w:type="dxa"/>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t</w:t>
            </w:r>
          </w:p>
        </w:tc>
        <w:tc>
          <w:tcPr>
            <w:tcW w:w="226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80" w:lineRule="exact"/>
              <w:jc w:val="center"/>
              <w:textAlignment w:val="auto"/>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1680</w:t>
            </w:r>
          </w:p>
        </w:tc>
      </w:tr>
    </w:tbl>
    <w:p>
      <w:pPr>
        <w:pStyle w:val="57"/>
        <w:bidi w:val="0"/>
        <w:rPr>
          <w:rFonts w:hint="default"/>
          <w:color w:val="auto"/>
          <w:lang w:val="en-US" w:eastAsia="zh-CN"/>
        </w:rPr>
      </w:pPr>
      <w:r>
        <w:rPr>
          <w:rFonts w:hint="default"/>
          <w:color w:val="auto"/>
          <w:lang w:val="en-US" w:eastAsia="zh-CN"/>
        </w:rPr>
        <w:t>（7）主要生产设备</w:t>
      </w:r>
    </w:p>
    <w:p>
      <w:pPr>
        <w:pStyle w:val="57"/>
        <w:bidi w:val="0"/>
        <w:rPr>
          <w:rFonts w:hint="default"/>
          <w:color w:val="auto"/>
          <w:lang w:val="en-US" w:eastAsia="zh-CN"/>
        </w:rPr>
      </w:pPr>
      <w:r>
        <w:rPr>
          <w:rFonts w:hint="eastAsia"/>
          <w:color w:val="auto"/>
          <w:lang w:val="en-US" w:eastAsia="zh-CN"/>
        </w:rPr>
        <w:t>本工程新建7</w:t>
      </w:r>
      <w:r>
        <w:rPr>
          <w:rFonts w:hint="default"/>
          <w:color w:val="auto"/>
          <w:lang w:val="en-US" w:eastAsia="zh-CN"/>
        </w:rPr>
        <w:t>口采油井</w:t>
      </w:r>
      <w:r>
        <w:rPr>
          <w:rFonts w:hint="eastAsia"/>
          <w:color w:val="auto"/>
          <w:lang w:val="en-US" w:eastAsia="zh-CN"/>
        </w:rPr>
        <w:t>，均为水平井，设计使用ZJ70D钻机，</w:t>
      </w:r>
      <w:r>
        <w:rPr>
          <w:rFonts w:hint="default"/>
          <w:color w:val="auto"/>
        </w:rPr>
        <w:t>项目施工所需设备设施情况见表</w:t>
      </w:r>
      <w:r>
        <w:rPr>
          <w:rFonts w:hint="eastAsia"/>
          <w:color w:val="auto"/>
          <w:lang w:val="en-US" w:eastAsia="zh-CN"/>
        </w:rPr>
        <w:t>3.2-14。</w:t>
      </w: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3.2-14</w:t>
      </w:r>
      <w:r>
        <w:rPr>
          <w:rFonts w:hint="eastAsia" w:cs="Times New Roman"/>
          <w:color w:val="auto"/>
          <w:highlight w:val="none"/>
        </w:rPr>
        <w:t xml:space="preserve">    </w:t>
      </w:r>
      <w:r>
        <w:rPr>
          <w:rFonts w:hint="eastAsia" w:cs="Times New Roman"/>
          <w:color w:val="auto"/>
          <w:highlight w:val="none"/>
          <w:lang w:val="en-US" w:eastAsia="zh-CN"/>
        </w:rPr>
        <w:t>水平井</w:t>
      </w:r>
      <w:r>
        <w:rPr>
          <w:rFonts w:hint="eastAsia" w:cs="Times New Roman"/>
          <w:color w:val="auto"/>
          <w:highlight w:val="none"/>
        </w:rPr>
        <w:t>施工设备配置一览表</w:t>
      </w:r>
    </w:p>
    <w:tbl>
      <w:tblPr>
        <w:tblStyle w:val="34"/>
        <w:tblW w:w="521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00"/>
        <w:gridCol w:w="763"/>
        <w:gridCol w:w="1503"/>
        <w:gridCol w:w="2023"/>
        <w:gridCol w:w="644"/>
        <w:gridCol w:w="635"/>
        <w:gridCol w:w="1106"/>
        <w:gridCol w:w="16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项目组成</w:t>
            </w: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设备或部件名称</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规格型号</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主参数</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单位</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数量</w:t>
            </w:r>
          </w:p>
        </w:tc>
        <w:tc>
          <w:tcPr>
            <w:tcW w:w="920"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钻前工程</w:t>
            </w: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推土机</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辆</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920" w:type="pct"/>
            <w:vMerge w:val="restar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开挖池体</w:t>
            </w:r>
          </w:p>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平整井场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挖掘机</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辆</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920"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钻井工程</w:t>
            </w: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钻机</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ZJ-70D</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井架</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JJ450/45-K</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底座高度≥10.5m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提升</w:t>
            </w:r>
          </w:p>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系统</w:t>
            </w:r>
          </w:p>
        </w:tc>
        <w:tc>
          <w:tcPr>
            <w:tcW w:w="83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绞车</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JC70D</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1470</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天车</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TC-450</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游车</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YC-450</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大钩</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DG450</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水龙头</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SL450</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顶部驱动装置</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DQ70BS</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4500</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kN</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二开</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转盘</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ZP375</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bCs/>
                <w:color w:val="auto"/>
                <w:spacing w:val="-11"/>
                <w:sz w:val="21"/>
                <w:szCs w:val="21"/>
                <w:highlight w:val="none"/>
                <w:shd w:val="clear" w:color="auto" w:fill="auto"/>
              </w:rPr>
              <w:t>开口直径952.5mm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循环系统配置</w:t>
            </w: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钻井泵</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F-1600HL</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1193</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422"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高压管汇</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52</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MPa</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钻井液罐</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13000×3000×2500</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个</w:t>
            </w:r>
          </w:p>
        </w:tc>
        <w:tc>
          <w:tcPr>
            <w:tcW w:w="920"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both"/>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bCs/>
                <w:color w:val="auto"/>
                <w:spacing w:val="-6"/>
                <w:sz w:val="21"/>
                <w:szCs w:val="21"/>
                <w:highlight w:val="none"/>
                <w:shd w:val="clear" w:color="auto" w:fill="auto"/>
              </w:rPr>
              <w:t>循环罐总容积350m</w:t>
            </w:r>
            <w:r>
              <w:rPr>
                <w:rFonts w:hint="eastAsia" w:ascii="Times New Roman" w:hAnsi="Times New Roman" w:eastAsia="宋体" w:cs="Times New Roman"/>
                <w:bCs/>
                <w:color w:val="auto"/>
                <w:spacing w:val="-6"/>
                <w:sz w:val="21"/>
                <w:szCs w:val="21"/>
                <w:highlight w:val="none"/>
                <w:shd w:val="clear" w:color="auto" w:fill="auto"/>
                <w:vertAlign w:val="superscript"/>
                <w:lang w:val="en-US" w:eastAsia="zh-CN"/>
              </w:rPr>
              <w:t>3</w:t>
            </w:r>
            <w:r>
              <w:rPr>
                <w:rFonts w:hint="eastAsia" w:ascii="Times New Roman" w:hAnsi="Times New Roman" w:eastAsia="宋体" w:cs="Times New Roman"/>
                <w:bCs/>
                <w:color w:val="auto"/>
                <w:spacing w:val="-6"/>
                <w:sz w:val="21"/>
                <w:szCs w:val="21"/>
                <w:highlight w:val="none"/>
                <w:shd w:val="clear" w:color="auto" w:fill="auto"/>
                <w:lang w:eastAsia="zh-CN"/>
              </w:rPr>
              <w:t>，</w:t>
            </w:r>
            <w:r>
              <w:rPr>
                <w:rFonts w:hint="default" w:ascii="Times New Roman" w:hAnsi="Times New Roman" w:eastAsia="宋体" w:cs="Times New Roman"/>
                <w:bCs/>
                <w:color w:val="auto"/>
                <w:spacing w:val="-6"/>
                <w:sz w:val="21"/>
                <w:szCs w:val="21"/>
                <w:highlight w:val="none"/>
                <w:shd w:val="clear" w:color="auto" w:fill="auto"/>
              </w:rPr>
              <w:t>储备罐总容积240m</w:t>
            </w:r>
            <w:r>
              <w:rPr>
                <w:rFonts w:hint="eastAsia" w:ascii="Times New Roman" w:hAnsi="Times New Roman" w:eastAsia="宋体" w:cs="Times New Roman"/>
                <w:bCs/>
                <w:color w:val="auto"/>
                <w:spacing w:val="-6"/>
                <w:sz w:val="21"/>
                <w:szCs w:val="21"/>
                <w:highlight w:val="none"/>
                <w:shd w:val="clear" w:color="auto" w:fill="auto"/>
                <w:vertAlign w:val="superscript"/>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搅拌器</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NJ-</w:t>
            </w:r>
            <w:r>
              <w:rPr>
                <w:rFonts w:hint="eastAsia" w:ascii="Times New Roman" w:hAnsi="Times New Roman" w:eastAsia="宋体" w:cs="Times New Roman"/>
                <w:color w:val="auto"/>
                <w:sz w:val="21"/>
                <w:szCs w:val="21"/>
                <w:highlight w:val="none"/>
                <w:shd w:val="clear" w:color="auto" w:fill="auto"/>
                <w:lang w:val="en-US" w:eastAsia="zh-CN"/>
              </w:rPr>
              <w:t>7.5</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rPr>
            </w:pPr>
            <w:r>
              <w:rPr>
                <w:rFonts w:hint="eastAsia" w:ascii="Times New Roman" w:hAnsi="Times New Roman" w:eastAsia="宋体" w:cs="Times New Roman"/>
                <w:color w:val="auto"/>
                <w:sz w:val="21"/>
                <w:szCs w:val="21"/>
                <w:highlight w:val="none"/>
                <w:shd w:val="clear" w:color="auto" w:fill="auto"/>
                <w:lang w:val="en-US" w:eastAsia="zh-CN"/>
              </w:rPr>
              <w:t>7.5</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2个</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钻机动力系统</w:t>
            </w: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柴油机</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CAT3512(B)</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1022</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kW</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发电</w:t>
            </w:r>
          </w:p>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机组</w:t>
            </w: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发电机</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MAGNETEC689SR4</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800</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钻机控制系统</w:t>
            </w: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自动压风机</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2V-6.5/12</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6.5m</w:t>
            </w:r>
            <w:r>
              <w:rPr>
                <w:rFonts w:hint="default" w:ascii="Times New Roman" w:hAnsi="Times New Roman" w:eastAsia="宋体" w:cs="Times New Roman"/>
                <w:color w:val="auto"/>
                <w:sz w:val="21"/>
                <w:szCs w:val="21"/>
                <w:highlight w:val="none"/>
                <w:shd w:val="clear" w:color="auto" w:fill="auto"/>
                <w:vertAlign w:val="superscript"/>
              </w:rPr>
              <w:t>3</w:t>
            </w:r>
            <w:r>
              <w:rPr>
                <w:rFonts w:hint="default" w:ascii="Times New Roman" w:hAnsi="Times New Roman" w:eastAsia="宋体" w:cs="Times New Roman"/>
                <w:color w:val="auto"/>
                <w:sz w:val="21"/>
                <w:szCs w:val="21"/>
                <w:highlight w:val="none"/>
                <w:shd w:val="clear" w:color="auto" w:fill="auto"/>
              </w:rPr>
              <w:t>/min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电动压风机</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2V-6.5/12</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6.5m</w:t>
            </w:r>
            <w:r>
              <w:rPr>
                <w:rFonts w:hint="default" w:ascii="Times New Roman" w:hAnsi="Times New Roman" w:eastAsia="宋体" w:cs="Times New Roman"/>
                <w:color w:val="auto"/>
                <w:sz w:val="21"/>
                <w:szCs w:val="21"/>
                <w:highlight w:val="none"/>
                <w:shd w:val="clear" w:color="auto" w:fill="auto"/>
                <w:vertAlign w:val="superscript"/>
              </w:rPr>
              <w:t>3</w:t>
            </w:r>
            <w:r>
              <w:rPr>
                <w:rFonts w:hint="default" w:ascii="Times New Roman" w:hAnsi="Times New Roman" w:eastAsia="宋体" w:cs="Times New Roman"/>
                <w:color w:val="auto"/>
                <w:sz w:val="21"/>
                <w:szCs w:val="21"/>
                <w:highlight w:val="none"/>
                <w:shd w:val="clear" w:color="auto" w:fill="auto"/>
              </w:rPr>
              <w:t>/min</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MCC房</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刹车系统</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辅助刹车</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固控</w:t>
            </w:r>
          </w:p>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系统</w:t>
            </w: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振动筛</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2.2</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kW</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处理量≥</w:t>
            </w:r>
            <w:r>
              <w:rPr>
                <w:rFonts w:hint="eastAsia" w:ascii="Times New Roman" w:hAnsi="Times New Roman" w:cs="Times New Roman"/>
                <w:color w:val="auto"/>
                <w:sz w:val="21"/>
                <w:szCs w:val="21"/>
                <w:highlight w:val="none"/>
                <w:shd w:val="clear" w:color="auto" w:fill="auto"/>
                <w:lang w:val="en-US" w:eastAsia="zh-CN"/>
              </w:rPr>
              <w:t>200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r>
              <w:rPr>
                <w:rFonts w:hint="default" w:ascii="Times New Roman" w:hAnsi="Times New Roman" w:cs="Times New Roman"/>
                <w:color w:val="auto"/>
                <w:sz w:val="21"/>
                <w:szCs w:val="21"/>
                <w:highlight w:val="none"/>
                <w:shd w:val="clear" w:color="auto" w:fill="auto"/>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除砂器</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除泥器</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bCs/>
                <w:color w:val="auto"/>
                <w:kern w:val="0"/>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离心机</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rPr>
              <w:t>LW450/1200</w:t>
            </w:r>
            <w:r>
              <w:rPr>
                <w:rFonts w:hint="eastAsia" w:ascii="Times New Roman" w:hAnsi="Times New Roman" w:eastAsia="宋体" w:cs="Times New Roman"/>
                <w:color w:val="auto"/>
                <w:sz w:val="21"/>
                <w:szCs w:val="21"/>
                <w:highlight w:val="none"/>
                <w:shd w:val="clear" w:color="auto" w:fill="auto"/>
                <w:lang w:eastAsia="zh-CN"/>
              </w:rPr>
              <w:t>、LW600/945</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2</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before="62" w:after="62"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处理量≥</w:t>
            </w:r>
            <w:r>
              <w:rPr>
                <w:rFonts w:hint="eastAsia" w:ascii="Times New Roman" w:hAnsi="Times New Roman" w:cs="Times New Roman"/>
                <w:color w:val="auto"/>
                <w:sz w:val="21"/>
                <w:szCs w:val="21"/>
                <w:highlight w:val="none"/>
                <w:shd w:val="clear" w:color="auto" w:fill="auto"/>
                <w:lang w:val="en-US" w:eastAsia="zh-CN"/>
              </w:rPr>
              <w:t>80</w:t>
            </w:r>
            <w:r>
              <w:rPr>
                <w:rFonts w:hint="default" w:ascii="Times New Roman" w:hAnsi="Times New Roman" w:cs="Times New Roman"/>
                <w:color w:val="auto"/>
                <w:sz w:val="21"/>
                <w:szCs w:val="21"/>
                <w:highlight w:val="none"/>
                <w:shd w:val="clear" w:color="auto" w:fill="auto"/>
              </w:rPr>
              <w:t>m</w:t>
            </w:r>
            <w:r>
              <w:rPr>
                <w:rFonts w:hint="default" w:ascii="Times New Roman" w:hAnsi="Times New Roman" w:cs="Times New Roman"/>
                <w:color w:val="auto"/>
                <w:sz w:val="21"/>
                <w:szCs w:val="21"/>
                <w:highlight w:val="none"/>
                <w:shd w:val="clear" w:color="auto" w:fill="auto"/>
                <w:vertAlign w:val="superscript"/>
              </w:rPr>
              <w:t>3</w:t>
            </w:r>
            <w:r>
              <w:rPr>
                <w:rFonts w:hint="default" w:ascii="Times New Roman" w:hAnsi="Times New Roman" w:cs="Times New Roman"/>
                <w:color w:val="auto"/>
                <w:sz w:val="21"/>
                <w:szCs w:val="21"/>
                <w:highlight w:val="none"/>
                <w:shd w:val="clear" w:color="auto" w:fill="auto"/>
              </w:rPr>
              <w:t>/h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cs="Times New Roman"/>
                <w:color w:val="auto"/>
                <w:sz w:val="21"/>
                <w:szCs w:val="21"/>
                <w:highlight w:val="none"/>
                <w:shd w:val="clear" w:color="auto" w:fill="auto"/>
              </w:rPr>
            </w:pPr>
          </w:p>
        </w:tc>
        <w:tc>
          <w:tcPr>
            <w:tcW w:w="4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加重</w:t>
            </w:r>
          </w:p>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装置</w:t>
            </w: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加重漏斗</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电动加重泵</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920"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井控系统</w:t>
            </w:r>
          </w:p>
        </w:tc>
        <w:tc>
          <w:tcPr>
            <w:tcW w:w="4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二开</w:t>
            </w: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环形防喷器</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FH35-35</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双闸板防喷器</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2FZ35-35</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节流管汇</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JG-35</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压井管汇</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YG-35</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三开</w:t>
            </w: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旋转防喷器</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Xk35-10.5/21</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环形防喷器</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FH35-35</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双闸板防喷器</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2FZ35-</w:t>
            </w:r>
            <w:r>
              <w:rPr>
                <w:rFonts w:hint="eastAsia" w:ascii="Times New Roman" w:hAnsi="Times New Roman" w:eastAsia="宋体" w:cs="Times New Roman"/>
                <w:color w:val="auto"/>
                <w:sz w:val="21"/>
                <w:szCs w:val="21"/>
                <w:highlight w:val="none"/>
                <w:shd w:val="clear" w:color="auto" w:fill="auto"/>
              </w:rPr>
              <w:t>70</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节流管汇</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JG-</w:t>
            </w:r>
            <w:r>
              <w:rPr>
                <w:rFonts w:hint="eastAsia" w:ascii="Times New Roman" w:hAnsi="Times New Roman" w:eastAsia="宋体" w:cs="Times New Roman"/>
                <w:color w:val="auto"/>
                <w:sz w:val="21"/>
                <w:szCs w:val="21"/>
                <w:highlight w:val="none"/>
                <w:shd w:val="clear" w:color="auto" w:fill="auto"/>
              </w:rPr>
              <w:t>70</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422"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83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压井管汇</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YG-</w:t>
            </w:r>
            <w:r>
              <w:rPr>
                <w:rFonts w:hint="eastAsia" w:ascii="Times New Roman" w:hAnsi="Times New Roman" w:eastAsia="宋体" w:cs="Times New Roman"/>
                <w:color w:val="auto"/>
                <w:sz w:val="21"/>
                <w:szCs w:val="21"/>
                <w:highlight w:val="none"/>
                <w:shd w:val="clear" w:color="auto" w:fill="auto"/>
              </w:rPr>
              <w:t>70</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控制装置</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FKQ5605</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司钻控制台</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rPr>
              <w:t>节流控制箱</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ind w:left="0" w:leftChars="0" w:firstLine="0" w:firstLineChars="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风险防护设施</w:t>
            </w: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消防房及消防工</w:t>
            </w:r>
            <w:r>
              <w:rPr>
                <w:rStyle w:val="38"/>
                <w:rFonts w:hint="default" w:ascii="Times New Roman" w:hAnsi="Times New Roman" w:eastAsia="宋体" w:cs="Times New Roman"/>
                <w:color w:val="auto"/>
                <w:kern w:val="0"/>
                <w:sz w:val="21"/>
                <w:szCs w:val="21"/>
                <w:highlight w:val="none"/>
                <w:shd w:val="clear" w:color="auto" w:fill="auto"/>
              </w:rPr>
              <w:t>程</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6.5×2.5</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pacing w:val="-11"/>
                <w:sz w:val="21"/>
                <w:szCs w:val="21"/>
                <w:highlight w:val="none"/>
                <w:shd w:val="clear" w:color="auto" w:fill="auto"/>
              </w:rPr>
            </w:pPr>
            <w:r>
              <w:rPr>
                <w:rFonts w:hint="default" w:ascii="Times New Roman" w:hAnsi="Times New Roman" w:eastAsia="宋体" w:cs="Times New Roman"/>
                <w:bCs/>
                <w:color w:val="auto"/>
                <w:spacing w:val="-11"/>
                <w:sz w:val="21"/>
                <w:szCs w:val="21"/>
                <w:highlight w:val="none"/>
                <w:shd w:val="clear" w:color="auto" w:fill="auto"/>
              </w:rPr>
              <w:t>按标准配套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二层台逃生装置</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pacing w:val="-11"/>
                <w:sz w:val="21"/>
                <w:szCs w:val="21"/>
                <w:highlight w:val="none"/>
                <w:shd w:val="clear" w:color="auto" w:fill="auto"/>
              </w:rPr>
            </w:pPr>
            <w:r>
              <w:rPr>
                <w:rFonts w:hint="default" w:ascii="Times New Roman" w:hAnsi="Times New Roman" w:eastAsia="宋体" w:cs="Times New Roman"/>
                <w:bCs/>
                <w:color w:val="auto"/>
                <w:spacing w:val="-11"/>
                <w:sz w:val="21"/>
                <w:szCs w:val="21"/>
                <w:highlight w:val="none"/>
                <w:shd w:val="clear" w:color="auto" w:fill="auto"/>
              </w:rPr>
              <w:t>按标准配套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w:t>
            </w:r>
            <w:r>
              <w:rPr>
                <w:rFonts w:hint="default" w:ascii="Times New Roman" w:hAnsi="Times New Roman" w:eastAsia="宋体" w:cs="Times New Roman"/>
                <w:color w:val="auto"/>
                <w:sz w:val="21"/>
                <w:szCs w:val="21"/>
                <w:highlight w:val="none"/>
                <w:shd w:val="clear" w:color="auto" w:fill="auto"/>
                <w:lang w:eastAsia="zh-CN"/>
              </w:rPr>
              <w:t>台</w:t>
            </w:r>
            <w:r>
              <w:rPr>
                <w:rFonts w:hint="default" w:ascii="Times New Roman" w:hAnsi="Times New Roman" w:eastAsia="宋体" w:cs="Times New Roman"/>
                <w:color w:val="auto"/>
                <w:sz w:val="21"/>
                <w:szCs w:val="21"/>
                <w:highlight w:val="none"/>
                <w:shd w:val="clear" w:color="auto" w:fill="auto"/>
              </w:rPr>
              <w:cr/>
            </w:r>
            <w:r>
              <w:rPr>
                <w:rFonts w:hint="default" w:ascii="Times New Roman" w:hAnsi="Times New Roman" w:eastAsia="宋体" w:cs="Times New Roman"/>
                <w:color w:val="auto"/>
                <w:sz w:val="21"/>
                <w:szCs w:val="21"/>
                <w:highlight w:val="none"/>
                <w:shd w:val="clear" w:color="auto" w:fill="auto"/>
              </w:rPr>
              <w:t>紧急滑道</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pacing w:val="-11"/>
                <w:sz w:val="21"/>
                <w:szCs w:val="21"/>
                <w:highlight w:val="none"/>
                <w:shd w:val="clear" w:color="auto" w:fill="auto"/>
              </w:rPr>
            </w:pPr>
            <w:r>
              <w:rPr>
                <w:rFonts w:hint="default" w:ascii="Times New Roman" w:hAnsi="Times New Roman" w:eastAsia="宋体" w:cs="Times New Roman"/>
                <w:bCs/>
                <w:color w:val="auto"/>
                <w:spacing w:val="-11"/>
                <w:sz w:val="21"/>
                <w:szCs w:val="21"/>
                <w:highlight w:val="none"/>
                <w:shd w:val="clear" w:color="auto" w:fill="auto"/>
              </w:rPr>
              <w:t>按标准配套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可燃气体监测仪</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2台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kern w:val="0"/>
                <w:sz w:val="21"/>
                <w:szCs w:val="21"/>
                <w:highlight w:val="none"/>
                <w:shd w:val="clear" w:color="auto" w:fill="auto"/>
              </w:rPr>
              <w:t>便携式H</w:t>
            </w:r>
            <w:r>
              <w:rPr>
                <w:rFonts w:hint="default" w:ascii="Times New Roman" w:hAnsi="Times New Roman" w:eastAsia="宋体" w:cs="Times New Roman"/>
                <w:color w:val="auto"/>
                <w:kern w:val="0"/>
                <w:sz w:val="21"/>
                <w:szCs w:val="21"/>
                <w:highlight w:val="none"/>
                <w:shd w:val="clear" w:color="auto" w:fill="auto"/>
                <w:vertAlign w:val="subscript"/>
              </w:rPr>
              <w:t>2</w:t>
            </w:r>
            <w:r>
              <w:rPr>
                <w:rFonts w:hint="default" w:ascii="Times New Roman" w:hAnsi="Times New Roman" w:eastAsia="宋体" w:cs="Times New Roman"/>
                <w:color w:val="auto"/>
                <w:kern w:val="0"/>
                <w:sz w:val="21"/>
                <w:szCs w:val="21"/>
                <w:highlight w:val="none"/>
                <w:shd w:val="clear" w:color="auto" w:fill="auto"/>
              </w:rPr>
              <w:t>S监测仪</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正压式空气呼吸器</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14套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声光报警器</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1个</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防爆对讲机</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5个</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风向标</w:t>
            </w:r>
          </w:p>
        </w:tc>
        <w:tc>
          <w:tcPr>
            <w:tcW w:w="1118"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6"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pStyle w:val="72"/>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7个</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restar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仪器</w:t>
            </w:r>
          </w:p>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仪表</w:t>
            </w:r>
          </w:p>
        </w:tc>
        <w:tc>
          <w:tcPr>
            <w:tcW w:w="125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钻井参数仪</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多参数仪</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测斜仪</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自浮式测斜仪</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87" w:type="pct"/>
            <w:vMerge w:val="continue"/>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p>
        </w:tc>
        <w:tc>
          <w:tcPr>
            <w:tcW w:w="1253" w:type="pct"/>
            <w:gridSpan w:val="2"/>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防H</w:t>
            </w:r>
            <w:r>
              <w:rPr>
                <w:rFonts w:hint="default" w:ascii="Times New Roman" w:hAnsi="Times New Roman" w:eastAsia="宋体" w:cs="Times New Roman"/>
                <w:color w:val="auto"/>
                <w:sz w:val="21"/>
                <w:szCs w:val="21"/>
                <w:highlight w:val="none"/>
                <w:shd w:val="clear" w:color="auto" w:fill="auto"/>
                <w:vertAlign w:val="subscript"/>
              </w:rPr>
              <w:t>2</w:t>
            </w:r>
            <w:r>
              <w:rPr>
                <w:rFonts w:hint="default" w:ascii="Times New Roman" w:hAnsi="Times New Roman" w:eastAsia="宋体" w:cs="Times New Roman"/>
                <w:color w:val="auto"/>
                <w:sz w:val="21"/>
                <w:szCs w:val="21"/>
                <w:highlight w:val="none"/>
                <w:shd w:val="clear" w:color="auto" w:fill="auto"/>
              </w:rPr>
              <w:t>S设备</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便携式</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≥1套</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napToGrid w:val="0"/>
              <w:spacing w:before="40" w:after="40"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640" w:type="pct"/>
            <w:gridSpan w:val="3"/>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液压大钳</w:t>
            </w:r>
          </w:p>
        </w:tc>
        <w:tc>
          <w:tcPr>
            <w:tcW w:w="111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ZQ203/125</w:t>
            </w:r>
          </w:p>
        </w:tc>
        <w:tc>
          <w:tcPr>
            <w:tcW w:w="356"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35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c>
          <w:tcPr>
            <w:tcW w:w="611"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rPr>
              <w:t>台</w:t>
            </w:r>
          </w:p>
        </w:tc>
        <w:tc>
          <w:tcPr>
            <w:tcW w:w="92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bCs/>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w:t>
            </w:r>
          </w:p>
        </w:tc>
      </w:tr>
    </w:tbl>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bCs/>
          <w:color w:val="auto"/>
          <w:sz w:val="24"/>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（8）</w:t>
      </w:r>
      <w:r>
        <w:rPr>
          <w:rFonts w:hint="eastAsia"/>
          <w:bCs/>
          <w:color w:val="auto"/>
          <w:sz w:val="24"/>
          <w:highlight w:val="none"/>
          <w:shd w:val="clear" w:color="auto" w:fill="auto"/>
          <w:lang w:val="en-US" w:eastAsia="zh-CN"/>
        </w:rPr>
        <w:t>井场平面布置</w:t>
      </w:r>
    </w:p>
    <w:p>
      <w:pPr>
        <w:pStyle w:val="75"/>
        <w:keepNext w:val="0"/>
        <w:keepLines w:val="0"/>
        <w:pageBreakBefore w:val="0"/>
        <w:widowControl w:val="0"/>
        <w:kinsoku/>
        <w:wordWrap w:val="0"/>
        <w:overflowPunct/>
        <w:topLinePunct w:val="0"/>
        <w:autoSpaceDE/>
        <w:autoSpaceDN/>
        <w:bidi w:val="0"/>
        <w:adjustRightInd w:val="0"/>
        <w:snapToGrid w:val="0"/>
        <w:spacing w:line="480" w:lineRule="exact"/>
        <w:jc w:val="both"/>
        <w:textAlignment w:val="auto"/>
        <w:rPr>
          <w:rFonts w:hint="default" w:ascii="Times New Roman" w:hAnsi="Times New Roman" w:eastAsia="宋体" w:cs="Times New Roman"/>
          <w:b/>
          <w:bCs w:val="0"/>
          <w:color w:val="auto"/>
          <w:sz w:val="21"/>
          <w:szCs w:val="21"/>
          <w:highlight w:val="none"/>
          <w:shd w:val="clear" w:color="auto" w:fill="auto"/>
        </w:rPr>
      </w:pPr>
      <w:r>
        <w:rPr>
          <w:rFonts w:hint="eastAsia" w:ascii="Times New Roman" w:hAnsi="Times New Roman" w:eastAsia="宋体" w:cs="Times New Roman"/>
          <w:color w:val="auto"/>
          <w:szCs w:val="22"/>
          <w:highlight w:val="none"/>
          <w:shd w:val="clear" w:color="auto" w:fill="auto"/>
          <w:lang w:val="en-US" w:eastAsia="zh-CN"/>
        </w:rPr>
        <w:t>本工程</w:t>
      </w:r>
      <w:r>
        <w:rPr>
          <w:rFonts w:hint="default" w:ascii="Times New Roman" w:hAnsi="Times New Roman" w:cs="Times New Roman"/>
          <w:color w:val="auto"/>
          <w:highlight w:val="none"/>
          <w:shd w:val="clear" w:color="auto" w:fill="auto"/>
          <w:lang w:val="en-US" w:eastAsia="zh-CN"/>
        </w:rPr>
        <w:t>新钻</w:t>
      </w:r>
      <w:r>
        <w:rPr>
          <w:rFonts w:hint="eastAsia" w:cs="Times New Roman"/>
          <w:color w:val="auto"/>
          <w:highlight w:val="none"/>
          <w:shd w:val="clear" w:color="auto" w:fill="auto"/>
          <w:lang w:val="en-US" w:eastAsia="zh-CN"/>
        </w:rPr>
        <w:t>7</w:t>
      </w:r>
      <w:r>
        <w:rPr>
          <w:rFonts w:hint="eastAsia" w:ascii="Times New Roman" w:hAnsi="Times New Roman" w:cs="Times New Roman"/>
          <w:color w:val="auto"/>
          <w:highlight w:val="none"/>
          <w:shd w:val="clear" w:color="auto" w:fill="auto"/>
          <w:lang w:val="en-US" w:eastAsia="zh-CN"/>
        </w:rPr>
        <w:t>口</w:t>
      </w:r>
      <w:r>
        <w:rPr>
          <w:rFonts w:hint="default" w:ascii="Times New Roman" w:hAnsi="Times New Roman" w:cs="Times New Roman"/>
          <w:color w:val="auto"/>
          <w:highlight w:val="none"/>
          <w:shd w:val="clear" w:color="auto" w:fill="auto"/>
          <w:lang w:val="en-US" w:eastAsia="zh-CN"/>
        </w:rPr>
        <w:t>采油井</w:t>
      </w:r>
      <w:r>
        <w:rPr>
          <w:rFonts w:hint="default" w:ascii="Times New Roman" w:hAnsi="Times New Roman" w:eastAsia="宋体" w:cs="Times New Roman"/>
          <w:color w:val="auto"/>
          <w:kern w:val="2"/>
          <w:sz w:val="24"/>
          <w:szCs w:val="24"/>
          <w:highlight w:val="none"/>
          <w:shd w:val="clear" w:color="auto" w:fill="auto"/>
          <w:lang w:val="en-US" w:eastAsia="zh-CN" w:bidi="ar-SA"/>
        </w:rPr>
        <w:t>，</w:t>
      </w:r>
      <w:r>
        <w:rPr>
          <w:rFonts w:hint="default" w:ascii="Times New Roman" w:hAnsi="Times New Roman" w:cs="Times New Roman"/>
          <w:bCs/>
          <w:color w:val="auto"/>
          <w:sz w:val="24"/>
          <w:szCs w:val="24"/>
          <w:highlight w:val="none"/>
          <w:shd w:val="clear" w:color="auto" w:fill="auto"/>
        </w:rPr>
        <w:t>单井钻井总占地面积</w:t>
      </w:r>
      <w:r>
        <w:rPr>
          <w:rFonts w:hint="default" w:ascii="Times New Roman" w:hAnsi="Times New Roman" w:cs="Times New Roman"/>
          <w:bCs/>
          <w:color w:val="auto"/>
          <w:sz w:val="24"/>
          <w:szCs w:val="24"/>
          <w:highlight w:val="none"/>
          <w:shd w:val="clear" w:color="auto" w:fill="auto"/>
          <w:lang w:val="en-US" w:eastAsia="zh-CN"/>
        </w:rPr>
        <w:t>1</w:t>
      </w:r>
      <w:r>
        <w:rPr>
          <w:rFonts w:hint="eastAsia" w:ascii="Times New Roman" w:hAnsi="Times New Roman" w:cs="Times New Roman"/>
          <w:bCs/>
          <w:color w:val="auto"/>
          <w:sz w:val="24"/>
          <w:szCs w:val="24"/>
          <w:highlight w:val="none"/>
          <w:shd w:val="clear" w:color="auto" w:fill="auto"/>
          <w:lang w:val="en-US" w:eastAsia="zh-CN"/>
        </w:rPr>
        <w:t>20</w:t>
      </w:r>
      <w:r>
        <w:rPr>
          <w:rFonts w:hint="default" w:ascii="Times New Roman" w:hAnsi="Times New Roman" w:cs="Times New Roman"/>
          <w:bCs/>
          <w:color w:val="auto"/>
          <w:sz w:val="24"/>
          <w:szCs w:val="24"/>
          <w:highlight w:val="none"/>
          <w:shd w:val="clear" w:color="auto" w:fill="auto"/>
          <w:lang w:val="en-US" w:eastAsia="zh-CN"/>
        </w:rPr>
        <w:t>00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vertAlign w:val="superscript"/>
        </w:rPr>
        <w:t>2</w:t>
      </w:r>
      <w:r>
        <w:rPr>
          <w:rFonts w:hint="default" w:ascii="Times New Roman" w:hAnsi="Times New Roman" w:cs="Times New Roman"/>
          <w:bCs/>
          <w:color w:val="auto"/>
          <w:sz w:val="24"/>
          <w:szCs w:val="24"/>
          <w:highlight w:val="none"/>
          <w:shd w:val="clear" w:color="auto" w:fill="auto"/>
        </w:rPr>
        <w:t>（</w:t>
      </w:r>
      <w:r>
        <w:rPr>
          <w:rFonts w:hint="default" w:ascii="Times New Roman" w:hAnsi="Times New Roman" w:cs="Times New Roman"/>
          <w:bCs/>
          <w:color w:val="auto"/>
          <w:sz w:val="24"/>
          <w:szCs w:val="24"/>
          <w:highlight w:val="none"/>
          <w:shd w:val="clear" w:color="auto" w:fill="auto"/>
          <w:lang w:val="en-US" w:eastAsia="zh-CN"/>
        </w:rPr>
        <w:t>100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lang w:val="en-US" w:eastAsia="zh-CN"/>
        </w:rPr>
        <w:t>1</w:t>
      </w:r>
      <w:r>
        <w:rPr>
          <w:rFonts w:hint="eastAsia" w:ascii="Times New Roman" w:hAnsi="Times New Roman" w:cs="Times New Roman"/>
          <w:bCs/>
          <w:color w:val="auto"/>
          <w:sz w:val="24"/>
          <w:szCs w:val="24"/>
          <w:highlight w:val="none"/>
          <w:shd w:val="clear" w:color="auto" w:fill="auto"/>
          <w:lang w:val="en-US" w:eastAsia="zh-CN"/>
        </w:rPr>
        <w:t>20</w:t>
      </w:r>
      <w:r>
        <w:rPr>
          <w:rFonts w:hint="default" w:ascii="Times New Roman" w:hAnsi="Times New Roman" w:cs="Times New Roman"/>
          <w:bCs/>
          <w:color w:val="auto"/>
          <w:sz w:val="24"/>
          <w:szCs w:val="24"/>
          <w:highlight w:val="none"/>
          <w:shd w:val="clear" w:color="auto" w:fill="auto"/>
        </w:rPr>
        <w:t>m），永久占地面积</w:t>
      </w:r>
      <w:r>
        <w:rPr>
          <w:rFonts w:hint="default" w:ascii="Times New Roman" w:hAnsi="Times New Roman" w:cs="Times New Roman"/>
          <w:bCs/>
          <w:color w:val="auto"/>
          <w:sz w:val="24"/>
          <w:szCs w:val="24"/>
          <w:highlight w:val="none"/>
          <w:shd w:val="clear" w:color="auto" w:fill="auto"/>
          <w:lang w:val="en-US" w:eastAsia="zh-CN"/>
        </w:rPr>
        <w:t>1200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vertAlign w:val="superscript"/>
        </w:rPr>
        <w:t>2</w:t>
      </w:r>
      <w:r>
        <w:rPr>
          <w:rFonts w:hint="default" w:ascii="Times New Roman" w:hAnsi="Times New Roman" w:cs="Times New Roman"/>
          <w:bCs/>
          <w:color w:val="auto"/>
          <w:sz w:val="24"/>
          <w:szCs w:val="24"/>
          <w:highlight w:val="none"/>
          <w:shd w:val="clear" w:color="auto" w:fill="auto"/>
        </w:rPr>
        <w:t>（</w:t>
      </w:r>
      <w:r>
        <w:rPr>
          <w:rFonts w:hint="default" w:ascii="Times New Roman" w:hAnsi="Times New Roman" w:cs="Times New Roman"/>
          <w:bCs/>
          <w:color w:val="auto"/>
          <w:sz w:val="24"/>
          <w:szCs w:val="24"/>
          <w:highlight w:val="none"/>
          <w:shd w:val="clear" w:color="auto" w:fill="auto"/>
          <w:lang w:val="en-US" w:eastAsia="zh-CN"/>
        </w:rPr>
        <w:t>30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lang w:val="en-US" w:eastAsia="zh-CN"/>
        </w:rPr>
        <w:t>40</w:t>
      </w:r>
      <w:r>
        <w:rPr>
          <w:rFonts w:hint="default" w:ascii="Times New Roman" w:hAnsi="Times New Roman" w:cs="Times New Roman"/>
          <w:bCs/>
          <w:color w:val="auto"/>
          <w:sz w:val="24"/>
          <w:szCs w:val="24"/>
          <w:highlight w:val="none"/>
          <w:shd w:val="clear" w:color="auto" w:fill="auto"/>
        </w:rPr>
        <w:t>m），临时占地面积</w:t>
      </w:r>
      <w:r>
        <w:rPr>
          <w:rFonts w:hint="eastAsia" w:ascii="Times New Roman" w:hAnsi="Times New Roman" w:cs="Times New Roman"/>
          <w:bCs/>
          <w:color w:val="auto"/>
          <w:sz w:val="24"/>
          <w:szCs w:val="24"/>
          <w:highlight w:val="none"/>
          <w:shd w:val="clear" w:color="auto" w:fill="auto"/>
          <w:lang w:val="en-US" w:eastAsia="zh-CN"/>
        </w:rPr>
        <w:t>10800</w:t>
      </w:r>
      <w:r>
        <w:rPr>
          <w:rFonts w:hint="default" w:ascii="Times New Roman" w:hAnsi="Times New Roman" w:cs="Times New Roman"/>
          <w:bCs/>
          <w:color w:val="auto"/>
          <w:sz w:val="24"/>
          <w:szCs w:val="24"/>
          <w:highlight w:val="none"/>
          <w:shd w:val="clear" w:color="auto" w:fill="auto"/>
        </w:rPr>
        <w:t>m</w:t>
      </w:r>
      <w:r>
        <w:rPr>
          <w:rFonts w:hint="default" w:ascii="Times New Roman" w:hAnsi="Times New Roman" w:cs="Times New Roman"/>
          <w:bCs/>
          <w:color w:val="auto"/>
          <w:sz w:val="24"/>
          <w:szCs w:val="24"/>
          <w:highlight w:val="none"/>
          <w:shd w:val="clear" w:color="auto" w:fill="auto"/>
          <w:vertAlign w:val="superscript"/>
        </w:rPr>
        <w:t>2</w:t>
      </w:r>
      <w:r>
        <w:rPr>
          <w:rFonts w:hint="default" w:ascii="Times New Roman" w:hAnsi="Times New Roman" w:cs="Times New Roman"/>
          <w:bCs/>
          <w:color w:val="auto"/>
          <w:sz w:val="24"/>
          <w:szCs w:val="24"/>
          <w:highlight w:val="none"/>
          <w:shd w:val="clear" w:color="auto" w:fill="auto"/>
        </w:rPr>
        <w:t>，临时生活营地2400m</w:t>
      </w:r>
      <w:r>
        <w:rPr>
          <w:rFonts w:hint="default" w:ascii="Times New Roman" w:hAnsi="Times New Roman" w:cs="Times New Roman"/>
          <w:bCs/>
          <w:color w:val="auto"/>
          <w:sz w:val="24"/>
          <w:szCs w:val="24"/>
          <w:highlight w:val="none"/>
          <w:shd w:val="clear" w:color="auto" w:fill="auto"/>
          <w:vertAlign w:val="superscript"/>
        </w:rPr>
        <w:t>2</w:t>
      </w:r>
      <w:r>
        <w:rPr>
          <w:rFonts w:hint="default" w:ascii="Times New Roman" w:hAnsi="Times New Roman" w:cs="Times New Roman"/>
          <w:bCs/>
          <w:color w:val="auto"/>
          <w:sz w:val="24"/>
          <w:szCs w:val="24"/>
          <w:highlight w:val="none"/>
          <w:shd w:val="clear" w:color="auto" w:fill="auto"/>
        </w:rPr>
        <w:t>（40m×60m）</w:t>
      </w:r>
      <w:r>
        <w:rPr>
          <w:rFonts w:hint="eastAsia" w:ascii="Times New Roman" w:hAnsi="Times New Roman" w:cs="Times New Roman"/>
          <w:bCs/>
          <w:color w:val="auto"/>
          <w:sz w:val="24"/>
          <w:szCs w:val="24"/>
          <w:highlight w:val="none"/>
          <w:shd w:val="clear" w:color="auto" w:fill="auto"/>
          <w:lang w:eastAsia="zh-CN"/>
        </w:rPr>
        <w:t>。</w:t>
      </w:r>
      <w:r>
        <w:rPr>
          <w:color w:val="auto"/>
          <w:szCs w:val="24"/>
          <w:highlight w:val="none"/>
          <w:shd w:val="clear" w:color="auto" w:fill="auto"/>
        </w:rPr>
        <w:t>根据标准化井场布置要求，在前场主要布置钻杆、套管等堆存区和值班房、消防房等设施，在右侧布置泥浆罐、泥浆泵、水罐、录井房、砂样房、工程房，在左场布置远控房、大班房、材料房、</w:t>
      </w:r>
      <w:r>
        <w:rPr>
          <w:rFonts w:hint="eastAsia"/>
          <w:color w:val="auto"/>
          <w:szCs w:val="24"/>
          <w:highlight w:val="none"/>
          <w:shd w:val="clear" w:color="auto" w:fill="auto"/>
          <w:lang w:val="en-US"/>
        </w:rPr>
        <w:t>危险废物暂存间</w:t>
      </w:r>
      <w:r>
        <w:rPr>
          <w:color w:val="auto"/>
          <w:szCs w:val="24"/>
          <w:highlight w:val="none"/>
          <w:shd w:val="clear" w:color="auto" w:fill="auto"/>
        </w:rPr>
        <w:t>、柴油罐、油品房</w:t>
      </w:r>
      <w:r>
        <w:rPr>
          <w:rFonts w:hint="eastAsia"/>
          <w:color w:val="auto"/>
          <w:szCs w:val="24"/>
          <w:highlight w:val="none"/>
          <w:shd w:val="clear" w:color="auto" w:fill="auto"/>
          <w:lang w:val="en-US" w:eastAsia="zh-CN"/>
        </w:rPr>
        <w:t>和</w:t>
      </w:r>
      <w:r>
        <w:rPr>
          <w:color w:val="auto"/>
          <w:szCs w:val="24"/>
          <w:highlight w:val="none"/>
          <w:shd w:val="clear" w:color="auto" w:fill="auto"/>
        </w:rPr>
        <w:t>配电房，在后场布置发电机房等设施。钻屑不落地设施布置在井场内循环罐右侧，与循环罐之间采用排水沟连接。钻井井场布置示意图详见图</w:t>
      </w:r>
      <w:r>
        <w:rPr>
          <w:rFonts w:hint="eastAsia"/>
          <w:color w:val="auto"/>
          <w:highlight w:val="none"/>
          <w:shd w:val="clear" w:color="auto" w:fill="auto"/>
          <w:lang w:val="en-US" w:eastAsia="zh-CN"/>
        </w:rPr>
        <w:t>3.2-4</w:t>
      </w:r>
      <w:r>
        <w:rPr>
          <w:color w:val="auto"/>
          <w:szCs w:val="24"/>
          <w:highlight w:val="none"/>
          <w:shd w:val="clear" w:color="auto" w:fill="auto"/>
        </w:rPr>
        <w:t>。</w:t>
      </w:r>
    </w:p>
    <w:p>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both"/>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both"/>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both"/>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center"/>
        <w:rPr>
          <w:rFonts w:hint="default" w:ascii="Times New Roman" w:hAnsi="Times New Roman" w:eastAsia="宋体" w:cs="Times New Roman"/>
          <w:b/>
          <w:bCs w:val="0"/>
          <w:color w:val="auto"/>
          <w:sz w:val="21"/>
          <w:szCs w:val="21"/>
          <w:highlight w:val="none"/>
          <w:shd w:val="clear" w:color="auto" w:fill="auto"/>
        </w:rPr>
      </w:pPr>
    </w:p>
    <w:p>
      <w:pPr>
        <w:pStyle w:val="75"/>
        <w:ind w:left="0" w:leftChars="0" w:firstLine="0" w:firstLineChars="0"/>
        <w:jc w:val="center"/>
        <w:rPr>
          <w:rFonts w:hint="default" w:ascii="Times New Roman" w:hAnsi="Times New Roman" w:eastAsia="宋体" w:cs="Times New Roman"/>
          <w:b/>
          <w:bCs w:val="0"/>
          <w:color w:val="auto"/>
          <w:szCs w:val="22"/>
          <w:highlight w:val="none"/>
          <w:shd w:val="clear" w:color="auto" w:fill="auto"/>
          <w:lang w:val="en-US" w:eastAsia="zh-CN"/>
        </w:rPr>
      </w:pPr>
      <w:r>
        <w:rPr>
          <w:rFonts w:hint="default" w:ascii="Times New Roman" w:hAnsi="Times New Roman" w:eastAsia="宋体" w:cs="Times New Roman"/>
          <w:b/>
          <w:bCs w:val="0"/>
          <w:color w:val="auto"/>
          <w:sz w:val="21"/>
          <w:szCs w:val="21"/>
          <w:highlight w:val="none"/>
          <w:shd w:val="clear" w:color="auto" w:fill="auto"/>
        </w:rPr>
        <w:t>图</w:t>
      </w:r>
      <w:r>
        <w:rPr>
          <w:rFonts w:hint="eastAsia" w:ascii="Times New Roman" w:hAnsi="Times New Roman" w:eastAsia="宋体" w:cs="Times New Roman"/>
          <w:b/>
          <w:bCs w:val="0"/>
          <w:color w:val="auto"/>
          <w:sz w:val="21"/>
          <w:szCs w:val="21"/>
          <w:highlight w:val="none"/>
          <w:shd w:val="clear" w:color="auto" w:fill="auto"/>
          <w:lang w:val="en-US" w:eastAsia="zh-CN"/>
        </w:rPr>
        <w:t>3.2-</w:t>
      </w:r>
      <w:r>
        <w:rPr>
          <w:rFonts w:hint="eastAsia" w:cs="Times New Roman"/>
          <w:b/>
          <w:bCs w:val="0"/>
          <w:color w:val="auto"/>
          <w:sz w:val="21"/>
          <w:szCs w:val="21"/>
          <w:highlight w:val="none"/>
          <w:shd w:val="clear" w:color="auto" w:fill="auto"/>
          <w:lang w:val="en-US" w:eastAsia="zh-CN"/>
        </w:rPr>
        <w:t>4</w:t>
      </w:r>
      <w:r>
        <w:rPr>
          <w:rFonts w:hint="default" w:ascii="Times New Roman" w:hAnsi="Times New Roman" w:eastAsia="宋体" w:cs="Times New Roman"/>
          <w:b/>
          <w:bCs w:val="0"/>
          <w:color w:val="auto"/>
          <w:sz w:val="21"/>
          <w:szCs w:val="21"/>
          <w:highlight w:val="none"/>
          <w:shd w:val="clear" w:color="auto" w:fill="auto"/>
        </w:rPr>
        <w:t xml:space="preserve"> </w:t>
      </w:r>
      <w:r>
        <w:rPr>
          <w:rFonts w:hint="default" w:ascii="Times New Roman" w:hAnsi="Times New Roman" w:eastAsia="宋体" w:cs="Times New Roman"/>
          <w:b/>
          <w:bCs w:val="0"/>
          <w:color w:val="auto"/>
          <w:sz w:val="21"/>
          <w:szCs w:val="21"/>
          <w:highlight w:val="none"/>
          <w:shd w:val="clear" w:color="auto" w:fill="auto"/>
          <w:lang w:val="en-US" w:eastAsia="zh-CN"/>
        </w:rPr>
        <w:t xml:space="preserve"> </w:t>
      </w:r>
      <w:r>
        <w:rPr>
          <w:rFonts w:hint="default" w:ascii="Times New Roman" w:hAnsi="Times New Roman" w:eastAsia="宋体" w:cs="Times New Roman"/>
          <w:b/>
          <w:bCs w:val="0"/>
          <w:color w:val="auto"/>
          <w:sz w:val="21"/>
          <w:szCs w:val="21"/>
          <w:highlight w:val="none"/>
          <w:shd w:val="clear" w:color="auto" w:fill="auto"/>
        </w:rPr>
        <w:t xml:space="preserve"> 井场平面布局示意图</w:t>
      </w:r>
    </w:p>
    <w:p>
      <w:pPr>
        <w:pStyle w:val="6"/>
        <w:rPr>
          <w:rFonts w:hint="eastAsia"/>
          <w:color w:val="auto"/>
          <w:highlight w:val="none"/>
          <w:lang w:val="en-US" w:eastAsia="zh-CN"/>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rFonts w:hint="eastAsia"/>
          <w:color w:val="auto"/>
          <w:highlight w:val="none"/>
          <w:lang w:val="en-US" w:eastAsia="zh-CN"/>
        </w:rPr>
        <w:t>3储层改造工程</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（1）射孔作业</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套管射孔是油井钻井、固井完成后，利用射孔器射穿油层套管、水泥环并穿透至油层一定深度，从而建立井筒与地层间的油气流动通道。</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（2）储层压裂改造</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①压裂液体系</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由于油页岩低孔低渗的特殊性，需要足够的外界压力驱使油气排出，压裂技术能够提供外界压力并可造成微裂缝作为通道，提高采收率。</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本工程开发区块属于低渗储层，需要对钻井水平段进行压裂改造，改善地层渗流条件，扩大储层渗流波及范围，从而达到油井增产的目的。</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本工程压裂液体系属于“全程滑溜水+小粒径石英砂”，压裂材料选用免配防垢聚合物、70/140目+40/70</w:t>
      </w:r>
      <w:r>
        <w:rPr>
          <w:rFonts w:hint="eastAsia" w:ascii="Times New Roman" w:hAnsi="Times New Roman" w:eastAsia="宋体" w:cs="Times New Roman"/>
          <w:color w:val="auto"/>
          <w:szCs w:val="22"/>
          <w:highlight w:val="none"/>
          <w:shd w:val="clear" w:color="auto" w:fill="auto"/>
          <w:lang w:val="en-US" w:eastAsia="zh-CN"/>
        </w:rPr>
        <w:fldChar w:fldCharType="begin"/>
      </w:r>
      <w:r>
        <w:rPr>
          <w:rFonts w:hint="eastAsia" w:ascii="Times New Roman" w:hAnsi="Times New Roman" w:eastAsia="宋体" w:cs="Times New Roman"/>
          <w:color w:val="auto"/>
          <w:szCs w:val="22"/>
          <w:highlight w:val="none"/>
          <w:shd w:val="clear" w:color="auto" w:fill="auto"/>
          <w:lang w:val="en-US" w:eastAsia="zh-CN"/>
        </w:rPr>
        <w:instrText xml:space="preserve"> HYPERLINK \l "bookmark177" </w:instrText>
      </w:r>
      <w:r>
        <w:rPr>
          <w:rFonts w:hint="eastAsia" w:ascii="Times New Roman" w:hAnsi="Times New Roman" w:eastAsia="宋体" w:cs="Times New Roman"/>
          <w:color w:val="auto"/>
          <w:szCs w:val="22"/>
          <w:highlight w:val="none"/>
          <w:shd w:val="clear" w:color="auto" w:fill="auto"/>
          <w:lang w:val="en-US" w:eastAsia="zh-CN"/>
        </w:rPr>
        <w:fldChar w:fldCharType="separate"/>
      </w:r>
      <w:r>
        <w:rPr>
          <w:rFonts w:hint="eastAsia" w:ascii="Times New Roman" w:hAnsi="Times New Roman" w:eastAsia="宋体" w:cs="Times New Roman"/>
          <w:color w:val="auto"/>
          <w:szCs w:val="22"/>
          <w:highlight w:val="none"/>
          <w:shd w:val="clear" w:color="auto" w:fill="auto"/>
          <w:lang w:val="en-US" w:eastAsia="zh-CN"/>
        </w:rPr>
        <w:t>目陶粒支撑剂，主要组分见表3.2-1</w:t>
      </w:r>
      <w:r>
        <w:rPr>
          <w:rFonts w:hint="eastAsia" w:cs="Times New Roman"/>
          <w:color w:val="auto"/>
          <w:szCs w:val="22"/>
          <w:highlight w:val="none"/>
          <w:shd w:val="clear" w:color="auto" w:fill="auto"/>
          <w:lang w:val="en-US" w:eastAsia="zh-CN"/>
        </w:rPr>
        <w:t>5</w:t>
      </w:r>
      <w:r>
        <w:rPr>
          <w:rFonts w:hint="eastAsia" w:ascii="Times New Roman" w:hAnsi="Times New Roman" w:eastAsia="宋体" w:cs="Times New Roman"/>
          <w:color w:val="auto"/>
          <w:szCs w:val="22"/>
          <w:highlight w:val="none"/>
          <w:shd w:val="clear" w:color="auto" w:fill="auto"/>
          <w:lang w:val="en-US" w:eastAsia="zh-CN"/>
        </w:rPr>
        <w:t>，</w:t>
      </w:r>
      <w:r>
        <w:rPr>
          <w:rFonts w:hint="eastAsia" w:ascii="Times New Roman" w:hAnsi="Times New Roman" w:eastAsia="宋体" w:cs="Times New Roman"/>
          <w:color w:val="auto"/>
          <w:szCs w:val="22"/>
          <w:highlight w:val="none"/>
          <w:shd w:val="clear" w:color="auto" w:fill="auto"/>
          <w:lang w:val="en-US" w:eastAsia="zh-CN"/>
        </w:rPr>
        <w:fldChar w:fldCharType="end"/>
      </w:r>
      <w:r>
        <w:rPr>
          <w:rFonts w:hint="eastAsia" w:ascii="Times New Roman" w:hAnsi="Times New Roman" w:eastAsia="宋体" w:cs="Times New Roman"/>
          <w:color w:val="auto"/>
          <w:szCs w:val="22"/>
          <w:highlight w:val="none"/>
          <w:shd w:val="clear" w:color="auto" w:fill="auto"/>
          <w:lang w:val="en-US" w:eastAsia="zh-CN"/>
        </w:rPr>
        <w:t>主要成</w:t>
      </w:r>
      <w:bookmarkStart w:id="286" w:name="bookmark177"/>
      <w:bookmarkEnd w:id="286"/>
      <w:r>
        <w:rPr>
          <w:rFonts w:hint="eastAsia" w:ascii="Times New Roman" w:hAnsi="Times New Roman" w:eastAsia="宋体" w:cs="Times New Roman"/>
          <w:color w:val="auto"/>
          <w:szCs w:val="22"/>
          <w:highlight w:val="none"/>
          <w:shd w:val="clear" w:color="auto" w:fill="auto"/>
          <w:lang w:val="en-US" w:eastAsia="zh-CN"/>
        </w:rPr>
        <w:fldChar w:fldCharType="begin"/>
      </w:r>
      <w:r>
        <w:rPr>
          <w:rFonts w:hint="eastAsia" w:ascii="Times New Roman" w:hAnsi="Times New Roman" w:eastAsia="宋体" w:cs="Times New Roman"/>
          <w:color w:val="auto"/>
          <w:szCs w:val="22"/>
          <w:highlight w:val="none"/>
          <w:shd w:val="clear" w:color="auto" w:fill="auto"/>
          <w:lang w:val="en-US" w:eastAsia="zh-CN"/>
        </w:rPr>
        <w:instrText xml:space="preserve"> HYPERLINK \l "bookmark178" </w:instrText>
      </w:r>
      <w:r>
        <w:rPr>
          <w:rFonts w:hint="eastAsia" w:ascii="Times New Roman" w:hAnsi="Times New Roman" w:eastAsia="宋体" w:cs="Times New Roman"/>
          <w:color w:val="auto"/>
          <w:szCs w:val="22"/>
          <w:highlight w:val="none"/>
          <w:shd w:val="clear" w:color="auto" w:fill="auto"/>
          <w:lang w:val="en-US" w:eastAsia="zh-CN"/>
        </w:rPr>
        <w:fldChar w:fldCharType="separate"/>
      </w:r>
      <w:r>
        <w:rPr>
          <w:rFonts w:hint="eastAsia" w:ascii="Times New Roman" w:hAnsi="Times New Roman" w:eastAsia="宋体" w:cs="Times New Roman"/>
          <w:color w:val="auto"/>
          <w:szCs w:val="22"/>
          <w:highlight w:val="none"/>
          <w:shd w:val="clear" w:color="auto" w:fill="auto"/>
          <w:lang w:val="en-US" w:eastAsia="zh-CN"/>
        </w:rPr>
        <w:t>分理化性质见表3.2-1</w:t>
      </w:r>
      <w:r>
        <w:rPr>
          <w:rFonts w:hint="eastAsia" w:cs="Times New Roman"/>
          <w:color w:val="auto"/>
          <w:szCs w:val="22"/>
          <w:highlight w:val="none"/>
          <w:shd w:val="clear" w:color="auto" w:fill="auto"/>
          <w:lang w:val="en-US" w:eastAsia="zh-CN"/>
        </w:rPr>
        <w:t>6</w:t>
      </w:r>
      <w:r>
        <w:rPr>
          <w:rFonts w:hint="eastAsia" w:ascii="Times New Roman" w:hAnsi="Times New Roman" w:eastAsia="宋体" w:cs="Times New Roman"/>
          <w:color w:val="auto"/>
          <w:szCs w:val="22"/>
          <w:highlight w:val="none"/>
          <w:shd w:val="clear" w:color="auto" w:fill="auto"/>
          <w:lang w:val="en-US" w:eastAsia="zh-CN"/>
        </w:rPr>
        <w:t>。</w:t>
      </w:r>
      <w:r>
        <w:rPr>
          <w:rFonts w:hint="eastAsia" w:ascii="Times New Roman" w:hAnsi="Times New Roman" w:eastAsia="宋体" w:cs="Times New Roman"/>
          <w:color w:val="auto"/>
          <w:szCs w:val="22"/>
          <w:highlight w:val="none"/>
          <w:shd w:val="clear" w:color="auto" w:fill="auto"/>
          <w:lang w:val="en-US" w:eastAsia="zh-CN"/>
        </w:rPr>
        <w:fldChar w:fldCharType="end"/>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3.2-15</w:t>
      </w:r>
      <w:r>
        <w:rPr>
          <w:rFonts w:hint="eastAsia" w:cs="Times New Roman"/>
          <w:color w:val="auto"/>
          <w:highlight w:val="none"/>
        </w:rPr>
        <w:t xml:space="preserve">    </w:t>
      </w:r>
      <w:r>
        <w:rPr>
          <w:rFonts w:hint="eastAsia" w:cs="Times New Roman"/>
          <w:color w:val="auto"/>
          <w:highlight w:val="none"/>
          <w:lang w:val="en-US" w:eastAsia="zh-CN"/>
        </w:rPr>
        <w:t>压裂液组分</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00"/>
        <w:gridCol w:w="3471"/>
        <w:gridCol w:w="27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top w:val="single" w:color="auto" w:sz="12" w:space="0"/>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序号</w:t>
            </w:r>
          </w:p>
        </w:tc>
        <w:tc>
          <w:tcPr>
            <w:tcW w:w="3471" w:type="dxa"/>
            <w:tcBorders>
              <w:top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压裂液主要成分</w:t>
            </w:r>
          </w:p>
        </w:tc>
        <w:tc>
          <w:tcPr>
            <w:tcW w:w="2743" w:type="dxa"/>
            <w:tcBorders>
              <w:top w:val="single" w:color="auto" w:sz="12" w:space="0"/>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占比/%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水</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90.620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2</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陶粒支撑剂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8.950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3</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酸碱调节剂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0.110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4</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破胶剂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5</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缓蚀剂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6</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减阻剂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7</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交联剂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8</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助排剂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9</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防垢剂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10</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凝胶剂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00" w:type="dxa"/>
            <w:tcBorders>
              <w:lef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11</w:t>
            </w:r>
          </w:p>
        </w:tc>
        <w:tc>
          <w:tcPr>
            <w:tcW w:w="3471" w:type="dxa"/>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黏土防膨剂</w:t>
            </w:r>
          </w:p>
        </w:tc>
        <w:tc>
          <w:tcPr>
            <w:tcW w:w="2743" w:type="dxa"/>
            <w:tcBorders>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0.050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571" w:type="dxa"/>
            <w:gridSpan w:val="2"/>
            <w:tcBorders>
              <w:left w:val="single" w:color="auto" w:sz="12" w:space="0"/>
              <w:bottom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合计</w:t>
            </w:r>
          </w:p>
        </w:tc>
        <w:tc>
          <w:tcPr>
            <w:tcW w:w="2743" w:type="dxa"/>
            <w:tcBorders>
              <w:bottom w:val="single" w:color="auto" w:sz="12" w:space="0"/>
              <w:right w:val="single" w:color="auto" w:sz="12" w:space="0"/>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100</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3.2-16</w:t>
      </w:r>
      <w:r>
        <w:rPr>
          <w:rFonts w:hint="eastAsia" w:cs="Times New Roman"/>
          <w:color w:val="auto"/>
          <w:highlight w:val="none"/>
        </w:rPr>
        <w:t xml:space="preserve">    </w:t>
      </w:r>
      <w:r>
        <w:rPr>
          <w:rFonts w:hint="eastAsia" w:cs="Times New Roman"/>
          <w:color w:val="auto"/>
          <w:highlight w:val="none"/>
          <w:lang w:val="en-US" w:eastAsia="zh-CN"/>
        </w:rPr>
        <w:t>压裂液主要成分理化性质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64"/>
        <w:gridCol w:w="1789"/>
        <w:gridCol w:w="638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序号</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压裂液主要成分</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理化性质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支撑剂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主要为石英砂、陶粒等，保持裂缝处于张开位置，获得高倒流能力，增大排油面积，降低流体流动阻力，起到增产效果。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酸碱调节剂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通常使用盐酸、柠檬酸、氢氧化钠等，主要用于调节钻井液的pH值。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破胶剂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延缓中、高温储层压裂液冻胶破胶，在压裂施工中使冻胶保持较高的黏度，有利于造缝和携砂，施工后可使压裂液彻底破胶水化，利于返排，降低施工风险，减少压裂液对支撑裂缝导流能力的伤害。</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4</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缓蚀剂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在金属表面定向吸附而形成保护膜，同时还可抑制酸与金属间的电极反应，避免设备腐蚀，起到抗蚀、阻蚀、缓蚀作用。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5</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减阻剂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滑溜水压裂施工中泵速较大，因而会产生较高摩阻。减阻剂的作用是减少压裂液流动时的摩擦系数，从而减少施工压力，改善钻井液流变性能、减少摩阻等性能。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交联剂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保持压裂液的悬砂、造缝能力，降低滤失。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助排剂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在压裂液中加入助排剂的主要目的是降低表面张力，降低返排压裂液需要克服的地层喉道毛管力，从而促进压裂液返排。在致密油、气和页岩油、气的开采过程中，压裂液的滞留会对储层造成严重的水相圈闭损害，因此助排剂在这些开采过程中不可或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8</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防垢剂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防止沉积物附着于作业设备上。</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9</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凝胶剂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起到提高压裂液支撑性作用。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64"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w:t>
            </w:r>
          </w:p>
        </w:tc>
        <w:tc>
          <w:tcPr>
            <w:tcW w:w="1789"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黏土防膨剂</w:t>
            </w:r>
          </w:p>
        </w:tc>
        <w:tc>
          <w:tcPr>
            <w:tcW w:w="638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增吸附在黏土颗粒表面，防止水敏性矿物水化膨胀及分散运移对油气层造成的伤害，增强油层的胶结强度，防止地层出砂。</w:t>
            </w:r>
          </w:p>
        </w:tc>
      </w:tr>
    </w:tbl>
    <w:p>
      <w:pPr>
        <w:keepNext w:val="0"/>
        <w:keepLines w:val="0"/>
        <w:pageBreakBefore w:val="0"/>
        <w:kinsoku/>
        <w:overflowPunct/>
        <w:topLinePunct w:val="0"/>
        <w:autoSpaceDE/>
        <w:autoSpaceDN/>
        <w:bidi w:val="0"/>
        <w:adjustRightInd w:val="0"/>
        <w:snapToGrid w:val="0"/>
        <w:spacing w:line="480" w:lineRule="exact"/>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（3）压裂液用量</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本工程部署的7</w:t>
      </w:r>
      <w:r>
        <w:rPr>
          <w:rFonts w:hint="default" w:ascii="Times New Roman" w:hAnsi="Times New Roman" w:eastAsia="宋体" w:cs="Times New Roman"/>
          <w:color w:val="auto"/>
          <w:sz w:val="24"/>
          <w:szCs w:val="24"/>
          <w:highlight w:val="none"/>
          <w:shd w:val="clear" w:color="auto" w:fill="auto"/>
          <w:lang w:val="en-US" w:eastAsia="zh-CN"/>
        </w:rPr>
        <w:t>口井</w:t>
      </w:r>
      <w:r>
        <w:rPr>
          <w:rFonts w:hint="eastAsia" w:ascii="Times New Roman" w:hAnsi="Times New Roman" w:eastAsia="宋体" w:cs="Times New Roman"/>
          <w:color w:val="auto"/>
          <w:sz w:val="24"/>
          <w:szCs w:val="24"/>
          <w:highlight w:val="none"/>
          <w:shd w:val="clear" w:color="auto" w:fill="auto"/>
          <w:lang w:val="en-US" w:eastAsia="zh-CN"/>
        </w:rPr>
        <w:t>采油井</w:t>
      </w:r>
      <w:r>
        <w:rPr>
          <w:rFonts w:hint="default" w:ascii="Times New Roman" w:hAnsi="Times New Roman" w:eastAsia="宋体" w:cs="Times New Roman"/>
          <w:color w:val="auto"/>
          <w:sz w:val="24"/>
          <w:szCs w:val="24"/>
          <w:highlight w:val="none"/>
          <w:shd w:val="clear" w:color="auto" w:fill="auto"/>
          <w:lang w:val="en-US" w:eastAsia="zh-CN"/>
        </w:rPr>
        <w:t>水平段平均长度</w:t>
      </w:r>
      <w:r>
        <w:rPr>
          <w:rFonts w:hint="eastAsia" w:ascii="Times New Roman" w:hAnsi="Times New Roman" w:eastAsia="宋体" w:cs="Times New Roman"/>
          <w:color w:val="auto"/>
          <w:sz w:val="24"/>
          <w:szCs w:val="24"/>
          <w:highlight w:val="none"/>
          <w:shd w:val="clear" w:color="auto" w:fill="auto"/>
          <w:lang w:val="en-US" w:eastAsia="zh-CN"/>
        </w:rPr>
        <w:t>均</w:t>
      </w:r>
      <w:r>
        <w:rPr>
          <w:rFonts w:hint="default" w:ascii="Times New Roman" w:hAnsi="Times New Roman" w:eastAsia="宋体" w:cs="Times New Roman"/>
          <w:color w:val="auto"/>
          <w:sz w:val="24"/>
          <w:szCs w:val="24"/>
          <w:highlight w:val="none"/>
          <w:shd w:val="clear" w:color="auto" w:fill="auto"/>
          <w:lang w:val="en-US" w:eastAsia="zh-CN"/>
        </w:rPr>
        <w:t>为</w:t>
      </w:r>
      <w:r>
        <w:rPr>
          <w:rFonts w:hint="eastAsia" w:ascii="Times New Roman" w:hAnsi="Times New Roman" w:eastAsia="宋体" w:cs="Times New Roman"/>
          <w:color w:val="auto"/>
          <w:sz w:val="24"/>
          <w:szCs w:val="24"/>
          <w:highlight w:val="none"/>
          <w:shd w:val="clear" w:color="auto" w:fill="auto"/>
          <w:lang w:val="en-US" w:eastAsia="zh-CN"/>
        </w:rPr>
        <w:t>1500</w:t>
      </w:r>
      <w:r>
        <w:rPr>
          <w:rFonts w:hint="default" w:ascii="Times New Roman" w:hAnsi="Times New Roman" w:eastAsia="宋体" w:cs="Times New Roman"/>
          <w:color w:val="auto"/>
          <w:sz w:val="24"/>
          <w:szCs w:val="24"/>
          <w:highlight w:val="none"/>
          <w:shd w:val="clear" w:color="auto" w:fill="auto"/>
          <w:lang w:val="en-US" w:eastAsia="zh-CN"/>
        </w:rPr>
        <w:t>m，单井压裂液量平均为6.30×10</w:t>
      </w:r>
      <w:r>
        <w:rPr>
          <w:rFonts w:hint="default" w:ascii="Times New Roman" w:hAnsi="Times New Roman" w:eastAsia="宋体" w:cs="Times New Roman"/>
          <w:color w:val="auto"/>
          <w:sz w:val="24"/>
          <w:szCs w:val="24"/>
          <w:highlight w:val="none"/>
          <w:shd w:val="clear" w:color="auto" w:fill="auto"/>
          <w:vertAlign w:val="superscript"/>
          <w:lang w:val="en-US" w:eastAsia="zh-CN"/>
        </w:rPr>
        <w:t>4</w:t>
      </w:r>
      <w:r>
        <w:rPr>
          <w:rFonts w:hint="default" w:ascii="Times New Roman" w:hAnsi="Times New Roman" w:eastAsia="宋体" w:cs="Times New Roman"/>
          <w:color w:val="auto"/>
          <w:sz w:val="24"/>
          <w:szCs w:val="24"/>
          <w:highlight w:val="none"/>
          <w:shd w:val="clear" w:color="auto" w:fill="auto"/>
          <w:lang w:val="en-US" w:eastAsia="zh-CN"/>
        </w:rPr>
        <w:t>m</w:t>
      </w:r>
      <w:r>
        <w:rPr>
          <w:rFonts w:hint="eastAsia" w:ascii="Times New Roman" w:hAnsi="Times New Roman" w:eastAsia="宋体" w:cs="Times New Roman"/>
          <w:color w:val="auto"/>
          <w:sz w:val="24"/>
          <w:szCs w:val="24"/>
          <w:highlight w:val="none"/>
          <w:shd w:val="clear" w:color="auto" w:fill="auto"/>
          <w:vertAlign w:val="superscript"/>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。按照控制、稳定、连续的原则组织排液，返排液通常在初期（1～2月）少量排出，后期随采出液进入油气处理流程。依据</w:t>
      </w:r>
      <w:r>
        <w:rPr>
          <w:rFonts w:hint="eastAsia" w:ascii="Times New Roman" w:hAnsi="Times New Roman" w:eastAsia="宋体" w:cs="Times New Roman"/>
          <w:color w:val="auto"/>
          <w:sz w:val="24"/>
          <w:szCs w:val="24"/>
          <w:highlight w:val="none"/>
          <w:shd w:val="clear" w:color="auto" w:fill="auto"/>
          <w:lang w:val="en-US" w:eastAsia="zh-CN"/>
        </w:rPr>
        <w:t>本工程</w:t>
      </w:r>
      <w:r>
        <w:rPr>
          <w:rFonts w:hint="default" w:ascii="Times New Roman" w:hAnsi="Times New Roman" w:eastAsia="宋体" w:cs="Times New Roman"/>
          <w:color w:val="auto"/>
          <w:sz w:val="24"/>
          <w:szCs w:val="24"/>
          <w:highlight w:val="none"/>
          <w:shd w:val="clear" w:color="auto" w:fill="auto"/>
          <w:lang w:val="en-US" w:eastAsia="zh-CN"/>
        </w:rPr>
        <w:t>井区勘探井压裂经验，施工期压裂液返排率约2</w:t>
      </w:r>
      <w:r>
        <w:rPr>
          <w:rFonts w:hint="eastAsia"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5%（本次按5%评价）；正常投产运营后，随采出液进入油气处理流程。</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新钻井压裂液用量及返排量表见表</w:t>
      </w:r>
      <w:r>
        <w:rPr>
          <w:rFonts w:hint="eastAsia" w:ascii="Times New Roman" w:hAnsi="Times New Roman" w:eastAsia="宋体" w:cs="Times New Roman"/>
          <w:color w:val="auto"/>
          <w:sz w:val="24"/>
          <w:szCs w:val="24"/>
          <w:highlight w:val="none"/>
          <w:shd w:val="clear" w:color="auto" w:fill="auto"/>
          <w:lang w:val="en-US" w:eastAsia="zh-CN"/>
        </w:rPr>
        <w:t>3.2-1</w:t>
      </w:r>
      <w:r>
        <w:rPr>
          <w:rFonts w:hint="eastAsia" w:cs="Times New Roman"/>
          <w:color w:val="auto"/>
          <w:sz w:val="24"/>
          <w:szCs w:val="24"/>
          <w:highlight w:val="none"/>
          <w:shd w:val="clear" w:color="auto" w:fill="auto"/>
          <w:lang w:val="en-US" w:eastAsia="zh-CN"/>
        </w:rPr>
        <w:t>7</w:t>
      </w:r>
      <w:r>
        <w:rPr>
          <w:rFonts w:hint="default" w:ascii="Times New Roman" w:hAnsi="Times New Roman" w:eastAsia="宋体" w:cs="Times New Roman"/>
          <w:color w:val="auto"/>
          <w:sz w:val="24"/>
          <w:szCs w:val="24"/>
          <w:highlight w:val="none"/>
          <w:shd w:val="clear" w:color="auto" w:fill="auto"/>
          <w:lang w:val="en-US"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w:t>
      </w:r>
      <w:r>
        <w:rPr>
          <w:rFonts w:hint="eastAsia" w:cs="Times New Roman"/>
          <w:color w:val="auto"/>
          <w:highlight w:val="none"/>
          <w:lang w:val="en-US" w:eastAsia="zh-CN"/>
        </w:rPr>
        <w:t>3.2-17</w:t>
      </w:r>
      <w:r>
        <w:rPr>
          <w:rFonts w:hint="eastAsia" w:cs="Times New Roman"/>
          <w:color w:val="auto"/>
          <w:highlight w:val="none"/>
        </w:rPr>
        <w:t xml:space="preserve">    </w:t>
      </w:r>
      <w:r>
        <w:rPr>
          <w:rFonts w:hint="eastAsia" w:cs="Times New Roman"/>
          <w:color w:val="auto"/>
          <w:highlight w:val="none"/>
          <w:lang w:val="en-US" w:eastAsia="zh-CN"/>
        </w:rPr>
        <w:t>压裂液用量及返排量一览表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532"/>
        <w:gridCol w:w="1640"/>
        <w:gridCol w:w="2400"/>
        <w:gridCol w:w="25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序号</w:t>
            </w:r>
          </w:p>
        </w:tc>
        <w:tc>
          <w:tcPr>
            <w:tcW w:w="153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井号</w:t>
            </w:r>
          </w:p>
        </w:tc>
        <w:tc>
          <w:tcPr>
            <w:tcW w:w="164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水平段长（m）</w:t>
            </w:r>
          </w:p>
        </w:tc>
        <w:tc>
          <w:tcPr>
            <w:tcW w:w="240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单井压裂液用量（m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c>
          <w:tcPr>
            <w:tcW w:w="250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单井压裂液返排量（m</w:t>
            </w:r>
            <w:r>
              <w:rPr>
                <w:rFonts w:hint="eastAsia" w:ascii="Times New Roman" w:hAnsi="Times New Roman" w:eastAsia="宋体" w:cs="Times New Roman"/>
                <w:color w:val="auto"/>
                <w:sz w:val="21"/>
                <w:szCs w:val="21"/>
                <w:highlight w:val="none"/>
                <w:shd w:val="clear" w:color="auto" w:fill="auto"/>
                <w:vertAlign w:val="superscript"/>
                <w:lang w:val="en-US" w:eastAsia="zh-CN"/>
              </w:rPr>
              <w:t>3</w:t>
            </w: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153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FTYHW0911</w:t>
            </w:r>
          </w:p>
        </w:tc>
        <w:tc>
          <w:tcPr>
            <w:tcW w:w="164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pPr>
              <w:widowControl w:val="0"/>
              <w:spacing w:before="101"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153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FTYHW0912</w:t>
            </w:r>
          </w:p>
        </w:tc>
        <w:tc>
          <w:tcPr>
            <w:tcW w:w="164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pPr>
              <w:widowControl w:val="0"/>
              <w:spacing w:before="102"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153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FTYHW1235</w:t>
            </w:r>
          </w:p>
        </w:tc>
        <w:tc>
          <w:tcPr>
            <w:tcW w:w="164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pPr>
              <w:widowControl w:val="0"/>
              <w:spacing w:before="100"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4</w:t>
            </w:r>
          </w:p>
        </w:tc>
        <w:tc>
          <w:tcPr>
            <w:tcW w:w="153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FTYHW1010</w:t>
            </w:r>
          </w:p>
        </w:tc>
        <w:tc>
          <w:tcPr>
            <w:tcW w:w="164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pPr>
              <w:widowControl w:val="0"/>
              <w:spacing w:before="100"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5</w:t>
            </w:r>
          </w:p>
        </w:tc>
        <w:tc>
          <w:tcPr>
            <w:tcW w:w="153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FTYHW1011</w:t>
            </w:r>
          </w:p>
        </w:tc>
        <w:tc>
          <w:tcPr>
            <w:tcW w:w="164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pPr>
              <w:widowControl w:val="0"/>
              <w:spacing w:before="101"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w:t>
            </w:r>
          </w:p>
        </w:tc>
        <w:tc>
          <w:tcPr>
            <w:tcW w:w="153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FTYHW1012</w:t>
            </w:r>
          </w:p>
        </w:tc>
        <w:tc>
          <w:tcPr>
            <w:tcW w:w="164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pPr>
              <w:widowControl w:val="0"/>
              <w:spacing w:before="101" w:line="182" w:lineRule="auto"/>
              <w:jc w:val="center"/>
              <w:rPr>
                <w:rFonts w:hint="default" w:ascii="宋体" w:hAnsi="宋体" w:eastAsia="宋体" w:cs="宋体"/>
                <w:color w:val="auto"/>
                <w:sz w:val="21"/>
                <w:szCs w:val="21"/>
                <w:lang w:val="en-US" w:eastAsia="zh-CN" w:bidi="ar-SA"/>
              </w:rPr>
            </w:pPr>
            <w:r>
              <w:rPr>
                <w:color w:val="auto"/>
                <w:spacing w:val="-2"/>
              </w:rPr>
              <w:t>63000</w:t>
            </w:r>
          </w:p>
        </w:tc>
        <w:tc>
          <w:tcPr>
            <w:tcW w:w="250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6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7</w:t>
            </w:r>
          </w:p>
        </w:tc>
        <w:tc>
          <w:tcPr>
            <w:tcW w:w="1532"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FTYHW1234</w:t>
            </w:r>
          </w:p>
        </w:tc>
        <w:tc>
          <w:tcPr>
            <w:tcW w:w="164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1500</w:t>
            </w:r>
          </w:p>
        </w:tc>
        <w:tc>
          <w:tcPr>
            <w:tcW w:w="240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63000</w:t>
            </w:r>
          </w:p>
        </w:tc>
        <w:tc>
          <w:tcPr>
            <w:tcW w:w="250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color w:val="auto"/>
                <w:spacing w:val="-2"/>
              </w:rPr>
              <w:t>3150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932" w:type="dxa"/>
            <w:gridSpan w:val="3"/>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合计</w:t>
            </w:r>
          </w:p>
        </w:tc>
        <w:tc>
          <w:tcPr>
            <w:tcW w:w="240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441000</w:t>
            </w:r>
          </w:p>
        </w:tc>
        <w:tc>
          <w:tcPr>
            <w:tcW w:w="250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22050</w:t>
            </w:r>
          </w:p>
        </w:tc>
      </w:tr>
    </w:tbl>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（4）压裂工艺及参数</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①压裂</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w:t>
      </w:r>
      <w:r>
        <w:rPr>
          <w:rFonts w:hint="default" w:ascii="Times New Roman" w:hAnsi="Times New Roman" w:eastAsia="宋体" w:cs="Times New Roman"/>
          <w:color w:val="auto"/>
          <w:szCs w:val="22"/>
          <w:highlight w:val="none"/>
          <w:shd w:val="clear" w:color="auto" w:fill="auto"/>
          <w:lang w:val="en-US" w:eastAsia="zh-CN"/>
        </w:rPr>
        <w:t>压裂采用逆混合泵注工艺：冻胶前置+变黏滑溜水段塞+冻胶携砂 工艺，最高砂浓度不超过350kg/m</w:t>
      </w:r>
      <w:r>
        <w:rPr>
          <w:rFonts w:hint="default" w:ascii="Times New Roman" w:hAnsi="Times New Roman" w:eastAsia="宋体" w:cs="Times New Roman"/>
          <w:color w:val="auto"/>
          <w:szCs w:val="22"/>
          <w:highlight w:val="none"/>
          <w:shd w:val="clear" w:color="auto" w:fill="auto"/>
          <w:vertAlign w:val="superscript"/>
          <w:lang w:val="en-US" w:eastAsia="zh-CN"/>
        </w:rPr>
        <w:t>3</w:t>
      </w:r>
      <w:r>
        <w:rPr>
          <w:rFonts w:hint="default" w:ascii="Times New Roman" w:hAnsi="Times New Roman" w:eastAsia="宋体" w:cs="Times New Roman"/>
          <w:color w:val="auto"/>
          <w:szCs w:val="22"/>
          <w:highlight w:val="none"/>
          <w:shd w:val="clear" w:color="auto" w:fill="auto"/>
          <w:lang w:val="en-US" w:eastAsia="zh-CN"/>
        </w:rPr>
        <w:t>。因水平井泵注工艺处于试验阶段，应根据试验过程中的结论及时调整泵注程序以实现顺利加砂</w:t>
      </w:r>
      <w:r>
        <w:rPr>
          <w:rFonts w:hint="eastAsia" w:ascii="Times New Roman" w:hAnsi="Times New Roman" w:eastAsia="宋体" w:cs="Times New Roman"/>
          <w:color w:val="auto"/>
          <w:szCs w:val="22"/>
          <w:highlight w:val="none"/>
          <w:shd w:val="clear" w:color="auto" w:fill="auto"/>
          <w:lang w:val="en-US" w:eastAsia="zh-CN"/>
        </w:rPr>
        <w:t>。</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根据施工压力预测、井口耐压及套管在高压施工下的安全性，考虑射孔孔眼摩阻和施工安全，第一段施工排量10.0～12.0m</w:t>
      </w:r>
      <w:r>
        <w:rPr>
          <w:rFonts w:hint="default" w:ascii="Times New Roman" w:hAnsi="Times New Roman" w:eastAsia="宋体" w:cs="Times New Roman"/>
          <w:color w:val="auto"/>
          <w:szCs w:val="22"/>
          <w:highlight w:val="none"/>
          <w:shd w:val="clear" w:color="auto" w:fill="auto"/>
          <w:vertAlign w:val="superscript"/>
          <w:lang w:val="en-US" w:eastAsia="zh-CN"/>
        </w:rPr>
        <w:t>3</w:t>
      </w:r>
      <w:r>
        <w:rPr>
          <w:rFonts w:hint="default" w:ascii="Times New Roman" w:hAnsi="Times New Roman" w:eastAsia="宋体" w:cs="Times New Roman"/>
          <w:color w:val="auto"/>
          <w:szCs w:val="22"/>
          <w:highlight w:val="none"/>
          <w:shd w:val="clear" w:color="auto" w:fill="auto"/>
          <w:lang w:val="en-US" w:eastAsia="zh-CN"/>
        </w:rPr>
        <w:t>/min，其余段施工排量为14.0～16.0m</w:t>
      </w:r>
      <w:r>
        <w:rPr>
          <w:rFonts w:hint="default" w:ascii="Times New Roman" w:hAnsi="Times New Roman" w:eastAsia="宋体" w:cs="Times New Roman"/>
          <w:color w:val="auto"/>
          <w:szCs w:val="22"/>
          <w:highlight w:val="none"/>
          <w:shd w:val="clear" w:color="auto" w:fill="auto"/>
          <w:vertAlign w:val="superscript"/>
          <w:lang w:val="en-US" w:eastAsia="zh-CN"/>
        </w:rPr>
        <w:t>3</w:t>
      </w:r>
      <w:r>
        <w:rPr>
          <w:rFonts w:hint="default" w:ascii="Times New Roman" w:hAnsi="Times New Roman" w:eastAsia="宋体" w:cs="Times New Roman"/>
          <w:color w:val="auto"/>
          <w:szCs w:val="22"/>
          <w:highlight w:val="none"/>
          <w:shd w:val="clear" w:color="auto" w:fill="auto"/>
          <w:lang w:val="en-US" w:eastAsia="zh-CN"/>
        </w:rPr>
        <w:t>/min，如施工压力较高，调整排量以确保施工安全。</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②返排</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在依据地面压力判断裂缝闭合情况的基础上，把返排分为裂缝闭合前和闭合后两个主要阶段。在裂缝闭合前使用1.5mm或2mm油嘴控制返排，避免支撑剂返排的同时促使裂缝闭合；裂缝闭合后增大油嘴以提高返排速度，一般可以提高到4mm或6mm油嘴，随着井口压力的进一步降低，在压力低于裂缝闭合压力8～10MPa以后，进一步提高返排速度。具体返排程序为：</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a）压裂施工前准备好返排管线，要求返排管线带有针阀、除砂器、地面控制阀组、双通道油嘴管汇，足量的1.5mm及2～10mm油嘴；</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b）最后一级施工结束后，关井4h，待压裂液充分破胶及地层闭合后返排，同时返排过程中避免排液压力（返排速度）的突然变化；</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c）初期采用1.5mm或2mm油嘴返排；之后压力每降低5MPa，油嘴可以提高1～2mm，当压力接近15MPa或开始产气，可以开始转试产或后期生产措施（注：通过测试压裂确定储层的闭合压力，对井口压力进行修正）；</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d）排液期间每半小时记录一次出口液量、井口压力及含砂量情况，排液要求及时以确保压裂效果；</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e）放喷过程中应经常检查油嘴磨损情况，并准备好备用油嘴及时更换，要求排液初期每小时倒换一次管线检查油嘴损坏情况；</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f）整个返排过程需要连续监测返排压力以及返排物。</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（4）压裂井场布局</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压裂施工的井场布置主要分为四个区，即高压区、低压区、井口区和辅助区，压裂井场布置示意图见图</w:t>
      </w:r>
      <w:r>
        <w:rPr>
          <w:rFonts w:hint="eastAsia" w:ascii="Times New Roman" w:hAnsi="Times New Roman" w:eastAsia="宋体" w:cs="Times New Roman"/>
          <w:color w:val="auto"/>
          <w:szCs w:val="22"/>
          <w:highlight w:val="none"/>
          <w:shd w:val="clear" w:color="auto" w:fill="auto"/>
          <w:lang w:val="en-US" w:eastAsia="zh-CN"/>
        </w:rPr>
        <w:t>3.2-</w:t>
      </w:r>
      <w:r>
        <w:rPr>
          <w:rFonts w:hint="eastAsia" w:cs="Times New Roman"/>
          <w:color w:val="auto"/>
          <w:szCs w:val="22"/>
          <w:highlight w:val="none"/>
          <w:shd w:val="clear" w:color="auto" w:fill="auto"/>
          <w:lang w:val="en-US" w:eastAsia="zh-CN"/>
        </w:rPr>
        <w:t>5</w:t>
      </w:r>
      <w:r>
        <w:rPr>
          <w:rFonts w:hint="default" w:ascii="Times New Roman" w:hAnsi="Times New Roman" w:eastAsia="宋体" w:cs="Times New Roman"/>
          <w:color w:val="auto"/>
          <w:szCs w:val="22"/>
          <w:highlight w:val="none"/>
          <w:shd w:val="clear" w:color="auto" w:fill="auto"/>
          <w:lang w:val="en-US" w:eastAsia="zh-CN"/>
        </w:rPr>
        <w:t>。</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both"/>
        <w:textAlignment w:val="auto"/>
        <w:rPr>
          <w:rFonts w:hint="default" w:ascii="Times New Roman" w:hAnsi="Times New Roman" w:eastAsia="宋体" w:cs="Times New Roman"/>
          <w:color w:val="auto"/>
          <w:szCs w:val="22"/>
          <w:highlight w:val="none"/>
          <w:shd w:val="clear" w:color="auto" w:fill="auto"/>
          <w:lang w:val="en-US" w:eastAsia="zh-CN"/>
        </w:rPr>
      </w:pP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jc w:val="center"/>
        <w:textAlignment w:val="auto"/>
        <w:rPr>
          <w:rFonts w:hint="default" w:ascii="Times New Roman" w:hAnsi="Times New Roman" w:eastAsia="宋体" w:cs="Times New Roman"/>
          <w:b/>
          <w:bCs w:val="0"/>
          <w:color w:val="auto"/>
          <w:szCs w:val="22"/>
          <w:highlight w:val="none"/>
          <w:shd w:val="clear" w:color="auto" w:fill="auto"/>
          <w:lang w:val="en-US" w:eastAsia="zh-CN"/>
        </w:rPr>
      </w:pPr>
      <w:r>
        <w:rPr>
          <w:rFonts w:hint="default" w:ascii="Times New Roman" w:hAnsi="Times New Roman" w:eastAsia="宋体" w:cs="Times New Roman"/>
          <w:b/>
          <w:bCs w:val="0"/>
          <w:color w:val="auto"/>
          <w:sz w:val="21"/>
          <w:szCs w:val="21"/>
          <w:highlight w:val="none"/>
          <w:shd w:val="clear" w:color="auto" w:fill="auto"/>
        </w:rPr>
        <w:t>图</w:t>
      </w:r>
      <w:r>
        <w:rPr>
          <w:rFonts w:hint="eastAsia" w:ascii="Times New Roman" w:hAnsi="Times New Roman" w:eastAsia="宋体" w:cs="Times New Roman"/>
          <w:b/>
          <w:bCs w:val="0"/>
          <w:color w:val="auto"/>
          <w:sz w:val="21"/>
          <w:szCs w:val="21"/>
          <w:highlight w:val="none"/>
          <w:shd w:val="clear" w:color="auto" w:fill="auto"/>
          <w:lang w:val="en-US" w:eastAsia="zh-CN"/>
        </w:rPr>
        <w:t>3.2-</w:t>
      </w:r>
      <w:r>
        <w:rPr>
          <w:rFonts w:hint="eastAsia" w:cs="Times New Roman"/>
          <w:b/>
          <w:bCs w:val="0"/>
          <w:color w:val="auto"/>
          <w:sz w:val="21"/>
          <w:szCs w:val="21"/>
          <w:highlight w:val="none"/>
          <w:shd w:val="clear" w:color="auto" w:fill="auto"/>
          <w:lang w:val="en-US" w:eastAsia="zh-CN"/>
        </w:rPr>
        <w:t>5</w:t>
      </w:r>
      <w:r>
        <w:rPr>
          <w:rFonts w:hint="default" w:ascii="Times New Roman" w:hAnsi="Times New Roman" w:eastAsia="宋体" w:cs="Times New Roman"/>
          <w:b/>
          <w:bCs w:val="0"/>
          <w:color w:val="auto"/>
          <w:sz w:val="21"/>
          <w:szCs w:val="21"/>
          <w:highlight w:val="none"/>
          <w:shd w:val="clear" w:color="auto" w:fill="auto"/>
        </w:rPr>
        <w:t xml:space="preserve"> </w:t>
      </w:r>
      <w:r>
        <w:rPr>
          <w:rFonts w:hint="default" w:ascii="Times New Roman" w:hAnsi="Times New Roman" w:eastAsia="宋体" w:cs="Times New Roman"/>
          <w:b/>
          <w:bCs w:val="0"/>
          <w:color w:val="auto"/>
          <w:sz w:val="21"/>
          <w:szCs w:val="21"/>
          <w:highlight w:val="none"/>
          <w:shd w:val="clear" w:color="auto" w:fill="auto"/>
          <w:lang w:val="en-US" w:eastAsia="zh-CN"/>
        </w:rPr>
        <w:t xml:space="preserve"> </w:t>
      </w:r>
      <w:r>
        <w:rPr>
          <w:rFonts w:hint="default" w:ascii="Times New Roman" w:hAnsi="Times New Roman" w:eastAsia="宋体" w:cs="Times New Roman"/>
          <w:b/>
          <w:bCs w:val="0"/>
          <w:color w:val="auto"/>
          <w:sz w:val="21"/>
          <w:szCs w:val="21"/>
          <w:highlight w:val="none"/>
          <w:shd w:val="clear" w:color="auto" w:fill="auto"/>
        </w:rPr>
        <w:t xml:space="preserve"> </w:t>
      </w:r>
      <w:r>
        <w:rPr>
          <w:rFonts w:hint="eastAsia" w:ascii="Times New Roman" w:hAnsi="Times New Roman" w:eastAsia="宋体" w:cs="Times New Roman"/>
          <w:b/>
          <w:bCs w:val="0"/>
          <w:color w:val="auto"/>
          <w:sz w:val="21"/>
          <w:szCs w:val="21"/>
          <w:highlight w:val="none"/>
          <w:shd w:val="clear" w:color="auto" w:fill="auto"/>
          <w:lang w:val="en-US" w:eastAsia="zh-CN"/>
        </w:rPr>
        <w:t>压裂</w:t>
      </w:r>
      <w:r>
        <w:rPr>
          <w:rFonts w:hint="default" w:ascii="Times New Roman" w:hAnsi="Times New Roman" w:eastAsia="宋体" w:cs="Times New Roman"/>
          <w:b/>
          <w:bCs w:val="0"/>
          <w:color w:val="auto"/>
          <w:sz w:val="21"/>
          <w:szCs w:val="21"/>
          <w:highlight w:val="none"/>
          <w:shd w:val="clear" w:color="auto" w:fill="auto"/>
        </w:rPr>
        <w:t>井场平面布局示意图</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default" w:ascii="Times New Roman" w:hAnsi="Times New Roman" w:eastAsia="宋体" w:cs="Times New Roman"/>
          <w:color w:val="auto"/>
          <w:szCs w:val="22"/>
          <w:highlight w:val="none"/>
          <w:shd w:val="clear" w:color="auto" w:fill="auto"/>
          <w:lang w:val="en-US" w:eastAsia="zh-CN"/>
        </w:rPr>
        <w:t>（</w:t>
      </w:r>
      <w:r>
        <w:rPr>
          <w:rFonts w:hint="eastAsia" w:ascii="Times New Roman" w:hAnsi="Times New Roman" w:eastAsia="宋体" w:cs="Times New Roman"/>
          <w:color w:val="auto"/>
          <w:szCs w:val="22"/>
          <w:highlight w:val="none"/>
          <w:shd w:val="clear" w:color="auto" w:fill="auto"/>
          <w:lang w:val="en-US" w:eastAsia="zh-CN"/>
        </w:rPr>
        <w:t>5</w:t>
      </w:r>
      <w:r>
        <w:rPr>
          <w:rFonts w:hint="default" w:ascii="Times New Roman" w:hAnsi="Times New Roman" w:eastAsia="宋体" w:cs="Times New Roman"/>
          <w:color w:val="auto"/>
          <w:szCs w:val="22"/>
          <w:highlight w:val="none"/>
          <w:shd w:val="clear" w:color="auto" w:fill="auto"/>
          <w:lang w:val="en-US" w:eastAsia="zh-CN"/>
        </w:rPr>
        <w:t>）压裂施工顺序</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default"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本工程7</w:t>
      </w:r>
      <w:r>
        <w:rPr>
          <w:rFonts w:hint="default" w:ascii="Times New Roman" w:hAnsi="Times New Roman" w:eastAsia="宋体" w:cs="Times New Roman"/>
          <w:color w:val="auto"/>
          <w:szCs w:val="22"/>
          <w:highlight w:val="none"/>
          <w:shd w:val="clear" w:color="auto" w:fill="auto"/>
          <w:lang w:val="en-US" w:eastAsia="zh-CN"/>
        </w:rPr>
        <w:t>口新钻井单口压裂、每口压裂完后进行下一口井压裂工程，不存在同时压裂情况，避免废液量集中、大量产生对依托站场造成冲击</w:t>
      </w:r>
      <w:r>
        <w:rPr>
          <w:rFonts w:hint="eastAsia" w:ascii="Times New Roman" w:hAnsi="Times New Roman" w:eastAsia="宋体" w:cs="Times New Roman"/>
          <w:color w:val="auto"/>
          <w:szCs w:val="22"/>
          <w:highlight w:val="none"/>
          <w:shd w:val="clear" w:color="auto" w:fill="auto"/>
          <w:lang w:val="en-US" w:eastAsia="zh-CN"/>
        </w:rPr>
        <w:t>。</w:t>
      </w:r>
    </w:p>
    <w:p>
      <w:pPr>
        <w:pStyle w:val="6"/>
        <w:pageBreakBefore w:val="0"/>
        <w:kinsoku/>
        <w:overflowPunct/>
        <w:topLinePunct w:val="0"/>
        <w:autoSpaceDE/>
        <w:autoSpaceDN/>
        <w:bidi w:val="0"/>
        <w:adjustRightInd w:val="0"/>
        <w:snapToGrid w:val="0"/>
        <w:spacing w:line="480" w:lineRule="exact"/>
        <w:textAlignment w:val="auto"/>
        <w:rPr>
          <w:rFonts w:hint="eastAsia"/>
          <w:color w:val="auto"/>
          <w:highlight w:val="none"/>
          <w:lang w:val="en-US" w:eastAsia="zh-CN"/>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rFonts w:hint="eastAsia"/>
          <w:color w:val="auto"/>
          <w:highlight w:val="none"/>
          <w:lang w:val="en-US" w:eastAsia="zh-CN"/>
        </w:rPr>
        <w:t>4采油工程</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本工程部署</w:t>
      </w:r>
      <w:r>
        <w:rPr>
          <w:rFonts w:hint="eastAsia"/>
          <w:color w:val="auto"/>
          <w:sz w:val="24"/>
          <w:szCs w:val="24"/>
          <w:lang w:val="en-US" w:eastAsia="zh-CN"/>
        </w:rPr>
        <w:t>18口采油井（7口新井和11口老井），均采用保温油嘴不加热采油井场（105MPa DN65）</w:t>
      </w:r>
      <w:r>
        <w:rPr>
          <w:rFonts w:hint="eastAsia" w:ascii="Times New Roman" w:hAnsi="Times New Roman" w:eastAsia="宋体" w:cs="Times New Roman"/>
          <w:color w:val="auto"/>
          <w:szCs w:val="22"/>
          <w:highlight w:val="none"/>
          <w:shd w:val="clear" w:color="auto" w:fill="auto"/>
          <w:lang w:val="en-US" w:eastAsia="zh-CN"/>
        </w:rPr>
        <w:t>，采油井口均采用KY179/78-140×78/78-105，配套主通径180mm、耐压140MPa大闸阀和注入头。举升工艺均采用14型节能抽油机举升工艺，配套37/30kW双速电机。采油井采用前期自喷+后期机械抽油方式生产。</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结合夏子街油田现有区块现场应用的举升方式和实际应用效果，初步确定前期采用自喷采油，后期地层能量不足时采用抽油机采油，并配套相应的防砂清蜡措施。</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自喷期：以机械清蜡为主，采用连续油管钻蜡。</w:t>
      </w:r>
    </w:p>
    <w:p>
      <w:pPr>
        <w:pStyle w:val="75"/>
        <w:keepNext w:val="0"/>
        <w:keepLines w:val="0"/>
        <w:pageBreakBefore w:val="0"/>
        <w:widowControl w:val="0"/>
        <w:numPr>
          <w:ilvl w:val="0"/>
          <w:numId w:val="0"/>
        </w:numPr>
        <w:kinsoku/>
        <w:wordWrap w:val="0"/>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Cs w:val="22"/>
          <w:highlight w:val="none"/>
          <w:shd w:val="clear" w:color="auto" w:fill="auto"/>
          <w:lang w:val="en-US" w:eastAsia="zh-CN"/>
        </w:rPr>
      </w:pPr>
      <w:r>
        <w:rPr>
          <w:rFonts w:hint="eastAsia" w:ascii="Times New Roman" w:hAnsi="Times New Roman" w:eastAsia="宋体" w:cs="Times New Roman"/>
          <w:color w:val="auto"/>
          <w:szCs w:val="22"/>
          <w:highlight w:val="none"/>
          <w:shd w:val="clear" w:color="auto" w:fill="auto"/>
          <w:lang w:val="en-US" w:eastAsia="zh-CN"/>
        </w:rPr>
        <w:t>抽油期：采用热洗或者化学清防蜡工艺，单井具体清蜡周期和工艺可根据油井结蜡情况进行调整，以不影响油井正常生产为原则。</w:t>
      </w:r>
    </w:p>
    <w:p>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rPr>
        <w:t>4.</w:t>
      </w:r>
      <w:r>
        <w:rPr>
          <w:rFonts w:hint="eastAsia"/>
          <w:color w:val="auto"/>
          <w:highlight w:val="none"/>
          <w:lang w:val="en-US" w:eastAsia="zh-CN"/>
        </w:rPr>
        <w:t>5</w:t>
      </w:r>
      <w:r>
        <w:rPr>
          <w:rFonts w:hint="eastAsia"/>
          <w:color w:val="auto"/>
          <w:highlight w:val="none"/>
        </w:rPr>
        <w:t>站场工程</w:t>
      </w:r>
    </w:p>
    <w:p>
      <w:pPr>
        <w:pStyle w:val="57"/>
        <w:rPr>
          <w:rFonts w:hint="default"/>
          <w:color w:val="auto"/>
          <w:szCs w:val="24"/>
          <w:highlight w:val="none"/>
          <w:lang w:val="en-US" w:eastAsia="zh-CN"/>
        </w:rPr>
      </w:pPr>
      <w:r>
        <w:rPr>
          <w:color w:val="auto"/>
          <w:szCs w:val="24"/>
          <w:highlight w:val="none"/>
        </w:rPr>
        <w:t>（1）新建</w:t>
      </w:r>
      <w:r>
        <w:rPr>
          <w:rFonts w:hint="eastAsia"/>
          <w:color w:val="auto"/>
          <w:szCs w:val="24"/>
          <w:highlight w:val="none"/>
          <w:lang w:eastAsia="zh-CN"/>
        </w:rPr>
        <w:t>采油井场</w:t>
      </w:r>
    </w:p>
    <w:p>
      <w:pPr>
        <w:pStyle w:val="57"/>
        <w:rPr>
          <w:rFonts w:hint="default" w:eastAsia="宋体"/>
          <w:color w:val="auto"/>
          <w:szCs w:val="24"/>
          <w:highlight w:val="none"/>
          <w:lang w:val="en-US" w:eastAsia="zh-CN"/>
        </w:rPr>
      </w:pPr>
      <w:r>
        <w:rPr>
          <w:rFonts w:hint="eastAsia"/>
          <w:color w:val="auto"/>
          <w:szCs w:val="24"/>
          <w:highlight w:val="none"/>
          <w:lang w:val="en-US" w:eastAsia="zh-CN"/>
        </w:rPr>
        <w:t>本工程</w:t>
      </w:r>
      <w:r>
        <w:rPr>
          <w:rFonts w:hint="eastAsia"/>
          <w:color w:val="auto"/>
          <w:szCs w:val="24"/>
          <w:highlight w:val="none"/>
        </w:rPr>
        <w:t>新建</w:t>
      </w:r>
      <w:r>
        <w:rPr>
          <w:rFonts w:hint="default" w:ascii="Times New Roman" w:hAnsi="Times New Roman" w:eastAsia="宋体" w:cs="Times New Roman"/>
          <w:color w:val="auto"/>
          <w:highlight w:val="none"/>
          <w:shd w:val="clear" w:color="auto" w:fill="auto"/>
          <w:lang w:val="en-US" w:eastAsia="zh-CN"/>
        </w:rPr>
        <w:t>标准化</w:t>
      </w:r>
      <w:r>
        <w:rPr>
          <w:rFonts w:hint="eastAsia"/>
          <w:color w:val="auto"/>
          <w:szCs w:val="24"/>
          <w:highlight w:val="none"/>
          <w:lang w:val="en-US" w:eastAsia="zh-CN"/>
        </w:rPr>
        <w:t>采油井场18座（</w:t>
      </w:r>
      <w:r>
        <w:rPr>
          <w:rFonts w:hint="eastAsia"/>
          <w:color w:val="auto"/>
          <w:sz w:val="24"/>
          <w:szCs w:val="24"/>
          <w:lang w:val="en-US" w:eastAsia="zh-CN"/>
        </w:rPr>
        <w:t>7口新井和11口老井</w:t>
      </w:r>
      <w:r>
        <w:rPr>
          <w:rFonts w:hint="eastAsia"/>
          <w:color w:val="auto"/>
          <w:szCs w:val="24"/>
          <w:highlight w:val="none"/>
          <w:lang w:val="en-US" w:eastAsia="zh-CN"/>
        </w:rPr>
        <w:t>），</w:t>
      </w:r>
      <w:r>
        <w:rPr>
          <w:rFonts w:hint="eastAsia"/>
          <w:color w:val="auto"/>
          <w:sz w:val="24"/>
          <w:szCs w:val="24"/>
          <w:lang w:val="en-US" w:eastAsia="zh-CN"/>
        </w:rPr>
        <w:t>均采用保温油嘴不加热采油井场（105MPa DN65）</w:t>
      </w:r>
      <w:r>
        <w:rPr>
          <w:rFonts w:hint="eastAsia"/>
          <w:color w:val="auto"/>
          <w:szCs w:val="24"/>
          <w:highlight w:val="none"/>
          <w:lang w:val="en-US" w:eastAsia="zh-CN"/>
        </w:rPr>
        <w:t>，新建</w:t>
      </w:r>
      <w:r>
        <w:rPr>
          <w:rFonts w:hint="eastAsia"/>
          <w:color w:val="auto"/>
          <w:szCs w:val="24"/>
          <w:highlight w:val="none"/>
        </w:rPr>
        <w:t>采油井口装置</w:t>
      </w:r>
      <w:r>
        <w:rPr>
          <w:rFonts w:hint="eastAsia"/>
          <w:color w:val="auto"/>
          <w:szCs w:val="24"/>
          <w:highlight w:val="none"/>
          <w:lang w:val="en-US" w:eastAsia="zh-CN"/>
        </w:rPr>
        <w:t>18</w:t>
      </w:r>
      <w:r>
        <w:rPr>
          <w:rFonts w:hint="eastAsia"/>
          <w:color w:val="auto"/>
          <w:szCs w:val="24"/>
          <w:highlight w:val="none"/>
        </w:rPr>
        <w:t>座，采油井口采用14型抽油机，配套37/30kW电机</w:t>
      </w:r>
      <w:r>
        <w:rPr>
          <w:rFonts w:hint="eastAsia"/>
          <w:color w:val="auto"/>
          <w:szCs w:val="24"/>
          <w:highlight w:val="none"/>
          <w:lang w:eastAsia="zh-CN"/>
        </w:rPr>
        <w:t>，</w:t>
      </w:r>
      <w:r>
        <w:rPr>
          <w:rFonts w:hint="eastAsia"/>
          <w:color w:val="auto"/>
          <w:szCs w:val="24"/>
          <w:highlight w:val="none"/>
          <w:lang w:val="en-US" w:eastAsia="zh-CN"/>
        </w:rPr>
        <w:t>其中8座单井拉油井场内建设2座60方高架罐</w:t>
      </w:r>
      <w:r>
        <w:rPr>
          <w:rFonts w:hint="eastAsia"/>
          <w:color w:val="auto"/>
          <w:szCs w:val="24"/>
          <w:highlight w:val="none"/>
        </w:rPr>
        <w:t>。井口设保温盒，保温盒内设0.25kW防爆电加热器，压力表置于保温盒内，设置清蜡和热洗接口，同时设置安全标志牌</w:t>
      </w:r>
      <w:r>
        <w:rPr>
          <w:rFonts w:hint="eastAsia"/>
          <w:color w:val="auto"/>
          <w:szCs w:val="24"/>
          <w:highlight w:val="none"/>
          <w:lang w:eastAsia="zh-CN"/>
        </w:rPr>
        <w:t>。</w:t>
      </w:r>
      <w:r>
        <w:rPr>
          <w:rFonts w:hint="eastAsia"/>
          <w:color w:val="auto"/>
          <w:szCs w:val="24"/>
          <w:highlight w:val="none"/>
        </w:rPr>
        <w:t>各井场装置均无人</w:t>
      </w:r>
      <w:r>
        <w:rPr>
          <w:rFonts w:hint="eastAsia"/>
          <w:color w:val="auto"/>
          <w:szCs w:val="24"/>
          <w:highlight w:val="none"/>
          <w:lang w:eastAsia="zh-CN"/>
        </w:rPr>
        <w:t>值守</w:t>
      </w:r>
      <w:r>
        <w:rPr>
          <w:rFonts w:hint="eastAsia"/>
          <w:color w:val="auto"/>
          <w:szCs w:val="24"/>
          <w:highlight w:val="none"/>
        </w:rPr>
        <w:t>，定期巡检。</w:t>
      </w:r>
    </w:p>
    <w:p>
      <w:pPr>
        <w:pStyle w:val="57"/>
        <w:rPr>
          <w:rFonts w:hint="eastAsia" w:eastAsia="宋体"/>
          <w:color w:val="auto"/>
          <w:szCs w:val="24"/>
          <w:highlight w:val="none"/>
          <w:lang w:eastAsia="zh-CN"/>
        </w:rPr>
      </w:pPr>
      <w:r>
        <w:rPr>
          <w:color w:val="auto"/>
          <w:szCs w:val="24"/>
          <w:highlight w:val="none"/>
        </w:rPr>
        <w:t>（2）</w:t>
      </w:r>
      <w:r>
        <w:rPr>
          <w:rFonts w:hint="eastAsia"/>
          <w:color w:val="auto"/>
          <w:szCs w:val="24"/>
          <w:highlight w:val="none"/>
          <w:lang w:val="en-US" w:eastAsia="zh-CN"/>
        </w:rPr>
        <w:t>计量站</w:t>
      </w:r>
    </w:p>
    <w:p>
      <w:pPr>
        <w:pStyle w:val="57"/>
        <w:rPr>
          <w:rFonts w:hint="default" w:eastAsia="宋体"/>
          <w:color w:val="auto"/>
          <w:szCs w:val="24"/>
          <w:highlight w:val="none"/>
          <w:lang w:val="en-US" w:eastAsia="zh-CN"/>
        </w:rPr>
      </w:pPr>
      <w:r>
        <w:rPr>
          <w:rFonts w:hint="eastAsia"/>
          <w:color w:val="auto"/>
          <w:szCs w:val="24"/>
          <w:highlight w:val="none"/>
          <w:lang w:val="en-US" w:eastAsia="zh-CN"/>
        </w:rPr>
        <w:t>本工程在丰探1井区新建12井式计量站一座（丰探1计量站），</w:t>
      </w:r>
    </w:p>
    <w:p>
      <w:pPr>
        <w:pStyle w:val="57"/>
        <w:rPr>
          <w:rFonts w:hint="eastAsia" w:eastAsia="宋体"/>
          <w:color w:val="auto"/>
          <w:szCs w:val="24"/>
          <w:highlight w:val="none"/>
          <w:lang w:eastAsia="zh-CN"/>
        </w:rPr>
      </w:pPr>
      <w:r>
        <w:rPr>
          <w:rFonts w:hint="eastAsia"/>
          <w:color w:val="auto"/>
          <w:szCs w:val="24"/>
          <w:highlight w:val="none"/>
          <w:lang w:val="en-US" w:eastAsia="zh-CN"/>
        </w:rPr>
        <w:t>丰探1计量站</w:t>
      </w:r>
      <w:r>
        <w:rPr>
          <w:rFonts w:hint="eastAsia" w:ascii="Times New Roman" w:hAnsi="Times New Roman" w:cs="Times New Roman"/>
          <w:color w:val="auto"/>
          <w:spacing w:val="0"/>
          <w:sz w:val="24"/>
          <w:szCs w:val="24"/>
          <w:highlight w:val="none"/>
          <w:shd w:val="clear" w:color="auto" w:fill="auto"/>
          <w:lang w:val="en-US" w:eastAsia="zh-CN"/>
        </w:rPr>
        <w:t>采用一体化选井计量装置，站内包含</w:t>
      </w:r>
      <w:r>
        <w:rPr>
          <w:rFonts w:ascii="Times New Roman" w:hAnsi="Times New Roman"/>
          <w:color w:val="auto"/>
        </w:rPr>
        <w:t>12井式一体化自动选井计量装置1座（通集20202）</w:t>
      </w:r>
      <w:r>
        <w:rPr>
          <w:rFonts w:hint="eastAsia"/>
          <w:color w:val="auto"/>
          <w:lang w:eastAsia="zh-CN"/>
        </w:rPr>
        <w:t>，</w:t>
      </w:r>
      <w:r>
        <w:rPr>
          <w:rFonts w:ascii="Times New Roman" w:hAnsi="Times New Roman"/>
          <w:color w:val="auto"/>
        </w:rPr>
        <w:t>一体化自动选井计量装置为橇装结构，橇内安装12井式多通阀1座，连续计量装置1座</w:t>
      </w:r>
      <w:r>
        <w:rPr>
          <w:rFonts w:hint="eastAsia"/>
          <w:color w:val="auto"/>
          <w:lang w:eastAsia="zh-CN"/>
        </w:rPr>
        <w:t>。计量橇内配套提供远程测控终端PLC控制器，完成计量橇、多通阀的数据采集及监控功能，并具备自动控制及运行状态数据通讯功能。橇内自带1套可燃气体报警控制系统（包含可燃气体报警控制器1套、可燃气体探测器1台），完成对计量橇可燃气体检测、报警、联锁、上传等功能。</w:t>
      </w:r>
      <w:r>
        <w:rPr>
          <w:rFonts w:hint="eastAsia" w:ascii="Times New Roman" w:hAnsi="Times New Roman" w:cs="Times New Roman"/>
          <w:color w:val="auto"/>
          <w:spacing w:val="0"/>
          <w:sz w:val="24"/>
          <w:szCs w:val="24"/>
          <w:highlight w:val="none"/>
          <w:shd w:val="clear" w:color="auto" w:fill="auto"/>
          <w:lang w:val="en-US" w:eastAsia="zh-CN"/>
        </w:rPr>
        <w:t>另外，在计量间内配置1套静态分析型含水分析仪用于油井采出液含水分析，相关含水分析数据通过RS48接口接入计量橇PLC。</w:t>
      </w:r>
    </w:p>
    <w:p>
      <w:pPr>
        <w:pStyle w:val="57"/>
        <w:rPr>
          <w:color w:val="auto"/>
          <w:szCs w:val="24"/>
          <w:highlight w:val="none"/>
        </w:rPr>
      </w:pPr>
      <w:r>
        <w:rPr>
          <w:rFonts w:hint="eastAsia" w:ascii="Times New Roman" w:hAnsi="Times New Roman" w:eastAsia="宋体" w:cs="Times New Roman"/>
          <w:color w:val="auto"/>
          <w:spacing w:val="0"/>
          <w:sz w:val="24"/>
          <w:szCs w:val="24"/>
          <w:highlight w:val="none"/>
          <w:shd w:val="clear" w:color="auto" w:fill="auto"/>
          <w:lang w:val="en-US" w:eastAsia="zh-CN"/>
        </w:rPr>
        <w:t>工艺流程描述：单井来气液先进一体化自动选井计量装置，在装置内对需要计量的单井进行自动选井计量，将计量后的原油和天然气与未计量的油井来液混合后经管线输至新建集中拉油站。</w:t>
      </w:r>
    </w:p>
    <w:p>
      <w:pPr>
        <w:pStyle w:val="57"/>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3</w:t>
      </w:r>
      <w:r>
        <w:rPr>
          <w:rFonts w:hint="default" w:ascii="Times New Roman" w:hAnsi="Times New Roman" w:cs="Times New Roman"/>
          <w:color w:val="auto"/>
          <w:szCs w:val="24"/>
          <w:highlight w:val="none"/>
        </w:rPr>
        <w:t>）</w:t>
      </w:r>
      <w:r>
        <w:rPr>
          <w:rFonts w:hint="default" w:ascii="Times New Roman" w:hAnsi="Times New Roman" w:cs="Times New Roman"/>
          <w:color w:val="auto"/>
          <w:szCs w:val="24"/>
          <w:highlight w:val="none"/>
          <w:lang w:val="en-US" w:eastAsia="zh-CN"/>
        </w:rPr>
        <w:t>集中拉油站</w:t>
      </w:r>
    </w:p>
    <w:p>
      <w:pPr>
        <w:pStyle w:val="57"/>
        <w:rPr>
          <w:rFonts w:hint="default" w:ascii="Times New Roman" w:hAnsi="Times New Roman" w:eastAsia="宋体" w:cs="Times New Roman"/>
          <w:color w:val="auto"/>
          <w:szCs w:val="24"/>
          <w:highlight w:val="none"/>
          <w:lang w:val="en-US" w:eastAsia="zh-CN"/>
        </w:rPr>
      </w:pPr>
      <w:r>
        <w:rPr>
          <w:rFonts w:hint="default" w:ascii="Times New Roman" w:hAnsi="Times New Roman" w:cs="Times New Roman"/>
          <w:color w:val="auto"/>
          <w:szCs w:val="24"/>
          <w:highlight w:val="none"/>
          <w:lang w:val="en-US" w:eastAsia="zh-CN"/>
        </w:rPr>
        <w:t>本工程在丰探1井区新建集中拉油站一座，位于</w:t>
      </w:r>
      <w:r>
        <w:rPr>
          <w:rFonts w:hint="default" w:ascii="Times New Roman" w:hAnsi="Times New Roman" w:cs="Times New Roman"/>
          <w:color w:val="auto"/>
          <w:sz w:val="24"/>
          <w:szCs w:val="21"/>
        </w:rPr>
        <w:t>夏子街处理站附近</w:t>
      </w:r>
      <w:r>
        <w:rPr>
          <w:rFonts w:hint="default" w:ascii="Times New Roman" w:hAnsi="Times New Roman" w:cs="Times New Roman"/>
          <w:color w:val="auto"/>
          <w:szCs w:val="24"/>
          <w:highlight w:val="none"/>
          <w:lang w:val="en-US" w:eastAsia="zh-CN"/>
        </w:rPr>
        <w:t>，</w:t>
      </w:r>
      <w:r>
        <w:rPr>
          <w:rFonts w:hint="default" w:ascii="Times New Roman" w:hAnsi="Times New Roman" w:cs="Times New Roman"/>
          <w:color w:val="auto"/>
          <w:sz w:val="24"/>
          <w:szCs w:val="21"/>
        </w:rPr>
        <w:t>用于将丰探1井区采出液拉运至风城二号稠油联合站处理</w:t>
      </w:r>
      <w:r>
        <w:rPr>
          <w:rFonts w:hint="default" w:ascii="Times New Roman" w:hAnsi="Times New Roman" w:cs="Times New Roman"/>
          <w:color w:val="auto"/>
          <w:sz w:val="24"/>
          <w:szCs w:val="21"/>
          <w:lang w:eastAsia="zh-CN"/>
        </w:rPr>
        <w:t>。</w:t>
      </w:r>
    </w:p>
    <w:p>
      <w:pPr>
        <w:pStyle w:val="57"/>
        <w:rPr>
          <w:rFonts w:hint="default" w:ascii="Times New Roman" w:hAnsi="Times New Roman" w:eastAsia="宋体" w:cs="Times New Roman"/>
          <w:color w:val="auto"/>
          <w:spacing w:val="0"/>
          <w:sz w:val="24"/>
          <w:szCs w:val="24"/>
          <w:highlight w:val="yellow"/>
          <w:lang w:val="en-US" w:eastAsia="zh-CN"/>
        </w:rPr>
      </w:pPr>
      <w:r>
        <w:rPr>
          <w:rFonts w:hint="default" w:ascii="Times New Roman" w:hAnsi="Times New Roman" w:cs="Times New Roman"/>
          <w:color w:val="auto"/>
          <w:spacing w:val="0"/>
          <w:sz w:val="24"/>
          <w:szCs w:val="24"/>
          <w:highlight w:val="none"/>
          <w:lang w:val="en-US" w:eastAsia="zh-CN"/>
        </w:rPr>
        <w:t>本次在新建集中拉油</w:t>
      </w:r>
      <w:r>
        <w:rPr>
          <w:rFonts w:hint="default" w:ascii="Times New Roman" w:hAnsi="Times New Roman" w:eastAsia="宋体" w:cs="Times New Roman"/>
          <w:color w:val="auto"/>
          <w:spacing w:val="0"/>
          <w:sz w:val="24"/>
          <w:szCs w:val="24"/>
          <w:lang w:val="en-US" w:eastAsia="zh-CN"/>
        </w:rPr>
        <w:t>站内建设</w:t>
      </w:r>
      <w:r>
        <w:rPr>
          <w:rFonts w:hint="default" w:ascii="Times New Roman" w:hAnsi="Times New Roman" w:eastAsia="宋体" w:cs="Times New Roman"/>
          <w:color w:val="auto"/>
          <w:spacing w:val="0"/>
          <w:sz w:val="24"/>
          <w:szCs w:val="24"/>
        </w:rPr>
        <w:t>生产分离器</w:t>
      </w:r>
      <w:r>
        <w:rPr>
          <w:rFonts w:hint="default" w:ascii="Times New Roman" w:hAnsi="Times New Roman" w:eastAsia="宋体" w:cs="Times New Roman"/>
          <w:color w:val="auto"/>
          <w:spacing w:val="0"/>
          <w:sz w:val="24"/>
          <w:szCs w:val="24"/>
          <w:lang w:val="en-US" w:eastAsia="zh-CN"/>
        </w:rPr>
        <w:t>及基础1座（</w:t>
      </w:r>
      <w:r>
        <w:rPr>
          <w:rFonts w:hint="default" w:ascii="Times New Roman" w:hAnsi="Times New Roman" w:eastAsia="宋体" w:cs="Times New Roman"/>
          <w:color w:val="auto"/>
          <w:spacing w:val="0"/>
          <w:sz w:val="24"/>
          <w:szCs w:val="24"/>
        </w:rPr>
        <w:t>Φ3.0m×9.0m</w:t>
      </w:r>
      <w:r>
        <w:rPr>
          <w:rFonts w:hint="default" w:ascii="Times New Roman" w:hAnsi="Times New Roman" w:eastAsia="宋体" w:cs="Times New Roman"/>
          <w:color w:val="auto"/>
          <w:spacing w:val="0"/>
          <w:sz w:val="24"/>
          <w:szCs w:val="24"/>
          <w:lang w:val="en-US" w:eastAsia="zh-CN"/>
        </w:rPr>
        <w:t>）</w:t>
      </w:r>
      <w:r>
        <w:rPr>
          <w:rFonts w:hint="eastAsia" w:ascii="Times New Roman" w:hAnsi="Times New Roman" w:cs="Times New Roman"/>
          <w:color w:val="auto"/>
          <w:spacing w:val="0"/>
          <w:sz w:val="24"/>
          <w:szCs w:val="24"/>
          <w:lang w:val="en-US" w:eastAsia="zh-CN"/>
        </w:rPr>
        <w:t>，</w:t>
      </w:r>
      <w:r>
        <w:rPr>
          <w:rFonts w:hint="default" w:ascii="Times New Roman" w:hAnsi="Times New Roman" w:eastAsia="宋体" w:cs="Times New Roman"/>
          <w:color w:val="auto"/>
          <w:spacing w:val="0"/>
          <w:sz w:val="24"/>
          <w:szCs w:val="24"/>
          <w:lang w:val="en-US" w:eastAsia="zh-CN"/>
        </w:rPr>
        <w:t>材质选用316L，采用模块化设计，整体露天安装，保温采用60mm厚憎水性复合硅酸盐毡，外包0.5mm镀锌铁皮</w:t>
      </w:r>
      <w:r>
        <w:rPr>
          <w:rFonts w:hint="eastAsia" w:ascii="Times New Roman" w:hAnsi="Times New Roman" w:cs="Times New Roman"/>
          <w:color w:val="auto"/>
          <w:spacing w:val="0"/>
          <w:sz w:val="24"/>
          <w:szCs w:val="24"/>
          <w:lang w:val="en-US" w:eastAsia="zh-CN"/>
        </w:rPr>
        <w:t>；建设除液器1台（为Ф1.0m×3.0m），材质选用316L，采用模块化设计，整体露天安装，保温采用60mm厚憎水性复合硅酸盐毡，外包0.5mm镀锌铁皮；建设</w:t>
      </w:r>
      <w:r>
        <w:rPr>
          <w:rStyle w:val="68"/>
          <w:rFonts w:hint="default" w:ascii="Times New Roman" w:hAnsi="Times New Roman" w:cs="Times New Roman"/>
          <w:color w:val="auto"/>
          <w:spacing w:val="0"/>
          <w:sz w:val="24"/>
          <w:szCs w:val="24"/>
          <w:lang w:bidi="ar"/>
        </w:rPr>
        <w:t>1000m</w:t>
      </w:r>
      <w:r>
        <w:rPr>
          <w:rStyle w:val="70"/>
          <w:rFonts w:hint="default" w:ascii="Times New Roman" w:hAnsi="Times New Roman" w:cs="Times New Roman"/>
          <w:color w:val="auto"/>
          <w:spacing w:val="0"/>
          <w:sz w:val="24"/>
          <w:szCs w:val="24"/>
          <w:lang w:bidi="ar"/>
        </w:rPr>
        <w:t>3</w:t>
      </w:r>
      <w:r>
        <w:rPr>
          <w:rStyle w:val="67"/>
          <w:rFonts w:hint="default" w:ascii="Times New Roman" w:hAnsi="Times New Roman" w:cs="Times New Roman"/>
          <w:color w:val="auto"/>
          <w:spacing w:val="0"/>
          <w:sz w:val="24"/>
          <w:szCs w:val="24"/>
          <w:lang w:bidi="ar"/>
        </w:rPr>
        <w:t>拉油罐</w:t>
      </w:r>
      <w:r>
        <w:rPr>
          <w:rStyle w:val="67"/>
          <w:rFonts w:hint="default" w:ascii="Times New Roman" w:hAnsi="Times New Roman" w:eastAsia="宋体" w:cs="Times New Roman"/>
          <w:color w:val="auto"/>
          <w:spacing w:val="0"/>
          <w:sz w:val="24"/>
          <w:szCs w:val="24"/>
          <w:lang w:val="en-US" w:eastAsia="zh-CN" w:bidi="ar"/>
        </w:rPr>
        <w:t>及基础</w:t>
      </w:r>
      <w:r>
        <w:rPr>
          <w:rStyle w:val="67"/>
          <w:rFonts w:hint="default" w:ascii="Times New Roman" w:hAnsi="Times New Roman" w:cs="Times New Roman"/>
          <w:color w:val="auto"/>
          <w:spacing w:val="0"/>
          <w:sz w:val="24"/>
          <w:szCs w:val="24"/>
          <w:lang w:val="en-US" w:eastAsia="zh-CN" w:bidi="ar"/>
        </w:rPr>
        <w:t>2</w:t>
      </w:r>
      <w:r>
        <w:rPr>
          <w:rStyle w:val="67"/>
          <w:rFonts w:hint="default" w:ascii="Times New Roman" w:hAnsi="Times New Roman" w:eastAsia="宋体" w:cs="Times New Roman"/>
          <w:color w:val="auto"/>
          <w:spacing w:val="0"/>
          <w:sz w:val="24"/>
          <w:szCs w:val="24"/>
          <w:lang w:val="en-US" w:eastAsia="zh-CN" w:bidi="ar"/>
        </w:rPr>
        <w:t>座</w:t>
      </w:r>
      <w:r>
        <w:rPr>
          <w:rStyle w:val="67"/>
          <w:rFonts w:hint="eastAsia" w:ascii="Times New Roman" w:hAnsi="Times New Roman" w:cs="Times New Roman"/>
          <w:color w:val="auto"/>
          <w:spacing w:val="0"/>
          <w:sz w:val="24"/>
          <w:szCs w:val="24"/>
          <w:lang w:val="en-US" w:eastAsia="zh-CN" w:bidi="ar"/>
        </w:rPr>
        <w:t>，罐内设200kW电加热棒保证冬季拉油时罐内介质的流动性；建设</w:t>
      </w:r>
      <w:r>
        <w:rPr>
          <w:rFonts w:hint="default" w:ascii="Times New Roman" w:hAnsi="Times New Roman" w:cs="Times New Roman"/>
          <w:color w:val="auto"/>
          <w:spacing w:val="0"/>
          <w:kern w:val="0"/>
          <w:sz w:val="24"/>
          <w:szCs w:val="24"/>
          <w:lang w:bidi="ar"/>
        </w:rPr>
        <w:t>密闭装车撬</w:t>
      </w:r>
      <w:r>
        <w:rPr>
          <w:rStyle w:val="67"/>
          <w:rFonts w:hint="default" w:ascii="Times New Roman" w:hAnsi="Times New Roman" w:eastAsia="宋体" w:cs="Times New Roman"/>
          <w:color w:val="auto"/>
          <w:spacing w:val="0"/>
          <w:sz w:val="24"/>
          <w:szCs w:val="24"/>
          <w:lang w:val="en-US" w:eastAsia="zh-CN" w:bidi="ar"/>
        </w:rPr>
        <w:t>及基础</w:t>
      </w:r>
      <w:r>
        <w:rPr>
          <w:rStyle w:val="67"/>
          <w:rFonts w:hint="eastAsia" w:ascii="Times New Roman" w:hAnsi="Times New Roman" w:cs="Times New Roman"/>
          <w:color w:val="auto"/>
          <w:spacing w:val="0"/>
          <w:sz w:val="24"/>
          <w:szCs w:val="24"/>
          <w:lang w:val="en-US" w:eastAsia="zh-CN" w:bidi="ar"/>
        </w:rPr>
        <w:t>3</w:t>
      </w:r>
      <w:r>
        <w:rPr>
          <w:rStyle w:val="67"/>
          <w:rFonts w:hint="default" w:ascii="Times New Roman" w:hAnsi="Times New Roman" w:eastAsia="宋体" w:cs="Times New Roman"/>
          <w:color w:val="auto"/>
          <w:spacing w:val="0"/>
          <w:sz w:val="24"/>
          <w:szCs w:val="24"/>
          <w:lang w:val="en-US" w:eastAsia="zh-CN" w:bidi="ar"/>
        </w:rPr>
        <w:t>座</w:t>
      </w:r>
      <w:r>
        <w:rPr>
          <w:rStyle w:val="67"/>
          <w:rFonts w:hint="eastAsia" w:ascii="Times New Roman" w:hAnsi="Times New Roman" w:cs="Times New Roman"/>
          <w:color w:val="auto"/>
          <w:spacing w:val="0"/>
          <w:sz w:val="24"/>
          <w:szCs w:val="24"/>
          <w:lang w:val="en-US" w:eastAsia="zh-CN" w:bidi="ar"/>
        </w:rPr>
        <w:t>，每座密闭装车撬含2台</w:t>
      </w:r>
      <w:r>
        <w:rPr>
          <w:rStyle w:val="67"/>
          <w:rFonts w:hint="eastAsia" w:cs="Times New Roman"/>
          <w:color w:val="auto"/>
          <w:spacing w:val="0"/>
          <w:sz w:val="24"/>
          <w:szCs w:val="24"/>
          <w:lang w:val="en-US" w:eastAsia="zh-CN" w:bidi="ar"/>
        </w:rPr>
        <w:t>装车泵</w:t>
      </w:r>
      <w:r>
        <w:rPr>
          <w:rStyle w:val="68"/>
          <w:rFonts w:hint="default" w:ascii="Times New Roman" w:hAnsi="Times New Roman" w:cs="Times New Roman"/>
          <w:color w:val="auto"/>
          <w:spacing w:val="0"/>
          <w:sz w:val="24"/>
          <w:szCs w:val="24"/>
          <w:lang w:bidi="ar"/>
        </w:rPr>
        <w:t>Q=100m</w:t>
      </w:r>
      <w:r>
        <w:rPr>
          <w:rStyle w:val="70"/>
          <w:rFonts w:hint="default" w:ascii="Times New Roman" w:hAnsi="Times New Roman" w:cs="Times New Roman"/>
          <w:color w:val="auto"/>
          <w:spacing w:val="0"/>
          <w:sz w:val="24"/>
          <w:szCs w:val="24"/>
          <w:lang w:bidi="ar"/>
        </w:rPr>
        <w:t>3</w:t>
      </w:r>
      <w:r>
        <w:rPr>
          <w:rStyle w:val="68"/>
          <w:rFonts w:hint="default" w:ascii="Times New Roman" w:hAnsi="Times New Roman" w:cs="Times New Roman"/>
          <w:color w:val="auto"/>
          <w:spacing w:val="0"/>
          <w:sz w:val="24"/>
          <w:szCs w:val="24"/>
          <w:lang w:bidi="ar"/>
        </w:rPr>
        <w:t>/h</w:t>
      </w:r>
      <w:r>
        <w:rPr>
          <w:rStyle w:val="67"/>
          <w:rFonts w:hint="default" w:ascii="Times New Roman" w:hAnsi="Times New Roman" w:cs="Times New Roman"/>
          <w:color w:val="auto"/>
          <w:spacing w:val="0"/>
          <w:sz w:val="24"/>
          <w:szCs w:val="24"/>
          <w:lang w:bidi="ar"/>
        </w:rPr>
        <w:t>、</w:t>
      </w:r>
      <w:r>
        <w:rPr>
          <w:rStyle w:val="68"/>
          <w:rFonts w:hint="default" w:ascii="Times New Roman" w:hAnsi="Times New Roman" w:cs="Times New Roman"/>
          <w:color w:val="auto"/>
          <w:spacing w:val="0"/>
          <w:sz w:val="24"/>
          <w:szCs w:val="24"/>
          <w:lang w:bidi="ar"/>
        </w:rPr>
        <w:t>H=60m</w:t>
      </w:r>
      <w:r>
        <w:rPr>
          <w:rStyle w:val="67"/>
          <w:rFonts w:hint="default" w:ascii="Times New Roman" w:hAnsi="Times New Roman" w:cs="Times New Roman"/>
          <w:color w:val="auto"/>
          <w:spacing w:val="0"/>
          <w:sz w:val="24"/>
          <w:szCs w:val="24"/>
          <w:lang w:bidi="ar"/>
        </w:rPr>
        <w:t>、</w:t>
      </w:r>
      <w:r>
        <w:rPr>
          <w:rStyle w:val="68"/>
          <w:rFonts w:hint="default" w:ascii="Times New Roman" w:hAnsi="Times New Roman" w:cs="Times New Roman"/>
          <w:color w:val="auto"/>
          <w:spacing w:val="0"/>
          <w:sz w:val="24"/>
          <w:szCs w:val="24"/>
          <w:lang w:bidi="ar"/>
        </w:rPr>
        <w:t>N=22kW</w:t>
      </w:r>
      <w:r>
        <w:rPr>
          <w:rStyle w:val="67"/>
          <w:rFonts w:hint="eastAsia" w:ascii="Times New Roman" w:hAnsi="Times New Roman" w:cs="Times New Roman"/>
          <w:color w:val="auto"/>
          <w:spacing w:val="0"/>
          <w:sz w:val="24"/>
          <w:szCs w:val="24"/>
          <w:lang w:val="en-US" w:eastAsia="zh-CN" w:bidi="ar"/>
        </w:rPr>
        <w:t>及配套设施，2台装车泵一用一备</w:t>
      </w:r>
      <w:r>
        <w:rPr>
          <w:rStyle w:val="67"/>
          <w:rFonts w:hint="default" w:ascii="Times New Roman" w:hAnsi="Times New Roman" w:eastAsia="宋体" w:cs="Times New Roman"/>
          <w:color w:val="auto"/>
          <w:spacing w:val="0"/>
          <w:sz w:val="24"/>
          <w:szCs w:val="24"/>
          <w:lang w:val="en-US" w:eastAsia="zh-CN" w:bidi="ar"/>
        </w:rPr>
        <w:t>，DN80分流式无气源自动点火放空火炬（内含自动点火装置）1座等设备。</w:t>
      </w:r>
      <w:r>
        <w:rPr>
          <w:rFonts w:hint="default" w:ascii="Times New Roman" w:hAnsi="Times New Roman" w:eastAsia="宋体" w:cs="Times New Roman"/>
          <w:color w:val="auto"/>
          <w:spacing w:val="0"/>
          <w:sz w:val="24"/>
          <w:highlight w:val="none"/>
          <w:shd w:val="clear" w:color="auto" w:fill="auto"/>
          <w:lang w:val="en-US" w:eastAsia="zh-CN"/>
        </w:rPr>
        <w:t>工艺流程为：油区采油井油气混合物集输进入集中拉油站内的生产分离器，进行气液分离，分离出的含水原油进入拉油罐，经装车泵和密闭装车撬装车外运，分离后伴生气去夏子街增压站处理。在分离器气相出口管道上设自立式调压阀，控制分离器运行压力，保证液体进入拉油罐。</w:t>
      </w:r>
      <w:r>
        <w:rPr>
          <w:rFonts w:hint="default" w:ascii="Times New Roman" w:hAnsi="Times New Roman" w:cs="Times New Roman"/>
          <w:color w:val="auto"/>
          <w:spacing w:val="0"/>
          <w:sz w:val="24"/>
          <w:szCs w:val="24"/>
          <w:highlight w:val="none"/>
          <w:lang w:val="en-US" w:eastAsia="zh-CN"/>
        </w:rPr>
        <w:t>集中拉油站</w:t>
      </w:r>
      <w:r>
        <w:rPr>
          <w:rFonts w:hint="default" w:ascii="Times New Roman" w:hAnsi="Times New Roman" w:eastAsia="宋体" w:cs="Times New Roman"/>
          <w:color w:val="auto"/>
          <w:spacing w:val="0"/>
          <w:sz w:val="24"/>
          <w:highlight w:val="none"/>
          <w:shd w:val="clear" w:color="auto" w:fill="auto"/>
          <w:lang w:val="en-US" w:eastAsia="zh-CN"/>
        </w:rPr>
        <w:t>设置事故流程，事故状态下分离缓冲罐分离的气相进新建放空火炬放烧，液相进新建</w:t>
      </w:r>
      <w:r>
        <w:rPr>
          <w:rFonts w:hint="eastAsia" w:cs="Times New Roman"/>
          <w:color w:val="auto"/>
          <w:spacing w:val="0"/>
          <w:sz w:val="24"/>
          <w:highlight w:val="none"/>
          <w:shd w:val="clear" w:color="auto" w:fill="auto"/>
          <w:lang w:val="en-US" w:eastAsia="zh-CN"/>
        </w:rPr>
        <w:t>2座</w:t>
      </w:r>
      <w:r>
        <w:rPr>
          <w:rFonts w:hint="default" w:ascii="Times New Roman" w:hAnsi="Times New Roman" w:eastAsia="宋体" w:cs="Times New Roman"/>
          <w:color w:val="auto"/>
          <w:spacing w:val="0"/>
          <w:sz w:val="24"/>
          <w:highlight w:val="none"/>
          <w:shd w:val="clear" w:color="auto" w:fill="auto"/>
          <w:lang w:val="en-US" w:eastAsia="zh-CN"/>
        </w:rPr>
        <w:t>1000m³拉油罐储存，通过新建采出液定量装车橇装车外运。</w:t>
      </w:r>
      <w:r>
        <w:rPr>
          <w:rFonts w:hint="default" w:ascii="Times New Roman" w:hAnsi="Times New Roman" w:cs="Times New Roman"/>
          <w:color w:val="auto"/>
          <w:spacing w:val="0"/>
          <w:sz w:val="24"/>
          <w:szCs w:val="24"/>
          <w:highlight w:val="none"/>
          <w:lang w:val="en-US" w:eastAsia="zh-CN"/>
        </w:rPr>
        <w:t>集中拉油站</w:t>
      </w:r>
      <w:r>
        <w:rPr>
          <w:rFonts w:hint="default" w:ascii="Times New Roman" w:hAnsi="Times New Roman" w:eastAsia="宋体" w:cs="Times New Roman"/>
          <w:color w:val="auto"/>
          <w:spacing w:val="0"/>
          <w:sz w:val="24"/>
          <w:highlight w:val="none"/>
          <w:shd w:val="clear" w:color="auto" w:fill="auto"/>
          <w:lang w:val="en-US" w:eastAsia="zh-CN"/>
        </w:rPr>
        <w:t>工作量见表3.2-1</w:t>
      </w:r>
      <w:r>
        <w:rPr>
          <w:rFonts w:hint="default" w:ascii="Times New Roman" w:hAnsi="Times New Roman" w:cs="Times New Roman"/>
          <w:color w:val="auto"/>
          <w:spacing w:val="0"/>
          <w:sz w:val="24"/>
          <w:highlight w:val="none"/>
          <w:shd w:val="clear" w:color="auto" w:fill="auto"/>
          <w:lang w:val="en-US" w:eastAsia="zh-CN"/>
        </w:rPr>
        <w:t>8</w:t>
      </w:r>
      <w:r>
        <w:rPr>
          <w:rFonts w:hint="default" w:ascii="Times New Roman" w:hAnsi="Times New Roman" w:eastAsia="宋体" w:cs="Times New Roman"/>
          <w:color w:val="auto"/>
          <w:spacing w:val="0"/>
          <w:sz w:val="24"/>
          <w:highlight w:val="none"/>
          <w:shd w:val="clear" w:color="auto" w:fill="auto"/>
          <w:lang w:val="en-US"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 xml:space="preserve">2-18  </w:t>
      </w:r>
      <w:r>
        <w:rPr>
          <w:rFonts w:hint="default" w:cs="Times New Roman"/>
          <w:color w:val="auto"/>
          <w:highlight w:val="none"/>
        </w:rPr>
        <w:t xml:space="preserve"> </w:t>
      </w:r>
      <w:r>
        <w:rPr>
          <w:rFonts w:hint="eastAsia" w:cs="Times New Roman"/>
          <w:color w:val="auto"/>
          <w:highlight w:val="none"/>
          <w:lang w:val="en-US" w:eastAsia="zh-CN"/>
        </w:rPr>
        <w:t>集中拉油站工作量</w:t>
      </w:r>
      <w:r>
        <w:rPr>
          <w:rFonts w:hint="default" w:cs="Times New Roman"/>
          <w:color w:val="auto"/>
          <w:highlight w:val="none"/>
        </w:rPr>
        <w:t>统计表</w:t>
      </w:r>
    </w:p>
    <w:tbl>
      <w:tblPr>
        <w:tblStyle w:val="34"/>
        <w:tblW w:w="507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01"/>
        <w:gridCol w:w="3906"/>
        <w:gridCol w:w="664"/>
        <w:gridCol w:w="793"/>
        <w:gridCol w:w="2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序号</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名称</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单位</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数量</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生产分离器（Φ3.0m×9.0m）</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316L材质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生产分离器基础（Φ3.0m×9.0m）</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埋深1m，C40钢筋砼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除液器（Φ1.0m×3.0m）</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316L材质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除液器基础（Φ1.0m×3.0m）</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埋深1m，C40钢筋砼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bidi="ar-SA"/>
              </w:rPr>
              <w:t>5</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缓蚀剂加药橇</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6</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拉油罐</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7</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1000m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拉油罐基础</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R=11.5m</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环墙厚25cm，采用C40钢筋砼现浇，埋深2m</w:t>
            </w: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8</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呼阻一体式呼吸阀，备注：配带压力表</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套</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9</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密闭装车撬（含两台装车泵Q=100m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/h、H=60m、N=22kW）</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套</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2台装车泵一用一备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10</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密闭装车撬基础</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6m×3m×3.5m，C40钢筋砼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bidi="ar-SA"/>
              </w:rPr>
              <w:t>11</w:t>
            </w:r>
          </w:p>
        </w:tc>
        <w:tc>
          <w:tcPr>
            <w:tcW w:w="2178"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DN80分流式无气源自动点火放空火炬（内含自动点火装置），H=10m</w:t>
            </w:r>
          </w:p>
        </w:tc>
        <w:tc>
          <w:tcPr>
            <w:tcW w:w="370"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442"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1617" w:type="pct"/>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p>
        </w:tc>
      </w:tr>
    </w:tbl>
    <w:p>
      <w:pPr>
        <w:pStyle w:val="57"/>
        <w:ind w:left="0" w:leftChars="0" w:firstLine="240" w:firstLineChars="100"/>
        <w:rPr>
          <w:rFonts w:hint="eastAsia"/>
          <w:color w:val="auto"/>
          <w:highlight w:val="none"/>
        </w:rPr>
      </w:pPr>
      <w:r>
        <w:rPr>
          <w:rFonts w:hint="eastAsia"/>
          <w:color w:val="auto"/>
          <w:szCs w:val="24"/>
          <w:highlight w:val="none"/>
        </w:rPr>
        <w:t>（</w:t>
      </w:r>
      <w:r>
        <w:rPr>
          <w:rFonts w:hint="eastAsia"/>
          <w:color w:val="auto"/>
          <w:szCs w:val="24"/>
          <w:highlight w:val="none"/>
          <w:lang w:val="en-US" w:eastAsia="zh-CN"/>
        </w:rPr>
        <w:t>4</w:t>
      </w:r>
      <w:r>
        <w:rPr>
          <w:color w:val="auto"/>
          <w:szCs w:val="24"/>
          <w:highlight w:val="none"/>
        </w:rPr>
        <w:t>）</w:t>
      </w:r>
      <w:r>
        <w:rPr>
          <w:rFonts w:hint="eastAsia"/>
          <w:color w:val="auto"/>
          <w:szCs w:val="24"/>
          <w:highlight w:val="none"/>
        </w:rPr>
        <w:t>井场、站场</w:t>
      </w:r>
      <w:r>
        <w:rPr>
          <w:color w:val="auto"/>
          <w:szCs w:val="24"/>
          <w:highlight w:val="none"/>
        </w:rPr>
        <w:t>主要</w:t>
      </w:r>
      <w:r>
        <w:rPr>
          <w:rFonts w:hint="eastAsia"/>
          <w:color w:val="auto"/>
          <w:szCs w:val="24"/>
          <w:highlight w:val="none"/>
        </w:rPr>
        <w:t>工程及</w:t>
      </w:r>
      <w:r>
        <w:rPr>
          <w:color w:val="auto"/>
          <w:szCs w:val="24"/>
          <w:highlight w:val="none"/>
        </w:rPr>
        <w:t>设备</w:t>
      </w:r>
    </w:p>
    <w:p>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color w:val="auto"/>
          <w:highlight w:val="none"/>
        </w:rPr>
      </w:pPr>
      <w:r>
        <w:rPr>
          <w:rFonts w:hint="eastAsia"/>
          <w:color w:val="auto"/>
          <w:highlight w:val="none"/>
        </w:rPr>
        <w:t>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 xml:space="preserve">19  </w:t>
      </w:r>
      <w:r>
        <w:rPr>
          <w:rFonts w:hint="eastAsia"/>
          <w:color w:val="auto"/>
          <w:highlight w:val="none"/>
        </w:rPr>
        <w:t xml:space="preserve"> 井场、站场</w:t>
      </w:r>
      <w:r>
        <w:rPr>
          <w:color w:val="auto"/>
          <w:highlight w:val="none"/>
        </w:rPr>
        <w:t>主要</w:t>
      </w:r>
      <w:r>
        <w:rPr>
          <w:rFonts w:hint="eastAsia"/>
          <w:color w:val="auto"/>
          <w:highlight w:val="none"/>
        </w:rPr>
        <w:t>工程及</w:t>
      </w:r>
      <w:r>
        <w:rPr>
          <w:color w:val="auto"/>
          <w:highlight w:val="none"/>
        </w:rPr>
        <w:t>设备</w:t>
      </w:r>
      <w:r>
        <w:rPr>
          <w:rFonts w:hint="eastAsia"/>
          <w:color w:val="auto"/>
          <w:highlight w:val="none"/>
        </w:rPr>
        <w:t>一览表</w:t>
      </w:r>
    </w:p>
    <w:tbl>
      <w:tblPr>
        <w:tblStyle w:val="34"/>
        <w:tblW w:w="518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659"/>
        <w:gridCol w:w="4396"/>
        <w:gridCol w:w="650"/>
        <w:gridCol w:w="591"/>
        <w:gridCol w:w="267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pPr>
              <w:pStyle w:val="41"/>
              <w:bidi w:val="0"/>
              <w:jc w:val="center"/>
              <w:rPr>
                <w:color w:val="auto"/>
                <w:highlight w:val="none"/>
              </w:rPr>
            </w:pPr>
            <w:r>
              <w:rPr>
                <w:color w:val="auto"/>
                <w:highlight w:val="none"/>
              </w:rPr>
              <w:t>序号</w:t>
            </w:r>
          </w:p>
        </w:tc>
        <w:tc>
          <w:tcPr>
            <w:tcW w:w="2448" w:type="pct"/>
            <w:tcBorders>
              <w:tl2br w:val="nil"/>
              <w:tr2bl w:val="nil"/>
            </w:tcBorders>
            <w:shd w:val="clear" w:color="auto" w:fill="auto"/>
            <w:vAlign w:val="center"/>
          </w:tcPr>
          <w:p>
            <w:pPr>
              <w:pStyle w:val="41"/>
              <w:bidi w:val="0"/>
              <w:jc w:val="center"/>
              <w:rPr>
                <w:color w:val="auto"/>
                <w:highlight w:val="none"/>
              </w:rPr>
            </w:pPr>
            <w:r>
              <w:rPr>
                <w:color w:val="auto"/>
                <w:highlight w:val="none"/>
              </w:rPr>
              <w:t>项目</w:t>
            </w:r>
          </w:p>
        </w:tc>
        <w:tc>
          <w:tcPr>
            <w:tcW w:w="362" w:type="pct"/>
            <w:tcBorders>
              <w:tl2br w:val="nil"/>
              <w:tr2bl w:val="nil"/>
            </w:tcBorders>
            <w:shd w:val="clear" w:color="auto" w:fill="auto"/>
            <w:vAlign w:val="center"/>
          </w:tcPr>
          <w:p>
            <w:pPr>
              <w:pStyle w:val="41"/>
              <w:bidi w:val="0"/>
              <w:jc w:val="center"/>
              <w:rPr>
                <w:color w:val="auto"/>
                <w:highlight w:val="none"/>
              </w:rPr>
            </w:pPr>
            <w:r>
              <w:rPr>
                <w:color w:val="auto"/>
                <w:highlight w:val="none"/>
              </w:rPr>
              <w:t>单位</w:t>
            </w:r>
          </w:p>
        </w:tc>
        <w:tc>
          <w:tcPr>
            <w:tcW w:w="329" w:type="pct"/>
            <w:tcBorders>
              <w:tl2br w:val="nil"/>
              <w:tr2bl w:val="nil"/>
            </w:tcBorders>
            <w:shd w:val="clear" w:color="auto" w:fill="auto"/>
            <w:vAlign w:val="center"/>
          </w:tcPr>
          <w:p>
            <w:pPr>
              <w:pStyle w:val="41"/>
              <w:bidi w:val="0"/>
              <w:jc w:val="center"/>
              <w:rPr>
                <w:color w:val="auto"/>
                <w:highlight w:val="none"/>
              </w:rPr>
            </w:pPr>
            <w:r>
              <w:rPr>
                <w:color w:val="auto"/>
                <w:highlight w:val="none"/>
              </w:rPr>
              <w:t>数量</w:t>
            </w:r>
          </w:p>
        </w:tc>
        <w:tc>
          <w:tcPr>
            <w:tcW w:w="1490" w:type="pct"/>
            <w:tcBorders>
              <w:tl2br w:val="nil"/>
              <w:tr2bl w:val="nil"/>
            </w:tcBorders>
            <w:shd w:val="clear" w:color="auto" w:fill="auto"/>
            <w:vAlign w:val="center"/>
          </w:tcPr>
          <w:p>
            <w:pPr>
              <w:pStyle w:val="41"/>
              <w:bidi w:val="0"/>
              <w:jc w:val="center"/>
              <w:rPr>
                <w:color w:val="auto"/>
                <w:highlight w:val="none"/>
              </w:rPr>
            </w:pPr>
            <w:r>
              <w:rPr>
                <w:color w:val="auto"/>
                <w:highlight w:val="none"/>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pPr>
              <w:pStyle w:val="41"/>
              <w:bidi w:val="0"/>
              <w:jc w:val="center"/>
              <w:rPr>
                <w:color w:val="auto"/>
                <w:highlight w:val="none"/>
              </w:rPr>
            </w:pPr>
            <w:r>
              <w:rPr>
                <w:color w:val="auto"/>
                <w:highlight w:val="none"/>
              </w:rPr>
              <w:t>1</w:t>
            </w:r>
          </w:p>
        </w:tc>
        <w:tc>
          <w:tcPr>
            <w:tcW w:w="2448" w:type="pct"/>
            <w:tcBorders>
              <w:tl2br w:val="nil"/>
              <w:tr2bl w:val="nil"/>
            </w:tcBorders>
            <w:shd w:val="clear" w:color="auto" w:fill="auto"/>
            <w:vAlign w:val="center"/>
          </w:tcPr>
          <w:p>
            <w:pPr>
              <w:pStyle w:val="41"/>
              <w:bidi w:val="0"/>
              <w:jc w:val="left"/>
              <w:rPr>
                <w:rFonts w:hint="default" w:eastAsia="宋体"/>
                <w:color w:val="auto"/>
                <w:highlight w:val="none"/>
                <w:lang w:val="en-US" w:eastAsia="zh-CN"/>
              </w:rPr>
            </w:pPr>
            <w:r>
              <w:rPr>
                <w:rFonts w:hint="eastAsia"/>
                <w:color w:val="auto"/>
                <w:highlight w:val="none"/>
                <w:lang w:val="en-US" w:eastAsia="zh-CN"/>
              </w:rPr>
              <w:t>采油井场</w:t>
            </w:r>
          </w:p>
        </w:tc>
        <w:tc>
          <w:tcPr>
            <w:tcW w:w="362" w:type="pct"/>
            <w:tcBorders>
              <w:tl2br w:val="nil"/>
              <w:tr2bl w:val="nil"/>
            </w:tcBorders>
            <w:shd w:val="clear" w:color="auto" w:fill="auto"/>
            <w:vAlign w:val="center"/>
          </w:tcPr>
          <w:p>
            <w:pPr>
              <w:pStyle w:val="41"/>
              <w:bidi w:val="0"/>
              <w:jc w:val="center"/>
              <w:rPr>
                <w:color w:val="auto"/>
                <w:highlight w:val="none"/>
              </w:rPr>
            </w:pPr>
            <w:r>
              <w:rPr>
                <w:color w:val="auto"/>
                <w:highlight w:val="none"/>
              </w:rPr>
              <w:t>座</w:t>
            </w:r>
          </w:p>
        </w:tc>
        <w:tc>
          <w:tcPr>
            <w:tcW w:w="329" w:type="pct"/>
            <w:tcBorders>
              <w:tl2br w:val="nil"/>
              <w:tr2bl w:val="nil"/>
            </w:tcBorders>
            <w:shd w:val="clear" w:color="auto" w:fill="auto"/>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18</w:t>
            </w:r>
          </w:p>
        </w:tc>
        <w:tc>
          <w:tcPr>
            <w:tcW w:w="1490" w:type="pct"/>
            <w:tcBorders>
              <w:tl2br w:val="nil"/>
              <w:tr2bl w:val="nil"/>
            </w:tcBorders>
            <w:shd w:val="clear" w:color="auto" w:fill="auto"/>
            <w:vAlign w:val="center"/>
          </w:tcPr>
          <w:p>
            <w:pPr>
              <w:pStyle w:val="41"/>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pPr>
              <w:pStyle w:val="41"/>
              <w:bidi w:val="0"/>
              <w:jc w:val="center"/>
              <w:rPr>
                <w:color w:val="auto"/>
                <w:highlight w:val="none"/>
              </w:rPr>
            </w:pPr>
            <w:r>
              <w:rPr>
                <w:color w:val="auto"/>
                <w:highlight w:val="none"/>
              </w:rPr>
              <w:t>1.1</w:t>
            </w:r>
          </w:p>
        </w:tc>
        <w:tc>
          <w:tcPr>
            <w:tcW w:w="2448" w:type="pct"/>
            <w:tcBorders>
              <w:tl2br w:val="nil"/>
              <w:tr2bl w:val="nil"/>
            </w:tcBorders>
            <w:shd w:val="clear" w:color="auto" w:fill="auto"/>
            <w:vAlign w:val="center"/>
          </w:tcPr>
          <w:p>
            <w:pPr>
              <w:pStyle w:val="41"/>
              <w:bidi w:val="0"/>
              <w:jc w:val="left"/>
              <w:rPr>
                <w:rFonts w:hint="eastAsia" w:eastAsia="宋体"/>
                <w:color w:val="auto"/>
                <w:highlight w:val="none"/>
                <w:lang w:eastAsia="zh-CN"/>
              </w:rPr>
            </w:pPr>
            <w:r>
              <w:rPr>
                <w:rFonts w:hint="eastAsia" w:ascii="宋体" w:hAnsi="宋体" w:cs="宋体"/>
                <w:color w:val="auto"/>
                <w:kern w:val="0"/>
                <w:szCs w:val="21"/>
                <w:lang w:bidi="ar"/>
              </w:rPr>
              <w:t>保温油嘴不加热采油井场</w:t>
            </w:r>
            <w:r>
              <w:rPr>
                <w:rFonts w:hint="eastAsia" w:ascii="宋体" w:hAnsi="宋体" w:cs="宋体"/>
                <w:color w:val="auto"/>
                <w:kern w:val="0"/>
                <w:szCs w:val="21"/>
                <w:lang w:eastAsia="zh-CN" w:bidi="ar"/>
              </w:rPr>
              <w:t>（</w:t>
            </w:r>
            <w:r>
              <w:rPr>
                <w:rFonts w:ascii="Times New Roman" w:hAnsi="Times New Roman"/>
                <w:color w:val="auto"/>
                <w:kern w:val="0"/>
                <w:szCs w:val="21"/>
                <w:lang w:bidi="ar"/>
              </w:rPr>
              <w:t>105MPa</w:t>
            </w:r>
            <w:r>
              <w:rPr>
                <w:rFonts w:hint="eastAsia" w:ascii="Times New Roman" w:hAnsi="Times New Roman"/>
                <w:color w:val="auto"/>
                <w:kern w:val="0"/>
                <w:szCs w:val="21"/>
                <w:lang w:val="en-US" w:eastAsia="zh-CN" w:bidi="ar"/>
              </w:rPr>
              <w:t xml:space="preserve"> </w:t>
            </w:r>
            <w:r>
              <w:rPr>
                <w:rFonts w:ascii="Times New Roman" w:hAnsi="Times New Roman"/>
                <w:color w:val="auto"/>
                <w:kern w:val="0"/>
                <w:szCs w:val="21"/>
                <w:lang w:bidi="ar"/>
              </w:rPr>
              <w:t>DN65</w:t>
            </w:r>
            <w:r>
              <w:rPr>
                <w:rFonts w:hint="eastAsia" w:ascii="宋体" w:hAnsi="宋体" w:cs="宋体"/>
                <w:color w:val="auto"/>
                <w:kern w:val="0"/>
                <w:szCs w:val="21"/>
                <w:lang w:eastAsia="zh-CN" w:bidi="ar"/>
              </w:rPr>
              <w:t>）</w:t>
            </w:r>
          </w:p>
        </w:tc>
        <w:tc>
          <w:tcPr>
            <w:tcW w:w="362" w:type="pct"/>
            <w:tcBorders>
              <w:tl2br w:val="nil"/>
              <w:tr2bl w:val="nil"/>
            </w:tcBorders>
            <w:shd w:val="clear" w:color="auto" w:fill="auto"/>
            <w:vAlign w:val="center"/>
          </w:tcPr>
          <w:p>
            <w:pPr>
              <w:pStyle w:val="41"/>
              <w:bidi w:val="0"/>
              <w:jc w:val="center"/>
              <w:rPr>
                <w:color w:val="auto"/>
                <w:highlight w:val="none"/>
              </w:rPr>
            </w:pPr>
            <w:r>
              <w:rPr>
                <w:color w:val="auto"/>
                <w:highlight w:val="none"/>
              </w:rPr>
              <w:t>座</w:t>
            </w:r>
          </w:p>
        </w:tc>
        <w:tc>
          <w:tcPr>
            <w:tcW w:w="329" w:type="pct"/>
            <w:tcBorders>
              <w:tl2br w:val="nil"/>
              <w:tr2bl w:val="nil"/>
            </w:tcBorders>
            <w:shd w:val="clear" w:color="auto" w:fill="auto"/>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18</w:t>
            </w:r>
          </w:p>
        </w:tc>
        <w:tc>
          <w:tcPr>
            <w:tcW w:w="1490" w:type="pct"/>
            <w:tcBorders>
              <w:tl2br w:val="nil"/>
              <w:tr2bl w:val="nil"/>
            </w:tcBorders>
            <w:shd w:val="clear" w:color="auto" w:fill="auto"/>
            <w:vAlign w:val="center"/>
          </w:tcPr>
          <w:p>
            <w:pPr>
              <w:pStyle w:val="41"/>
              <w:bidi w:val="0"/>
              <w:jc w:val="center"/>
              <w:rPr>
                <w:color w:val="auto"/>
                <w:highlight w:val="none"/>
              </w:rPr>
            </w:pPr>
            <w:r>
              <w:rPr>
                <w:rFonts w:ascii="Times New Roman" w:hAnsi="Times New Roman"/>
                <w:color w:val="auto"/>
                <w:szCs w:val="21"/>
              </w:rPr>
              <w:t>通集20139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pPr>
              <w:pStyle w:val="41"/>
              <w:bidi w:val="0"/>
              <w:jc w:val="center"/>
              <w:rPr>
                <w:color w:val="auto"/>
                <w:highlight w:val="none"/>
              </w:rPr>
            </w:pPr>
            <w:r>
              <w:rPr>
                <w:color w:val="auto"/>
                <w:highlight w:val="none"/>
              </w:rPr>
              <w:t>1.2</w:t>
            </w:r>
          </w:p>
        </w:tc>
        <w:tc>
          <w:tcPr>
            <w:tcW w:w="2448" w:type="pct"/>
            <w:tcBorders>
              <w:tl2br w:val="nil"/>
              <w:tr2bl w:val="nil"/>
            </w:tcBorders>
            <w:shd w:val="clear" w:color="auto" w:fill="auto"/>
            <w:vAlign w:val="center"/>
          </w:tcPr>
          <w:p>
            <w:pPr>
              <w:pStyle w:val="41"/>
              <w:bidi w:val="0"/>
              <w:jc w:val="left"/>
              <w:rPr>
                <w:color w:val="auto"/>
                <w:highlight w:val="none"/>
              </w:rPr>
            </w:pPr>
            <w:r>
              <w:rPr>
                <w:rFonts w:ascii="Times New Roman" w:hAnsi="Times New Roman"/>
                <w:color w:val="auto"/>
                <w:szCs w:val="21"/>
              </w:rPr>
              <w:t>14型抽油机（配套电机37/30kW）</w:t>
            </w:r>
          </w:p>
        </w:tc>
        <w:tc>
          <w:tcPr>
            <w:tcW w:w="362" w:type="pct"/>
            <w:tcBorders>
              <w:tl2br w:val="nil"/>
              <w:tr2bl w:val="nil"/>
            </w:tcBorders>
            <w:shd w:val="clear" w:color="auto" w:fill="auto"/>
            <w:vAlign w:val="center"/>
          </w:tcPr>
          <w:p>
            <w:pPr>
              <w:pStyle w:val="41"/>
              <w:bidi w:val="0"/>
              <w:jc w:val="center"/>
              <w:rPr>
                <w:rFonts w:hint="eastAsia" w:eastAsia="宋体"/>
                <w:color w:val="auto"/>
                <w:highlight w:val="none"/>
                <w:lang w:val="en-US" w:eastAsia="zh-CN"/>
              </w:rPr>
            </w:pPr>
            <w:r>
              <w:rPr>
                <w:rFonts w:hint="eastAsia"/>
                <w:color w:val="auto"/>
                <w:highlight w:val="none"/>
                <w:lang w:val="en-US" w:eastAsia="zh-CN"/>
              </w:rPr>
              <w:t>台</w:t>
            </w:r>
          </w:p>
        </w:tc>
        <w:tc>
          <w:tcPr>
            <w:tcW w:w="329" w:type="pct"/>
            <w:tcBorders>
              <w:tl2br w:val="nil"/>
              <w:tr2bl w:val="nil"/>
            </w:tcBorders>
            <w:shd w:val="clear" w:color="auto" w:fill="auto"/>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18</w:t>
            </w:r>
          </w:p>
        </w:tc>
        <w:tc>
          <w:tcPr>
            <w:tcW w:w="1490" w:type="pct"/>
            <w:tcBorders>
              <w:tl2br w:val="nil"/>
              <w:tr2bl w:val="nil"/>
            </w:tcBorders>
            <w:shd w:val="clear" w:color="auto" w:fill="auto"/>
            <w:vAlign w:val="center"/>
          </w:tcPr>
          <w:p>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shd w:val="clear" w:color="auto" w:fill="auto"/>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1.3</w:t>
            </w:r>
          </w:p>
        </w:tc>
        <w:tc>
          <w:tcPr>
            <w:tcW w:w="2448" w:type="pct"/>
            <w:tcBorders>
              <w:tl2br w:val="nil"/>
              <w:tr2bl w:val="nil"/>
            </w:tcBorders>
            <w:shd w:val="clear" w:color="auto" w:fill="auto"/>
            <w:vAlign w:val="center"/>
          </w:tcPr>
          <w:p>
            <w:pPr>
              <w:widowControl/>
              <w:jc w:val="left"/>
              <w:textAlignment w:val="center"/>
              <w:rPr>
                <w:rFonts w:ascii="Times New Roman" w:hAnsi="Times New Roman" w:eastAsia="宋体" w:cs="Times New Roman"/>
                <w:color w:val="auto"/>
                <w:sz w:val="21"/>
                <w:szCs w:val="21"/>
                <w:lang w:val="zh-CN" w:eastAsia="zh-CN" w:bidi="ar-SA"/>
              </w:rPr>
            </w:pPr>
            <w:r>
              <w:rPr>
                <w:rFonts w:ascii="Times New Roman" w:hAnsi="Times New Roman"/>
                <w:color w:val="auto"/>
                <w:szCs w:val="21"/>
              </w:rPr>
              <w:t>高压节流油嘴</w:t>
            </w:r>
          </w:p>
        </w:tc>
        <w:tc>
          <w:tcPr>
            <w:tcW w:w="362" w:type="pct"/>
            <w:tcBorders>
              <w:tl2br w:val="nil"/>
              <w:tr2bl w:val="nil"/>
            </w:tcBorders>
            <w:vAlign w:val="center"/>
          </w:tcPr>
          <w:p>
            <w:pPr>
              <w:widowControl/>
              <w:jc w:val="center"/>
              <w:textAlignment w:val="center"/>
              <w:rPr>
                <w:color w:val="auto"/>
                <w:highlight w:val="none"/>
              </w:rPr>
            </w:pPr>
            <w:r>
              <w:rPr>
                <w:rFonts w:ascii="Times New Roman" w:hAnsi="Times New Roman"/>
                <w:color w:val="auto"/>
                <w:szCs w:val="21"/>
              </w:rPr>
              <w:t>个</w:t>
            </w:r>
          </w:p>
        </w:tc>
        <w:tc>
          <w:tcPr>
            <w:tcW w:w="329" w:type="pct"/>
            <w:tcBorders>
              <w:tl2br w:val="nil"/>
              <w:tr2bl w:val="nil"/>
            </w:tcBorders>
            <w:vAlign w:val="center"/>
          </w:tcPr>
          <w:p>
            <w:pPr>
              <w:widowControl/>
              <w:jc w:val="center"/>
              <w:textAlignment w:val="center"/>
              <w:rPr>
                <w:rFonts w:hint="default" w:eastAsia="宋体"/>
                <w:color w:val="auto"/>
                <w:highlight w:val="none"/>
                <w:lang w:val="en-US" w:eastAsia="zh-CN"/>
              </w:rPr>
            </w:pPr>
            <w:r>
              <w:rPr>
                <w:rFonts w:hint="eastAsia"/>
                <w:color w:val="auto"/>
                <w:szCs w:val="21"/>
                <w:lang w:val="en-US" w:eastAsia="zh-CN"/>
              </w:rPr>
              <w:t>18</w:t>
            </w:r>
          </w:p>
        </w:tc>
        <w:tc>
          <w:tcPr>
            <w:tcW w:w="1490" w:type="pct"/>
            <w:tcBorders>
              <w:tl2br w:val="nil"/>
              <w:tr2bl w:val="nil"/>
            </w:tcBorders>
            <w:vAlign w:val="center"/>
          </w:tcPr>
          <w:p>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1.4</w:t>
            </w:r>
          </w:p>
        </w:tc>
        <w:tc>
          <w:tcPr>
            <w:tcW w:w="2448" w:type="pct"/>
            <w:tcBorders>
              <w:tl2br w:val="nil"/>
              <w:tr2bl w:val="nil"/>
            </w:tcBorders>
            <w:vAlign w:val="center"/>
          </w:tcPr>
          <w:p>
            <w:pPr>
              <w:widowControl/>
              <w:jc w:val="left"/>
              <w:textAlignment w:val="center"/>
              <w:rPr>
                <w:rFonts w:ascii="Times New Roman" w:hAnsi="Times New Roman" w:eastAsia="宋体" w:cs="Times New Roman"/>
                <w:color w:val="auto"/>
                <w:sz w:val="21"/>
                <w:szCs w:val="21"/>
                <w:lang w:val="en-US" w:eastAsia="zh-CN" w:bidi="ar-SA"/>
              </w:rPr>
            </w:pPr>
            <w:r>
              <w:rPr>
                <w:rFonts w:ascii="Times New Roman" w:hAnsi="Times New Roman"/>
                <w:color w:val="auto"/>
                <w:szCs w:val="21"/>
              </w:rPr>
              <w:t>井口电加热带</w:t>
            </w:r>
          </w:p>
        </w:tc>
        <w:tc>
          <w:tcPr>
            <w:tcW w:w="362" w:type="pct"/>
            <w:tcBorders>
              <w:tl2br w:val="nil"/>
              <w:tr2bl w:val="nil"/>
            </w:tcBorders>
            <w:vAlign w:val="center"/>
          </w:tcPr>
          <w:p>
            <w:pPr>
              <w:widowControl/>
              <w:jc w:val="center"/>
              <w:textAlignment w:val="center"/>
              <w:rPr>
                <w:color w:val="auto"/>
                <w:highlight w:val="none"/>
              </w:rPr>
            </w:pPr>
            <w:r>
              <w:rPr>
                <w:rFonts w:ascii="Times New Roman" w:hAnsi="Times New Roman"/>
                <w:color w:val="auto"/>
                <w:szCs w:val="21"/>
              </w:rPr>
              <w:t>km</w:t>
            </w:r>
          </w:p>
        </w:tc>
        <w:tc>
          <w:tcPr>
            <w:tcW w:w="329" w:type="pct"/>
            <w:tcBorders>
              <w:tl2br w:val="nil"/>
              <w:tr2bl w:val="nil"/>
            </w:tcBorders>
            <w:vAlign w:val="center"/>
          </w:tcPr>
          <w:p>
            <w:pPr>
              <w:widowControl/>
              <w:jc w:val="center"/>
              <w:textAlignment w:val="center"/>
              <w:rPr>
                <w:color w:val="auto"/>
                <w:highlight w:val="none"/>
              </w:rPr>
            </w:pPr>
            <w:r>
              <w:rPr>
                <w:rFonts w:ascii="Times New Roman" w:hAnsi="Times New Roman"/>
                <w:color w:val="auto"/>
                <w:szCs w:val="21"/>
              </w:rPr>
              <w:t>0.7</w:t>
            </w:r>
          </w:p>
        </w:tc>
        <w:tc>
          <w:tcPr>
            <w:tcW w:w="1490" w:type="pct"/>
            <w:tcBorders>
              <w:tl2br w:val="nil"/>
              <w:tr2bl w:val="nil"/>
            </w:tcBorders>
            <w:vAlign w:val="center"/>
          </w:tcPr>
          <w:p>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1.5</w:t>
            </w:r>
          </w:p>
        </w:tc>
        <w:tc>
          <w:tcPr>
            <w:tcW w:w="2448" w:type="pct"/>
            <w:tcBorders>
              <w:tl2br w:val="nil"/>
              <w:tr2bl w:val="nil"/>
            </w:tcBorders>
            <w:vAlign w:val="center"/>
          </w:tcPr>
          <w:p>
            <w:pPr>
              <w:widowControl/>
              <w:jc w:val="left"/>
              <w:textAlignment w:val="center"/>
              <w:rPr>
                <w:rFonts w:ascii="Times New Roman" w:hAnsi="Times New Roman" w:eastAsia="宋体" w:cs="Times New Roman"/>
                <w:color w:val="auto"/>
                <w:sz w:val="21"/>
                <w:szCs w:val="21"/>
                <w:lang w:val="en-US" w:eastAsia="zh-CN" w:bidi="ar-SA"/>
              </w:rPr>
            </w:pPr>
            <w:r>
              <w:rPr>
                <w:rFonts w:ascii="Times New Roman" w:hAnsi="Times New Roman"/>
                <w:color w:val="auto"/>
                <w:szCs w:val="21"/>
              </w:rPr>
              <w:t>40kW井口电加热器</w:t>
            </w:r>
          </w:p>
        </w:tc>
        <w:tc>
          <w:tcPr>
            <w:tcW w:w="362" w:type="pct"/>
            <w:tcBorders>
              <w:tl2br w:val="nil"/>
              <w:tr2bl w:val="nil"/>
            </w:tcBorders>
            <w:vAlign w:val="center"/>
          </w:tcPr>
          <w:p>
            <w:pPr>
              <w:snapToGrid w:val="0"/>
              <w:jc w:val="center"/>
              <w:textAlignment w:val="center"/>
              <w:rPr>
                <w:color w:val="auto"/>
                <w:highlight w:val="none"/>
              </w:rPr>
            </w:pPr>
            <w:r>
              <w:rPr>
                <w:rFonts w:ascii="Times New Roman" w:hAnsi="Times New Roman"/>
                <w:color w:val="auto"/>
                <w:szCs w:val="21"/>
              </w:rPr>
              <w:t>座</w:t>
            </w:r>
          </w:p>
        </w:tc>
        <w:tc>
          <w:tcPr>
            <w:tcW w:w="329" w:type="pct"/>
            <w:tcBorders>
              <w:tl2br w:val="nil"/>
              <w:tr2bl w:val="nil"/>
            </w:tcBorders>
            <w:vAlign w:val="center"/>
          </w:tcPr>
          <w:p>
            <w:pPr>
              <w:snapToGrid w:val="0"/>
              <w:jc w:val="center"/>
              <w:textAlignment w:val="center"/>
              <w:rPr>
                <w:rFonts w:hint="default" w:eastAsia="宋体"/>
                <w:color w:val="auto"/>
                <w:highlight w:val="none"/>
                <w:lang w:val="en-US" w:eastAsia="zh-CN"/>
              </w:rPr>
            </w:pPr>
            <w:r>
              <w:rPr>
                <w:rFonts w:hint="eastAsia"/>
                <w:color w:val="auto"/>
                <w:szCs w:val="21"/>
                <w:lang w:val="en-US" w:eastAsia="zh-CN"/>
              </w:rPr>
              <w:t>18</w:t>
            </w:r>
          </w:p>
        </w:tc>
        <w:tc>
          <w:tcPr>
            <w:tcW w:w="1490" w:type="pct"/>
            <w:tcBorders>
              <w:tl2br w:val="nil"/>
              <w:tr2bl w:val="nil"/>
            </w:tcBorders>
            <w:vAlign w:val="center"/>
          </w:tcPr>
          <w:p>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color w:val="auto"/>
                <w:highlight w:val="none"/>
                <w:lang w:val="en-US" w:eastAsia="zh-CN"/>
              </w:rPr>
            </w:pPr>
            <w:r>
              <w:rPr>
                <w:rFonts w:hint="eastAsia"/>
                <w:color w:val="auto"/>
                <w:highlight w:val="none"/>
                <w:lang w:val="en-US" w:eastAsia="zh-CN"/>
              </w:rPr>
              <w:t>1.6</w:t>
            </w:r>
          </w:p>
        </w:tc>
        <w:tc>
          <w:tcPr>
            <w:tcW w:w="2448" w:type="pct"/>
            <w:tcBorders>
              <w:tl2br w:val="nil"/>
              <w:tr2bl w:val="nil"/>
            </w:tcBorders>
            <w:vAlign w:val="center"/>
          </w:tcPr>
          <w:p>
            <w:pPr>
              <w:widowControl/>
              <w:jc w:val="left"/>
              <w:textAlignment w:val="center"/>
              <w:rPr>
                <w:rFonts w:hint="eastAsia" w:ascii="Times New Roman" w:hAnsi="Times New Roman" w:eastAsia="宋体"/>
                <w:color w:val="auto"/>
                <w:szCs w:val="21"/>
                <w:lang w:eastAsia="zh-CN"/>
              </w:rPr>
            </w:pPr>
            <w:r>
              <w:rPr>
                <w:rFonts w:hint="eastAsia" w:ascii="Times New Roman" w:hAnsi="Times New Roman"/>
                <w:color w:val="auto"/>
                <w:szCs w:val="21"/>
              </w:rPr>
              <w:t>高架罐</w:t>
            </w:r>
          </w:p>
        </w:tc>
        <w:tc>
          <w:tcPr>
            <w:tcW w:w="650" w:type="dxa"/>
            <w:tcBorders>
              <w:tl2br w:val="nil"/>
              <w:tr2bl w:val="nil"/>
            </w:tcBorders>
            <w:vAlign w:val="center"/>
          </w:tcPr>
          <w:p>
            <w:pPr>
              <w:snapToGrid w:val="0"/>
              <w:jc w:val="center"/>
              <w:textAlignment w:val="center"/>
              <w:rPr>
                <w:rFonts w:ascii="Times New Roman" w:hAnsi="Times New Roman"/>
                <w:color w:val="auto"/>
                <w:szCs w:val="21"/>
              </w:rPr>
            </w:pPr>
            <w:r>
              <w:rPr>
                <w:rFonts w:ascii="Times New Roman" w:hAnsi="Times New Roman"/>
                <w:color w:val="auto"/>
                <w:szCs w:val="21"/>
              </w:rPr>
              <w:t>座</w:t>
            </w:r>
          </w:p>
        </w:tc>
        <w:tc>
          <w:tcPr>
            <w:tcW w:w="591" w:type="dxa"/>
            <w:tcBorders>
              <w:tl2br w:val="nil"/>
              <w:tr2bl w:val="nil"/>
            </w:tcBorders>
            <w:vAlign w:val="center"/>
          </w:tcPr>
          <w:p>
            <w:pPr>
              <w:snapToGrid w:val="0"/>
              <w:jc w:val="center"/>
              <w:textAlignment w:val="center"/>
              <w:rPr>
                <w:rFonts w:hint="default" w:ascii="Times New Roman" w:hAnsi="Times New Roman" w:eastAsia="宋体"/>
                <w:color w:val="auto"/>
                <w:szCs w:val="21"/>
                <w:lang w:val="en-US" w:eastAsia="zh-CN"/>
              </w:rPr>
            </w:pPr>
            <w:r>
              <w:rPr>
                <w:rFonts w:hint="eastAsia" w:ascii="Times New Roman" w:hAnsi="Times New Roman"/>
                <w:color w:val="auto"/>
                <w:szCs w:val="21"/>
                <w:lang w:val="en-US" w:eastAsia="zh-CN"/>
              </w:rPr>
              <w:t>16</w:t>
            </w:r>
          </w:p>
        </w:tc>
        <w:tc>
          <w:tcPr>
            <w:tcW w:w="1490" w:type="pct"/>
            <w:tcBorders>
              <w:tl2br w:val="nil"/>
              <w:tr2bl w:val="nil"/>
            </w:tcBorders>
            <w:vAlign w:val="center"/>
          </w:tcPr>
          <w:p>
            <w:pPr>
              <w:bidi w:val="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单井拉油井场2座，60m</w:t>
            </w:r>
            <w:r>
              <w:rPr>
                <w:rFonts w:hint="eastAsia" w:cs="Times New Roman"/>
                <w:color w:val="auto"/>
                <w:sz w:val="21"/>
                <w:szCs w:val="21"/>
                <w:highlight w:val="none"/>
                <w:shd w:val="clear" w:color="auto" w:fill="auto"/>
                <w:vertAlign w:val="superscript"/>
                <w:lang w:val="en-US" w:eastAsia="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eastAsia" w:eastAsia="宋体"/>
                <w:color w:val="auto"/>
                <w:highlight w:val="none"/>
                <w:lang w:val="en-US" w:eastAsia="zh-CN"/>
              </w:rPr>
            </w:pPr>
            <w:r>
              <w:rPr>
                <w:rFonts w:hint="eastAsia"/>
                <w:color w:val="auto"/>
                <w:highlight w:val="none"/>
                <w:lang w:val="en-US" w:eastAsia="zh-CN"/>
              </w:rPr>
              <w:t>2</w:t>
            </w:r>
          </w:p>
        </w:tc>
        <w:tc>
          <w:tcPr>
            <w:tcW w:w="2448" w:type="pct"/>
            <w:tcBorders>
              <w:tl2br w:val="nil"/>
              <w:tr2bl w:val="nil"/>
            </w:tcBorders>
            <w:vAlign w:val="center"/>
          </w:tcPr>
          <w:p>
            <w:pPr>
              <w:pStyle w:val="41"/>
              <w:bidi w:val="0"/>
              <w:jc w:val="left"/>
              <w:rPr>
                <w:rFonts w:hint="eastAsia" w:eastAsia="宋体"/>
                <w:color w:val="auto"/>
                <w:highlight w:val="none"/>
                <w:lang w:val="en-US" w:eastAsia="zh-CN"/>
              </w:rPr>
            </w:pPr>
            <w:r>
              <w:rPr>
                <w:rFonts w:hint="eastAsia"/>
                <w:color w:val="auto"/>
                <w:highlight w:val="none"/>
                <w:lang w:val="en-US" w:eastAsia="zh-CN"/>
              </w:rPr>
              <w:t>计量站</w:t>
            </w:r>
          </w:p>
        </w:tc>
        <w:tc>
          <w:tcPr>
            <w:tcW w:w="362" w:type="pct"/>
            <w:tcBorders>
              <w:tl2br w:val="nil"/>
              <w:tr2bl w:val="nil"/>
            </w:tcBorders>
            <w:vAlign w:val="center"/>
          </w:tcPr>
          <w:p>
            <w:pPr>
              <w:pStyle w:val="41"/>
              <w:bidi w:val="0"/>
              <w:jc w:val="center"/>
              <w:rPr>
                <w:rFonts w:hint="eastAsia" w:eastAsia="宋体"/>
                <w:color w:val="auto"/>
                <w:highlight w:val="none"/>
                <w:lang w:val="en-US" w:eastAsia="zh-CN"/>
              </w:rPr>
            </w:pPr>
            <w:r>
              <w:rPr>
                <w:rFonts w:hint="eastAsia"/>
                <w:color w:val="auto"/>
                <w:highlight w:val="none"/>
                <w:lang w:val="en-US" w:eastAsia="zh-CN"/>
              </w:rPr>
              <w:t>座</w:t>
            </w:r>
          </w:p>
        </w:tc>
        <w:tc>
          <w:tcPr>
            <w:tcW w:w="329" w:type="pct"/>
            <w:tcBorders>
              <w:tl2br w:val="nil"/>
              <w:tr2bl w:val="nil"/>
            </w:tcBorders>
            <w:vAlign w:val="center"/>
          </w:tcPr>
          <w:p>
            <w:pPr>
              <w:pStyle w:val="41"/>
              <w:bidi w:val="0"/>
              <w:jc w:val="center"/>
              <w:rPr>
                <w:rFonts w:hint="eastAsia" w:eastAsia="宋体"/>
                <w:color w:val="auto"/>
                <w:highlight w:val="none"/>
                <w:lang w:val="en-US" w:eastAsia="zh-CN"/>
              </w:rPr>
            </w:pPr>
            <w:r>
              <w:rPr>
                <w:rFonts w:hint="eastAsia"/>
                <w:color w:val="auto"/>
                <w:highlight w:val="none"/>
                <w:lang w:val="en-US" w:eastAsia="zh-CN"/>
              </w:rPr>
              <w:t>1</w:t>
            </w:r>
          </w:p>
        </w:tc>
        <w:tc>
          <w:tcPr>
            <w:tcW w:w="1490" w:type="pct"/>
            <w:tcBorders>
              <w:tl2br w:val="nil"/>
              <w:tr2bl w:val="nil"/>
            </w:tcBorders>
            <w:vAlign w:val="center"/>
          </w:tcPr>
          <w:p>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2.1</w:t>
            </w:r>
          </w:p>
        </w:tc>
        <w:tc>
          <w:tcPr>
            <w:tcW w:w="2448" w:type="pct"/>
            <w:tcBorders>
              <w:tl2br w:val="nil"/>
              <w:tr2bl w:val="nil"/>
            </w:tcBorders>
            <w:vAlign w:val="center"/>
          </w:tcPr>
          <w:p>
            <w:pPr>
              <w:pStyle w:val="41"/>
              <w:bidi w:val="0"/>
              <w:jc w:val="left"/>
              <w:rPr>
                <w:color w:val="auto"/>
                <w:highlight w:val="none"/>
              </w:rPr>
            </w:pPr>
            <w:r>
              <w:rPr>
                <w:rFonts w:ascii="Times New Roman" w:hAnsi="Times New Roman"/>
                <w:color w:val="auto"/>
                <w:szCs w:val="21"/>
              </w:rPr>
              <w:t>12井式一体化自动选井计量装置</w:t>
            </w:r>
          </w:p>
        </w:tc>
        <w:tc>
          <w:tcPr>
            <w:tcW w:w="362" w:type="pct"/>
            <w:tcBorders>
              <w:tl2br w:val="nil"/>
              <w:tr2bl w:val="nil"/>
            </w:tcBorders>
            <w:vAlign w:val="center"/>
          </w:tcPr>
          <w:p>
            <w:pPr>
              <w:pStyle w:val="41"/>
              <w:bidi w:val="0"/>
              <w:jc w:val="center"/>
              <w:rPr>
                <w:color w:val="auto"/>
                <w:highlight w:val="none"/>
              </w:rPr>
            </w:pPr>
            <w:r>
              <w:rPr>
                <w:rFonts w:ascii="Times New Roman" w:hAnsi="Times New Roman"/>
                <w:color w:val="auto"/>
                <w:szCs w:val="21"/>
              </w:rPr>
              <w:t>台</w:t>
            </w:r>
          </w:p>
        </w:tc>
        <w:tc>
          <w:tcPr>
            <w:tcW w:w="329" w:type="pct"/>
            <w:tcBorders>
              <w:tl2br w:val="nil"/>
              <w:tr2bl w:val="nil"/>
            </w:tcBorders>
            <w:vAlign w:val="center"/>
          </w:tcPr>
          <w:p>
            <w:pPr>
              <w:pStyle w:val="41"/>
              <w:bidi w:val="0"/>
              <w:jc w:val="center"/>
              <w:rPr>
                <w:rFonts w:hint="eastAsia" w:eastAsia="宋体"/>
                <w:color w:val="auto"/>
                <w:highlight w:val="none"/>
                <w:lang w:val="en-US" w:eastAsia="zh-CN"/>
              </w:rPr>
            </w:pPr>
            <w:r>
              <w:rPr>
                <w:rFonts w:hint="eastAsia"/>
                <w:color w:val="auto"/>
                <w:highlight w:val="none"/>
                <w:lang w:val="en-US" w:eastAsia="zh-CN"/>
              </w:rPr>
              <w:t>1</w:t>
            </w:r>
          </w:p>
        </w:tc>
        <w:tc>
          <w:tcPr>
            <w:tcW w:w="1490" w:type="pct"/>
            <w:tcBorders>
              <w:tl2br w:val="nil"/>
              <w:tr2bl w:val="nil"/>
            </w:tcBorders>
            <w:vAlign w:val="center"/>
          </w:tcPr>
          <w:p>
            <w:pPr>
              <w:pStyle w:val="41"/>
              <w:bidi w:val="0"/>
              <w:jc w:val="center"/>
              <w:rPr>
                <w:color w:val="auto"/>
                <w:highlight w:val="none"/>
              </w:rPr>
            </w:pPr>
            <w:r>
              <w:rPr>
                <w:rFonts w:ascii="Times New Roman" w:hAnsi="Times New Roman"/>
                <w:color w:val="auto"/>
                <w:szCs w:val="21"/>
              </w:rPr>
              <w:t>通集20202</w:t>
            </w:r>
            <w:r>
              <w:rPr>
                <w:rFonts w:hint="eastAsia" w:ascii="Times New Roman" w:hAnsi="Times New Roman"/>
                <w:color w:val="auto"/>
                <w:szCs w:val="21"/>
              </w:rPr>
              <w:t>2，316L材质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2.2</w:t>
            </w:r>
          </w:p>
        </w:tc>
        <w:tc>
          <w:tcPr>
            <w:tcW w:w="2448" w:type="pct"/>
            <w:tcBorders>
              <w:tl2br w:val="nil"/>
              <w:tr2bl w:val="nil"/>
            </w:tcBorders>
            <w:vAlign w:val="center"/>
          </w:tcPr>
          <w:p>
            <w:pPr>
              <w:pStyle w:val="41"/>
              <w:bidi w:val="0"/>
              <w:jc w:val="left"/>
              <w:rPr>
                <w:rFonts w:hint="eastAsia" w:eastAsia="宋体"/>
                <w:color w:val="auto"/>
                <w:highlight w:val="none"/>
                <w:lang w:val="en-US" w:eastAsia="zh-CN"/>
              </w:rPr>
            </w:pPr>
            <w:r>
              <w:rPr>
                <w:rFonts w:hint="eastAsia"/>
                <w:color w:val="auto"/>
                <w:highlight w:val="none"/>
                <w:lang w:val="en-US" w:eastAsia="zh-CN"/>
              </w:rPr>
              <w:t>阀池</w:t>
            </w:r>
          </w:p>
        </w:tc>
        <w:tc>
          <w:tcPr>
            <w:tcW w:w="362" w:type="pct"/>
            <w:tcBorders>
              <w:tl2br w:val="nil"/>
              <w:tr2bl w:val="nil"/>
            </w:tcBorders>
            <w:vAlign w:val="center"/>
          </w:tcPr>
          <w:p>
            <w:pPr>
              <w:pStyle w:val="41"/>
              <w:bidi w:val="0"/>
              <w:jc w:val="center"/>
              <w:rPr>
                <w:color w:val="auto"/>
                <w:highlight w:val="none"/>
              </w:rPr>
            </w:pPr>
            <w:r>
              <w:rPr>
                <w:rFonts w:ascii="Times New Roman" w:hAnsi="Times New Roman"/>
                <w:color w:val="auto"/>
                <w:szCs w:val="21"/>
              </w:rPr>
              <w:t>座</w:t>
            </w:r>
          </w:p>
        </w:tc>
        <w:tc>
          <w:tcPr>
            <w:tcW w:w="329" w:type="pct"/>
            <w:tcBorders>
              <w:tl2br w:val="nil"/>
              <w:tr2bl w:val="nil"/>
            </w:tcBorders>
            <w:vAlign w:val="center"/>
          </w:tcPr>
          <w:p>
            <w:pPr>
              <w:pStyle w:val="41"/>
              <w:bidi w:val="0"/>
              <w:jc w:val="center"/>
              <w:rPr>
                <w:rFonts w:hint="eastAsia" w:eastAsia="宋体"/>
                <w:color w:val="auto"/>
                <w:highlight w:val="none"/>
                <w:lang w:eastAsia="zh-CN"/>
              </w:rPr>
            </w:pPr>
            <w:r>
              <w:rPr>
                <w:rFonts w:hint="eastAsia"/>
                <w:color w:val="auto"/>
                <w:highlight w:val="none"/>
                <w:lang w:val="en-US" w:eastAsia="zh-CN"/>
              </w:rPr>
              <w:t>1</w:t>
            </w:r>
          </w:p>
        </w:tc>
        <w:tc>
          <w:tcPr>
            <w:tcW w:w="1490" w:type="pct"/>
            <w:tcBorders>
              <w:tl2br w:val="nil"/>
              <w:tr2bl w:val="nil"/>
            </w:tcBorders>
            <w:vAlign w:val="center"/>
          </w:tcPr>
          <w:p>
            <w:pPr>
              <w:bidi w:val="0"/>
              <w:jc w:val="center"/>
              <w:rPr>
                <w:color w:val="auto"/>
                <w:highlight w:val="none"/>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eastAsia" w:eastAsia="宋体"/>
                <w:color w:val="auto"/>
                <w:highlight w:val="none"/>
                <w:lang w:val="en-US" w:eastAsia="zh-CN"/>
              </w:rPr>
            </w:pPr>
            <w:r>
              <w:rPr>
                <w:rFonts w:hint="eastAsia"/>
                <w:color w:val="auto"/>
                <w:highlight w:val="none"/>
                <w:lang w:val="en-US" w:eastAsia="zh-CN"/>
              </w:rPr>
              <w:t>3</w:t>
            </w:r>
          </w:p>
        </w:tc>
        <w:tc>
          <w:tcPr>
            <w:tcW w:w="2448" w:type="pct"/>
            <w:tcBorders>
              <w:tl2br w:val="nil"/>
              <w:tr2bl w:val="nil"/>
            </w:tcBorders>
            <w:vAlign w:val="center"/>
          </w:tcPr>
          <w:p>
            <w:pPr>
              <w:pStyle w:val="41"/>
              <w:bidi w:val="0"/>
              <w:jc w:val="left"/>
              <w:rPr>
                <w:rFonts w:hint="default" w:eastAsia="宋体"/>
                <w:color w:val="auto"/>
                <w:highlight w:val="none"/>
                <w:lang w:val="en-US" w:eastAsia="zh-CN"/>
              </w:rPr>
            </w:pPr>
            <w:r>
              <w:rPr>
                <w:rFonts w:hint="eastAsia"/>
                <w:color w:val="auto"/>
                <w:highlight w:val="none"/>
                <w:lang w:val="en-US" w:eastAsia="zh-CN"/>
              </w:rPr>
              <w:t>集中拉油站</w:t>
            </w:r>
          </w:p>
        </w:tc>
        <w:tc>
          <w:tcPr>
            <w:tcW w:w="649" w:type="dxa"/>
            <w:tcBorders>
              <w:tl2br w:val="nil"/>
              <w:tr2bl w:val="nil"/>
            </w:tcBorders>
            <w:vAlign w:val="center"/>
          </w:tcPr>
          <w:p>
            <w:pPr>
              <w:pStyle w:val="41"/>
              <w:bidi w:val="0"/>
              <w:ind w:firstLine="0" w:firstLineChars="0"/>
              <w:jc w:val="center"/>
              <w:rPr>
                <w:rFonts w:ascii="Times New Roman" w:hAnsi="Times New Roman" w:eastAsia="宋体" w:cs="Times New Roman"/>
                <w:color w:val="auto"/>
                <w:sz w:val="21"/>
                <w:highlight w:val="none"/>
              </w:rPr>
            </w:pPr>
            <w:r>
              <w:rPr>
                <w:rFonts w:ascii="Times New Roman" w:hAnsi="Times New Roman"/>
                <w:color w:val="auto"/>
                <w:szCs w:val="21"/>
              </w:rPr>
              <w:t>座</w:t>
            </w:r>
          </w:p>
        </w:tc>
        <w:tc>
          <w:tcPr>
            <w:tcW w:w="589" w:type="dxa"/>
            <w:tcBorders>
              <w:tl2br w:val="nil"/>
              <w:tr2bl w:val="nil"/>
            </w:tcBorders>
            <w:vAlign w:val="center"/>
          </w:tcPr>
          <w:p>
            <w:pPr>
              <w:pStyle w:val="41"/>
              <w:bidi w:val="0"/>
              <w:ind w:firstLine="0" w:firstLineChars="0"/>
              <w:jc w:val="center"/>
              <w:rPr>
                <w:rFonts w:hint="eastAsia" w:ascii="Times New Roman" w:hAnsi="Times New Roman" w:eastAsia="宋体" w:cs="Times New Roman"/>
                <w:color w:val="auto"/>
                <w:sz w:val="21"/>
                <w:highlight w:val="none"/>
                <w:lang w:eastAsia="zh-CN"/>
              </w:rPr>
            </w:pPr>
            <w:r>
              <w:rPr>
                <w:rFonts w:hint="eastAsia"/>
                <w:color w:val="auto"/>
                <w:highlight w:val="none"/>
                <w:lang w:val="en-US" w:eastAsia="zh-CN"/>
              </w:rPr>
              <w:t>1</w:t>
            </w:r>
          </w:p>
        </w:tc>
        <w:tc>
          <w:tcPr>
            <w:tcW w:w="1490" w:type="pct"/>
            <w:tcBorders>
              <w:tl2br w:val="nil"/>
              <w:tr2bl w:val="nil"/>
            </w:tcBorders>
            <w:vAlign w:val="center"/>
          </w:tcPr>
          <w:p>
            <w:pPr>
              <w:bidi w:val="0"/>
              <w:jc w:val="center"/>
              <w:rPr>
                <w:color w:val="auto"/>
                <w:highlight w:val="none"/>
              </w:rPr>
            </w:pPr>
            <w:bookmarkStart w:id="287" w:name="OLE_LINK160"/>
            <w:r>
              <w:rPr>
                <w:rFonts w:hint="eastAsia" w:ascii="Times New Roman" w:hAnsi="Times New Roman" w:eastAsia="宋体" w:cs="Times New Roman"/>
                <w:color w:val="auto"/>
                <w:sz w:val="21"/>
                <w:szCs w:val="21"/>
                <w:highlight w:val="none"/>
                <w:shd w:val="clear" w:color="auto" w:fill="auto"/>
                <w:lang w:val="en-US" w:eastAsia="zh-CN"/>
              </w:rPr>
              <w:t>/</w:t>
            </w:r>
            <w:bookmarkEnd w:id="287"/>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3.1</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生产分离器（Φ3.0m×9.0m）</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316L材质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3.2</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生产分离器基础（Φ3.0m×9.0m）</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埋深1m，C40钢筋砼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3.3</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除液器（Φ1.0m×3.0m）</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316L材质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3.4</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除液器基础（Φ1.0m×3.0m）</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埋深1m，C40钢筋砼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3.5</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缓蚀剂加药橇</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3.6</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拉油罐</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2</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3.7</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1000m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拉油罐基础</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2</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R=11.5m</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环墙厚25cm，采用C40钢筋砼现浇，埋深2m</w:t>
            </w: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eastAsia="宋体"/>
                <w:color w:val="auto"/>
                <w:highlight w:val="none"/>
                <w:lang w:val="en-US" w:eastAsia="zh-CN"/>
              </w:rPr>
            </w:pPr>
            <w:r>
              <w:rPr>
                <w:rFonts w:hint="eastAsia"/>
                <w:color w:val="auto"/>
                <w:highlight w:val="none"/>
                <w:lang w:val="en-US" w:eastAsia="zh-CN"/>
              </w:rPr>
              <w:t>3.8</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eastAsia"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呼阻一体式呼吸阀，备注：配带压力表</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套</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2</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color w:val="auto"/>
                <w:highlight w:val="none"/>
                <w:lang w:val="en-US" w:eastAsia="zh-CN"/>
              </w:rPr>
            </w:pPr>
            <w:r>
              <w:rPr>
                <w:rFonts w:hint="eastAsia"/>
                <w:color w:val="auto"/>
                <w:highlight w:val="none"/>
                <w:lang w:val="en-US" w:eastAsia="zh-CN"/>
              </w:rPr>
              <w:t>3.9</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密闭装车撬（含两台装车泵Q=100m</w:t>
            </w:r>
            <w:r>
              <w:rPr>
                <w:rFonts w:hint="default" w:ascii="Times New Roman" w:hAnsi="Times New Roman" w:eastAsia="宋体" w:cs="Times New Roman"/>
                <w:color w:val="auto"/>
                <w:sz w:val="21"/>
                <w:szCs w:val="21"/>
                <w:highlight w:val="none"/>
                <w:shd w:val="clear" w:color="auto" w:fill="auto"/>
                <w:vertAlign w:val="superscript"/>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/h、H=60m、N=22kW）</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套</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2台装车泵一用一备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color w:val="auto"/>
                <w:highlight w:val="none"/>
                <w:lang w:val="en-US" w:eastAsia="zh-CN"/>
              </w:rPr>
            </w:pPr>
            <w:r>
              <w:rPr>
                <w:rFonts w:hint="eastAsia"/>
                <w:color w:val="auto"/>
                <w:highlight w:val="none"/>
                <w:lang w:val="en-US" w:eastAsia="zh-CN"/>
              </w:rPr>
              <w:t>3.10</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密闭装车撬基础</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3</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6m×3m×3.5m，C40钢筋砼</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67" w:type="pct"/>
            <w:tcBorders>
              <w:tl2br w:val="nil"/>
              <w:tr2bl w:val="nil"/>
            </w:tcBorders>
            <w:vAlign w:val="center"/>
          </w:tcPr>
          <w:p>
            <w:pPr>
              <w:pStyle w:val="41"/>
              <w:bidi w:val="0"/>
              <w:jc w:val="center"/>
              <w:rPr>
                <w:rFonts w:hint="default"/>
                <w:color w:val="auto"/>
                <w:highlight w:val="none"/>
                <w:lang w:val="en-US" w:eastAsia="zh-CN"/>
              </w:rPr>
            </w:pPr>
            <w:r>
              <w:rPr>
                <w:rFonts w:hint="eastAsia"/>
                <w:color w:val="auto"/>
                <w:highlight w:val="none"/>
                <w:lang w:val="en-US" w:eastAsia="zh-CN"/>
              </w:rPr>
              <w:t>3.11</w:t>
            </w:r>
          </w:p>
        </w:tc>
        <w:tc>
          <w:tcPr>
            <w:tcW w:w="439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lef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DN80分流式无气源自动点火放空火炬（内含自动点火装置），H=10m</w:t>
            </w:r>
          </w:p>
        </w:tc>
        <w:tc>
          <w:tcPr>
            <w:tcW w:w="650"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座</w:t>
            </w:r>
          </w:p>
        </w:tc>
        <w:tc>
          <w:tcPr>
            <w:tcW w:w="591"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w:t>
            </w:r>
          </w:p>
        </w:tc>
        <w:tc>
          <w:tcPr>
            <w:tcW w:w="2676" w:type="dxa"/>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r>
    </w:tbl>
    <w:p>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.4.</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6</w:t>
      </w:r>
      <w:r>
        <w:rPr>
          <w:rFonts w:hint="eastAsia"/>
          <w:color w:val="auto"/>
          <w:highlight w:val="none"/>
        </w:rPr>
        <w:t>油气集输工程</w:t>
      </w:r>
    </w:p>
    <w:p>
      <w:pPr>
        <w:pStyle w:val="57"/>
        <w:bidi w:val="0"/>
        <w:rPr>
          <w:rFonts w:hint="eastAsia"/>
          <w:color w:val="auto"/>
          <w:highlight w:val="none"/>
        </w:rPr>
      </w:pPr>
      <w:r>
        <w:rPr>
          <w:rFonts w:hint="eastAsia"/>
          <w:color w:val="auto"/>
          <w:highlight w:val="none"/>
        </w:rPr>
        <w:t>本工程</w:t>
      </w:r>
      <w:r>
        <w:rPr>
          <w:rFonts w:hint="eastAsia"/>
          <w:color w:val="auto"/>
          <w:sz w:val="24"/>
          <w:szCs w:val="24"/>
          <w:lang w:val="en-US" w:eastAsia="zh-CN"/>
        </w:rPr>
        <w:t>部署18口采油井（7口新井和11口老井），其中10口</w:t>
      </w:r>
      <w:r>
        <w:rPr>
          <w:rFonts w:hint="eastAsia"/>
          <w:color w:val="auto"/>
          <w:highlight w:val="none"/>
        </w:rPr>
        <w:t>采油单井</w:t>
      </w:r>
      <w:r>
        <w:rPr>
          <w:rFonts w:hint="eastAsia"/>
          <w:color w:val="auto"/>
          <w:sz w:val="24"/>
          <w:szCs w:val="24"/>
          <w:lang w:val="en-US" w:eastAsia="zh-CN"/>
        </w:rPr>
        <w:t>（7口新井、3口老井）</w:t>
      </w:r>
      <w:r>
        <w:rPr>
          <w:rFonts w:hint="eastAsia"/>
          <w:color w:val="auto"/>
          <w:highlight w:val="none"/>
        </w:rPr>
        <w:t>采用密闭</w:t>
      </w:r>
      <w:r>
        <w:rPr>
          <w:rFonts w:hint="eastAsia"/>
          <w:color w:val="auto"/>
          <w:highlight w:val="none"/>
          <w:lang w:val="en-US" w:eastAsia="zh-CN"/>
        </w:rPr>
        <w:t>电加热</w:t>
      </w:r>
      <w:r>
        <w:rPr>
          <w:rFonts w:hint="eastAsia"/>
          <w:color w:val="auto"/>
          <w:highlight w:val="none"/>
        </w:rPr>
        <w:t>集输工艺</w:t>
      </w:r>
      <w:r>
        <w:rPr>
          <w:rFonts w:hint="eastAsia"/>
          <w:color w:val="auto"/>
          <w:highlight w:val="none"/>
          <w:lang w:eastAsia="zh-CN"/>
        </w:rPr>
        <w:t>：</w:t>
      </w:r>
      <w:r>
        <w:rPr>
          <w:rFonts w:hint="eastAsia"/>
          <w:color w:val="auto"/>
          <w:highlight w:val="none"/>
        </w:rPr>
        <w:t>单井气液通过新建集输管线混输至计量站计量后，通过新建集输支线自压输送至新建集中拉油站，采出气液在新建集中拉油站内进行分离，采出液通过拉油方式输至风城二号稠油处理站处理，天然气密闭集输至夏子街增压站处，既集输工艺采用井口→计量站→集中拉油站→风城二号稠油处理站三级布站工艺</w:t>
      </w:r>
      <w:r>
        <w:rPr>
          <w:rFonts w:hint="eastAsia"/>
          <w:color w:val="auto"/>
          <w:highlight w:val="none"/>
          <w:lang w:eastAsia="zh-CN"/>
        </w:rPr>
        <w:t>；</w:t>
      </w:r>
      <w:r>
        <w:rPr>
          <w:rFonts w:hint="eastAsia"/>
          <w:color w:val="auto"/>
          <w:sz w:val="24"/>
          <w:szCs w:val="24"/>
          <w:lang w:val="en-US" w:eastAsia="zh-CN"/>
        </w:rPr>
        <w:t>剩余8口老井采用单井拉油工艺，</w:t>
      </w:r>
      <w:r>
        <w:rPr>
          <w:rFonts w:hint="eastAsia"/>
          <w:snapToGrid w:val="0"/>
          <w:color w:val="auto"/>
          <w:kern w:val="0"/>
          <w:sz w:val="24"/>
          <w:lang w:val="en-US" w:eastAsia="zh-CN"/>
        </w:rPr>
        <w:t>伴生气</w:t>
      </w:r>
      <w:r>
        <w:rPr>
          <w:rFonts w:hint="eastAsia"/>
          <w:snapToGrid w:val="0"/>
          <w:color w:val="auto"/>
          <w:kern w:val="0"/>
          <w:sz w:val="24"/>
        </w:rPr>
        <w:t>经过气液分离后</w:t>
      </w:r>
      <w:r>
        <w:rPr>
          <w:rFonts w:hint="eastAsia"/>
          <w:snapToGrid w:val="0"/>
          <w:color w:val="auto"/>
          <w:kern w:val="0"/>
          <w:sz w:val="24"/>
          <w:lang w:val="en-US" w:eastAsia="zh-CN"/>
        </w:rPr>
        <w:t>通过</w:t>
      </w:r>
      <w:r>
        <w:rPr>
          <w:rFonts w:hint="eastAsia"/>
          <w:snapToGrid w:val="0"/>
          <w:color w:val="auto"/>
          <w:kern w:val="0"/>
          <w:sz w:val="24"/>
        </w:rPr>
        <w:t>放喷管线</w:t>
      </w:r>
      <w:r>
        <w:rPr>
          <w:rFonts w:hint="eastAsia"/>
          <w:snapToGrid w:val="0"/>
          <w:color w:val="auto"/>
          <w:kern w:val="0"/>
          <w:sz w:val="24"/>
          <w:lang w:val="en-US" w:eastAsia="zh-CN"/>
        </w:rPr>
        <w:t>输至</w:t>
      </w:r>
      <w:r>
        <w:rPr>
          <w:rFonts w:hint="eastAsia"/>
          <w:snapToGrid w:val="0"/>
          <w:color w:val="auto"/>
          <w:kern w:val="0"/>
          <w:sz w:val="24"/>
        </w:rPr>
        <w:t>放喷池点火排放</w:t>
      </w:r>
      <w:r>
        <w:rPr>
          <w:rFonts w:hint="eastAsia"/>
          <w:snapToGrid w:val="0"/>
          <w:color w:val="auto"/>
          <w:kern w:val="0"/>
          <w:sz w:val="24"/>
          <w:lang w:eastAsia="zh-CN"/>
        </w:rPr>
        <w:t>，</w:t>
      </w:r>
      <w:r>
        <w:rPr>
          <w:rFonts w:hint="default"/>
          <w:color w:val="auto"/>
          <w:sz w:val="24"/>
          <w:szCs w:val="24"/>
        </w:rPr>
        <w:t>采出液</w:t>
      </w:r>
      <w:r>
        <w:rPr>
          <w:rFonts w:hint="eastAsia"/>
          <w:color w:val="auto"/>
          <w:sz w:val="24"/>
          <w:szCs w:val="24"/>
          <w:lang w:val="en-US" w:eastAsia="zh-CN"/>
        </w:rPr>
        <w:t>输至井场内高架罐，拉运至</w:t>
      </w:r>
      <w:r>
        <w:rPr>
          <w:rFonts w:hint="default"/>
          <w:color w:val="auto"/>
          <w:sz w:val="24"/>
          <w:szCs w:val="24"/>
        </w:rPr>
        <w:t>风城二号稠油处理站</w:t>
      </w:r>
      <w:r>
        <w:rPr>
          <w:rFonts w:hint="eastAsia"/>
          <w:color w:val="auto"/>
          <w:sz w:val="24"/>
          <w:szCs w:val="24"/>
          <w:lang w:val="en-US" w:eastAsia="zh-CN"/>
        </w:rPr>
        <w:t>处理</w:t>
      </w:r>
      <w:r>
        <w:rPr>
          <w:rFonts w:hint="eastAsia"/>
          <w:color w:val="auto"/>
          <w:highlight w:val="none"/>
        </w:rPr>
        <w:t>。</w:t>
      </w:r>
    </w:p>
    <w:p>
      <w:pPr>
        <w:pStyle w:val="57"/>
        <w:bidi w:val="0"/>
        <w:rPr>
          <w:rFonts w:hint="eastAsia"/>
          <w:color w:val="auto"/>
          <w:highlight w:val="none"/>
        </w:rPr>
      </w:pPr>
      <w:r>
        <w:rPr>
          <w:rFonts w:hint="eastAsia"/>
          <w:color w:val="auto"/>
          <w:highlight w:val="none"/>
        </w:rPr>
        <w:t>本工程</w:t>
      </w:r>
      <w:r>
        <w:rPr>
          <w:rFonts w:hint="eastAsia"/>
          <w:color w:val="auto"/>
          <w:highlight w:val="none"/>
          <w:lang w:val="en-US" w:eastAsia="zh-CN"/>
        </w:rPr>
        <w:t>新建各类集输管线</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w:t>
      </w:r>
      <w:r>
        <w:rPr>
          <w:rFonts w:hint="eastAsia"/>
          <w:color w:val="auto"/>
          <w:highlight w:val="none"/>
          <w:lang w:val="en-US" w:eastAsia="zh-CN"/>
        </w:rPr>
        <w:t>，其中</w:t>
      </w:r>
      <w:r>
        <w:rPr>
          <w:rFonts w:hint="eastAsia"/>
          <w:color w:val="auto"/>
          <w:highlight w:val="none"/>
        </w:rPr>
        <w:t>新建单井集输管线</w:t>
      </w:r>
      <w:r>
        <w:rPr>
          <w:rFonts w:hint="eastAsia"/>
          <w:color w:val="auto"/>
          <w:highlight w:val="none"/>
          <w:lang w:val="en-US" w:eastAsia="zh-CN"/>
        </w:rPr>
        <w:t>15.0</w:t>
      </w:r>
      <w:r>
        <w:rPr>
          <w:rFonts w:hint="eastAsia"/>
          <w:color w:val="auto"/>
          <w:highlight w:val="none"/>
        </w:rPr>
        <w:t>km（包括</w:t>
      </w:r>
      <w:r>
        <w:rPr>
          <w:rFonts w:hint="eastAsia"/>
          <w:color w:val="auto"/>
          <w:highlight w:val="none"/>
          <w:lang w:val="en-US" w:eastAsia="zh-CN"/>
        </w:rPr>
        <w:t>7</w:t>
      </w:r>
      <w:r>
        <w:rPr>
          <w:rFonts w:hint="eastAsia"/>
          <w:color w:val="auto"/>
          <w:highlight w:val="none"/>
        </w:rPr>
        <w:t>口新钻采油井和</w:t>
      </w:r>
      <w:r>
        <w:rPr>
          <w:rFonts w:hint="eastAsia"/>
          <w:color w:val="auto"/>
          <w:highlight w:val="none"/>
          <w:lang w:val="en-US" w:eastAsia="zh-CN"/>
        </w:rPr>
        <w:t>4</w:t>
      </w:r>
      <w:r>
        <w:rPr>
          <w:rFonts w:hint="eastAsia"/>
          <w:color w:val="auto"/>
          <w:highlight w:val="none"/>
        </w:rPr>
        <w:t>口老井进站管线），新建集油支线</w:t>
      </w:r>
      <w:r>
        <w:rPr>
          <w:rFonts w:hint="eastAsia"/>
          <w:color w:val="auto"/>
          <w:highlight w:val="none"/>
          <w:lang w:val="en-US" w:eastAsia="zh-CN"/>
        </w:rPr>
        <w:t>3.5</w:t>
      </w:r>
      <w:r>
        <w:rPr>
          <w:rFonts w:hint="eastAsia"/>
          <w:color w:val="auto"/>
          <w:highlight w:val="none"/>
        </w:rPr>
        <w:t>km，</w:t>
      </w:r>
      <w:r>
        <w:rPr>
          <w:rFonts w:hint="eastAsia"/>
          <w:color w:val="auto"/>
          <w:highlight w:val="none"/>
          <w:lang w:val="en-US" w:eastAsia="zh-CN"/>
        </w:rPr>
        <w:t>新建输气管道0.25km</w:t>
      </w:r>
      <w:r>
        <w:rPr>
          <w:rFonts w:hint="eastAsia"/>
          <w:color w:val="auto"/>
          <w:highlight w:val="none"/>
          <w:lang w:eastAsia="zh-CN"/>
        </w:rPr>
        <w:t>，</w:t>
      </w:r>
      <w:r>
        <w:rPr>
          <w:rFonts w:hint="eastAsia"/>
          <w:color w:val="auto"/>
          <w:highlight w:val="none"/>
        </w:rPr>
        <w:t>新建净化油外输管线</w:t>
      </w:r>
      <w:r>
        <w:rPr>
          <w:rFonts w:hint="eastAsia"/>
          <w:color w:val="auto"/>
          <w:highlight w:val="none"/>
          <w:lang w:val="en-US" w:eastAsia="zh-CN"/>
        </w:rPr>
        <w:t>15.5</w:t>
      </w:r>
      <w:r>
        <w:rPr>
          <w:rFonts w:hint="eastAsia"/>
          <w:color w:val="auto"/>
          <w:highlight w:val="none"/>
        </w:rPr>
        <w:t>km。本工程管线工程主要设备设施一览表见3.</w:t>
      </w:r>
      <w:r>
        <w:rPr>
          <w:rFonts w:hint="eastAsia"/>
          <w:color w:val="auto"/>
          <w:highlight w:val="none"/>
          <w:lang w:val="en-US" w:eastAsia="zh-CN"/>
        </w:rPr>
        <w:t>2-18</w:t>
      </w:r>
      <w:r>
        <w:rPr>
          <w:rFonts w:hint="eastAsia"/>
          <w:color w:val="auto"/>
          <w:highlight w:val="none"/>
        </w:rPr>
        <w:t>。本工程总体布局见图3.</w:t>
      </w:r>
      <w:r>
        <w:rPr>
          <w:rFonts w:hint="eastAsia"/>
          <w:color w:val="auto"/>
          <w:highlight w:val="none"/>
          <w:lang w:val="en-US" w:eastAsia="zh-CN"/>
        </w:rPr>
        <w:t>2-6</w:t>
      </w:r>
      <w:r>
        <w:rPr>
          <w:rFonts w:hint="eastAsia"/>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hint="eastAsia" w:cs="Times New Roman"/>
          <w:color w:val="auto"/>
          <w:highlight w:val="none"/>
        </w:rPr>
      </w:pPr>
      <w:r>
        <w:rPr>
          <w:rFonts w:hint="eastAsia" w:cs="Times New Roman"/>
          <w:color w:val="auto"/>
          <w:highlight w:val="none"/>
        </w:rPr>
        <w:t>表3.</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20</w:t>
      </w:r>
      <w:r>
        <w:rPr>
          <w:rFonts w:hint="eastAsia" w:cs="Times New Roman"/>
          <w:color w:val="auto"/>
          <w:highlight w:val="none"/>
        </w:rPr>
        <w:t xml:space="preserve">     集输工程主要工程内容表</w:t>
      </w:r>
    </w:p>
    <w:tbl>
      <w:tblPr>
        <w:tblStyle w:val="34"/>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921"/>
        <w:gridCol w:w="1587"/>
        <w:gridCol w:w="1381"/>
        <w:gridCol w:w="1693"/>
        <w:gridCol w:w="675"/>
        <w:gridCol w:w="683"/>
        <w:gridCol w:w="17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工程内容</w:t>
            </w:r>
          </w:p>
        </w:tc>
        <w:tc>
          <w:tcPr>
            <w:tcW w:w="158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起点</w:t>
            </w:r>
          </w:p>
        </w:tc>
        <w:tc>
          <w:tcPr>
            <w:tcW w:w="1381"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终点</w:t>
            </w: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val="en-US" w:eastAsia="zh-CN"/>
              </w:rPr>
              <w:t>规格</w:t>
            </w:r>
          </w:p>
        </w:tc>
        <w:tc>
          <w:tcPr>
            <w:tcW w:w="675"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单位</w:t>
            </w:r>
          </w:p>
        </w:tc>
        <w:tc>
          <w:tcPr>
            <w:tcW w:w="68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数量</w:t>
            </w:r>
          </w:p>
        </w:tc>
        <w:tc>
          <w:tcPr>
            <w:tcW w:w="1762" w:type="dxa"/>
            <w:tcBorders>
              <w:tl2br w:val="nil"/>
              <w:tr2bl w:val="nil"/>
            </w:tcBorders>
            <w:noWrap w:val="0"/>
            <w:vAlign w:val="center"/>
          </w:tcPr>
          <w:p>
            <w:pPr>
              <w:pStyle w:val="83"/>
              <w:spacing w:line="0" w:lineRule="atLeast"/>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lang w:val="en-US" w:eastAsia="zh-CN"/>
              </w:rPr>
              <w:t>管道材质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单井集输管线</w:t>
            </w:r>
          </w:p>
        </w:tc>
        <w:tc>
          <w:tcPr>
            <w:tcW w:w="158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FTYHW0911</w:t>
            </w:r>
          </w:p>
        </w:tc>
        <w:tc>
          <w:tcPr>
            <w:tcW w:w="1381"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宋体"/>
                <w:bCs/>
                <w:color w:val="auto"/>
                <w:sz w:val="21"/>
                <w:szCs w:val="21"/>
                <w:highlight w:val="none"/>
                <w:shd w:val="clear" w:color="auto" w:fill="auto"/>
                <w:lang w:val="en-US" w:eastAsia="zh-CN" w:bidi="ar"/>
              </w:rPr>
              <w:t>新建</w:t>
            </w:r>
            <w:r>
              <w:rPr>
                <w:rFonts w:hint="eastAsia" w:ascii="Times New Roman" w:hAnsi="Times New Roman"/>
                <w:bCs/>
                <w:color w:val="auto"/>
                <w:sz w:val="21"/>
                <w:szCs w:val="21"/>
                <w:highlight w:val="none"/>
                <w:shd w:val="clear" w:color="auto" w:fill="auto"/>
                <w:lang w:bidi="ar"/>
              </w:rPr>
              <w:t>丰探1计量站</w:t>
            </w: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1.176</w:t>
            </w:r>
          </w:p>
        </w:tc>
        <w:tc>
          <w:tcPr>
            <w:tcW w:w="1762"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柔性复合管</w:t>
            </w:r>
          </w:p>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r>
              <w:rPr>
                <w:rFonts w:hint="eastAsia" w:cs="Times New Roman"/>
                <w:color w:val="auto"/>
                <w:sz w:val="21"/>
                <w:szCs w:val="21"/>
                <w:highlight w:val="none"/>
                <w:shd w:val="clear" w:color="auto" w:fill="auto"/>
                <w:lang w:val="en-US" w:eastAsia="zh-CN"/>
              </w:rPr>
              <w:t>Ⅱ型</w:t>
            </w:r>
            <w:r>
              <w:rPr>
                <w:rFonts w:hint="default" w:ascii="Times New Roman" w:hAnsi="Times New Roman" w:eastAsia="宋体" w:cs="Times New Roman"/>
                <w:color w:val="auto"/>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pPr>
              <w:spacing w:line="0" w:lineRule="atLeast"/>
              <w:jc w:val="center"/>
              <w:rPr>
                <w:color w:val="auto"/>
                <w:sz w:val="21"/>
                <w:szCs w:val="21"/>
                <w:highlight w:val="none"/>
                <w:shd w:val="clear" w:color="auto" w:fill="auto"/>
              </w:rPr>
            </w:pPr>
          </w:p>
        </w:tc>
        <w:tc>
          <w:tcPr>
            <w:tcW w:w="158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FTYHW0912</w:t>
            </w:r>
          </w:p>
        </w:tc>
        <w:tc>
          <w:tcPr>
            <w:tcW w:w="138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0.12</w:t>
            </w:r>
          </w:p>
        </w:tc>
        <w:tc>
          <w:tcPr>
            <w:tcW w:w="1762"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FTYHW1235</w:t>
            </w:r>
          </w:p>
        </w:tc>
        <w:tc>
          <w:tcPr>
            <w:tcW w:w="138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1.1064</w:t>
            </w:r>
          </w:p>
        </w:tc>
        <w:tc>
          <w:tcPr>
            <w:tcW w:w="1762"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FTYHW1010</w:t>
            </w:r>
          </w:p>
        </w:tc>
        <w:tc>
          <w:tcPr>
            <w:tcW w:w="138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1.176</w:t>
            </w:r>
          </w:p>
        </w:tc>
        <w:tc>
          <w:tcPr>
            <w:tcW w:w="1762"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pPr>
              <w:spacing w:line="0" w:lineRule="atLeast"/>
              <w:jc w:val="center"/>
              <w:rPr>
                <w:color w:val="auto"/>
                <w:sz w:val="21"/>
                <w:szCs w:val="21"/>
                <w:highlight w:val="none"/>
                <w:shd w:val="clear" w:color="auto" w:fill="auto"/>
              </w:rPr>
            </w:pPr>
          </w:p>
        </w:tc>
        <w:tc>
          <w:tcPr>
            <w:tcW w:w="158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FTYHW1011</w:t>
            </w:r>
          </w:p>
        </w:tc>
        <w:tc>
          <w:tcPr>
            <w:tcW w:w="138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keepNext w:val="0"/>
              <w:keepLines w:val="0"/>
              <w:widowControl/>
              <w:suppressLineNumbers w:val="0"/>
              <w:jc w:val="center"/>
              <w:textAlignment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0.12</w:t>
            </w:r>
          </w:p>
        </w:tc>
        <w:tc>
          <w:tcPr>
            <w:tcW w:w="1762"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FTYHW1012</w:t>
            </w:r>
          </w:p>
        </w:tc>
        <w:tc>
          <w:tcPr>
            <w:tcW w:w="138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1.1064</w:t>
            </w:r>
          </w:p>
        </w:tc>
        <w:tc>
          <w:tcPr>
            <w:tcW w:w="1762"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pPr>
              <w:keepNext w:val="0"/>
              <w:keepLines w:val="0"/>
              <w:pageBreakBefore w:val="0"/>
              <w:widowControl/>
              <w:kinsoku/>
              <w:wordWrap/>
              <w:overflowPunct/>
              <w:topLinePunct w:val="0"/>
              <w:autoSpaceDE/>
              <w:autoSpaceDN/>
              <w:bidi w:val="0"/>
              <w:spacing w:line="240" w:lineRule="auto"/>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FTYHW1234</w:t>
            </w:r>
          </w:p>
        </w:tc>
        <w:tc>
          <w:tcPr>
            <w:tcW w:w="138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0.12</w:t>
            </w:r>
          </w:p>
        </w:tc>
        <w:tc>
          <w:tcPr>
            <w:tcW w:w="1762"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92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58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宋体"/>
                <w:bCs/>
                <w:color w:val="auto"/>
                <w:sz w:val="21"/>
                <w:szCs w:val="21"/>
                <w:highlight w:val="none"/>
                <w:shd w:val="clear" w:color="auto" w:fill="auto"/>
                <w:lang w:val="en-US" w:eastAsia="zh-CN" w:bidi="ar"/>
              </w:rPr>
              <w:t>夏211X（老井）</w:t>
            </w:r>
          </w:p>
        </w:tc>
        <w:tc>
          <w:tcPr>
            <w:tcW w:w="1381"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2</w:t>
            </w:r>
            <w:r>
              <w:rPr>
                <w:rFonts w:hint="eastAsia" w:cs="Times New Roman"/>
                <w:color w:val="auto"/>
                <w:sz w:val="21"/>
                <w:szCs w:val="21"/>
                <w:highlight w:val="none"/>
                <w:shd w:val="clear" w:color="auto" w:fill="auto"/>
                <w:lang w:val="en-US" w:eastAsia="zh-CN"/>
              </w:rPr>
              <w:t>.0</w:t>
            </w:r>
          </w:p>
        </w:tc>
        <w:tc>
          <w:tcPr>
            <w:tcW w:w="1762"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921" w:type="dxa"/>
            <w:vMerge w:val="continue"/>
            <w:tcBorders>
              <w:tl2br w:val="nil"/>
              <w:tr2bl w:val="nil"/>
            </w:tcBorders>
            <w:noWrap w:val="0"/>
            <w:vAlign w:val="center"/>
          </w:tcPr>
          <w:p>
            <w:pPr>
              <w:spacing w:line="0" w:lineRule="atLeast"/>
              <w:jc w:val="center"/>
              <w:rPr>
                <w:color w:val="auto"/>
              </w:rPr>
            </w:pPr>
          </w:p>
        </w:tc>
        <w:tc>
          <w:tcPr>
            <w:tcW w:w="1587"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丰探1</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1381" w:type="dxa"/>
            <w:vMerge w:val="continue"/>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693"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3.0</w:t>
            </w:r>
          </w:p>
        </w:tc>
        <w:tc>
          <w:tcPr>
            <w:tcW w:w="1762" w:type="dxa"/>
            <w:vMerge w:val="continue"/>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921" w:type="dxa"/>
            <w:vMerge w:val="continue"/>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587"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丰探101</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1381" w:type="dxa"/>
            <w:vMerge w:val="continue"/>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693"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3.0</w:t>
            </w:r>
          </w:p>
        </w:tc>
        <w:tc>
          <w:tcPr>
            <w:tcW w:w="1762" w:type="dxa"/>
            <w:vMerge w:val="continue"/>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8" w:hRule="atLeast"/>
          <w:jc w:val="center"/>
        </w:trPr>
        <w:tc>
          <w:tcPr>
            <w:tcW w:w="921" w:type="dxa"/>
            <w:vMerge w:val="continue"/>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587"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风城6x</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1381" w:type="dxa"/>
            <w:vMerge w:val="continue"/>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c>
          <w:tcPr>
            <w:tcW w:w="1693"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DN65</w:t>
            </w:r>
            <w:r>
              <w:rPr>
                <w:rFonts w:hint="eastAsia"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2.5MPa</w:t>
            </w:r>
          </w:p>
        </w:tc>
        <w:tc>
          <w:tcPr>
            <w:tcW w:w="675"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default" w:ascii="Times New Roman" w:hAnsi="Times New Roman" w:eastAsia="宋体" w:cs="Times New Roman"/>
                <w:color w:val="auto"/>
                <w:sz w:val="21"/>
                <w:szCs w:val="21"/>
                <w:highlight w:val="none"/>
                <w:shd w:val="clear" w:color="auto" w:fill="auto"/>
              </w:rPr>
              <w:t>km</w:t>
            </w:r>
          </w:p>
        </w:tc>
        <w:tc>
          <w:tcPr>
            <w:tcW w:w="683"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2.0</w:t>
            </w:r>
          </w:p>
        </w:tc>
        <w:tc>
          <w:tcPr>
            <w:tcW w:w="1762" w:type="dxa"/>
            <w:vMerge w:val="continue"/>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default" w:ascii="Times New Roman" w:hAnsi="Times New Roman" w:eastAsia="宋体" w:cs="宋体"/>
                <w:bCs/>
                <w:color w:val="auto"/>
                <w:sz w:val="21"/>
                <w:szCs w:val="21"/>
                <w:highlight w:val="none"/>
                <w:shd w:val="clear" w:color="auto" w:fill="auto"/>
                <w:lang w:bidi="ar"/>
              </w:rPr>
              <w:t>集油支线</w:t>
            </w:r>
          </w:p>
        </w:tc>
        <w:tc>
          <w:tcPr>
            <w:tcW w:w="1587"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bidi="ar"/>
              </w:rPr>
            </w:pPr>
            <w:r>
              <w:rPr>
                <w:rFonts w:hint="eastAsia" w:ascii="Times New Roman" w:hAnsi="Times New Roman"/>
                <w:bCs/>
                <w:color w:val="auto"/>
                <w:sz w:val="21"/>
                <w:szCs w:val="21"/>
                <w:highlight w:val="none"/>
                <w:shd w:val="clear" w:color="auto" w:fill="auto"/>
                <w:lang w:bidi="ar"/>
              </w:rPr>
              <w:t>丰探1计量站</w:t>
            </w:r>
          </w:p>
        </w:tc>
        <w:tc>
          <w:tcPr>
            <w:tcW w:w="1381"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新建集中拉油站</w:t>
            </w:r>
          </w:p>
        </w:tc>
        <w:tc>
          <w:tcPr>
            <w:tcW w:w="1693"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DN</w:t>
            </w:r>
            <w:r>
              <w:rPr>
                <w:rFonts w:hint="eastAsia" w:ascii="Times New Roman" w:hAnsi="Times New Roman" w:eastAsia="宋体" w:cs="Times New Roman"/>
                <w:color w:val="auto"/>
                <w:sz w:val="21"/>
                <w:szCs w:val="21"/>
                <w:highlight w:val="none"/>
                <w:shd w:val="clear" w:color="auto" w:fill="auto"/>
                <w:lang w:val="en-US" w:eastAsia="zh-CN"/>
              </w:rPr>
              <w:t>150</w:t>
            </w:r>
            <w:r>
              <w:rPr>
                <w:rFonts w:hint="eastAsia" w:cs="Times New Roman"/>
                <w:color w:val="auto"/>
                <w:sz w:val="21"/>
                <w:szCs w:val="21"/>
                <w:highlight w:val="none"/>
                <w:shd w:val="clear" w:color="auto" w:fill="auto"/>
                <w:lang w:val="en-US" w:eastAsia="zh-CN"/>
              </w:rPr>
              <w:t>,</w:t>
            </w:r>
            <w:r>
              <w:rPr>
                <w:rFonts w:hint="eastAsia" w:ascii="Times New Roman" w:hAnsi="Times New Roman" w:eastAsia="宋体" w:cs="Times New Roman"/>
                <w:color w:val="auto"/>
                <w:sz w:val="21"/>
                <w:szCs w:val="21"/>
                <w:highlight w:val="none"/>
                <w:shd w:val="clear" w:color="auto" w:fill="auto"/>
                <w:lang w:val="en-US" w:eastAsia="zh-CN"/>
              </w:rPr>
              <w:t>3.52</w:t>
            </w:r>
            <w:r>
              <w:rPr>
                <w:rFonts w:hint="default" w:ascii="Times New Roman" w:hAnsi="Times New Roman" w:eastAsia="宋体" w:cs="Times New Roman"/>
                <w:color w:val="auto"/>
                <w:sz w:val="21"/>
                <w:szCs w:val="21"/>
                <w:highlight w:val="none"/>
                <w:shd w:val="clear" w:color="auto" w:fill="auto"/>
              </w:rPr>
              <w:t>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default" w:ascii="Times New Roman" w:hAnsi="Times New Roman" w:eastAsia="宋体" w:cs="宋体"/>
                <w:bCs/>
                <w:color w:val="auto"/>
                <w:sz w:val="21"/>
                <w:szCs w:val="21"/>
                <w:highlight w:val="none"/>
                <w:shd w:val="clear" w:color="auto" w:fill="auto"/>
                <w:lang w:bidi="ar"/>
              </w:rPr>
              <w:t>km</w:t>
            </w:r>
          </w:p>
        </w:tc>
        <w:tc>
          <w:tcPr>
            <w:tcW w:w="683"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3.5</w:t>
            </w:r>
          </w:p>
        </w:tc>
        <w:tc>
          <w:tcPr>
            <w:tcW w:w="1762"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ascii="Times New Roman" w:hAnsi="Times New Roman"/>
                <w:color w:val="auto"/>
                <w:szCs w:val="21"/>
              </w:rPr>
              <w:t>热塑性塑料内衬玻璃钢复合管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输气管道</w:t>
            </w:r>
          </w:p>
        </w:tc>
        <w:tc>
          <w:tcPr>
            <w:tcW w:w="1587" w:type="dxa"/>
            <w:tcBorders>
              <w:tl2br w:val="nil"/>
              <w:tr2bl w:val="nil"/>
            </w:tcBorders>
            <w:noWrap w:val="0"/>
            <w:vAlign w:val="center"/>
          </w:tcPr>
          <w:p>
            <w:pPr>
              <w:spacing w:line="0" w:lineRule="atLeast"/>
              <w:jc w:val="center"/>
              <w:rPr>
                <w:rFonts w:hint="eastAsia" w:ascii="Times New Roman" w:hAnsi="Times New Roman"/>
                <w:bCs/>
                <w:color w:val="auto"/>
                <w:sz w:val="21"/>
                <w:szCs w:val="21"/>
                <w:highlight w:val="none"/>
                <w:shd w:val="clear" w:color="auto" w:fill="auto"/>
                <w:lang w:bidi="ar"/>
              </w:rPr>
            </w:pPr>
            <w:r>
              <w:rPr>
                <w:rFonts w:hint="eastAsia" w:ascii="Times New Roman" w:hAnsi="Times New Roman" w:eastAsia="宋体" w:cs="宋体"/>
                <w:bCs/>
                <w:color w:val="auto"/>
                <w:sz w:val="21"/>
                <w:szCs w:val="21"/>
                <w:highlight w:val="none"/>
                <w:shd w:val="clear" w:color="auto" w:fill="auto"/>
                <w:lang w:val="en-US" w:eastAsia="zh-CN" w:bidi="ar"/>
              </w:rPr>
              <w:t>新建集中拉油站</w:t>
            </w:r>
          </w:p>
        </w:tc>
        <w:tc>
          <w:tcPr>
            <w:tcW w:w="1381"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ascii="Times New Roman" w:hAnsi="Times New Roman"/>
                <w:color w:val="auto"/>
                <w:szCs w:val="21"/>
              </w:rPr>
              <w:t>夏子街增压站</w:t>
            </w:r>
          </w:p>
        </w:tc>
        <w:tc>
          <w:tcPr>
            <w:tcW w:w="1693" w:type="dxa"/>
            <w:tcBorders>
              <w:tl2br w:val="nil"/>
              <w:tr2bl w:val="nil"/>
            </w:tcBorders>
            <w:noWrap w:val="0"/>
            <w:vAlign w:val="center"/>
          </w:tcPr>
          <w:p>
            <w:pPr>
              <w:spacing w:line="0" w:lineRule="atLeast"/>
              <w:jc w:val="center"/>
              <w:rPr>
                <w:rFonts w:hint="eastAsia" w:ascii="Times New Roman" w:hAnsi="Times New Roman" w:eastAsia="宋体" w:cs="Times New Roman"/>
                <w:color w:val="auto"/>
                <w:sz w:val="21"/>
                <w:szCs w:val="21"/>
                <w:highlight w:val="none"/>
                <w:shd w:val="clear" w:color="auto" w:fill="auto"/>
                <w:lang w:eastAsia="zh-CN"/>
              </w:rPr>
            </w:pPr>
            <w:r>
              <w:rPr>
                <w:rFonts w:ascii="Times New Roman" w:hAnsi="Times New Roman"/>
                <w:color w:val="auto"/>
                <w:kern w:val="0"/>
                <w:szCs w:val="21"/>
                <w:lang w:bidi="ar"/>
              </w:rPr>
              <w:t>D219×5</w:t>
            </w:r>
            <w:r>
              <w:rPr>
                <w:rFonts w:hint="eastAsia"/>
                <w:color w:val="auto"/>
                <w:kern w:val="0"/>
                <w:szCs w:val="21"/>
                <w:lang w:eastAsia="zh-CN" w:bidi="ar"/>
              </w:rPr>
              <w:t>,</w:t>
            </w:r>
            <w:r>
              <w:rPr>
                <w:rFonts w:ascii="Times New Roman" w:hAnsi="Times New Roman"/>
                <w:color w:val="auto"/>
              </w:rPr>
              <w:t>0.3MPa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default" w:ascii="Times New Roman" w:hAnsi="Times New Roman" w:eastAsia="宋体" w:cs="宋体"/>
                <w:bCs/>
                <w:color w:val="auto"/>
                <w:sz w:val="21"/>
                <w:szCs w:val="21"/>
                <w:highlight w:val="none"/>
                <w:shd w:val="clear" w:color="auto" w:fill="auto"/>
                <w:lang w:bidi="ar"/>
              </w:rPr>
              <w:t>km</w:t>
            </w:r>
          </w:p>
        </w:tc>
        <w:tc>
          <w:tcPr>
            <w:tcW w:w="683"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0.25</w:t>
            </w:r>
          </w:p>
        </w:tc>
        <w:tc>
          <w:tcPr>
            <w:tcW w:w="1762" w:type="dxa"/>
            <w:tcBorders>
              <w:tl2br w:val="nil"/>
              <w:tr2bl w:val="nil"/>
            </w:tcBorders>
            <w:noWrap w:val="0"/>
            <w:vAlign w:val="center"/>
          </w:tcPr>
          <w:p>
            <w:pPr>
              <w:spacing w:line="0" w:lineRule="atLeast"/>
              <w:jc w:val="center"/>
              <w:rPr>
                <w:rFonts w:ascii="Times New Roman" w:hAnsi="Times New Roman"/>
                <w:color w:val="auto"/>
                <w:szCs w:val="21"/>
              </w:rPr>
            </w:pPr>
            <w:r>
              <w:rPr>
                <w:rFonts w:ascii="Times New Roman" w:hAnsi="Times New Roman"/>
                <w:color w:val="auto"/>
                <w:szCs w:val="21"/>
              </w:rPr>
              <w:t>直缝高频焊钢管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283" w:hRule="atLeast"/>
          <w:jc w:val="center"/>
        </w:trPr>
        <w:tc>
          <w:tcPr>
            <w:tcW w:w="921"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eastAsia" w:ascii="Times New Roman" w:hAnsi="Times New Roman" w:eastAsia="宋体" w:cs="宋体"/>
                <w:bCs/>
                <w:color w:val="auto"/>
                <w:sz w:val="21"/>
                <w:szCs w:val="21"/>
                <w:highlight w:val="none"/>
                <w:shd w:val="clear" w:color="auto" w:fill="auto"/>
                <w:lang w:bidi="ar"/>
              </w:rPr>
              <w:t>净化油外输管线</w:t>
            </w:r>
          </w:p>
        </w:tc>
        <w:tc>
          <w:tcPr>
            <w:tcW w:w="1587"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bidi="ar"/>
              </w:rPr>
            </w:pPr>
            <w:r>
              <w:rPr>
                <w:rFonts w:hint="eastAsia" w:ascii="Times New Roman" w:hAnsi="Times New Roman" w:eastAsia="宋体" w:cs="宋体"/>
                <w:bCs/>
                <w:color w:val="auto"/>
                <w:sz w:val="21"/>
                <w:szCs w:val="21"/>
                <w:highlight w:val="none"/>
                <w:shd w:val="clear" w:color="auto" w:fill="auto"/>
                <w:lang w:val="en-US" w:eastAsia="zh-CN" w:bidi="ar"/>
              </w:rPr>
              <w:t>风城二号稠油处理站</w:t>
            </w:r>
          </w:p>
        </w:tc>
        <w:tc>
          <w:tcPr>
            <w:tcW w:w="1381"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ascii="Times New Roman" w:hAnsi="Times New Roman" w:eastAsia="宋体" w:cs="宋体"/>
                <w:bCs/>
                <w:color w:val="auto"/>
                <w:sz w:val="21"/>
                <w:szCs w:val="21"/>
                <w:highlight w:val="none"/>
                <w:shd w:val="clear" w:color="auto" w:fill="auto"/>
                <w:lang w:val="en-US" w:eastAsia="zh-CN" w:bidi="ar"/>
              </w:rPr>
              <w:t>乌36转油站</w:t>
            </w:r>
          </w:p>
        </w:tc>
        <w:tc>
          <w:tcPr>
            <w:tcW w:w="1693" w:type="dxa"/>
            <w:tcBorders>
              <w:tl2br w:val="nil"/>
              <w:tr2bl w:val="nil"/>
            </w:tcBorders>
            <w:noWrap w:val="0"/>
            <w:vAlign w:val="center"/>
          </w:tcPr>
          <w:p>
            <w:pPr>
              <w:spacing w:line="0" w:lineRule="atLeast"/>
              <w:jc w:val="center"/>
              <w:rPr>
                <w:rFonts w:hint="eastAsia" w:ascii="Times New Roman" w:hAnsi="Times New Roman" w:eastAsia="宋体" w:cs="宋体"/>
                <w:bCs/>
                <w:color w:val="auto"/>
                <w:sz w:val="21"/>
                <w:szCs w:val="21"/>
                <w:highlight w:val="none"/>
                <w:shd w:val="clear" w:color="auto" w:fill="auto"/>
                <w:lang w:val="fr-FR" w:bidi="ar"/>
              </w:rPr>
            </w:pPr>
            <w:r>
              <w:rPr>
                <w:rFonts w:ascii="Times New Roman" w:hAnsi="Times New Roman"/>
                <w:color w:val="auto"/>
                <w:szCs w:val="21"/>
              </w:rPr>
              <w:t>D219×6</w:t>
            </w:r>
            <w:r>
              <w:rPr>
                <w:rFonts w:hint="eastAsia"/>
                <w:color w:val="auto"/>
                <w:szCs w:val="21"/>
                <w:lang w:eastAsia="zh-CN"/>
              </w:rPr>
              <w:t>,</w:t>
            </w:r>
            <w:r>
              <w:rPr>
                <w:rFonts w:hint="default" w:ascii="Times New Roman" w:hAnsi="Times New Roman" w:eastAsia="宋体" w:cs="Times New Roman"/>
                <w:color w:val="auto"/>
                <w:sz w:val="21"/>
                <w:szCs w:val="21"/>
                <w:highlight w:val="none"/>
                <w:shd w:val="clear" w:color="auto" w:fill="auto"/>
                <w:lang w:val="en-US" w:eastAsia="zh-CN"/>
              </w:rPr>
              <w:t>3.5MPa</w:t>
            </w:r>
          </w:p>
        </w:tc>
        <w:tc>
          <w:tcPr>
            <w:tcW w:w="675"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hint="default" w:ascii="Times New Roman" w:hAnsi="Times New Roman" w:eastAsia="宋体" w:cs="宋体"/>
                <w:bCs/>
                <w:color w:val="auto"/>
                <w:sz w:val="21"/>
                <w:szCs w:val="21"/>
                <w:highlight w:val="none"/>
                <w:shd w:val="clear" w:color="auto" w:fill="auto"/>
                <w:lang w:bidi="ar"/>
              </w:rPr>
              <w:t>km</w:t>
            </w:r>
          </w:p>
        </w:tc>
        <w:tc>
          <w:tcPr>
            <w:tcW w:w="683"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15.5</w:t>
            </w:r>
          </w:p>
        </w:tc>
        <w:tc>
          <w:tcPr>
            <w:tcW w:w="1762" w:type="dxa"/>
            <w:tcBorders>
              <w:tl2br w:val="nil"/>
              <w:tr2bl w:val="nil"/>
            </w:tcBorders>
            <w:noWrap w:val="0"/>
            <w:vAlign w:val="center"/>
          </w:tcPr>
          <w:p>
            <w:pPr>
              <w:spacing w:line="0" w:lineRule="atLeast"/>
              <w:jc w:val="center"/>
              <w:rPr>
                <w:rFonts w:hint="default" w:ascii="Times New Roman" w:hAnsi="Times New Roman" w:eastAsia="宋体" w:cs="宋体"/>
                <w:bCs/>
                <w:color w:val="auto"/>
                <w:sz w:val="21"/>
                <w:szCs w:val="21"/>
                <w:highlight w:val="none"/>
                <w:shd w:val="clear" w:color="auto" w:fill="auto"/>
                <w:lang w:bidi="ar"/>
              </w:rPr>
            </w:pPr>
            <w:r>
              <w:rPr>
                <w:rFonts w:ascii="Times New Roman" w:hAnsi="Times New Roman"/>
                <w:color w:val="auto"/>
                <w:szCs w:val="21"/>
              </w:rPr>
              <w:t>20#无缝钢管</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color w:val="auto"/>
          <w:highlight w:val="none"/>
        </w:rPr>
      </w:pPr>
      <w:r>
        <w:rPr>
          <w:rFonts w:hint="eastAsia"/>
          <w:color w:val="auto"/>
          <w:highlight w:val="none"/>
        </w:rPr>
        <w:t>表3</w:t>
      </w:r>
      <w:r>
        <w:rPr>
          <w:color w:val="auto"/>
          <w:highlight w:val="none"/>
        </w:rPr>
        <w:t>.</w:t>
      </w:r>
      <w:r>
        <w:rPr>
          <w:rFonts w:hint="eastAsia"/>
          <w:color w:val="auto"/>
          <w:highlight w:val="none"/>
          <w:lang w:val="en-US" w:eastAsia="zh-CN"/>
        </w:rPr>
        <w:t>2</w:t>
      </w:r>
      <w:r>
        <w:rPr>
          <w:color w:val="auto"/>
          <w:highlight w:val="none"/>
        </w:rPr>
        <w:t>-</w:t>
      </w:r>
      <w:r>
        <w:rPr>
          <w:rFonts w:hint="eastAsia"/>
          <w:color w:val="auto"/>
          <w:highlight w:val="none"/>
          <w:lang w:val="en-US" w:eastAsia="zh-CN"/>
        </w:rPr>
        <w:t xml:space="preserve">21  </w:t>
      </w:r>
      <w:r>
        <w:rPr>
          <w:color w:val="auto"/>
          <w:highlight w:val="none"/>
        </w:rPr>
        <w:t xml:space="preserve">  </w:t>
      </w:r>
      <w:r>
        <w:rPr>
          <w:rFonts w:hint="eastAsia"/>
          <w:color w:val="auto"/>
          <w:highlight w:val="none"/>
        </w:rPr>
        <w:t>新建集输管线基本情况</w:t>
      </w:r>
    </w:p>
    <w:tbl>
      <w:tblPr>
        <w:tblStyle w:val="35"/>
        <w:tblW w:w="5127" w:type="pct"/>
        <w:tblInd w:w="-108"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8"/>
        <w:gridCol w:w="1648"/>
        <w:gridCol w:w="1408"/>
        <w:gridCol w:w="1232"/>
        <w:gridCol w:w="1725"/>
        <w:gridCol w:w="1362"/>
        <w:gridCol w:w="122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vMerge w:val="restart"/>
            <w:tcBorders>
              <w:tl2br w:val="nil"/>
              <w:tr2bl w:val="nil"/>
            </w:tcBorders>
            <w:vAlign w:val="center"/>
          </w:tcPr>
          <w:p>
            <w:pPr>
              <w:pStyle w:val="41"/>
              <w:widowControl w:val="0"/>
              <w:jc w:val="center"/>
              <w:rPr>
                <w:color w:val="auto"/>
                <w:highlight w:val="none"/>
              </w:rPr>
            </w:pPr>
            <w:r>
              <w:rPr>
                <w:rFonts w:hint="eastAsia"/>
                <w:color w:val="auto"/>
                <w:highlight w:val="none"/>
              </w:rPr>
              <w:t>序号</w:t>
            </w:r>
          </w:p>
        </w:tc>
        <w:tc>
          <w:tcPr>
            <w:tcW w:w="2366" w:type="pct"/>
            <w:gridSpan w:val="3"/>
            <w:tcBorders>
              <w:tl2br w:val="nil"/>
              <w:tr2bl w:val="nil"/>
            </w:tcBorders>
            <w:vAlign w:val="center"/>
          </w:tcPr>
          <w:p>
            <w:pPr>
              <w:pStyle w:val="41"/>
              <w:widowControl w:val="0"/>
              <w:jc w:val="center"/>
              <w:rPr>
                <w:color w:val="auto"/>
                <w:highlight w:val="none"/>
              </w:rPr>
            </w:pPr>
            <w:r>
              <w:rPr>
                <w:rFonts w:hint="eastAsia"/>
                <w:color w:val="auto"/>
                <w:highlight w:val="none"/>
              </w:rPr>
              <w:t>起点坐标</w:t>
            </w:r>
          </w:p>
        </w:tc>
        <w:tc>
          <w:tcPr>
            <w:tcW w:w="2380" w:type="pct"/>
            <w:gridSpan w:val="3"/>
            <w:tcBorders>
              <w:tl2br w:val="nil"/>
              <w:tr2bl w:val="nil"/>
            </w:tcBorders>
            <w:vAlign w:val="center"/>
          </w:tcPr>
          <w:p>
            <w:pPr>
              <w:pStyle w:val="41"/>
              <w:widowControl w:val="0"/>
              <w:jc w:val="center"/>
              <w:rPr>
                <w:color w:val="auto"/>
                <w:highlight w:val="none"/>
              </w:rPr>
            </w:pPr>
            <w:r>
              <w:rPr>
                <w:rFonts w:hint="eastAsia"/>
                <w:color w:val="auto"/>
                <w:highlight w:val="none"/>
              </w:rPr>
              <w:t>终点坐标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vMerge w:val="continue"/>
            <w:tcBorders>
              <w:tl2br w:val="nil"/>
              <w:tr2bl w:val="nil"/>
            </w:tcBorders>
            <w:vAlign w:val="center"/>
          </w:tcPr>
          <w:p>
            <w:pPr>
              <w:pStyle w:val="41"/>
              <w:widowControl w:val="0"/>
              <w:jc w:val="center"/>
              <w:rPr>
                <w:color w:val="auto"/>
                <w:highlight w:val="none"/>
              </w:rPr>
            </w:pPr>
          </w:p>
        </w:tc>
        <w:tc>
          <w:tcPr>
            <w:tcW w:w="909" w:type="pct"/>
            <w:tcBorders>
              <w:tl2br w:val="nil"/>
              <w:tr2bl w:val="nil"/>
            </w:tcBorders>
            <w:vAlign w:val="center"/>
          </w:tcPr>
          <w:p>
            <w:pPr>
              <w:pStyle w:val="41"/>
              <w:widowControl w:val="0"/>
              <w:jc w:val="center"/>
              <w:rPr>
                <w:color w:val="auto"/>
                <w:highlight w:val="none"/>
              </w:rPr>
            </w:pPr>
            <w:r>
              <w:rPr>
                <w:rFonts w:hint="eastAsia"/>
                <w:color w:val="auto"/>
                <w:highlight w:val="none"/>
              </w:rPr>
              <w:t>名称</w:t>
            </w:r>
          </w:p>
        </w:tc>
        <w:tc>
          <w:tcPr>
            <w:tcW w:w="777" w:type="pct"/>
            <w:tcBorders>
              <w:tl2br w:val="nil"/>
              <w:tr2bl w:val="nil"/>
            </w:tcBorders>
            <w:vAlign w:val="center"/>
          </w:tcPr>
          <w:p>
            <w:pPr>
              <w:pStyle w:val="41"/>
              <w:widowControl w:val="0"/>
              <w:jc w:val="center"/>
              <w:rPr>
                <w:color w:val="auto"/>
                <w:highlight w:val="none"/>
              </w:rPr>
            </w:pPr>
            <w:r>
              <w:rPr>
                <w:rFonts w:hint="eastAsia"/>
                <w:color w:val="auto"/>
                <w:highlight w:val="none"/>
              </w:rPr>
              <w:t>X</w:t>
            </w:r>
          </w:p>
        </w:tc>
        <w:tc>
          <w:tcPr>
            <w:tcW w:w="680" w:type="pct"/>
            <w:tcBorders>
              <w:tl2br w:val="nil"/>
              <w:tr2bl w:val="nil"/>
            </w:tcBorders>
            <w:vAlign w:val="center"/>
          </w:tcPr>
          <w:p>
            <w:pPr>
              <w:pStyle w:val="41"/>
              <w:widowControl w:val="0"/>
              <w:jc w:val="center"/>
              <w:rPr>
                <w:color w:val="auto"/>
                <w:highlight w:val="none"/>
              </w:rPr>
            </w:pPr>
            <w:r>
              <w:rPr>
                <w:rFonts w:hint="eastAsia"/>
                <w:color w:val="auto"/>
                <w:highlight w:val="none"/>
              </w:rPr>
              <w:t>Y</w:t>
            </w:r>
          </w:p>
        </w:tc>
        <w:tc>
          <w:tcPr>
            <w:tcW w:w="952" w:type="pct"/>
            <w:tcBorders>
              <w:tl2br w:val="nil"/>
              <w:tr2bl w:val="nil"/>
            </w:tcBorders>
            <w:vAlign w:val="center"/>
          </w:tcPr>
          <w:p>
            <w:pPr>
              <w:pStyle w:val="41"/>
              <w:widowControl w:val="0"/>
              <w:jc w:val="center"/>
              <w:rPr>
                <w:color w:val="auto"/>
                <w:highlight w:val="none"/>
              </w:rPr>
            </w:pPr>
            <w:r>
              <w:rPr>
                <w:rFonts w:hint="eastAsia"/>
                <w:color w:val="auto"/>
                <w:highlight w:val="none"/>
              </w:rPr>
              <w:t>名称</w:t>
            </w:r>
          </w:p>
        </w:tc>
        <w:tc>
          <w:tcPr>
            <w:tcW w:w="751" w:type="pct"/>
            <w:tcBorders>
              <w:tl2br w:val="nil"/>
              <w:tr2bl w:val="nil"/>
            </w:tcBorders>
            <w:vAlign w:val="center"/>
          </w:tcPr>
          <w:p>
            <w:pPr>
              <w:pStyle w:val="41"/>
              <w:widowControl w:val="0"/>
              <w:jc w:val="center"/>
              <w:rPr>
                <w:color w:val="auto"/>
                <w:highlight w:val="none"/>
              </w:rPr>
            </w:pPr>
            <w:r>
              <w:rPr>
                <w:rFonts w:hint="eastAsia"/>
                <w:color w:val="auto"/>
                <w:highlight w:val="none"/>
              </w:rPr>
              <w:t>X</w:t>
            </w:r>
          </w:p>
        </w:tc>
        <w:tc>
          <w:tcPr>
            <w:tcW w:w="676" w:type="pct"/>
            <w:tcBorders>
              <w:tl2br w:val="nil"/>
              <w:tr2bl w:val="nil"/>
            </w:tcBorders>
            <w:vAlign w:val="center"/>
          </w:tcPr>
          <w:p>
            <w:pPr>
              <w:pStyle w:val="41"/>
              <w:widowControl w:val="0"/>
              <w:jc w:val="center"/>
              <w:rPr>
                <w:color w:val="auto"/>
                <w:highlight w:val="none"/>
              </w:rPr>
            </w:pPr>
            <w:r>
              <w:rPr>
                <w:rFonts w:hint="eastAsia"/>
                <w:color w:val="auto"/>
                <w:highlight w:val="none"/>
              </w:rPr>
              <w:t>Y</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color w:val="auto"/>
                <w:highlight w:val="none"/>
              </w:rPr>
            </w:pPr>
            <w:r>
              <w:rPr>
                <w:rFonts w:hint="eastAsia"/>
                <w:color w:val="auto"/>
                <w:highlight w:val="none"/>
              </w:rPr>
              <w:t>1</w:t>
            </w:r>
          </w:p>
        </w:tc>
        <w:tc>
          <w:tcPr>
            <w:tcW w:w="90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default" w:ascii="Times New Roman" w:hAnsi="Times New Roman" w:eastAsia="宋体" w:cs="Times New Roman"/>
                <w:color w:val="auto"/>
                <w:sz w:val="21"/>
                <w:szCs w:val="21"/>
                <w:highlight w:val="none"/>
                <w:shd w:val="clear" w:color="auto" w:fill="auto"/>
                <w:lang w:val="en-US" w:eastAsia="zh-CN"/>
              </w:rPr>
              <w:t>FTYHW0911</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restart"/>
            <w:tcBorders>
              <w:tl2br w:val="nil"/>
              <w:tr2bl w:val="nil"/>
            </w:tcBorders>
            <w:shd w:val="clear" w:color="auto" w:fill="auto"/>
            <w:vAlign w:val="center"/>
          </w:tcPr>
          <w:p>
            <w:pPr>
              <w:widowControl w:val="0"/>
              <w:spacing w:line="0" w:lineRule="atLeast"/>
              <w:jc w:val="center"/>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bidi="ar"/>
              </w:rPr>
              <w:t>新建</w:t>
            </w:r>
            <w:r>
              <w:rPr>
                <w:rFonts w:hint="eastAsia" w:ascii="Times New Roman" w:hAnsi="Times New Roman"/>
                <w:bCs/>
                <w:color w:val="auto"/>
                <w:sz w:val="21"/>
                <w:szCs w:val="21"/>
                <w:highlight w:val="none"/>
                <w:shd w:val="clear" w:color="auto" w:fill="auto"/>
                <w:lang w:bidi="ar"/>
              </w:rPr>
              <w:t>丰探1计量站</w:t>
            </w:r>
          </w:p>
        </w:tc>
        <w:tc>
          <w:tcPr>
            <w:tcW w:w="751" w:type="pct"/>
            <w:vMerge w:val="restar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restar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color w:val="auto"/>
                <w:highlight w:val="none"/>
              </w:rPr>
            </w:pPr>
            <w:r>
              <w:rPr>
                <w:rFonts w:hint="eastAsia"/>
                <w:color w:val="auto"/>
                <w:highlight w:val="none"/>
              </w:rPr>
              <w:t>2</w:t>
            </w:r>
          </w:p>
        </w:tc>
        <w:tc>
          <w:tcPr>
            <w:tcW w:w="90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FTYHW0912</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color w:val="auto"/>
                <w:highlight w:val="none"/>
              </w:rPr>
            </w:pPr>
            <w:r>
              <w:rPr>
                <w:rFonts w:hint="eastAsia"/>
                <w:color w:val="auto"/>
                <w:highlight w:val="none"/>
              </w:rPr>
              <w:t>3</w:t>
            </w:r>
          </w:p>
        </w:tc>
        <w:tc>
          <w:tcPr>
            <w:tcW w:w="90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FTYHW1235</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color w:val="auto"/>
                <w:highlight w:val="none"/>
              </w:rPr>
            </w:pPr>
            <w:r>
              <w:rPr>
                <w:rFonts w:hint="eastAsia"/>
                <w:color w:val="auto"/>
                <w:highlight w:val="none"/>
              </w:rPr>
              <w:t>4</w:t>
            </w:r>
          </w:p>
        </w:tc>
        <w:tc>
          <w:tcPr>
            <w:tcW w:w="90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default" w:ascii="Times New Roman" w:hAnsi="Times New Roman" w:eastAsia="宋体" w:cs="Times New Roman"/>
                <w:color w:val="auto"/>
                <w:sz w:val="21"/>
                <w:szCs w:val="21"/>
                <w:highlight w:val="none"/>
                <w:shd w:val="clear" w:color="auto" w:fill="auto"/>
                <w:lang w:val="en-US" w:eastAsia="zh-CN"/>
              </w:rPr>
              <w:t>FTYHW1010</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rFonts w:hint="eastAsia" w:eastAsia="宋体"/>
                <w:color w:val="auto"/>
                <w:highlight w:val="none"/>
                <w:lang w:val="en-US" w:eastAsia="zh-CN"/>
              </w:rPr>
            </w:pPr>
            <w:r>
              <w:rPr>
                <w:rFonts w:hint="eastAsia"/>
                <w:color w:val="auto"/>
                <w:highlight w:val="none"/>
                <w:lang w:val="en-US" w:eastAsia="zh-CN"/>
              </w:rPr>
              <w:t>5</w:t>
            </w:r>
          </w:p>
        </w:tc>
        <w:tc>
          <w:tcPr>
            <w:tcW w:w="90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FTYHW1011</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rFonts w:hint="eastAsia" w:eastAsia="宋体"/>
                <w:color w:val="auto"/>
                <w:highlight w:val="none"/>
                <w:lang w:val="en-US" w:eastAsia="zh-CN"/>
              </w:rPr>
            </w:pPr>
            <w:r>
              <w:rPr>
                <w:rFonts w:hint="eastAsia"/>
                <w:color w:val="auto"/>
                <w:highlight w:val="none"/>
                <w:lang w:val="en-US" w:eastAsia="zh-CN"/>
              </w:rPr>
              <w:t>6</w:t>
            </w:r>
          </w:p>
        </w:tc>
        <w:tc>
          <w:tcPr>
            <w:tcW w:w="90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FTYHW1012</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rFonts w:hint="eastAsia" w:eastAsia="宋体"/>
                <w:color w:val="auto"/>
                <w:highlight w:val="none"/>
                <w:lang w:val="en-US" w:eastAsia="zh-CN"/>
              </w:rPr>
            </w:pPr>
            <w:r>
              <w:rPr>
                <w:rFonts w:hint="eastAsia"/>
                <w:color w:val="auto"/>
                <w:highlight w:val="none"/>
                <w:lang w:val="en-US" w:eastAsia="zh-CN"/>
              </w:rPr>
              <w:t>7</w:t>
            </w:r>
          </w:p>
        </w:tc>
        <w:tc>
          <w:tcPr>
            <w:tcW w:w="909" w:type="pct"/>
            <w:tcBorders>
              <w:tl2br w:val="nil"/>
              <w:tr2bl w:val="nil"/>
            </w:tcBorders>
            <w:vAlign w:val="center"/>
          </w:tcPr>
          <w:p>
            <w:pPr>
              <w:keepNext w:val="0"/>
              <w:keepLines w:val="0"/>
              <w:pageBreakBefore w:val="0"/>
              <w:widowControl/>
              <w:kinsoku/>
              <w:wordWrap/>
              <w:overflowPunct/>
              <w:topLinePunct w:val="0"/>
              <w:autoSpaceDE/>
              <w:autoSpaceDN/>
              <w:bidi w:val="0"/>
              <w:spacing w:line="240" w:lineRule="auto"/>
              <w:jc w:val="center"/>
              <w:rPr>
                <w:color w:val="auto"/>
                <w:highlight w:val="none"/>
              </w:rPr>
            </w:pPr>
            <w:r>
              <w:rPr>
                <w:rFonts w:hint="eastAsia" w:cs="Times New Roman"/>
                <w:color w:val="auto"/>
                <w:sz w:val="21"/>
                <w:szCs w:val="21"/>
                <w:highlight w:val="none"/>
                <w:shd w:val="clear" w:color="auto" w:fill="auto"/>
                <w:lang w:val="en-US" w:eastAsia="zh-CN"/>
              </w:rPr>
              <w:t>FTYHW1234</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rFonts w:hint="eastAsia" w:eastAsia="宋体"/>
                <w:color w:val="auto"/>
                <w:highlight w:val="none"/>
                <w:lang w:val="en-US" w:eastAsia="zh-CN"/>
              </w:rPr>
            </w:pPr>
            <w:r>
              <w:rPr>
                <w:rFonts w:hint="eastAsia"/>
                <w:color w:val="auto"/>
                <w:highlight w:val="none"/>
                <w:lang w:val="en-US" w:eastAsia="zh-CN"/>
              </w:rPr>
              <w:t>8</w:t>
            </w:r>
          </w:p>
        </w:tc>
        <w:tc>
          <w:tcPr>
            <w:tcW w:w="909" w:type="pct"/>
            <w:tcBorders>
              <w:tl2br w:val="nil"/>
              <w:tr2bl w:val="nil"/>
            </w:tcBorders>
            <w:vAlign w:val="center"/>
          </w:tcPr>
          <w:p>
            <w:pPr>
              <w:widowControl w:val="0"/>
              <w:spacing w:line="0" w:lineRule="atLeast"/>
              <w:jc w:val="center"/>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bidi="ar"/>
              </w:rPr>
              <w:t>夏211X（老井）</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color w:val="auto"/>
                <w:highlight w:val="none"/>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color w:val="auto"/>
                <w:highlight w:val="none"/>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ind w:firstLine="0" w:firstLineChars="0"/>
              <w:jc w:val="center"/>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9</w:t>
            </w:r>
          </w:p>
        </w:tc>
        <w:tc>
          <w:tcPr>
            <w:tcW w:w="909" w:type="pct"/>
            <w:tcBorders>
              <w:tl2br w:val="nil"/>
              <w:tr2bl w:val="nil"/>
            </w:tcBorders>
            <w:vAlign w:val="center"/>
          </w:tcPr>
          <w:p>
            <w:pPr>
              <w:widowControl w:val="0"/>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丰探1</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ind w:firstLine="0" w:firstLineChars="0"/>
              <w:jc w:val="center"/>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10</w:t>
            </w:r>
          </w:p>
        </w:tc>
        <w:tc>
          <w:tcPr>
            <w:tcW w:w="909" w:type="pct"/>
            <w:tcBorders>
              <w:tl2br w:val="nil"/>
              <w:tr2bl w:val="nil"/>
            </w:tcBorders>
            <w:vAlign w:val="center"/>
          </w:tcPr>
          <w:p>
            <w:pPr>
              <w:widowControl w:val="0"/>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丰探101</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ind w:firstLine="0" w:firstLineChars="0"/>
              <w:jc w:val="center"/>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11</w:t>
            </w:r>
          </w:p>
        </w:tc>
        <w:tc>
          <w:tcPr>
            <w:tcW w:w="909" w:type="pct"/>
            <w:tcBorders>
              <w:tl2br w:val="nil"/>
              <w:tr2bl w:val="nil"/>
            </w:tcBorders>
            <w:vAlign w:val="center"/>
          </w:tcPr>
          <w:p>
            <w:pPr>
              <w:widowControl w:val="0"/>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hint="eastAsia" w:cs="宋体"/>
                <w:bCs/>
                <w:color w:val="auto"/>
                <w:sz w:val="21"/>
                <w:szCs w:val="21"/>
                <w:highlight w:val="none"/>
                <w:shd w:val="clear" w:color="auto" w:fill="auto"/>
                <w:lang w:val="en-US" w:eastAsia="zh-CN" w:bidi="ar"/>
              </w:rPr>
              <w:t>风城6x</w:t>
            </w:r>
            <w:r>
              <w:rPr>
                <w:rFonts w:hint="eastAsia" w:ascii="Times New Roman" w:hAnsi="Times New Roman" w:eastAsia="宋体" w:cs="宋体"/>
                <w:bCs/>
                <w:color w:val="auto"/>
                <w:sz w:val="21"/>
                <w:szCs w:val="21"/>
                <w:highlight w:val="none"/>
                <w:shd w:val="clear" w:color="auto" w:fill="auto"/>
                <w:lang w:val="en-US" w:eastAsia="zh-CN" w:bidi="ar"/>
              </w:rPr>
              <w:t>（老井）</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vMerge w:val="continue"/>
            <w:tcBorders>
              <w:tl2br w:val="nil"/>
              <w:tr2bl w:val="nil"/>
            </w:tcBorders>
            <w:shd w:val="clear" w:color="auto" w:fill="auto"/>
            <w:vAlign w:val="center"/>
          </w:tcPr>
          <w:p>
            <w:pPr>
              <w:pStyle w:val="41"/>
              <w:widowControl w:val="0"/>
              <w:jc w:val="center"/>
              <w:rPr>
                <w:color w:val="auto"/>
                <w:highlight w:val="none"/>
              </w:rPr>
            </w:pPr>
          </w:p>
        </w:tc>
        <w:tc>
          <w:tcPr>
            <w:tcW w:w="751"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vMerge w:val="continue"/>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283" w:hRule="atLeast"/>
        </w:trPr>
        <w:tc>
          <w:tcPr>
            <w:tcW w:w="252" w:type="pct"/>
            <w:tcBorders>
              <w:tl2br w:val="nil"/>
              <w:tr2bl w:val="nil"/>
            </w:tcBorders>
            <w:vAlign w:val="center"/>
          </w:tcPr>
          <w:p>
            <w:pPr>
              <w:pStyle w:val="41"/>
              <w:widowControl w:val="0"/>
              <w:jc w:val="center"/>
              <w:rPr>
                <w:rFonts w:hint="default" w:eastAsia="宋体"/>
                <w:color w:val="auto"/>
                <w:highlight w:val="none"/>
                <w:lang w:val="en-US" w:eastAsia="zh-CN"/>
              </w:rPr>
            </w:pPr>
            <w:r>
              <w:rPr>
                <w:rFonts w:hint="eastAsia"/>
                <w:color w:val="auto"/>
                <w:highlight w:val="none"/>
                <w:lang w:val="en-US" w:eastAsia="zh-CN"/>
              </w:rPr>
              <w:t>12</w:t>
            </w:r>
          </w:p>
        </w:tc>
        <w:tc>
          <w:tcPr>
            <w:tcW w:w="909" w:type="pct"/>
            <w:tcBorders>
              <w:tl2br w:val="nil"/>
              <w:tr2bl w:val="nil"/>
            </w:tcBorders>
            <w:vAlign w:val="center"/>
          </w:tcPr>
          <w:p>
            <w:pPr>
              <w:widowControl w:val="0"/>
              <w:spacing w:line="0" w:lineRule="atLeast"/>
              <w:jc w:val="center"/>
              <w:rPr>
                <w:color w:val="auto"/>
                <w:highlight w:val="none"/>
              </w:rPr>
            </w:pPr>
            <w:r>
              <w:rPr>
                <w:rFonts w:hint="eastAsia" w:ascii="Times New Roman" w:hAnsi="Times New Roman"/>
                <w:bCs/>
                <w:color w:val="auto"/>
                <w:sz w:val="21"/>
                <w:szCs w:val="21"/>
                <w:highlight w:val="none"/>
                <w:shd w:val="clear" w:color="auto" w:fill="auto"/>
                <w:lang w:bidi="ar"/>
              </w:rPr>
              <w:t>丰探1计量站</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tcBorders>
              <w:tl2br w:val="nil"/>
              <w:tr2bl w:val="nil"/>
            </w:tcBorders>
            <w:shd w:val="clear" w:color="auto" w:fill="auto"/>
            <w:vAlign w:val="center"/>
          </w:tcPr>
          <w:p>
            <w:pPr>
              <w:widowControl w:val="0"/>
              <w:spacing w:line="0" w:lineRule="atLeast"/>
              <w:jc w:val="center"/>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bidi="ar"/>
              </w:rPr>
              <w:t>新建集中拉油站</w:t>
            </w:r>
          </w:p>
        </w:tc>
        <w:tc>
          <w:tcPr>
            <w:tcW w:w="751"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76"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rFonts w:hint="default"/>
                <w:color w:val="auto"/>
                <w:highlight w:val="none"/>
                <w:lang w:val="en-US" w:eastAsia="zh-CN"/>
              </w:rPr>
            </w:pPr>
            <w:r>
              <w:rPr>
                <w:rFonts w:hint="eastAsia"/>
                <w:color w:val="auto"/>
                <w:highlight w:val="none"/>
                <w:lang w:val="en-US" w:eastAsia="zh-CN"/>
              </w:rPr>
              <w:t>13</w:t>
            </w:r>
          </w:p>
        </w:tc>
        <w:tc>
          <w:tcPr>
            <w:tcW w:w="909" w:type="pct"/>
            <w:tcBorders>
              <w:tl2br w:val="nil"/>
              <w:tr2bl w:val="nil"/>
            </w:tcBorders>
            <w:vAlign w:val="center"/>
          </w:tcPr>
          <w:p>
            <w:pPr>
              <w:widowControl w:val="0"/>
              <w:spacing w:line="0" w:lineRule="atLeast"/>
              <w:jc w:val="center"/>
              <w:rPr>
                <w:rFonts w:hint="eastAsia" w:ascii="Times New Roman" w:hAnsi="Times New Roman"/>
                <w:bCs/>
                <w:color w:val="auto"/>
                <w:sz w:val="21"/>
                <w:szCs w:val="21"/>
                <w:highlight w:val="none"/>
                <w:shd w:val="clear" w:color="auto" w:fill="auto"/>
                <w:lang w:bidi="ar"/>
              </w:rPr>
            </w:pPr>
            <w:r>
              <w:rPr>
                <w:rFonts w:hint="eastAsia" w:ascii="Times New Roman" w:hAnsi="Times New Roman" w:eastAsia="宋体" w:cs="宋体"/>
                <w:bCs/>
                <w:color w:val="auto"/>
                <w:sz w:val="21"/>
                <w:szCs w:val="21"/>
                <w:highlight w:val="none"/>
                <w:shd w:val="clear" w:color="auto" w:fill="auto"/>
                <w:lang w:val="en-US" w:eastAsia="zh-CN" w:bidi="ar"/>
              </w:rPr>
              <w:t>新建集中拉油站</w:t>
            </w:r>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snapToGrid/>
                <w:color w:val="auto"/>
                <w:kern w:val="2"/>
                <w:sz w:val="21"/>
                <w:szCs w:val="21"/>
                <w:highlight w:val="none"/>
                <w:shd w:val="clear" w:color="auto" w:fill="auto"/>
                <w:lang w:val="en-US" w:eastAsia="zh-CN" w:bidi="ar-SA"/>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snapToGrid/>
                <w:color w:val="auto"/>
                <w:kern w:val="2"/>
                <w:sz w:val="21"/>
                <w:szCs w:val="21"/>
                <w:highlight w:val="none"/>
                <w:shd w:val="clear" w:color="auto" w:fill="auto"/>
                <w:lang w:val="en-US" w:eastAsia="zh-CN" w:bidi="ar-SA"/>
              </w:rPr>
            </w:pPr>
          </w:p>
        </w:tc>
        <w:tc>
          <w:tcPr>
            <w:tcW w:w="952" w:type="pct"/>
            <w:tcBorders>
              <w:tl2br w:val="nil"/>
              <w:tr2bl w:val="nil"/>
            </w:tcBorders>
            <w:shd w:val="clear" w:color="auto" w:fill="auto"/>
            <w:vAlign w:val="center"/>
          </w:tcPr>
          <w:p>
            <w:pPr>
              <w:widowControl w:val="0"/>
              <w:spacing w:line="0" w:lineRule="atLeast"/>
              <w:jc w:val="center"/>
              <w:rPr>
                <w:rFonts w:hint="eastAsia" w:ascii="Times New Roman" w:hAnsi="Times New Roman" w:eastAsia="宋体" w:cs="宋体"/>
                <w:bCs/>
                <w:color w:val="auto"/>
                <w:sz w:val="21"/>
                <w:szCs w:val="21"/>
                <w:highlight w:val="none"/>
                <w:shd w:val="clear" w:color="auto" w:fill="auto"/>
                <w:lang w:val="en-US" w:eastAsia="zh-CN" w:bidi="ar"/>
              </w:rPr>
            </w:pPr>
            <w:r>
              <w:rPr>
                <w:rFonts w:ascii="Times New Roman" w:hAnsi="Times New Roman"/>
                <w:color w:val="auto"/>
                <w:szCs w:val="21"/>
                <w:highlight w:val="none"/>
              </w:rPr>
              <w:t>夏子街增压站</w:t>
            </w:r>
          </w:p>
        </w:tc>
        <w:tc>
          <w:tcPr>
            <w:tcW w:w="751"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676"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52" w:type="pct"/>
            <w:tcBorders>
              <w:tl2br w:val="nil"/>
              <w:tr2bl w:val="nil"/>
            </w:tcBorders>
            <w:vAlign w:val="center"/>
          </w:tcPr>
          <w:p>
            <w:pPr>
              <w:pStyle w:val="41"/>
              <w:widowControl w:val="0"/>
              <w:jc w:val="center"/>
              <w:rPr>
                <w:rFonts w:hint="default" w:eastAsia="宋体"/>
                <w:color w:val="auto"/>
                <w:highlight w:val="none"/>
                <w:lang w:val="en-US" w:eastAsia="zh-CN"/>
              </w:rPr>
            </w:pPr>
            <w:r>
              <w:rPr>
                <w:rFonts w:hint="eastAsia"/>
                <w:color w:val="auto"/>
                <w:highlight w:val="none"/>
                <w:lang w:val="en-US" w:eastAsia="zh-CN"/>
              </w:rPr>
              <w:t>14</w:t>
            </w:r>
          </w:p>
        </w:tc>
        <w:tc>
          <w:tcPr>
            <w:tcW w:w="909" w:type="pct"/>
            <w:tcBorders>
              <w:tl2br w:val="nil"/>
              <w:tr2bl w:val="nil"/>
            </w:tcBorders>
            <w:vAlign w:val="center"/>
          </w:tcPr>
          <w:p>
            <w:pPr>
              <w:widowControl w:val="0"/>
              <w:spacing w:line="0" w:lineRule="atLeast"/>
              <w:jc w:val="center"/>
              <w:rPr>
                <w:color w:val="auto"/>
                <w:highlight w:val="none"/>
              </w:rPr>
            </w:pPr>
            <w:bookmarkStart w:id="288" w:name="OLE_LINK23"/>
            <w:r>
              <w:rPr>
                <w:rFonts w:hint="eastAsia" w:ascii="Times New Roman" w:hAnsi="Times New Roman" w:eastAsia="宋体" w:cs="宋体"/>
                <w:bCs/>
                <w:color w:val="auto"/>
                <w:sz w:val="21"/>
                <w:szCs w:val="21"/>
                <w:highlight w:val="none"/>
                <w:shd w:val="clear" w:color="auto" w:fill="auto"/>
                <w:lang w:val="en-US" w:eastAsia="zh-CN" w:bidi="ar"/>
              </w:rPr>
              <w:t>风城二号稠油处理站</w:t>
            </w:r>
            <w:bookmarkEnd w:id="288"/>
          </w:p>
        </w:tc>
        <w:tc>
          <w:tcPr>
            <w:tcW w:w="777"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680"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eastAsia" w:ascii="Times New Roman" w:hAnsi="Times New Roman" w:eastAsia="宋体" w:cs="Times New Roman"/>
                <w:color w:val="auto"/>
                <w:sz w:val="21"/>
                <w:szCs w:val="21"/>
                <w:highlight w:val="none"/>
                <w:shd w:val="clear" w:color="auto" w:fill="auto"/>
                <w:lang w:val="en-US" w:eastAsia="zh-CN"/>
              </w:rPr>
            </w:pPr>
          </w:p>
        </w:tc>
        <w:tc>
          <w:tcPr>
            <w:tcW w:w="952" w:type="pct"/>
            <w:tcBorders>
              <w:tl2br w:val="nil"/>
              <w:tr2bl w:val="nil"/>
            </w:tcBorders>
            <w:shd w:val="clear" w:color="auto" w:fill="auto"/>
            <w:vAlign w:val="center"/>
          </w:tcPr>
          <w:p>
            <w:pPr>
              <w:widowControl w:val="0"/>
              <w:spacing w:line="0" w:lineRule="atLeast"/>
              <w:jc w:val="center"/>
              <w:rPr>
                <w:color w:val="auto"/>
                <w:highlight w:val="none"/>
              </w:rPr>
            </w:pPr>
            <w:bookmarkStart w:id="289" w:name="OLE_LINK24"/>
            <w:r>
              <w:rPr>
                <w:rFonts w:hint="eastAsia" w:ascii="Times New Roman" w:hAnsi="Times New Roman" w:eastAsia="宋体" w:cs="宋体"/>
                <w:bCs/>
                <w:color w:val="auto"/>
                <w:sz w:val="21"/>
                <w:szCs w:val="21"/>
                <w:highlight w:val="none"/>
                <w:shd w:val="clear" w:color="auto" w:fill="auto"/>
                <w:lang w:val="en-US" w:eastAsia="zh-CN" w:bidi="ar"/>
              </w:rPr>
              <w:t>乌3</w:t>
            </w:r>
            <w:r>
              <w:rPr>
                <w:rFonts w:hint="eastAsia" w:cs="宋体"/>
                <w:bCs/>
                <w:color w:val="auto"/>
                <w:sz w:val="21"/>
                <w:szCs w:val="21"/>
                <w:highlight w:val="none"/>
                <w:shd w:val="clear" w:color="auto" w:fill="auto"/>
                <w:lang w:val="en-US" w:eastAsia="zh-CN" w:bidi="ar"/>
              </w:rPr>
              <w:t>3</w:t>
            </w:r>
            <w:r>
              <w:rPr>
                <w:rFonts w:hint="eastAsia" w:ascii="Times New Roman" w:hAnsi="Times New Roman" w:eastAsia="宋体" w:cs="宋体"/>
                <w:bCs/>
                <w:color w:val="auto"/>
                <w:sz w:val="21"/>
                <w:szCs w:val="21"/>
                <w:highlight w:val="none"/>
                <w:shd w:val="clear" w:color="auto" w:fill="auto"/>
                <w:lang w:val="en-US" w:eastAsia="zh-CN" w:bidi="ar"/>
              </w:rPr>
              <w:t>转油站</w:t>
            </w:r>
            <w:bookmarkEnd w:id="289"/>
          </w:p>
        </w:tc>
        <w:tc>
          <w:tcPr>
            <w:tcW w:w="751"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c>
          <w:tcPr>
            <w:tcW w:w="676" w:type="pct"/>
            <w:tcBorders>
              <w:tl2br w:val="nil"/>
              <w:tr2bl w:val="nil"/>
            </w:tcBorders>
            <w:shd w:val="clear" w:color="auto" w:fill="auto"/>
            <w:vAlign w:val="center"/>
          </w:tcPr>
          <w:p>
            <w:pPr>
              <w:pStyle w:val="74"/>
              <w:keepNext w:val="0"/>
              <w:keepLines w:val="0"/>
              <w:pageBreakBefore w:val="0"/>
              <w:widowControl w:val="0"/>
              <w:kinsoku/>
              <w:wordWrap/>
              <w:overflowPunct/>
              <w:topLinePunct w:val="0"/>
              <w:autoSpaceDE/>
              <w:autoSpaceDN/>
              <w:bidi w:val="0"/>
              <w:adjustRightInd/>
              <w:snapToGrid/>
              <w:spacing w:before="0" w:beforeLines="0" w:beforeAutospacing="0" w:after="0" w:afterLines="0" w:afterAutospacing="0" w:line="240" w:lineRule="auto"/>
              <w:ind w:firstLine="0" w:firstLineChars="0"/>
              <w:textAlignment w:val="auto"/>
              <w:rPr>
                <w:rFonts w:hint="default" w:ascii="Times New Roman" w:hAnsi="Times New Roman" w:eastAsia="宋体" w:cs="Times New Roman"/>
                <w:color w:val="auto"/>
                <w:sz w:val="21"/>
                <w:szCs w:val="21"/>
                <w:highlight w:val="none"/>
                <w:shd w:val="clear" w:color="auto" w:fill="auto"/>
                <w:lang w:val="en-US" w:eastAsia="zh-CN"/>
              </w:rPr>
            </w:pPr>
          </w:p>
        </w:tc>
      </w:tr>
    </w:tbl>
    <w:p>
      <w:pPr>
        <w:pStyle w:val="5"/>
        <w:pageBreakBefore w:val="0"/>
        <w:widowControl/>
        <w:kinsoku/>
        <w:wordWrap/>
        <w:overflowPunct/>
        <w:topLinePunct w:val="0"/>
        <w:autoSpaceDE/>
        <w:autoSpaceDN/>
        <w:bidi w:val="0"/>
        <w:spacing w:line="480" w:lineRule="exact"/>
        <w:textAlignment w:val="auto"/>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bookmarkStart w:id="290" w:name="_Toc173941832"/>
      <w:bookmarkStart w:id="291" w:name="_Toc31341"/>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w:t>
      </w:r>
      <w:r>
        <w:rPr>
          <w:color w:val="auto"/>
          <w:highlight w:val="none"/>
        </w:rPr>
        <w:t>5配套工程</w:t>
      </w:r>
      <w:bookmarkEnd w:id="290"/>
      <w:bookmarkEnd w:id="291"/>
    </w:p>
    <w:p>
      <w:pPr>
        <w:pStyle w:val="6"/>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5.1给排水工程</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施工期用水由罐车拉运，</w:t>
      </w:r>
      <w:r>
        <w:rPr>
          <w:rFonts w:hint="eastAsia" w:ascii="Times New Roman" w:hAnsi="Times New Roman" w:eastAsia="宋体" w:cs="Times New Roman"/>
          <w:color w:val="auto"/>
          <w:highlight w:val="none"/>
          <w:lang w:eastAsia="zh-CN"/>
        </w:rPr>
        <w:t>运营期</w:t>
      </w:r>
      <w:r>
        <w:rPr>
          <w:rFonts w:hint="default" w:ascii="Times New Roman" w:hAnsi="Times New Roman" w:eastAsia="宋体" w:cs="Times New Roman"/>
          <w:color w:val="auto"/>
          <w:highlight w:val="none"/>
        </w:rPr>
        <w:t>不消耗新鲜水。</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施工期</w:t>
      </w:r>
      <w:r>
        <w:rPr>
          <w:rFonts w:hint="eastAsia" w:ascii="Times New Roman" w:hAnsi="Times New Roman" w:eastAsia="宋体" w:cs="Times New Roman"/>
          <w:color w:val="auto"/>
          <w:highlight w:val="none"/>
        </w:rPr>
        <w:t>废水主要为生活污水、钻井废水、管线试压废水、压裂返排液。钻井废水与钻井泥浆、岩屑一同进入不落地系统进行分离处理，分离后的液相回用于钻井液配制，不外排；工程结束由钻井队回收。</w:t>
      </w:r>
      <w:r>
        <w:rPr>
          <w:rFonts w:hint="default" w:ascii="Times New Roman" w:hAnsi="Times New Roman" w:eastAsia="宋体" w:cs="Times New Roman"/>
          <w:color w:val="auto"/>
          <w:highlight w:val="none"/>
        </w:rPr>
        <w:t>管道试压采用洁净水</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试压结束后用于洒水抑尘</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生活污水排入</w:t>
      </w:r>
      <w:r>
        <w:rPr>
          <w:rFonts w:hint="eastAsia" w:ascii="Times New Roman" w:hAnsi="Times New Roman" w:eastAsia="宋体" w:cs="Times New Roman"/>
          <w:color w:val="auto"/>
          <w:highlight w:val="none"/>
        </w:rPr>
        <w:t>防渗生活污水池，定期拉运至</w:t>
      </w:r>
      <w:r>
        <w:rPr>
          <w:rFonts w:hint="eastAsia" w:ascii="Times New Roman" w:hAnsi="Times New Roman" w:eastAsia="宋体" w:cs="Times New Roman"/>
          <w:color w:val="auto"/>
          <w:highlight w:val="none"/>
          <w:lang w:eastAsia="zh-CN"/>
        </w:rPr>
        <w:t>乌尔禾区污水处理厂</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储层改造过程中产生的压裂返排液采取不落地直接排入专用废液收集罐中</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拉运至</w:t>
      </w:r>
      <w:r>
        <w:rPr>
          <w:rFonts w:hint="eastAsia" w:ascii="Times New Roman" w:hAnsi="Times New Roman" w:eastAsia="宋体" w:cs="Times New Roman"/>
          <w:color w:val="auto"/>
          <w:highlight w:val="none"/>
          <w:lang w:val="en-US" w:eastAsia="zh-CN"/>
        </w:rPr>
        <w:t>风城二号稠油联合站</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处理达标后回注。</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default" w:ascii="Times New Roman" w:hAnsi="Times New Roman" w:eastAsia="宋体" w:cs="Times New Roman"/>
          <w:color w:val="auto"/>
          <w:highlight w:val="none"/>
          <w:lang w:eastAsia="zh-CN"/>
        </w:rPr>
        <w:t>本工程</w:t>
      </w:r>
      <w:r>
        <w:rPr>
          <w:rFonts w:hint="default" w:ascii="Times New Roman" w:hAnsi="Times New Roman" w:eastAsia="宋体" w:cs="Times New Roman"/>
          <w:color w:val="auto"/>
          <w:highlight w:val="none"/>
        </w:rPr>
        <w:t>营运期</w:t>
      </w:r>
      <w:r>
        <w:rPr>
          <w:rFonts w:hint="eastAsia" w:ascii="Times New Roman" w:hAnsi="Times New Roman" w:eastAsia="宋体" w:cs="Times New Roman"/>
          <w:color w:val="auto"/>
          <w:highlight w:val="none"/>
          <w:lang w:val="en-US" w:eastAsia="zh-CN"/>
        </w:rPr>
        <w:t>油</w:t>
      </w:r>
      <w:r>
        <w:rPr>
          <w:rFonts w:hint="default" w:ascii="Times New Roman" w:hAnsi="Times New Roman" w:eastAsia="宋体" w:cs="Times New Roman"/>
          <w:color w:val="auto"/>
          <w:highlight w:val="none"/>
        </w:rPr>
        <w:t>井的采出水</w:t>
      </w:r>
      <w:r>
        <w:rPr>
          <w:rFonts w:hint="eastAsia" w:ascii="Times New Roman" w:hAnsi="Times New Roman" w:eastAsia="宋体" w:cs="Times New Roman"/>
          <w:color w:val="auto"/>
          <w:highlight w:val="none"/>
          <w:lang w:val="en-US" w:eastAsia="zh-CN"/>
        </w:rPr>
        <w:t>经集输管线</w:t>
      </w:r>
      <w:r>
        <w:rPr>
          <w:rFonts w:hint="default" w:ascii="Times New Roman" w:hAnsi="Times New Roman" w:eastAsia="宋体" w:cs="Times New Roman"/>
          <w:color w:val="auto"/>
          <w:highlight w:val="none"/>
        </w:rPr>
        <w:t>输送至</w:t>
      </w:r>
      <w:r>
        <w:rPr>
          <w:rFonts w:hint="eastAsia" w:ascii="Times New Roman" w:hAnsi="Times New Roman" w:eastAsia="宋体" w:cs="Times New Roman"/>
          <w:color w:val="auto"/>
          <w:highlight w:val="none"/>
          <w:lang w:val="en-US" w:eastAsia="zh-CN"/>
        </w:rPr>
        <w:t>风城二号稠油联合站</w:t>
      </w:r>
      <w:r>
        <w:rPr>
          <w:rFonts w:hint="default" w:ascii="Times New Roman" w:hAnsi="Times New Roman" w:eastAsia="宋体" w:cs="Times New Roman"/>
          <w:color w:val="auto"/>
          <w:highlight w:val="none"/>
        </w:rPr>
        <w:t>处理；井下作业废水采用专用废水回收罐收集后运至</w:t>
      </w:r>
      <w:r>
        <w:rPr>
          <w:rFonts w:hint="eastAsia" w:ascii="Times New Roman" w:hAnsi="Times New Roman" w:eastAsia="宋体" w:cs="Times New Roman"/>
          <w:color w:val="auto"/>
          <w:highlight w:val="none"/>
          <w:lang w:eastAsia="zh-CN"/>
        </w:rPr>
        <w:t>风城二号稠油处理站</w:t>
      </w:r>
      <w:r>
        <w:rPr>
          <w:rFonts w:hint="default"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p>
    <w:p>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5.2供配电工程</w:t>
      </w:r>
    </w:p>
    <w:p>
      <w:pPr>
        <w:pStyle w:val="57"/>
        <w:rPr>
          <w:rFonts w:hint="eastAsia"/>
          <w:color w:val="auto"/>
          <w:highlight w:val="none"/>
        </w:rPr>
      </w:pPr>
      <w:r>
        <w:rPr>
          <w:rFonts w:hint="eastAsia"/>
          <w:color w:val="auto"/>
          <w:highlight w:val="none"/>
        </w:rPr>
        <w:t>施工期钻机动力、办公等用电等采用柴油发电机作为电源；本工程运营期用电均采用10kV夏四线供电。</w:t>
      </w:r>
    </w:p>
    <w:p>
      <w:pPr>
        <w:pStyle w:val="57"/>
        <w:rPr>
          <w:rFonts w:hint="eastAsia" w:ascii="Times New Roman" w:hAnsi="Times New Roman" w:eastAsia="宋体" w:cs="Times New Roman"/>
          <w:color w:val="auto"/>
          <w:highlight w:val="none"/>
          <w:lang w:eastAsia="zh-CN"/>
        </w:rPr>
      </w:pPr>
      <w:r>
        <w:rPr>
          <w:rFonts w:hint="eastAsia"/>
          <w:color w:val="auto"/>
          <w:highlight w:val="none"/>
        </w:rPr>
        <w:t>本工程新增负荷配电采用0.38/0.22kV电压等级，总计算负荷为</w:t>
      </w:r>
      <w:r>
        <w:rPr>
          <w:rFonts w:hint="eastAsia"/>
          <w:color w:val="auto"/>
          <w:highlight w:val="none"/>
          <w:lang w:val="en-US" w:eastAsia="zh-CN"/>
        </w:rPr>
        <w:t>628.25</w:t>
      </w:r>
      <w:r>
        <w:rPr>
          <w:rFonts w:hint="eastAsia"/>
          <w:color w:val="auto"/>
          <w:highlight w:val="none"/>
        </w:rPr>
        <w:t>kW，年用电量为</w:t>
      </w:r>
      <w:r>
        <w:rPr>
          <w:rFonts w:hint="eastAsia"/>
          <w:color w:val="auto"/>
          <w:highlight w:val="none"/>
          <w:lang w:val="en-US" w:eastAsia="zh-CN"/>
        </w:rPr>
        <w:t>316.64</w:t>
      </w:r>
      <w:r>
        <w:rPr>
          <w:rFonts w:hint="eastAsia"/>
          <w:color w:val="auto"/>
          <w:highlight w:val="none"/>
        </w:rPr>
        <w:t>×10</w:t>
      </w:r>
      <w:r>
        <w:rPr>
          <w:rFonts w:hint="eastAsia"/>
          <w:color w:val="auto"/>
          <w:highlight w:val="none"/>
          <w:vertAlign w:val="superscript"/>
        </w:rPr>
        <w:t>4</w:t>
      </w:r>
      <w:r>
        <w:rPr>
          <w:rFonts w:hint="eastAsia"/>
          <w:color w:val="auto"/>
          <w:highlight w:val="none"/>
        </w:rPr>
        <w:t>kW·h。用电负荷等级为二级，主要用电设施为采油井、原油接</w:t>
      </w:r>
      <w:r>
        <w:rPr>
          <w:rFonts w:hint="eastAsia" w:ascii="Times New Roman" w:hAnsi="Times New Roman" w:eastAsia="宋体" w:cs="Times New Roman"/>
          <w:color w:val="auto"/>
          <w:highlight w:val="none"/>
        </w:rPr>
        <w:t>转、原油处理及采出水外输系统等</w:t>
      </w:r>
      <w:r>
        <w:rPr>
          <w:rFonts w:hint="eastAsia" w:ascii="Times New Roman" w:hAnsi="Times New Roman" w:eastAsia="宋体" w:cs="Times New Roman"/>
          <w:color w:val="auto"/>
          <w:highlight w:val="none"/>
          <w:lang w:eastAsia="zh-CN"/>
        </w:rPr>
        <w:t>。</w:t>
      </w:r>
    </w:p>
    <w:p>
      <w:pPr>
        <w:pStyle w:val="5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（1）采油井</w:t>
      </w:r>
    </w:p>
    <w:p>
      <w:pPr>
        <w:pStyle w:val="57"/>
        <w:rPr>
          <w:rFonts w:hint="eastAsia" w:ascii="Times New Roman" w:hAnsi="Times New Roman" w:eastAsia="宋体" w:cs="Times New Roman"/>
          <w:color w:val="auto"/>
          <w:highlight w:val="none"/>
          <w:lang w:val="en-US" w:eastAsia="zh-CN"/>
        </w:rPr>
      </w:pPr>
      <w:r>
        <w:rPr>
          <w:rFonts w:hint="eastAsia"/>
          <w:color w:val="auto"/>
          <w:lang w:val="en-US" w:eastAsia="zh-CN"/>
        </w:rPr>
        <w:t>本工程部署的采油井</w:t>
      </w:r>
      <w:r>
        <w:rPr>
          <w:rFonts w:ascii="Times New Roman" w:hAnsi="Times New Roman"/>
          <w:color w:val="auto"/>
        </w:rPr>
        <w:t>采用单变带多井的配电方式。抽油机和井口电加热器单独配电，每座平台设2座杆架式变电站，容量均设为80~160kVA，采用二级能效节能型电力变压器，变压器负荷率为33</w:t>
      </w:r>
      <w:r>
        <w:rPr>
          <w:rFonts w:hint="eastAsia"/>
          <w:color w:val="auto"/>
          <w:lang w:eastAsia="zh-CN"/>
        </w:rPr>
        <w:t>%～</w:t>
      </w:r>
      <w:r>
        <w:rPr>
          <w:rFonts w:ascii="Times New Roman" w:hAnsi="Times New Roman"/>
          <w:color w:val="auto"/>
        </w:rPr>
        <w:t>70.6%，采用电缆直埋地敷设至井口配电箱。井口配电箱内设无功电容补偿装置，补偿后单井功率因数不低于0.9。</w:t>
      </w:r>
    </w:p>
    <w:p>
      <w:pPr>
        <w:pStyle w:val="57"/>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（2）计量站</w:t>
      </w:r>
    </w:p>
    <w:p>
      <w:pPr>
        <w:pStyle w:val="57"/>
        <w:rPr>
          <w:rFonts w:hint="eastAsia" w:ascii="Times New Roman" w:hAnsi="Times New Roman" w:eastAsia="宋体" w:cs="Times New Roman"/>
          <w:color w:val="auto"/>
          <w:highlight w:val="none"/>
          <w:lang w:val="en-US" w:eastAsia="zh-CN"/>
        </w:rPr>
      </w:pPr>
      <w:r>
        <w:rPr>
          <w:rFonts w:hint="eastAsia"/>
          <w:color w:val="auto"/>
          <w:lang w:val="en-US" w:eastAsia="zh-CN"/>
        </w:rPr>
        <w:t>本工程</w:t>
      </w:r>
      <w:r>
        <w:rPr>
          <w:rFonts w:hint="eastAsia" w:ascii="Times New Roman" w:hAnsi="Times New Roman" w:eastAsia="宋体" w:cs="Times New Roman"/>
          <w:color w:val="auto"/>
          <w:highlight w:val="none"/>
          <w:lang w:val="en-US" w:eastAsia="zh-CN"/>
        </w:rPr>
        <w:t>新建计量站</w:t>
      </w:r>
      <w:r>
        <w:rPr>
          <w:rFonts w:hint="eastAsia" w:ascii="Times New Roman" w:hAnsi="Times New Roman"/>
          <w:color w:val="auto"/>
        </w:rPr>
        <w:t>采用0.4kV架空线路配电，用电依托油区新建杆架式变电站。</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（3）集中拉油站</w:t>
      </w:r>
    </w:p>
    <w:p>
      <w:pPr>
        <w:pStyle w:val="57"/>
        <w:rPr>
          <w:rFonts w:hint="eastAsia" w:ascii="Times New Roman" w:hAnsi="Times New Roman" w:eastAsia="宋体" w:cs="Times New Roman"/>
          <w:color w:val="auto"/>
          <w:highlight w:val="none"/>
          <w:lang w:val="en-US" w:eastAsia="zh-CN"/>
        </w:rPr>
      </w:pPr>
      <w:r>
        <w:rPr>
          <w:rFonts w:hint="eastAsia"/>
          <w:color w:val="auto"/>
          <w:lang w:val="en-US" w:eastAsia="zh-CN"/>
        </w:rPr>
        <w:t>本工程</w:t>
      </w:r>
      <w:r>
        <w:rPr>
          <w:rFonts w:hint="eastAsia" w:ascii="Times New Roman" w:hAnsi="Times New Roman" w:eastAsia="宋体" w:cs="Times New Roman"/>
          <w:color w:val="auto"/>
          <w:highlight w:val="none"/>
          <w:lang w:val="en-US" w:eastAsia="zh-CN"/>
        </w:rPr>
        <w:t>在集中拉油站外设1座杆架式变电站，变压器容量为315kVA，负责站内负荷供电。采用二级能效节能型电力变压器，变压器负荷率为70.81%，站内设1座0.4kV开关站，内设4面GGD3型低压配电柜。</w:t>
      </w:r>
    </w:p>
    <w:p>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5.3</w:t>
      </w:r>
      <w:r>
        <w:rPr>
          <w:rFonts w:hint="eastAsia"/>
          <w:color w:val="auto"/>
          <w:highlight w:val="none"/>
        </w:rPr>
        <w:t>仪表自动化</w:t>
      </w:r>
    </w:p>
    <w:p>
      <w:pPr>
        <w:pStyle w:val="57"/>
        <w:bidi w:val="0"/>
        <w:rPr>
          <w:rFonts w:hint="eastAsia"/>
          <w:color w:val="auto"/>
          <w:highlight w:val="none"/>
        </w:rPr>
      </w:pPr>
      <w:bookmarkStart w:id="292" w:name="_Toc371003061"/>
      <w:r>
        <w:rPr>
          <w:rFonts w:hint="eastAsia"/>
          <w:color w:val="auto"/>
          <w:highlight w:val="none"/>
        </w:rPr>
        <w:t>本次采用先进、适宜的计算机测控技术对井、站生产过程进行集中监测和管理，完成主要工艺参数的数据采集，满足生产过程监控和管理的需要。</w:t>
      </w:r>
    </w:p>
    <w:p>
      <w:pPr>
        <w:pStyle w:val="57"/>
        <w:bidi w:val="0"/>
        <w:rPr>
          <w:rFonts w:hint="eastAsia"/>
          <w:color w:val="auto"/>
          <w:highlight w:val="none"/>
        </w:rPr>
      </w:pPr>
      <w:r>
        <w:rPr>
          <w:rFonts w:hint="default" w:ascii="Times New Roman" w:hAnsi="Times New Roman" w:cs="Times New Roman"/>
          <w:color w:val="auto"/>
          <w:szCs w:val="22"/>
          <w:highlight w:val="none"/>
          <w:shd w:val="clear" w:color="auto" w:fill="auto"/>
        </w:rPr>
        <w:t>依据中国石油新疆油田分公司油气生产物联网建设标准</w:t>
      </w:r>
      <w:r>
        <w:rPr>
          <w:rFonts w:hint="eastAsia" w:ascii="Times New Roman" w:hAnsi="Times New Roman" w:cs="Times New Roman"/>
          <w:color w:val="auto"/>
          <w:szCs w:val="22"/>
          <w:highlight w:val="none"/>
          <w:shd w:val="clear" w:color="auto" w:fill="auto"/>
          <w:lang w:eastAsia="zh-CN"/>
        </w:rPr>
        <w:t>，</w:t>
      </w:r>
      <w:r>
        <w:rPr>
          <w:rFonts w:hint="eastAsia" w:ascii="Times New Roman" w:hAnsi="Times New Roman" w:cs="Times New Roman"/>
          <w:color w:val="auto"/>
          <w:szCs w:val="22"/>
          <w:highlight w:val="none"/>
          <w:shd w:val="clear" w:color="auto" w:fill="auto"/>
          <w:lang w:val="en-US" w:eastAsia="zh-CN"/>
        </w:rPr>
        <w:t>夏子街油田</w:t>
      </w:r>
      <w:r>
        <w:rPr>
          <w:rFonts w:hint="default" w:ascii="Times New Roman" w:hAnsi="Times New Roman" w:cs="Times New Roman"/>
          <w:color w:val="auto"/>
          <w:szCs w:val="22"/>
          <w:highlight w:val="none"/>
          <w:shd w:val="clear" w:color="auto" w:fill="auto"/>
        </w:rPr>
        <w:t>物联网系统实现集油区各类井场、站场生产单元全面感知、自动操作、预测趋势及优化决策的全面深化应用，实现以物联网系统为核心的生产管理新模式，优化管理层级，提高油田综合效益。采油井口、计量站实现“无人值守、故障巡检，集中监控”管理模式，</w:t>
      </w:r>
      <w:r>
        <w:rPr>
          <w:rFonts w:hint="eastAsia" w:ascii="Times New Roman" w:hAnsi="Times New Roman" w:cs="Times New Roman"/>
          <w:color w:val="auto"/>
          <w:szCs w:val="22"/>
          <w:highlight w:val="none"/>
          <w:shd w:val="clear" w:color="auto" w:fill="auto"/>
          <w:lang w:val="en-US" w:eastAsia="zh-CN"/>
        </w:rPr>
        <w:t>集中拉油站</w:t>
      </w:r>
      <w:r>
        <w:rPr>
          <w:rFonts w:hint="default" w:ascii="Times New Roman" w:hAnsi="Times New Roman" w:cs="Times New Roman"/>
          <w:color w:val="auto"/>
          <w:szCs w:val="22"/>
          <w:highlight w:val="none"/>
          <w:shd w:val="clear" w:color="auto" w:fill="auto"/>
        </w:rPr>
        <w:t>实现“有人值守、定期巡检、集中监控”管理模式</w:t>
      </w:r>
      <w:r>
        <w:rPr>
          <w:rFonts w:hint="eastAsia" w:ascii="Times New Roman" w:hAnsi="Times New Roman" w:cs="Times New Roman"/>
          <w:color w:val="auto"/>
          <w:szCs w:val="22"/>
          <w:highlight w:val="none"/>
          <w:shd w:val="clear" w:color="auto" w:fill="auto"/>
          <w:lang w:eastAsia="zh-CN"/>
        </w:rPr>
        <w:t>。</w:t>
      </w:r>
    </w:p>
    <w:p>
      <w:pPr>
        <w:pStyle w:val="57"/>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）采油井口</w:t>
      </w:r>
    </w:p>
    <w:p>
      <w:pPr>
        <w:pStyle w:val="57"/>
        <w:bidi w:val="0"/>
        <w:rPr>
          <w:rFonts w:hint="eastAsia"/>
          <w:color w:val="auto"/>
          <w:highlight w:val="none"/>
        </w:rPr>
      </w:pPr>
      <w:r>
        <w:rPr>
          <w:rFonts w:ascii="Times New Roman" w:hAnsi="Times New Roman"/>
          <w:color w:val="auto"/>
        </w:rPr>
        <w:t>井口仪表采用LoRa+无线仪表，信号汇聚至部署在就近的LoRa+网关（部署在新建计量橇），再通过新建光纤链路上传至集中拉油站就地监控，但预留数据上传所需的通讯接口，以满足后期数据上传的需要。</w:t>
      </w:r>
    </w:p>
    <w:p>
      <w:pPr>
        <w:pStyle w:val="57"/>
        <w:bidi w:val="0"/>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计量站</w:t>
      </w:r>
    </w:p>
    <w:p>
      <w:pPr>
        <w:pStyle w:val="57"/>
        <w:bidi w:val="0"/>
        <w:rPr>
          <w:rFonts w:hint="eastAsia"/>
          <w:color w:val="auto"/>
          <w:highlight w:val="none"/>
        </w:rPr>
      </w:pPr>
      <w:r>
        <w:rPr>
          <w:rFonts w:ascii="Times New Roman" w:hAnsi="Times New Roman"/>
          <w:color w:val="auto"/>
        </w:rPr>
        <w:t>计量橇自带PLC控制箱，所有仪表测控信号引入PLC控制箱，实现多通阀自动倒井控制和选井一体化计量功能、具备计量装置出液及出气瞬时、累积流量自动计量及数据存储、显示、上传功能。PLC控制箱配置现场就地显示屏用于就地巡检数据监控和设备操控。</w:t>
      </w:r>
    </w:p>
    <w:p>
      <w:pPr>
        <w:pStyle w:val="57"/>
        <w:bidi w:val="0"/>
        <w:rPr>
          <w:rFonts w:hint="eastAsia"/>
          <w:color w:val="auto"/>
          <w:highlight w:val="none"/>
        </w:rPr>
      </w:pPr>
      <w:r>
        <w:rPr>
          <w:rFonts w:hint="eastAsia"/>
          <w:color w:val="auto"/>
          <w:highlight w:val="none"/>
        </w:rPr>
        <w:t>计量橇新建LoRa+网关1座，井场数据通过LoRa+网关汇聚落地后与计量橇PLC数据通过新建光缆将监控数据（MODBUSTCP协议）上传至集中拉油站，数据暂时不上传，只做就地监控，但预留数据上传所需的通讯接口，以满足后期数据上传的需要。</w:t>
      </w:r>
    </w:p>
    <w:p>
      <w:pPr>
        <w:pStyle w:val="57"/>
        <w:bidi w:val="0"/>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3</w:t>
      </w:r>
      <w:r>
        <w:rPr>
          <w:rFonts w:hint="eastAsia"/>
          <w:color w:val="auto"/>
          <w:highlight w:val="none"/>
          <w:lang w:eastAsia="zh-CN"/>
        </w:rPr>
        <w:t>）</w:t>
      </w:r>
      <w:r>
        <w:rPr>
          <w:rFonts w:ascii="Times New Roman" w:hAnsi="Times New Roman"/>
          <w:color w:val="auto"/>
        </w:rPr>
        <w:t>集中拉油站</w:t>
      </w:r>
    </w:p>
    <w:p>
      <w:pPr>
        <w:pStyle w:val="84"/>
        <w:snapToGrid/>
        <w:ind w:firstLine="480"/>
        <w:rPr>
          <w:rFonts w:ascii="Times New Roman" w:hAnsi="Times New Roman"/>
          <w:color w:val="auto"/>
        </w:rPr>
      </w:pPr>
      <w:r>
        <w:rPr>
          <w:rFonts w:ascii="Times New Roman" w:hAnsi="Times New Roman"/>
          <w:color w:val="auto"/>
        </w:rPr>
        <w:t>本次计划在仪控橇</w:t>
      </w:r>
      <w:r>
        <w:rPr>
          <w:rFonts w:hint="eastAsia"/>
          <w:color w:val="auto"/>
          <w:lang w:eastAsia="zh-CN"/>
        </w:rPr>
        <w:t>内</w:t>
      </w:r>
      <w:r>
        <w:rPr>
          <w:rFonts w:ascii="Times New Roman" w:hAnsi="Times New Roman"/>
          <w:color w:val="auto"/>
        </w:rPr>
        <w:t>设置一套PLC控制系统，用以对集中拉油站内所有的仪表数据进行监测、控制。PLC系统数据暂时不上传，只做就地监控，但预留数据上传所需的通讯接口，以满足后期数据上传的需要。与此同时，还需在该仪控橇内新建一套可燃气体报警控制系统，并在站内有可能发生可燃气体</w:t>
      </w:r>
      <w:r>
        <w:rPr>
          <w:rFonts w:hint="eastAsia"/>
          <w:color w:val="auto"/>
          <w:lang w:eastAsia="zh-CN"/>
        </w:rPr>
        <w:t>泄漏</w:t>
      </w:r>
      <w:r>
        <w:rPr>
          <w:rFonts w:ascii="Times New Roman" w:hAnsi="Times New Roman"/>
          <w:color w:val="auto"/>
        </w:rPr>
        <w:t>处增设可燃气体检测器。可燃气体报警控制系统数据通过RS485信号上传至PLC控制系统。</w:t>
      </w:r>
    </w:p>
    <w:p>
      <w:pPr>
        <w:pStyle w:val="57"/>
        <w:bidi w:val="0"/>
        <w:rPr>
          <w:rFonts w:hint="eastAsia"/>
          <w:color w:val="auto"/>
          <w:highlight w:val="none"/>
        </w:rPr>
      </w:pPr>
      <w:r>
        <w:rPr>
          <w:rFonts w:ascii="Times New Roman" w:hAnsi="Times New Roman"/>
          <w:color w:val="auto"/>
        </w:rPr>
        <w:t>集中拉油站暂采用“有人值守，就地监控，定期巡检”的运行模式，待厂级监控中心系统部署完成后，实现“无人值守，远程监控，故障巡检”。</w:t>
      </w:r>
    </w:p>
    <w:bookmarkEnd w:id="292"/>
    <w:p>
      <w:pPr>
        <w:pStyle w:val="6"/>
        <w:rPr>
          <w:color w:val="auto"/>
          <w:highlight w:val="none"/>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5.4通信工程</w:t>
      </w:r>
    </w:p>
    <w:p>
      <w:pPr>
        <w:pStyle w:val="57"/>
        <w:rPr>
          <w:rFonts w:hint="eastAsia"/>
          <w:color w:val="auto"/>
          <w:highlight w:val="none"/>
        </w:rPr>
      </w:pPr>
      <w:r>
        <w:rPr>
          <w:rFonts w:hint="eastAsia"/>
          <w:color w:val="auto"/>
          <w:highlight w:val="none"/>
          <w:lang w:val="en-US" w:eastAsia="zh-CN"/>
        </w:rPr>
        <w:t>本工程在</w:t>
      </w:r>
      <w:r>
        <w:rPr>
          <w:rFonts w:hint="eastAsia"/>
          <w:color w:val="auto"/>
          <w:highlight w:val="none"/>
        </w:rPr>
        <w:t>计量橇新建通信光缆、集中拉油点仪控橇新建语音通信系统、火灾报警系统及防爆对讲系统。</w:t>
      </w:r>
    </w:p>
    <w:p>
      <w:pPr>
        <w:pStyle w:val="57"/>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计量站</w:t>
      </w:r>
    </w:p>
    <w:p>
      <w:pPr>
        <w:pStyle w:val="57"/>
        <w:rPr>
          <w:rFonts w:hint="eastAsia"/>
          <w:color w:val="auto"/>
          <w:highlight w:val="none"/>
          <w:lang w:val="en-US" w:eastAsia="zh-CN"/>
        </w:rPr>
      </w:pPr>
      <w:r>
        <w:rPr>
          <w:rFonts w:hint="eastAsia"/>
          <w:color w:val="auto"/>
          <w:highlight w:val="none"/>
          <w:lang w:val="en-US" w:eastAsia="zh-CN"/>
        </w:rPr>
        <w:t>①数据传输系统</w:t>
      </w:r>
    </w:p>
    <w:p>
      <w:pPr>
        <w:pStyle w:val="57"/>
        <w:rPr>
          <w:rFonts w:hint="eastAsia" w:eastAsia="宋体"/>
          <w:color w:val="auto"/>
          <w:highlight w:val="none"/>
          <w:lang w:val="en-US" w:eastAsia="zh-CN"/>
        </w:rPr>
      </w:pPr>
      <w:r>
        <w:rPr>
          <w:rFonts w:hint="eastAsia"/>
          <w:color w:val="auto"/>
          <w:highlight w:val="none"/>
          <w:lang w:val="en-US" w:eastAsia="zh-CN"/>
        </w:rPr>
        <w:t>本次在新建计量撬内设置1套壁挂式通信网络机柜，柜内设置1套三层工业以太网交换机，交换机配置4个光口，24个电口，用于自控及视频数据传输，自控及视频数据逻辑隔离。</w:t>
      </w:r>
    </w:p>
    <w:p>
      <w:pPr>
        <w:pStyle w:val="57"/>
        <w:rPr>
          <w:rFonts w:hint="eastAsia"/>
          <w:color w:val="auto"/>
          <w:highlight w:val="none"/>
          <w:lang w:val="en-US" w:eastAsia="zh-CN"/>
        </w:rPr>
      </w:pPr>
      <w:r>
        <w:rPr>
          <w:rFonts w:hint="eastAsia"/>
          <w:color w:val="auto"/>
          <w:highlight w:val="none"/>
          <w:lang w:val="en-US" w:eastAsia="zh-CN"/>
        </w:rPr>
        <w:t>②光缆系统设计</w:t>
      </w:r>
    </w:p>
    <w:p>
      <w:pPr>
        <w:pStyle w:val="57"/>
        <w:rPr>
          <w:rFonts w:hint="eastAsia" w:eastAsia="宋体"/>
          <w:color w:val="auto"/>
          <w:highlight w:val="none"/>
          <w:lang w:val="en-US" w:eastAsia="zh-CN"/>
        </w:rPr>
      </w:pPr>
      <w:r>
        <w:rPr>
          <w:rFonts w:hint="eastAsia"/>
          <w:color w:val="auto"/>
          <w:highlight w:val="none"/>
          <w:lang w:val="en-US" w:eastAsia="zh-CN"/>
        </w:rPr>
        <w:t>本次工程新建1座计量橇至集中拉油站间光缆线路。新建光缆线路均与工艺管道同沟敷设（24芯*4km）。</w:t>
      </w:r>
    </w:p>
    <w:p>
      <w:pPr>
        <w:pStyle w:val="57"/>
        <w:rPr>
          <w:rFonts w:hint="eastAsia" w:eastAsia="宋体"/>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ascii="Times New Roman" w:hAnsi="Times New Roman"/>
          <w:color w:val="auto"/>
        </w:rPr>
        <w:t>集中拉油站</w:t>
      </w:r>
    </w:p>
    <w:p>
      <w:pPr>
        <w:pStyle w:val="84"/>
        <w:snapToGrid/>
        <w:ind w:firstLine="480"/>
        <w:rPr>
          <w:rFonts w:ascii="Times New Roman" w:hAnsi="Times New Roman"/>
          <w:color w:val="auto"/>
        </w:rPr>
      </w:pPr>
      <w:r>
        <w:rPr>
          <w:rFonts w:ascii="Times New Roman" w:hAnsi="Times New Roman"/>
          <w:color w:val="auto"/>
        </w:rPr>
        <w:t>①语音通信系统</w:t>
      </w:r>
    </w:p>
    <w:p>
      <w:pPr>
        <w:pStyle w:val="84"/>
        <w:snapToGrid/>
        <w:ind w:firstLine="480"/>
        <w:rPr>
          <w:rFonts w:ascii="Times New Roman" w:hAnsi="Times New Roman"/>
          <w:color w:val="auto"/>
        </w:rPr>
      </w:pPr>
      <w:r>
        <w:rPr>
          <w:rFonts w:ascii="Times New Roman" w:hAnsi="Times New Roman"/>
          <w:color w:val="auto"/>
        </w:rPr>
        <w:t>本次在值班室及中控室各设置语音电话一部，采用移动固话提供语音通信。</w:t>
      </w:r>
    </w:p>
    <w:p>
      <w:pPr>
        <w:pStyle w:val="84"/>
        <w:snapToGrid/>
        <w:ind w:firstLine="480"/>
        <w:rPr>
          <w:rFonts w:ascii="Times New Roman" w:hAnsi="Times New Roman"/>
          <w:color w:val="auto"/>
        </w:rPr>
      </w:pPr>
      <w:r>
        <w:rPr>
          <w:rFonts w:ascii="Times New Roman" w:hAnsi="Times New Roman"/>
          <w:color w:val="auto"/>
        </w:rPr>
        <w:t>②火灾报警系统</w:t>
      </w:r>
    </w:p>
    <w:p>
      <w:pPr>
        <w:pStyle w:val="84"/>
        <w:snapToGrid/>
        <w:ind w:firstLine="480"/>
        <w:rPr>
          <w:rFonts w:ascii="Times New Roman" w:hAnsi="Times New Roman"/>
          <w:color w:val="auto"/>
        </w:rPr>
      </w:pPr>
      <w:r>
        <w:rPr>
          <w:rFonts w:ascii="Times New Roman" w:hAnsi="Times New Roman"/>
          <w:color w:val="auto"/>
        </w:rPr>
        <w:t>本次在中控室新建一套火灾报警系统。在中控室、值班室及走廊安装感烟探</w:t>
      </w:r>
    </w:p>
    <w:p>
      <w:pPr>
        <w:pStyle w:val="84"/>
        <w:snapToGrid/>
        <w:ind w:firstLine="0" w:firstLineChars="0"/>
        <w:rPr>
          <w:rFonts w:ascii="Times New Roman" w:hAnsi="Times New Roman"/>
          <w:color w:val="auto"/>
        </w:rPr>
      </w:pPr>
      <w:r>
        <w:rPr>
          <w:rFonts w:ascii="Times New Roman" w:hAnsi="Times New Roman"/>
          <w:color w:val="auto"/>
        </w:rPr>
        <w:t>测器、手动报警按钮及声光报警器。</w:t>
      </w:r>
    </w:p>
    <w:p>
      <w:pPr>
        <w:pStyle w:val="84"/>
        <w:snapToGrid/>
        <w:ind w:firstLine="480"/>
        <w:rPr>
          <w:rFonts w:ascii="Times New Roman" w:hAnsi="Times New Roman"/>
          <w:color w:val="auto"/>
        </w:rPr>
      </w:pPr>
      <w:r>
        <w:rPr>
          <w:rFonts w:ascii="Times New Roman" w:hAnsi="Times New Roman"/>
          <w:color w:val="auto"/>
        </w:rPr>
        <w:t>③防爆对讲系统</w:t>
      </w:r>
    </w:p>
    <w:p>
      <w:pPr>
        <w:pStyle w:val="57"/>
        <w:rPr>
          <w:rFonts w:hint="eastAsia" w:eastAsia="宋体"/>
          <w:color w:val="auto"/>
          <w:highlight w:val="none"/>
          <w:lang w:eastAsia="zh-CN"/>
        </w:rPr>
      </w:pPr>
      <w:r>
        <w:rPr>
          <w:rFonts w:ascii="Times New Roman" w:hAnsi="Times New Roman"/>
          <w:color w:val="auto"/>
        </w:rPr>
        <w:t>为满足站场巡检人员对语音业务的需求，本次在集中拉油站设置2对无线防爆对讲机</w:t>
      </w:r>
      <w:r>
        <w:rPr>
          <w:rFonts w:hint="eastAsia"/>
          <w:color w:val="auto"/>
          <w:lang w:eastAsia="zh-CN"/>
        </w:rPr>
        <w:t>。</w:t>
      </w:r>
    </w:p>
    <w:p>
      <w:pPr>
        <w:pStyle w:val="6"/>
        <w:rPr>
          <w:color w:val="auto"/>
          <w:highlight w:val="none"/>
        </w:rPr>
      </w:pPr>
      <w:bookmarkStart w:id="293" w:name="_Hlk95840719"/>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lang w:val="en-US" w:eastAsia="zh-CN"/>
        </w:rPr>
        <w:t>4.</w:t>
      </w:r>
      <w:r>
        <w:rPr>
          <w:color w:val="auto"/>
          <w:highlight w:val="none"/>
        </w:rPr>
        <w:t>5.5</w:t>
      </w:r>
      <w:r>
        <w:rPr>
          <w:rFonts w:hint="eastAsia"/>
          <w:color w:val="auto"/>
          <w:highlight w:val="none"/>
        </w:rPr>
        <w:t>消防工程</w:t>
      </w:r>
    </w:p>
    <w:p>
      <w:pPr>
        <w:pStyle w:val="57"/>
        <w:rPr>
          <w:color w:val="auto"/>
          <w:highlight w:val="none"/>
        </w:rPr>
      </w:pPr>
      <w:r>
        <w:rPr>
          <w:rFonts w:hint="eastAsia"/>
          <w:color w:val="auto"/>
          <w:highlight w:val="none"/>
        </w:rPr>
        <w:t>各井场、站场分别设置一定数量不同类型、不同规格的移动式灭火设备。</w:t>
      </w:r>
    </w:p>
    <w:bookmarkEnd w:id="293"/>
    <w:p>
      <w:pPr>
        <w:pStyle w:val="5"/>
        <w:rPr>
          <w:color w:val="auto"/>
          <w:highlight w:val="none"/>
        </w:rPr>
      </w:pPr>
      <w:bookmarkStart w:id="294" w:name="_Toc173941834"/>
      <w:bookmarkStart w:id="295" w:name="_Toc5240"/>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4.6</w:t>
      </w:r>
      <w:r>
        <w:rPr>
          <w:color w:val="auto"/>
          <w:highlight w:val="none"/>
        </w:rPr>
        <w:t>依托工程</w:t>
      </w:r>
      <w:bookmarkEnd w:id="294"/>
      <w:bookmarkEnd w:id="295"/>
    </w:p>
    <w:p>
      <w:pPr>
        <w:pStyle w:val="57"/>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本工程原油、采出水依托风城油田2号稠油处理站进行处理，天然气依托夏子街伴生气增压站进行处理。运营期产生的井下作业废水依托风城油田2号稠油处理站</w:t>
      </w:r>
      <w:r>
        <w:rPr>
          <w:rFonts w:hint="eastAsia"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eastAsia="zh-CN"/>
        </w:rPr>
        <w:t>；油泥砂、清管废渣等直接委托克拉玛依顺通环保科技有限责任公司或其他有危废处置资质单位接收处置。依托设施的环保手续履行情况见表3.</w:t>
      </w:r>
      <w:r>
        <w:rPr>
          <w:rFonts w:hint="eastAsia" w:ascii="Times New Roman" w:hAnsi="Times New Roman" w:eastAsia="宋体" w:cs="Times New Roman"/>
          <w:color w:val="auto"/>
          <w:highlight w:val="none"/>
          <w:lang w:val="en-US" w:eastAsia="zh-CN"/>
        </w:rPr>
        <w:t>2-2</w:t>
      </w:r>
      <w:r>
        <w:rPr>
          <w:rFonts w:hint="eastAsia" w:cs="Times New Roman"/>
          <w:color w:val="auto"/>
          <w:highlight w:val="none"/>
          <w:lang w:val="en-US" w:eastAsia="zh-CN"/>
        </w:rPr>
        <w:t>2</w:t>
      </w:r>
      <w:r>
        <w:rPr>
          <w:rFonts w:hint="eastAsia" w:ascii="Times New Roman" w:hAnsi="Times New Roman" w:eastAsia="宋体" w:cs="Times New Roman"/>
          <w:color w:val="auto"/>
          <w:highlight w:val="none"/>
          <w:lang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hint="default" w:cs="Times New Roman"/>
          <w:color w:val="auto"/>
          <w:highlight w:val="none"/>
        </w:rPr>
      </w:pPr>
      <w:r>
        <w:rPr>
          <w:rFonts w:hint="eastAsia" w:cs="Times New Roman"/>
          <w:color w:val="auto"/>
          <w:highlight w:val="none"/>
        </w:rPr>
        <w:t>表</w:t>
      </w:r>
      <w:r>
        <w:rPr>
          <w:rFonts w:hint="default" w:cs="Times New Roman"/>
          <w:color w:val="auto"/>
          <w:highlight w:val="none"/>
        </w:rPr>
        <w:t>3</w:t>
      </w:r>
      <w:r>
        <w:rPr>
          <w:rFonts w:hint="eastAsia" w:cs="Times New Roman"/>
          <w:color w:val="auto"/>
          <w:highlight w:val="none"/>
          <w:lang w:val="en-US" w:eastAsia="zh-CN"/>
        </w:rPr>
        <w:t xml:space="preserve">.2-22  </w:t>
      </w:r>
      <w:r>
        <w:rPr>
          <w:rFonts w:hint="default" w:cs="Times New Roman"/>
          <w:color w:val="auto"/>
          <w:highlight w:val="none"/>
        </w:rPr>
        <w:t xml:space="preserve"> </w:t>
      </w:r>
      <w:r>
        <w:rPr>
          <w:rFonts w:hint="eastAsia" w:cs="Times New Roman"/>
          <w:color w:val="auto"/>
          <w:highlight w:val="none"/>
        </w:rPr>
        <w:t>依托工程环保手续履行情况一览表</w:t>
      </w:r>
    </w:p>
    <w:tbl>
      <w:tblPr>
        <w:tblStyle w:val="34"/>
        <w:tblW w:w="555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65"/>
        <w:gridCol w:w="768"/>
        <w:gridCol w:w="1098"/>
        <w:gridCol w:w="2799"/>
        <w:gridCol w:w="2498"/>
        <w:gridCol w:w="173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序号</w:t>
            </w:r>
          </w:p>
        </w:tc>
        <w:tc>
          <w:tcPr>
            <w:tcW w:w="414"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类别</w:t>
            </w:r>
          </w:p>
        </w:tc>
        <w:tc>
          <w:tcPr>
            <w:tcW w:w="592" w:type="pct"/>
            <w:tcBorders>
              <w:tl2br w:val="nil"/>
              <w:tr2bl w:val="nil"/>
            </w:tcBorders>
            <w:noWrap w:val="0"/>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站场名称</w:t>
            </w:r>
          </w:p>
        </w:tc>
        <w:tc>
          <w:tcPr>
            <w:tcW w:w="1510" w:type="pct"/>
            <w:tcBorders>
              <w:tl2br w:val="nil"/>
              <w:tr2bl w:val="nil"/>
            </w:tcBorders>
            <w:noWrap w:val="0"/>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项目名称</w:t>
            </w:r>
          </w:p>
        </w:tc>
        <w:tc>
          <w:tcPr>
            <w:tcW w:w="1347"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环评批复文号</w:t>
            </w:r>
          </w:p>
        </w:tc>
        <w:tc>
          <w:tcPr>
            <w:tcW w:w="937"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验收情况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vMerge w:val="restar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1</w:t>
            </w:r>
          </w:p>
        </w:tc>
        <w:tc>
          <w:tcPr>
            <w:tcW w:w="414" w:type="pct"/>
            <w:vMerge w:val="restar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原油、采出水</w:t>
            </w:r>
          </w:p>
        </w:tc>
        <w:tc>
          <w:tcPr>
            <w:tcW w:w="592" w:type="pct"/>
            <w:vMerge w:val="restart"/>
            <w:tcBorders>
              <w:tl2br w:val="nil"/>
              <w:tr2bl w:val="nil"/>
            </w:tcBorders>
            <w:noWrap w:val="0"/>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color w:val="auto"/>
                <w:sz w:val="21"/>
                <w:szCs w:val="21"/>
                <w:highlight w:val="none"/>
                <w:lang w:eastAsia="zh-CN"/>
              </w:rPr>
              <w:t>风城油田2号稠油处理站</w:t>
            </w:r>
          </w:p>
        </w:tc>
        <w:tc>
          <w:tcPr>
            <w:tcW w:w="1510"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lang w:val="en-US" w:eastAsia="zh-CN" w:bidi="ar"/>
              </w:rPr>
              <w:t>风城2号稠油联合站工程</w:t>
            </w:r>
          </w:p>
        </w:tc>
        <w:tc>
          <w:tcPr>
            <w:tcW w:w="1347" w:type="pct"/>
            <w:tcBorders>
              <w:tl2br w:val="nil"/>
              <w:tr2bl w:val="nil"/>
            </w:tcBorders>
            <w:noWrap w:val="0"/>
            <w:tcMar>
              <w:left w:w="0" w:type="dxa"/>
              <w:right w:w="0" w:type="dxa"/>
            </w:tcMar>
            <w:vAlign w:val="center"/>
          </w:tcPr>
          <w:p>
            <w:pPr>
              <w:keepNext w:val="0"/>
              <w:keepLines w:val="0"/>
              <w:widowControl/>
              <w:suppressLineNumbers w:val="0"/>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lang w:val="en-US" w:eastAsia="zh-CN" w:bidi="ar"/>
              </w:rPr>
              <w:t>原克拉玛依市环境保护局</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kern w:val="0"/>
                <w:sz w:val="21"/>
                <w:szCs w:val="21"/>
                <w:lang w:val="en-US" w:eastAsia="zh-CN" w:bidi="ar"/>
              </w:rPr>
              <w:t>克环保函〔2013〕228号</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kern w:val="0"/>
                <w:sz w:val="21"/>
                <w:szCs w:val="21"/>
                <w:lang w:val="en-US" w:eastAsia="zh-CN" w:bidi="ar"/>
              </w:rPr>
              <w:t>2013年7月3日</w:t>
            </w:r>
          </w:p>
        </w:tc>
        <w:tc>
          <w:tcPr>
            <w:tcW w:w="937" w:type="pct"/>
            <w:tcBorders>
              <w:tl2br w:val="nil"/>
              <w:tr2bl w:val="nil"/>
            </w:tcBorders>
            <w:noWrap w:val="0"/>
            <w:tcMar>
              <w:left w:w="0" w:type="dxa"/>
              <w:right w:w="0" w:type="dxa"/>
            </w:tcMar>
            <w:vAlign w:val="center"/>
          </w:tcPr>
          <w:p>
            <w:pPr>
              <w:pStyle w:val="85"/>
              <w:adjustRightInd w:val="0"/>
              <w:snapToGrid w:val="0"/>
              <w:spacing w:line="300" w:lineRule="exact"/>
              <w:jc w:val="center"/>
              <w:rPr>
                <w:rFonts w:hint="default" w:ascii="Times New Roman" w:hAnsi="Times New Roman" w:eastAsia="宋体" w:cs="Times New Roman"/>
                <w:color w:val="auto"/>
                <w:spacing w:val="-6"/>
                <w:sz w:val="21"/>
                <w:szCs w:val="21"/>
                <w:highlight w:val="none"/>
                <w:shd w:val="clear" w:color="auto" w:fill="auto"/>
                <w:lang w:eastAsia="zh-CN"/>
              </w:rPr>
            </w:pPr>
            <w:r>
              <w:rPr>
                <w:rFonts w:hint="default" w:ascii="Times New Roman" w:hAnsi="Times New Roman" w:eastAsia="宋体" w:cs="Times New Roman"/>
                <w:color w:val="auto"/>
                <w:spacing w:val="-6"/>
                <w:sz w:val="21"/>
                <w:szCs w:val="21"/>
                <w:highlight w:val="none"/>
                <w:shd w:val="clear" w:color="auto" w:fill="auto"/>
                <w:lang w:val="en-US" w:eastAsia="zh-CN"/>
              </w:rPr>
              <w:t>原克拉玛依市环境保护局，克环保函〔2015〕458号，2015年9月11日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vMerge w:val="continue"/>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color w:val="auto"/>
                <w:spacing w:val="-6"/>
                <w:sz w:val="21"/>
                <w:szCs w:val="21"/>
                <w:highlight w:val="none"/>
                <w:shd w:val="clear" w:color="auto" w:fill="auto"/>
              </w:rPr>
            </w:pPr>
          </w:p>
        </w:tc>
        <w:tc>
          <w:tcPr>
            <w:tcW w:w="414" w:type="pct"/>
            <w:vMerge w:val="continue"/>
            <w:tcBorders>
              <w:tl2br w:val="nil"/>
              <w:tr2bl w:val="nil"/>
            </w:tcBorders>
            <w:noWrap w:val="0"/>
            <w:tcMar>
              <w:left w:w="0" w:type="dxa"/>
              <w:right w:w="0" w:type="dxa"/>
            </w:tcMar>
            <w:vAlign w:val="center"/>
          </w:tcPr>
          <w:p>
            <w:pPr>
              <w:spacing w:line="0" w:lineRule="atLeast"/>
              <w:jc w:val="center"/>
              <w:rPr>
                <w:rFonts w:hint="default" w:ascii="Times New Roman" w:hAnsi="Times New Roman" w:cs="Times New Roman"/>
                <w:color w:val="auto"/>
                <w:spacing w:val="-6"/>
                <w:sz w:val="21"/>
                <w:szCs w:val="21"/>
                <w:highlight w:val="none"/>
                <w:shd w:val="clear" w:color="auto" w:fill="auto"/>
              </w:rPr>
            </w:pPr>
          </w:p>
        </w:tc>
        <w:tc>
          <w:tcPr>
            <w:tcW w:w="592" w:type="pct"/>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6"/>
                <w:sz w:val="21"/>
                <w:szCs w:val="21"/>
                <w:highlight w:val="none"/>
                <w:shd w:val="clear" w:color="auto" w:fill="auto"/>
              </w:rPr>
            </w:pPr>
          </w:p>
        </w:tc>
        <w:tc>
          <w:tcPr>
            <w:tcW w:w="1510" w:type="pct"/>
            <w:tcBorders>
              <w:tl2br w:val="nil"/>
              <w:tr2bl w:val="nil"/>
            </w:tcBorders>
            <w:noWrap w:val="0"/>
            <w:vAlign w:val="center"/>
          </w:tcPr>
          <w:p>
            <w:pPr>
              <w:keepNext w:val="0"/>
              <w:keepLines w:val="0"/>
              <w:widowControl/>
              <w:suppressLineNumbers w:val="0"/>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kern w:val="0"/>
                <w:sz w:val="21"/>
                <w:szCs w:val="21"/>
                <w:lang w:val="en-US" w:eastAsia="zh-CN" w:bidi="ar"/>
              </w:rPr>
              <w:t>风城2号稠油联合站二期工程</w:t>
            </w:r>
          </w:p>
        </w:tc>
        <w:tc>
          <w:tcPr>
            <w:tcW w:w="1347" w:type="pct"/>
            <w:tcBorders>
              <w:tl2br w:val="nil"/>
              <w:tr2bl w:val="nil"/>
            </w:tcBorders>
            <w:noWrap w:val="0"/>
            <w:tcMar>
              <w:left w:w="0" w:type="dxa"/>
              <w:right w:w="0" w:type="dxa"/>
            </w:tcMar>
            <w:vAlign w:val="center"/>
          </w:tcPr>
          <w:p>
            <w:pPr>
              <w:pStyle w:val="85"/>
              <w:adjustRightInd w:val="0"/>
              <w:snapToGrid w:val="0"/>
              <w:spacing w:line="300" w:lineRule="exact"/>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spacing w:val="-6"/>
                <w:sz w:val="21"/>
                <w:szCs w:val="21"/>
                <w:highlight w:val="none"/>
                <w:shd w:val="clear" w:color="auto" w:fill="auto"/>
                <w:lang w:eastAsia="zh-CN"/>
              </w:rPr>
              <w:t>原克拉玛依市</w:t>
            </w:r>
            <w:r>
              <w:rPr>
                <w:rFonts w:hint="default" w:ascii="Times New Roman" w:hAnsi="Times New Roman" w:eastAsia="宋体" w:cs="Times New Roman"/>
                <w:color w:val="auto"/>
                <w:spacing w:val="-6"/>
                <w:sz w:val="21"/>
                <w:szCs w:val="21"/>
                <w:highlight w:val="none"/>
                <w:shd w:val="clear" w:color="auto" w:fill="auto"/>
                <w:lang w:val="en-US" w:eastAsia="zh-CN"/>
              </w:rPr>
              <w:t>环境保护</w:t>
            </w:r>
            <w:r>
              <w:rPr>
                <w:rFonts w:hint="default" w:ascii="Times New Roman" w:hAnsi="Times New Roman" w:eastAsia="宋体" w:cs="Times New Roman"/>
                <w:color w:val="auto"/>
                <w:spacing w:val="-6"/>
                <w:sz w:val="21"/>
                <w:szCs w:val="21"/>
                <w:highlight w:val="none"/>
                <w:shd w:val="clear" w:color="auto" w:fill="auto"/>
                <w:lang w:eastAsia="zh-CN"/>
              </w:rPr>
              <w:t>局；克环保函〔</w:t>
            </w:r>
            <w:r>
              <w:rPr>
                <w:rFonts w:hint="default" w:ascii="Times New Roman" w:hAnsi="Times New Roman" w:eastAsia="宋体" w:cs="Times New Roman"/>
                <w:color w:val="auto"/>
                <w:spacing w:val="-6"/>
                <w:sz w:val="21"/>
                <w:szCs w:val="21"/>
                <w:highlight w:val="none"/>
                <w:shd w:val="clear" w:color="auto" w:fill="auto"/>
                <w:lang w:val="en-US" w:eastAsia="zh-CN"/>
              </w:rPr>
              <w:t>2017</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spacing w:val="-6"/>
                <w:sz w:val="21"/>
                <w:szCs w:val="21"/>
                <w:highlight w:val="none"/>
                <w:shd w:val="clear" w:color="auto" w:fill="auto"/>
                <w:lang w:val="en-US" w:eastAsia="zh-CN"/>
              </w:rPr>
              <w:t>124</w:t>
            </w:r>
            <w:r>
              <w:rPr>
                <w:rFonts w:hint="default" w:ascii="Times New Roman" w:hAnsi="Times New Roman" w:eastAsia="宋体" w:cs="Times New Roman"/>
                <w:color w:val="auto"/>
                <w:spacing w:val="-6"/>
                <w:sz w:val="21"/>
                <w:szCs w:val="21"/>
                <w:highlight w:val="none"/>
                <w:shd w:val="clear" w:color="auto" w:fill="auto"/>
                <w:lang w:eastAsia="zh-CN"/>
              </w:rPr>
              <w:t>号；</w:t>
            </w:r>
            <w:r>
              <w:rPr>
                <w:rFonts w:hint="default" w:ascii="Times New Roman" w:hAnsi="Times New Roman" w:eastAsia="宋体" w:cs="Times New Roman"/>
                <w:color w:val="auto"/>
                <w:spacing w:val="-6"/>
                <w:sz w:val="21"/>
                <w:szCs w:val="21"/>
                <w:highlight w:val="none"/>
                <w:shd w:val="clear" w:color="auto" w:fill="auto"/>
                <w:lang w:val="en-US" w:eastAsia="zh-CN"/>
              </w:rPr>
              <w:t>2017</w:t>
            </w:r>
            <w:r>
              <w:rPr>
                <w:rFonts w:hint="default" w:ascii="Times New Roman" w:hAnsi="Times New Roman" w:eastAsia="宋体" w:cs="Times New Roman"/>
                <w:color w:val="auto"/>
                <w:spacing w:val="-6"/>
                <w:sz w:val="21"/>
                <w:szCs w:val="21"/>
                <w:highlight w:val="none"/>
                <w:shd w:val="clear" w:color="auto" w:fill="auto"/>
                <w:lang w:eastAsia="zh-CN"/>
              </w:rPr>
              <w:t>年5月9日</w:t>
            </w:r>
          </w:p>
        </w:tc>
        <w:tc>
          <w:tcPr>
            <w:tcW w:w="937" w:type="pct"/>
            <w:tcBorders>
              <w:tl2br w:val="nil"/>
              <w:tr2bl w:val="nil"/>
            </w:tcBorders>
            <w:noWrap w:val="0"/>
            <w:tcMar>
              <w:left w:w="0" w:type="dxa"/>
              <w:right w:w="0" w:type="dxa"/>
            </w:tcMar>
            <w:vAlign w:val="center"/>
          </w:tcPr>
          <w:p>
            <w:pPr>
              <w:pStyle w:val="85"/>
              <w:adjustRightInd w:val="0"/>
              <w:snapToGrid w:val="0"/>
              <w:spacing w:line="300" w:lineRule="exact"/>
              <w:jc w:val="center"/>
              <w:rPr>
                <w:rFonts w:hint="default" w:ascii="Times New Roman" w:hAnsi="Times New Roman" w:eastAsia="宋体" w:cs="Times New Roman"/>
                <w:color w:val="auto"/>
                <w:spacing w:val="-6"/>
                <w:sz w:val="21"/>
                <w:szCs w:val="21"/>
                <w:highlight w:val="none"/>
                <w:shd w:val="clear" w:color="auto" w:fill="auto"/>
                <w:lang w:val="en-US" w:eastAsia="zh-CN"/>
              </w:rPr>
            </w:pPr>
            <w:r>
              <w:rPr>
                <w:rFonts w:hint="default" w:ascii="Times New Roman" w:hAnsi="Times New Roman" w:eastAsia="宋体" w:cs="Times New Roman"/>
                <w:color w:val="auto"/>
                <w:spacing w:val="-6"/>
                <w:sz w:val="21"/>
                <w:szCs w:val="21"/>
                <w:highlight w:val="none"/>
                <w:shd w:val="clear" w:color="auto" w:fill="auto"/>
                <w:lang w:eastAsia="zh-CN"/>
              </w:rPr>
              <w:t>2019年</w:t>
            </w:r>
            <w:r>
              <w:rPr>
                <w:rFonts w:hint="default" w:ascii="Times New Roman" w:hAnsi="Times New Roman" w:eastAsia="宋体" w:cs="Times New Roman"/>
                <w:color w:val="auto"/>
                <w:spacing w:val="-6"/>
                <w:sz w:val="21"/>
                <w:szCs w:val="21"/>
                <w:highlight w:val="none"/>
                <w:shd w:val="clear" w:color="auto" w:fill="auto"/>
                <w:lang w:val="en-US" w:eastAsia="zh-CN"/>
              </w:rPr>
              <w:t>10</w:t>
            </w:r>
            <w:r>
              <w:rPr>
                <w:rFonts w:hint="default" w:ascii="Times New Roman" w:hAnsi="Times New Roman" w:eastAsia="宋体" w:cs="Times New Roman"/>
                <w:color w:val="auto"/>
                <w:spacing w:val="-6"/>
                <w:sz w:val="21"/>
                <w:szCs w:val="21"/>
                <w:highlight w:val="none"/>
                <w:shd w:val="clear" w:color="auto" w:fill="auto"/>
                <w:lang w:eastAsia="zh-CN"/>
              </w:rPr>
              <w:t>月</w:t>
            </w:r>
            <w:r>
              <w:rPr>
                <w:rFonts w:hint="default" w:ascii="Times New Roman" w:hAnsi="Times New Roman" w:eastAsia="宋体" w:cs="Times New Roman"/>
                <w:color w:val="auto"/>
                <w:spacing w:val="-6"/>
                <w:sz w:val="21"/>
                <w:szCs w:val="21"/>
                <w:highlight w:val="none"/>
                <w:shd w:val="clear" w:color="auto" w:fill="auto"/>
                <w:lang w:val="en-US" w:eastAsia="zh-CN"/>
              </w:rPr>
              <w:t>20</w:t>
            </w:r>
            <w:r>
              <w:rPr>
                <w:rFonts w:hint="default" w:ascii="Times New Roman" w:hAnsi="Times New Roman" w:eastAsia="宋体" w:cs="Times New Roman"/>
                <w:color w:val="auto"/>
                <w:spacing w:val="-6"/>
                <w:sz w:val="21"/>
                <w:szCs w:val="21"/>
                <w:highlight w:val="none"/>
                <w:shd w:val="clear" w:color="auto" w:fill="auto"/>
                <w:lang w:eastAsia="zh-CN"/>
              </w:rPr>
              <w:t>日完成自主验收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2</w:t>
            </w:r>
          </w:p>
        </w:tc>
        <w:tc>
          <w:tcPr>
            <w:tcW w:w="414" w:type="pct"/>
            <w:tcBorders>
              <w:tl2br w:val="nil"/>
              <w:tr2bl w:val="nil"/>
            </w:tcBorders>
            <w:noWrap w:val="0"/>
            <w:tcMar>
              <w:left w:w="0" w:type="dxa"/>
              <w:right w:w="0" w:type="dxa"/>
            </w:tcMar>
            <w:vAlign w:val="center"/>
          </w:tcPr>
          <w:p>
            <w:pPr>
              <w:pStyle w:val="85"/>
              <w:adjustRightInd w:val="0"/>
              <w:snapToGrid w:val="0"/>
              <w:spacing w:line="300" w:lineRule="exact"/>
              <w:jc w:val="center"/>
              <w:rPr>
                <w:rFonts w:hint="default" w:ascii="Times New Roman" w:hAnsi="Times New Roman" w:cs="Times New Roman"/>
                <w:color w:val="auto"/>
                <w:spacing w:val="-6"/>
                <w:kern w:val="0"/>
                <w:sz w:val="21"/>
                <w:szCs w:val="21"/>
                <w:highlight w:val="none"/>
                <w:shd w:val="clear" w:color="auto" w:fill="auto"/>
                <w:lang w:val="en-US" w:eastAsia="zh-CN" w:bidi="ar-SA"/>
              </w:rPr>
            </w:pPr>
            <w:r>
              <w:rPr>
                <w:rFonts w:hint="default" w:ascii="Times New Roman" w:hAnsi="Times New Roman" w:eastAsia="宋体" w:cs="Times New Roman"/>
                <w:bCs/>
                <w:color w:val="auto"/>
                <w:spacing w:val="-6"/>
                <w:sz w:val="21"/>
                <w:szCs w:val="21"/>
                <w:highlight w:val="none"/>
                <w:shd w:val="clear" w:color="auto" w:fill="auto"/>
                <w:lang w:bidi="ar"/>
              </w:rPr>
              <w:t>伴生气</w:t>
            </w:r>
          </w:p>
        </w:tc>
        <w:tc>
          <w:tcPr>
            <w:tcW w:w="592" w:type="pct"/>
            <w:tcBorders>
              <w:tl2br w:val="nil"/>
              <w:tr2bl w:val="nil"/>
            </w:tcBorders>
            <w:noWrap w:val="0"/>
            <w:vAlign w:val="center"/>
          </w:tcPr>
          <w:p>
            <w:pPr>
              <w:pStyle w:val="85"/>
              <w:adjustRightInd w:val="0"/>
              <w:snapToGrid w:val="0"/>
              <w:spacing w:line="300" w:lineRule="exact"/>
              <w:jc w:val="center"/>
              <w:rPr>
                <w:rFonts w:hint="default" w:ascii="Times New Roman" w:hAnsi="Times New Roman" w:cs="Times New Roman"/>
                <w:color w:val="auto"/>
                <w:spacing w:val="-6"/>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lang w:eastAsia="zh-CN"/>
              </w:rPr>
              <w:t>夏子街伴生气增压站</w:t>
            </w:r>
          </w:p>
        </w:tc>
        <w:tc>
          <w:tcPr>
            <w:tcW w:w="1510" w:type="pct"/>
            <w:tcBorders>
              <w:tl2br w:val="nil"/>
              <w:tr2bl w:val="nil"/>
            </w:tcBorders>
            <w:noWrap w:val="0"/>
            <w:vAlign w:val="center"/>
          </w:tcPr>
          <w:p>
            <w:pPr>
              <w:keepNext w:val="0"/>
              <w:keepLines w:val="0"/>
              <w:widowControl/>
              <w:suppressLineNumbers w:val="0"/>
              <w:jc w:val="center"/>
              <w:rPr>
                <w:rFonts w:hint="default" w:ascii="Times New Roman" w:hAnsi="Times New Roman" w:cs="Times New Roman"/>
                <w:color w:val="auto"/>
                <w:spacing w:val="-6"/>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lang w:val="en-US" w:eastAsia="zh-CN" w:bidi="ar"/>
              </w:rPr>
              <w:t>克拉玛依夏子街油田建设工程</w:t>
            </w:r>
          </w:p>
        </w:tc>
        <w:tc>
          <w:tcPr>
            <w:tcW w:w="1347" w:type="pct"/>
            <w:tcBorders>
              <w:tl2br w:val="nil"/>
              <w:tr2bl w:val="nil"/>
            </w:tcBorders>
            <w:noWrap w:val="0"/>
            <w:tcMar>
              <w:left w:w="0" w:type="dxa"/>
              <w:right w:w="0" w:type="dxa"/>
            </w:tcMar>
            <w:vAlign w:val="center"/>
          </w:tcPr>
          <w:p>
            <w:pPr>
              <w:keepNext w:val="0"/>
              <w:keepLines w:val="0"/>
              <w:widowControl/>
              <w:suppressLineNumbers w:val="0"/>
              <w:jc w:val="center"/>
              <w:rPr>
                <w:rFonts w:hint="default" w:ascii="Times New Roman" w:hAnsi="Times New Roman" w:cs="Times New Roman"/>
                <w:color w:val="auto"/>
                <w:spacing w:val="-6"/>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lang w:val="en-US" w:eastAsia="zh-CN" w:bidi="ar"/>
              </w:rPr>
              <w:t>原国家环境保护局</w:t>
            </w:r>
            <w:r>
              <w:rPr>
                <w:rFonts w:hint="default" w:ascii="Times New Roman" w:hAnsi="Times New Roman" w:cs="Times New Roman"/>
                <w:color w:val="auto"/>
                <w:spacing w:val="-6"/>
                <w:sz w:val="21"/>
                <w:szCs w:val="21"/>
                <w:highlight w:val="none"/>
                <w:shd w:val="clear" w:color="auto" w:fill="auto"/>
                <w:lang w:val="en-US" w:eastAsia="zh-CN"/>
              </w:rPr>
              <w:t>；</w:t>
            </w:r>
            <w:r>
              <w:rPr>
                <w:rFonts w:hint="default" w:ascii="Times New Roman" w:hAnsi="Times New Roman" w:eastAsia="宋体" w:cs="Times New Roman"/>
                <w:color w:val="auto"/>
                <w:kern w:val="0"/>
                <w:sz w:val="21"/>
                <w:szCs w:val="21"/>
                <w:lang w:val="en-US" w:eastAsia="zh-CN" w:bidi="ar"/>
              </w:rPr>
              <w:t>环监〔1994〕237号</w:t>
            </w:r>
            <w:r>
              <w:rPr>
                <w:rFonts w:hint="default" w:ascii="Times New Roman" w:hAnsi="Times New Roman"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kern w:val="0"/>
                <w:sz w:val="21"/>
                <w:szCs w:val="21"/>
                <w:lang w:val="en-US" w:eastAsia="zh-CN" w:bidi="ar"/>
              </w:rPr>
              <w:t>1994年4月22日</w:t>
            </w:r>
          </w:p>
        </w:tc>
        <w:tc>
          <w:tcPr>
            <w:tcW w:w="937" w:type="pct"/>
            <w:tcBorders>
              <w:tl2br w:val="nil"/>
              <w:tr2bl w:val="nil"/>
            </w:tcBorders>
            <w:noWrap w:val="0"/>
            <w:tcMar>
              <w:left w:w="0" w:type="dxa"/>
              <w:right w:w="0" w:type="dxa"/>
            </w:tcMar>
            <w:vAlign w:val="center"/>
          </w:tcPr>
          <w:p>
            <w:pPr>
              <w:keepNext w:val="0"/>
              <w:keepLines w:val="0"/>
              <w:widowControl/>
              <w:suppressLineNumbers w:val="0"/>
              <w:jc w:val="center"/>
              <w:rPr>
                <w:rFonts w:hint="default" w:ascii="Times New Roman" w:hAnsi="Times New Roman" w:cs="Times New Roman"/>
                <w:color w:val="auto"/>
                <w:spacing w:val="-6"/>
                <w:kern w:val="0"/>
                <w:sz w:val="21"/>
                <w:szCs w:val="21"/>
                <w:highlight w:val="none"/>
                <w:shd w:val="clear" w:color="auto" w:fill="auto"/>
                <w:lang w:val="en-US" w:eastAsia="zh-CN" w:bidi="ar-SA"/>
              </w:rPr>
            </w:pPr>
            <w:r>
              <w:rPr>
                <w:rFonts w:hint="default" w:ascii="Times New Roman" w:hAnsi="Times New Roman" w:eastAsia="宋体" w:cs="Times New Roman"/>
                <w:color w:val="auto"/>
                <w:kern w:val="0"/>
                <w:sz w:val="21"/>
                <w:szCs w:val="21"/>
                <w:lang w:val="en-US" w:eastAsia="zh-CN" w:bidi="ar"/>
              </w:rPr>
              <w:t>由于历史久远验收相关资料丢失</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3</w:t>
            </w:r>
          </w:p>
        </w:tc>
        <w:tc>
          <w:tcPr>
            <w:tcW w:w="414" w:type="pct"/>
            <w:tcBorders>
              <w:tl2br w:val="nil"/>
              <w:tr2bl w:val="nil"/>
            </w:tcBorders>
            <w:noWrap w:val="0"/>
            <w:tcMar>
              <w:left w:w="0" w:type="dxa"/>
              <w:right w:w="0" w:type="dxa"/>
            </w:tcMar>
            <w:vAlign w:val="center"/>
          </w:tcPr>
          <w:p>
            <w:pPr>
              <w:pStyle w:val="85"/>
              <w:adjustRightInd w:val="0"/>
              <w:snapToGrid w:val="0"/>
              <w:spacing w:line="300" w:lineRule="exac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生活垃圾</w:t>
            </w:r>
          </w:p>
        </w:tc>
        <w:tc>
          <w:tcPr>
            <w:tcW w:w="592" w:type="pct"/>
            <w:tcBorders>
              <w:tl2br w:val="nil"/>
              <w:tr2bl w:val="nil"/>
            </w:tcBorders>
            <w:noWrap w:val="0"/>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eastAsia="zh-CN" w:bidi="ar"/>
              </w:rPr>
            </w:pPr>
            <w:r>
              <w:rPr>
                <w:rFonts w:hint="default" w:ascii="Times New Roman" w:hAnsi="Times New Roman" w:eastAsia="宋体" w:cs="Times New Roman"/>
                <w:bCs/>
                <w:color w:val="auto"/>
                <w:spacing w:val="-6"/>
                <w:sz w:val="21"/>
                <w:szCs w:val="21"/>
                <w:highlight w:val="none"/>
                <w:shd w:val="clear" w:color="auto" w:fill="auto"/>
                <w:lang w:bidi="ar"/>
              </w:rPr>
              <w:t>乌尔禾区生活垃圾填埋场</w:t>
            </w:r>
          </w:p>
        </w:tc>
        <w:tc>
          <w:tcPr>
            <w:tcW w:w="1510" w:type="pct"/>
            <w:tcBorders>
              <w:tl2br w:val="nil"/>
              <w:tr2bl w:val="nil"/>
            </w:tcBorders>
            <w:noWrap w:val="0"/>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克拉玛依市乌尔禾区生活垃圾处理系统工程</w:t>
            </w:r>
          </w:p>
        </w:tc>
        <w:tc>
          <w:tcPr>
            <w:tcW w:w="1347"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原</w:t>
            </w:r>
            <w:r>
              <w:rPr>
                <w:rFonts w:hint="default" w:ascii="Times New Roman" w:hAnsi="Times New Roman" w:eastAsia="宋体" w:cs="Times New Roman"/>
                <w:color w:val="auto"/>
                <w:spacing w:val="-6"/>
                <w:sz w:val="21"/>
                <w:szCs w:val="21"/>
                <w:highlight w:val="none"/>
                <w:shd w:val="clear" w:color="auto" w:fill="auto"/>
              </w:rPr>
              <w:t>克拉玛依市保护局</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spacing w:val="-6"/>
                <w:sz w:val="21"/>
                <w:szCs w:val="21"/>
                <w:highlight w:val="none"/>
                <w:shd w:val="clear" w:color="auto" w:fill="auto"/>
              </w:rPr>
              <w:t>克环保函</w:t>
            </w:r>
            <w:r>
              <w:rPr>
                <w:rFonts w:hint="default" w:ascii="Times New Roman" w:hAnsi="Times New Roman" w:eastAsia="宋体" w:cs="Times New Roman"/>
                <w:bCs/>
                <w:color w:val="auto"/>
                <w:spacing w:val="-6"/>
                <w:sz w:val="21"/>
                <w:szCs w:val="21"/>
                <w:highlight w:val="none"/>
                <w:shd w:val="clear" w:color="auto" w:fill="auto"/>
                <w:lang w:bidi="ar"/>
              </w:rPr>
              <w:t>〔</w:t>
            </w:r>
            <w:r>
              <w:rPr>
                <w:rFonts w:hint="default" w:ascii="Times New Roman" w:hAnsi="Times New Roman" w:eastAsia="宋体" w:cs="Times New Roman"/>
                <w:color w:val="auto"/>
                <w:spacing w:val="-6"/>
                <w:sz w:val="21"/>
                <w:szCs w:val="21"/>
                <w:highlight w:val="none"/>
                <w:shd w:val="clear" w:color="auto" w:fill="auto"/>
              </w:rPr>
              <w:t>2016</w:t>
            </w:r>
            <w:r>
              <w:rPr>
                <w:rFonts w:hint="default" w:ascii="Times New Roman" w:hAnsi="Times New Roman" w:eastAsia="宋体" w:cs="Times New Roman"/>
                <w:bCs/>
                <w:color w:val="auto"/>
                <w:spacing w:val="-6"/>
                <w:sz w:val="21"/>
                <w:szCs w:val="21"/>
                <w:highlight w:val="none"/>
                <w:shd w:val="clear" w:color="auto" w:fill="auto"/>
                <w:lang w:bidi="ar"/>
              </w:rPr>
              <w:t>〕</w:t>
            </w:r>
            <w:r>
              <w:rPr>
                <w:rFonts w:hint="default" w:ascii="Times New Roman" w:hAnsi="Times New Roman" w:eastAsia="宋体" w:cs="Times New Roman"/>
                <w:color w:val="auto"/>
                <w:spacing w:val="-6"/>
                <w:sz w:val="21"/>
                <w:szCs w:val="21"/>
                <w:highlight w:val="none"/>
                <w:shd w:val="clear" w:color="auto" w:fill="auto"/>
              </w:rPr>
              <w:t>376</w:t>
            </w:r>
            <w:r>
              <w:rPr>
                <w:rFonts w:hint="default" w:ascii="Times New Roman" w:hAnsi="Times New Roman" w:eastAsia="宋体" w:cs="Times New Roman"/>
                <w:color w:val="auto"/>
                <w:spacing w:val="-6"/>
                <w:sz w:val="21"/>
                <w:szCs w:val="21"/>
                <w:highlight w:val="none"/>
                <w:shd w:val="clear" w:color="auto" w:fill="auto"/>
                <w:lang w:eastAsia="zh-CN"/>
              </w:rPr>
              <w:t>，</w:t>
            </w:r>
            <w:r>
              <w:rPr>
                <w:rFonts w:hint="default" w:ascii="Times New Roman" w:hAnsi="Times New Roman" w:eastAsia="宋体" w:cs="Times New Roman"/>
                <w:color w:val="auto"/>
                <w:spacing w:val="-6"/>
                <w:sz w:val="21"/>
                <w:szCs w:val="21"/>
                <w:highlight w:val="none"/>
                <w:shd w:val="clear" w:color="auto" w:fill="auto"/>
                <w:lang w:val="en-US" w:eastAsia="zh-CN"/>
              </w:rPr>
              <w:t>2016年7月26日</w:t>
            </w:r>
          </w:p>
        </w:tc>
        <w:tc>
          <w:tcPr>
            <w:tcW w:w="937"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2016</w:t>
            </w:r>
            <w:r>
              <w:rPr>
                <w:rFonts w:hint="default" w:ascii="Times New Roman" w:hAnsi="Times New Roman" w:eastAsia="宋体" w:cs="Times New Roman"/>
                <w:bCs/>
                <w:color w:val="auto"/>
                <w:spacing w:val="-6"/>
                <w:sz w:val="21"/>
                <w:szCs w:val="21"/>
                <w:highlight w:val="none"/>
                <w:shd w:val="clear" w:color="auto" w:fill="auto"/>
                <w:lang w:bidi="ar"/>
              </w:rPr>
              <w:t>年</w:t>
            </w:r>
            <w:r>
              <w:rPr>
                <w:rFonts w:hint="default" w:ascii="Times New Roman" w:hAnsi="Times New Roman" w:eastAsia="宋体" w:cs="Times New Roman"/>
                <w:bCs/>
                <w:color w:val="auto"/>
                <w:spacing w:val="-6"/>
                <w:sz w:val="21"/>
                <w:szCs w:val="21"/>
                <w:highlight w:val="none"/>
                <w:shd w:val="clear" w:color="auto" w:fill="auto"/>
                <w:lang w:val="en-US" w:eastAsia="zh-CN" w:bidi="ar"/>
              </w:rPr>
              <w:t>7</w:t>
            </w:r>
            <w:r>
              <w:rPr>
                <w:rFonts w:hint="default" w:ascii="Times New Roman" w:hAnsi="Times New Roman" w:eastAsia="宋体" w:cs="Times New Roman"/>
                <w:bCs/>
                <w:color w:val="auto"/>
                <w:spacing w:val="-6"/>
                <w:sz w:val="21"/>
                <w:szCs w:val="21"/>
                <w:highlight w:val="none"/>
                <w:shd w:val="clear" w:color="auto" w:fill="auto"/>
                <w:lang w:bidi="ar"/>
              </w:rPr>
              <w:t>月</w:t>
            </w:r>
            <w:r>
              <w:rPr>
                <w:rFonts w:hint="default" w:ascii="Times New Roman" w:hAnsi="Times New Roman" w:eastAsia="宋体" w:cs="Times New Roman"/>
                <w:bCs/>
                <w:color w:val="auto"/>
                <w:spacing w:val="-6"/>
                <w:sz w:val="21"/>
                <w:szCs w:val="21"/>
                <w:highlight w:val="none"/>
                <w:shd w:val="clear" w:color="auto" w:fill="auto"/>
                <w:lang w:val="en-US" w:eastAsia="zh-CN" w:bidi="ar"/>
              </w:rPr>
              <w:t>26</w:t>
            </w:r>
            <w:r>
              <w:rPr>
                <w:rFonts w:hint="default" w:ascii="Times New Roman" w:hAnsi="Times New Roman" w:eastAsia="宋体" w:cs="Times New Roman"/>
                <w:bCs/>
                <w:color w:val="auto"/>
                <w:spacing w:val="-6"/>
                <w:sz w:val="21"/>
                <w:szCs w:val="21"/>
                <w:highlight w:val="none"/>
                <w:shd w:val="clear" w:color="auto" w:fill="auto"/>
                <w:lang w:bidi="ar"/>
              </w:rPr>
              <w:t>日完成自主验收</w:t>
            </w:r>
            <w:r>
              <w:rPr>
                <w:rFonts w:hint="default" w:ascii="Times New Roman" w:hAnsi="Times New Roman" w:eastAsia="宋体" w:cs="Times New Roman"/>
                <w:bCs/>
                <w:color w:val="auto"/>
                <w:spacing w:val="-6"/>
                <w:sz w:val="21"/>
                <w:szCs w:val="21"/>
                <w:highlight w:val="none"/>
                <w:shd w:val="clear" w:color="auto" w:fill="auto"/>
                <w:lang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6"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4</w:t>
            </w:r>
          </w:p>
        </w:tc>
        <w:tc>
          <w:tcPr>
            <w:tcW w:w="414" w:type="pct"/>
            <w:tcBorders>
              <w:tl2br w:val="nil"/>
              <w:tr2bl w:val="nil"/>
            </w:tcBorders>
            <w:noWrap w:val="0"/>
            <w:tcMar>
              <w:left w:w="0" w:type="dxa"/>
              <w:right w:w="0" w:type="dxa"/>
            </w:tcMar>
            <w:vAlign w:val="center"/>
          </w:tcPr>
          <w:p>
            <w:pPr>
              <w:pStyle w:val="85"/>
              <w:adjustRightInd w:val="0"/>
              <w:snapToGrid w:val="0"/>
              <w:spacing w:line="300" w:lineRule="exac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生活污水</w:t>
            </w:r>
          </w:p>
        </w:tc>
        <w:tc>
          <w:tcPr>
            <w:tcW w:w="592" w:type="pct"/>
            <w:tcBorders>
              <w:tl2br w:val="nil"/>
              <w:tr2bl w:val="nil"/>
            </w:tcBorders>
            <w:noWrap w:val="0"/>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乌尔禾区生活污水处理厂</w:t>
            </w:r>
          </w:p>
        </w:tc>
        <w:tc>
          <w:tcPr>
            <w:tcW w:w="1510" w:type="pct"/>
            <w:tcBorders>
              <w:tl2br w:val="nil"/>
              <w:tr2bl w:val="nil"/>
            </w:tcBorders>
            <w:noWrap w:val="0"/>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bidi="ar"/>
              </w:rPr>
            </w:pPr>
            <w:r>
              <w:rPr>
                <w:rFonts w:hint="default" w:ascii="Times New Roman" w:hAnsi="Times New Roman" w:eastAsia="宋体" w:cs="Times New Roman"/>
                <w:bCs/>
                <w:color w:val="auto"/>
                <w:spacing w:val="-6"/>
                <w:sz w:val="21"/>
                <w:szCs w:val="21"/>
                <w:highlight w:val="none"/>
                <w:shd w:val="clear" w:color="auto" w:fill="auto"/>
                <w:lang w:bidi="ar"/>
              </w:rPr>
              <w:t>乌尔禾城乡污水处理厂建设工程</w:t>
            </w:r>
          </w:p>
        </w:tc>
        <w:tc>
          <w:tcPr>
            <w:tcW w:w="1347"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原新疆维吾尔自治区环境保护厅；新环评审函〔2010〕116号；2010年11月10日</w:t>
            </w:r>
          </w:p>
        </w:tc>
        <w:tc>
          <w:tcPr>
            <w:tcW w:w="937" w:type="pct"/>
            <w:tcBorders>
              <w:tl2br w:val="nil"/>
              <w:tr2bl w:val="nil"/>
            </w:tcBorders>
            <w:noWrap w:val="0"/>
            <w:tcMar>
              <w:left w:w="0" w:type="dxa"/>
              <w:right w:w="0" w:type="dxa"/>
            </w:tcMar>
            <w:vAlign w:val="center"/>
          </w:tcPr>
          <w:p>
            <w:pPr>
              <w:spacing w:line="0" w:lineRule="atLeast"/>
              <w:jc w:val="center"/>
              <w:rPr>
                <w:rFonts w:hint="default" w:ascii="Times New Roman" w:hAnsi="Times New Roman" w:eastAsia="宋体" w:cs="Times New Roman"/>
                <w:bCs/>
                <w:color w:val="auto"/>
                <w:spacing w:val="-6"/>
                <w:sz w:val="21"/>
                <w:szCs w:val="21"/>
                <w:highlight w:val="none"/>
                <w:shd w:val="clear" w:color="auto" w:fill="auto"/>
                <w:lang w:val="en-US" w:eastAsia="zh-CN" w:bidi="ar"/>
              </w:rPr>
            </w:pPr>
            <w:r>
              <w:rPr>
                <w:rFonts w:hint="default" w:ascii="Times New Roman" w:hAnsi="Times New Roman" w:eastAsia="宋体" w:cs="Times New Roman"/>
                <w:bCs/>
                <w:color w:val="auto"/>
                <w:spacing w:val="-6"/>
                <w:sz w:val="21"/>
                <w:szCs w:val="21"/>
                <w:highlight w:val="none"/>
                <w:shd w:val="clear" w:color="auto" w:fill="auto"/>
                <w:lang w:val="en-US" w:eastAsia="zh-CN" w:bidi="ar"/>
              </w:rPr>
              <w:t>原克拉玛依市环保局，克环保函〔2014〕437号，2014年10月29日</w:t>
            </w:r>
          </w:p>
        </w:tc>
      </w:tr>
    </w:tbl>
    <w:p>
      <w:pPr>
        <w:pStyle w:val="6"/>
        <w:rPr>
          <w:rFonts w:hint="eastAsia" w:eastAsia="宋体"/>
          <w:color w:val="auto"/>
          <w:highlight w:val="none"/>
          <w:lang w:eastAsia="zh-CN"/>
        </w:rPr>
      </w:pPr>
      <w:r>
        <w:rPr>
          <w:color w:val="auto"/>
          <w:highlight w:val="none"/>
        </w:rPr>
        <w:t>3.</w:t>
      </w:r>
      <w:r>
        <w:rPr>
          <w:rFonts w:hint="eastAsia"/>
          <w:color w:val="auto"/>
          <w:highlight w:val="none"/>
          <w:lang w:val="en-US" w:eastAsia="zh-CN"/>
        </w:rPr>
        <w:t>2</w:t>
      </w:r>
      <w:r>
        <w:rPr>
          <w:color w:val="auto"/>
          <w:highlight w:val="none"/>
        </w:rPr>
        <w:t>.</w:t>
      </w:r>
      <w:r>
        <w:rPr>
          <w:rFonts w:hint="eastAsia"/>
          <w:color w:val="auto"/>
          <w:highlight w:val="none"/>
        </w:rPr>
        <w:t>4.6</w:t>
      </w:r>
      <w:r>
        <w:rPr>
          <w:color w:val="auto"/>
          <w:highlight w:val="none"/>
        </w:rPr>
        <w:t>.</w:t>
      </w:r>
      <w:r>
        <w:rPr>
          <w:rFonts w:hint="eastAsia"/>
          <w:color w:val="auto"/>
          <w:highlight w:val="none"/>
        </w:rPr>
        <w:t>1</w:t>
      </w:r>
      <w:bookmarkStart w:id="296" w:name="OLE_LINK139"/>
      <w:r>
        <w:rPr>
          <w:rFonts w:hint="eastAsia"/>
          <w:color w:val="auto"/>
          <w:highlight w:val="none"/>
          <w:lang w:eastAsia="zh-CN"/>
        </w:rPr>
        <w:t>风城二号稠油处理站</w:t>
      </w:r>
      <w:bookmarkEnd w:id="296"/>
    </w:p>
    <w:p>
      <w:pPr>
        <w:pStyle w:val="57"/>
        <w:rPr>
          <w:rFonts w:hint="eastAsia"/>
          <w:color w:val="auto"/>
          <w:highlight w:val="none"/>
          <w:lang w:eastAsia="zh-CN"/>
        </w:rPr>
      </w:pPr>
      <w:r>
        <w:rPr>
          <w:rFonts w:hint="eastAsia"/>
          <w:color w:val="auto"/>
          <w:highlight w:val="none"/>
          <w:lang w:eastAsia="zh-CN"/>
        </w:rPr>
        <w:t>风城2号稠油联合处理站主要包括常规原油处理系统、污水处理系统、SAGD循环液处理装置、废水达标处理系统及SAGD密闭处理站循环液处理，设计处理能力分别为150×10</w:t>
      </w:r>
      <w:r>
        <w:rPr>
          <w:rFonts w:hint="eastAsia"/>
          <w:color w:val="auto"/>
          <w:highlight w:val="none"/>
          <w:vertAlign w:val="superscript"/>
          <w:lang w:eastAsia="zh-CN"/>
        </w:rPr>
        <w:t>4</w:t>
      </w:r>
      <w:r>
        <w:rPr>
          <w:rFonts w:hint="eastAsia"/>
          <w:color w:val="auto"/>
          <w:highlight w:val="none"/>
          <w:lang w:eastAsia="zh-CN"/>
        </w:rPr>
        <w:t>t/a、40000m</w:t>
      </w:r>
      <w:r>
        <w:rPr>
          <w:rFonts w:hint="eastAsia"/>
          <w:color w:val="auto"/>
          <w:highlight w:val="none"/>
          <w:vertAlign w:val="superscript"/>
          <w:lang w:eastAsia="zh-CN"/>
        </w:rPr>
        <w:t>3</w:t>
      </w:r>
      <w:r>
        <w:rPr>
          <w:rFonts w:hint="eastAsia"/>
          <w:color w:val="auto"/>
          <w:highlight w:val="none"/>
          <w:lang w:eastAsia="zh-CN"/>
        </w:rPr>
        <w:t>/d、6000m</w:t>
      </w:r>
      <w:r>
        <w:rPr>
          <w:rFonts w:hint="eastAsia"/>
          <w:color w:val="auto"/>
          <w:highlight w:val="none"/>
          <w:vertAlign w:val="superscript"/>
          <w:lang w:eastAsia="zh-CN"/>
        </w:rPr>
        <w:t>3</w:t>
      </w:r>
      <w:r>
        <w:rPr>
          <w:rFonts w:hint="eastAsia"/>
          <w:color w:val="auto"/>
          <w:highlight w:val="none"/>
          <w:lang w:eastAsia="zh-CN"/>
        </w:rPr>
        <w:t>/d、2500m</w:t>
      </w:r>
      <w:r>
        <w:rPr>
          <w:rFonts w:hint="eastAsia"/>
          <w:color w:val="auto"/>
          <w:highlight w:val="none"/>
          <w:vertAlign w:val="superscript"/>
          <w:lang w:eastAsia="zh-CN"/>
        </w:rPr>
        <w:t>3</w:t>
      </w:r>
      <w:r>
        <w:rPr>
          <w:rFonts w:hint="eastAsia"/>
          <w:color w:val="auto"/>
          <w:highlight w:val="none"/>
          <w:lang w:eastAsia="zh-CN"/>
        </w:rPr>
        <w:t>/d、120×10</w:t>
      </w:r>
      <w:r>
        <w:rPr>
          <w:rFonts w:hint="eastAsia"/>
          <w:color w:val="auto"/>
          <w:highlight w:val="none"/>
          <w:vertAlign w:val="superscript"/>
          <w:lang w:eastAsia="zh-CN"/>
        </w:rPr>
        <w:t>4</w:t>
      </w:r>
      <w:r>
        <w:rPr>
          <w:rFonts w:hint="eastAsia"/>
          <w:color w:val="auto"/>
          <w:highlight w:val="none"/>
          <w:lang w:eastAsia="zh-CN"/>
        </w:rPr>
        <w:t>t/a。全站承担着重18北部、南部区块常规稠油和SAGD区块循环阶段采出液集输处理、污水净化（除硅）处理。风城2号稠油联合处理站SAGD密闭处理站循环液处理工艺流程如下：</w:t>
      </w:r>
    </w:p>
    <w:p>
      <w:pPr>
        <w:pStyle w:val="57"/>
        <w:rPr>
          <w:color w:val="auto"/>
          <w:highlight w:val="none"/>
        </w:rPr>
      </w:pPr>
      <w:r>
        <w:rPr>
          <w:rFonts w:hint="eastAsia"/>
          <w:color w:val="auto"/>
          <w:highlight w:val="none"/>
          <w:lang w:eastAsia="zh-CN"/>
        </w:rPr>
        <w:t>原油处理采用“汽液分离→采出液换热→预脱水→热化学脱水→净化油换热→净化油罐”工艺；采出水采用“压力罐除油→采出水换热→除油罐”工艺</w:t>
      </w:r>
      <w:r>
        <w:rPr>
          <w:rFonts w:hint="eastAsia"/>
          <w:color w:val="auto"/>
          <w:highlight w:val="none"/>
        </w:rPr>
        <w:t>。</w:t>
      </w:r>
    </w:p>
    <w:p>
      <w:pPr>
        <w:pStyle w:val="57"/>
        <w:rPr>
          <w:color w:val="auto"/>
          <w:highlight w:val="none"/>
        </w:rPr>
      </w:pPr>
      <w:r>
        <w:rPr>
          <w:rFonts w:hint="eastAsia"/>
          <w:color w:val="auto"/>
          <w:highlight w:val="none"/>
        </w:rPr>
        <w:t>（1）常规稠油处理系统</w:t>
      </w:r>
    </w:p>
    <w:p>
      <w:pPr>
        <w:pStyle w:val="57"/>
        <w:rPr>
          <w:color w:val="auto"/>
          <w:highlight w:val="none"/>
        </w:rPr>
      </w:pPr>
      <w:r>
        <w:rPr>
          <w:rFonts w:hint="eastAsia"/>
          <w:color w:val="auto"/>
          <w:highlight w:val="none"/>
        </w:rPr>
        <w:t>集油区来液（0.25～0.30MPa，80～90℃）进管汇间，加破乳剂后进一段沉降脱水罐（含水率≤10%）。脱出的游离水去水处理系统，脱出的低含水油进相变掺热装置升温</w:t>
      </w:r>
      <w:r>
        <w:rPr>
          <w:rFonts w:hint="eastAsia"/>
          <w:color w:val="auto"/>
          <w:highlight w:val="none"/>
          <w:lang w:eastAsia="zh-CN"/>
        </w:rPr>
        <w:t>（</w:t>
      </w:r>
      <w:r>
        <w:rPr>
          <w:rFonts w:hint="eastAsia"/>
          <w:color w:val="auto"/>
          <w:highlight w:val="none"/>
        </w:rPr>
        <w:t>利用SAGD余热蒸汽</w:t>
      </w:r>
      <w:r>
        <w:rPr>
          <w:rFonts w:hint="eastAsia"/>
          <w:color w:val="auto"/>
          <w:highlight w:val="none"/>
          <w:lang w:eastAsia="zh-CN"/>
        </w:rPr>
        <w:t>）</w:t>
      </w:r>
      <w:r>
        <w:rPr>
          <w:rFonts w:hint="eastAsia"/>
          <w:color w:val="auto"/>
          <w:highlight w:val="none"/>
        </w:rPr>
        <w:t>，升温至95℃后的原油进净化油罐进行二段热化学沉降脱水（含水率≤1.5%）。合格后的净化油从罐内浮动式收油装置进泵通过管道外输。</w:t>
      </w:r>
    </w:p>
    <w:p>
      <w:pPr>
        <w:pStyle w:val="54"/>
        <w:bidi w:val="0"/>
        <w:ind w:left="0" w:leftChars="0" w:firstLine="0" w:firstLineChars="0"/>
        <w:jc w:val="center"/>
        <w:rPr>
          <w:rFonts w:hint="eastAsia"/>
          <w:color w:val="auto"/>
          <w:highlight w:val="none"/>
        </w:rPr>
      </w:pPr>
    </w:p>
    <w:p>
      <w:pPr>
        <w:pStyle w:val="54"/>
        <w:bidi w:val="0"/>
        <w:ind w:left="0" w:leftChars="0" w:firstLine="0" w:firstLineChars="0"/>
        <w:jc w:val="center"/>
        <w:rPr>
          <w:rFonts w:hint="eastAsia"/>
          <w:color w:val="auto"/>
          <w:highlight w:val="none"/>
        </w:rPr>
      </w:pPr>
    </w:p>
    <w:p>
      <w:pPr>
        <w:pStyle w:val="54"/>
        <w:bidi w:val="0"/>
        <w:ind w:left="0" w:leftChars="0" w:firstLine="0" w:firstLineChars="0"/>
        <w:jc w:val="center"/>
        <w:rPr>
          <w:rFonts w:hint="eastAsia"/>
          <w:color w:val="auto"/>
          <w:highlight w:val="none"/>
        </w:rPr>
      </w:pPr>
    </w:p>
    <w:p>
      <w:pPr>
        <w:pStyle w:val="54"/>
        <w:bidi w:val="0"/>
        <w:ind w:left="0" w:leftChars="0" w:firstLine="0" w:firstLineChars="0"/>
        <w:jc w:val="center"/>
        <w:rPr>
          <w:rFonts w:hint="eastAsia"/>
          <w:color w:val="auto"/>
          <w:highlight w:val="none"/>
        </w:rPr>
      </w:pPr>
    </w:p>
    <w:p>
      <w:pPr>
        <w:pStyle w:val="54"/>
        <w:bidi w:val="0"/>
        <w:ind w:left="0" w:leftChars="0" w:firstLine="0" w:firstLineChars="0"/>
        <w:jc w:val="center"/>
        <w:rPr>
          <w:color w:val="auto"/>
          <w:highlight w:val="none"/>
        </w:rPr>
      </w:pPr>
      <w:r>
        <w:rPr>
          <w:rFonts w:hint="eastAsia"/>
          <w:color w:val="auto"/>
          <w:highlight w:val="none"/>
        </w:rPr>
        <w:t>图3.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7</w:t>
      </w:r>
      <w:r>
        <w:rPr>
          <w:rFonts w:hint="eastAsia"/>
          <w:color w:val="auto"/>
          <w:highlight w:val="none"/>
        </w:rPr>
        <w:t xml:space="preserve"> </w:t>
      </w:r>
      <w:r>
        <w:rPr>
          <w:rFonts w:hint="eastAsia"/>
          <w:color w:val="auto"/>
          <w:highlight w:val="none"/>
          <w:lang w:eastAsia="zh-CN"/>
        </w:rPr>
        <w:t>风城二号稠油处理站（常规稠油处理系统）工艺流程示意图</w:t>
      </w:r>
    </w:p>
    <w:p>
      <w:pPr>
        <w:pStyle w:val="57"/>
        <w:rPr>
          <w:color w:val="auto"/>
          <w:highlight w:val="none"/>
        </w:rPr>
      </w:pPr>
      <w:r>
        <w:rPr>
          <w:rFonts w:hint="eastAsia"/>
          <w:color w:val="auto"/>
          <w:highlight w:val="none"/>
        </w:rPr>
        <w:t>（2）</w:t>
      </w:r>
      <w:r>
        <w:rPr>
          <w:rFonts w:hint="eastAsia"/>
          <w:color w:val="auto"/>
          <w:highlight w:val="none"/>
          <w:lang w:val="en-US" w:eastAsia="zh-CN"/>
        </w:rPr>
        <w:t>采出水</w:t>
      </w:r>
      <w:r>
        <w:rPr>
          <w:rFonts w:hint="eastAsia"/>
          <w:color w:val="auto"/>
          <w:highlight w:val="none"/>
        </w:rPr>
        <w:t>处理</w:t>
      </w:r>
    </w:p>
    <w:p>
      <w:pPr>
        <w:pStyle w:val="57"/>
        <w:rPr>
          <w:rFonts w:hint="eastAsia"/>
          <w:color w:val="auto"/>
          <w:highlight w:val="none"/>
          <w:lang w:eastAsia="zh-CN"/>
        </w:rPr>
      </w:pPr>
      <w:r>
        <w:rPr>
          <w:rFonts w:hint="eastAsia"/>
          <w:color w:val="auto"/>
          <w:highlight w:val="none"/>
          <w:lang w:eastAsia="zh-CN"/>
        </w:rPr>
        <w:t>风城二号稠油联合站内建有一套稠油采出水处理装置，采用“重力除油+混凝反应沉淀+压力过滤”工艺，设计规模40000m</w:t>
      </w:r>
      <w:r>
        <w:rPr>
          <w:rFonts w:hint="eastAsia"/>
          <w:color w:val="auto"/>
          <w:highlight w:val="none"/>
          <w:vertAlign w:val="superscript"/>
          <w:lang w:eastAsia="zh-CN"/>
        </w:rPr>
        <w:t>3</w:t>
      </w:r>
      <w:r>
        <w:rPr>
          <w:rFonts w:hint="eastAsia"/>
          <w:color w:val="auto"/>
          <w:highlight w:val="none"/>
          <w:lang w:eastAsia="zh-CN"/>
        </w:rPr>
        <w:t>/d，目前该站处理水量35000m</w:t>
      </w:r>
      <w:r>
        <w:rPr>
          <w:rFonts w:hint="eastAsia"/>
          <w:color w:val="auto"/>
          <w:highlight w:val="none"/>
          <w:vertAlign w:val="superscript"/>
          <w:lang w:eastAsia="zh-CN"/>
        </w:rPr>
        <w:t>3</w:t>
      </w:r>
      <w:r>
        <w:rPr>
          <w:rFonts w:hint="eastAsia"/>
          <w:color w:val="auto"/>
          <w:highlight w:val="none"/>
          <w:lang w:eastAsia="zh-CN"/>
        </w:rPr>
        <w:t>/d，处理后水质达到含油≤2mg/L、悬浮物≤2mg/L，净化水经软化处理后用于油区注汽锅炉给水，部分富余净化水经输水泵输至210池暂存。风城二号稠油处理站采出水处理装置处理的采出水为NaHCO</w:t>
      </w:r>
      <w:r>
        <w:rPr>
          <w:rFonts w:hint="eastAsia"/>
          <w:color w:val="auto"/>
          <w:highlight w:val="none"/>
          <w:vertAlign w:val="subscript"/>
          <w:lang w:eastAsia="zh-CN"/>
        </w:rPr>
        <w:t>3</w:t>
      </w:r>
      <w:r>
        <w:rPr>
          <w:rFonts w:hint="eastAsia"/>
          <w:color w:val="auto"/>
          <w:highlight w:val="none"/>
          <w:lang w:eastAsia="zh-CN"/>
        </w:rPr>
        <w:t>水型。</w:t>
      </w:r>
    </w:p>
    <w:p>
      <w:pPr>
        <w:pStyle w:val="57"/>
        <w:rPr>
          <w:rFonts w:hint="eastAsia"/>
          <w:color w:val="auto"/>
          <w:highlight w:val="none"/>
        </w:rPr>
      </w:pPr>
      <w:r>
        <w:rPr>
          <w:rFonts w:hint="eastAsia"/>
          <w:color w:val="auto"/>
          <w:highlight w:val="none"/>
          <w:lang w:eastAsia="zh-CN"/>
        </w:rPr>
        <w:t>风城二号稠油处理站采出水处理工艺流程：原油系统来水（含油≤10000mg/L，悬浮≤1000mg/L），进2座15000m</w:t>
      </w:r>
      <w:r>
        <w:rPr>
          <w:rFonts w:hint="eastAsia"/>
          <w:color w:val="auto"/>
          <w:highlight w:val="none"/>
          <w:vertAlign w:val="superscript"/>
          <w:lang w:eastAsia="zh-CN"/>
        </w:rPr>
        <w:t>3</w:t>
      </w:r>
      <w:r>
        <w:rPr>
          <w:rFonts w:hint="eastAsia"/>
          <w:color w:val="auto"/>
          <w:highlight w:val="none"/>
          <w:lang w:eastAsia="zh-CN"/>
        </w:rPr>
        <w:t>除油罐进行预处理，采出水预处理系统出水（含油≤3000mg/L，悬浮≤500mg/L）进2座10000m</w:t>
      </w:r>
      <w:r>
        <w:rPr>
          <w:rFonts w:hint="eastAsia"/>
          <w:color w:val="auto"/>
          <w:highlight w:val="none"/>
          <w:vertAlign w:val="superscript"/>
          <w:lang w:eastAsia="zh-CN"/>
        </w:rPr>
        <w:t>3</w:t>
      </w:r>
      <w:r>
        <w:rPr>
          <w:rFonts w:hint="eastAsia"/>
          <w:color w:val="auto"/>
          <w:highlight w:val="none"/>
          <w:lang w:eastAsia="zh-CN"/>
        </w:rPr>
        <w:t>调储罐，调储罐出水（含油≤250mg/L，悬浮≤250mg/L）再进入污水反应罐和2座3000m</w:t>
      </w:r>
      <w:r>
        <w:rPr>
          <w:rFonts w:hint="eastAsia"/>
          <w:color w:val="auto"/>
          <w:highlight w:val="none"/>
          <w:vertAlign w:val="superscript"/>
          <w:lang w:eastAsia="zh-CN"/>
        </w:rPr>
        <w:t>3</w:t>
      </w:r>
      <w:r>
        <w:rPr>
          <w:rFonts w:hint="eastAsia"/>
          <w:color w:val="auto"/>
          <w:highlight w:val="none"/>
          <w:lang w:eastAsia="zh-CN"/>
        </w:rPr>
        <w:t>混凝沉降罐，出水（含油10～15mg/L，悬浮10～15mg/L）经过滤提升泵提升进入两级过滤器，双滤料过滤器出水（含油≤5mg/L，悬浮≤5mg/L），多介质过滤器出水（含油≤2mg/L，悬浮≤5mg/L），过滤器出水直接进入软化水处理系统</w:t>
      </w:r>
      <w:r>
        <w:rPr>
          <w:rFonts w:hint="eastAsia"/>
          <w:color w:val="auto"/>
          <w:highlight w:val="none"/>
        </w:rPr>
        <w:t>。</w:t>
      </w:r>
    </w:p>
    <w:p>
      <w:pPr>
        <w:pStyle w:val="54"/>
        <w:bidi w:val="0"/>
        <w:ind w:left="0" w:leftChars="0" w:firstLine="0" w:firstLineChars="0"/>
        <w:jc w:val="both"/>
        <w:rPr>
          <w:rFonts w:hint="eastAsia"/>
          <w:color w:val="auto"/>
          <w:highlight w:val="none"/>
        </w:rPr>
      </w:pPr>
    </w:p>
    <w:p>
      <w:pPr>
        <w:pStyle w:val="33"/>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57"/>
        <w:ind w:left="0" w:leftChars="0" w:firstLine="0" w:firstLineChars="0"/>
        <w:jc w:val="center"/>
        <w:rPr>
          <w:rFonts w:hint="eastAsia" w:ascii="黑体" w:hAnsi="黑体" w:eastAsia="黑体" w:cs="Times New Roman"/>
          <w:b/>
          <w:color w:val="auto"/>
          <w:kern w:val="2"/>
          <w:sz w:val="21"/>
          <w:szCs w:val="20"/>
          <w:highlight w:val="none"/>
          <w:lang w:val="en-US" w:eastAsia="zh-CN" w:bidi="ar-SA"/>
        </w:rPr>
      </w:pPr>
      <w:r>
        <w:rPr>
          <w:rFonts w:hint="eastAsia" w:ascii="黑体" w:hAnsi="黑体" w:eastAsia="黑体" w:cs="Times New Roman"/>
          <w:b/>
          <w:color w:val="auto"/>
          <w:kern w:val="2"/>
          <w:sz w:val="21"/>
          <w:szCs w:val="20"/>
          <w:highlight w:val="none"/>
          <w:lang w:val="en-US" w:eastAsia="zh-CN" w:bidi="ar-SA"/>
        </w:rPr>
        <w:t>图3.2-8  风城二号稠油处理站采出水水处理流程图</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（3）依托可行性</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①</w:t>
      </w:r>
      <w:r>
        <w:rPr>
          <w:rFonts w:hint="default" w:ascii="Times New Roman" w:hAnsi="Times New Roman" w:eastAsia="宋体" w:cs="Times New Roman"/>
          <w:color w:val="auto"/>
          <w:highlight w:val="none"/>
          <w:lang w:val="en-US" w:eastAsia="zh-CN"/>
        </w:rPr>
        <w:t>原油依托可行性分析</w:t>
      </w:r>
    </w:p>
    <w:p>
      <w:pPr>
        <w:pStyle w:val="57"/>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本工程的原油处理依托</w:t>
      </w:r>
      <w:r>
        <w:rPr>
          <w:rFonts w:hint="eastAsia" w:ascii="Times New Roman" w:hAnsi="Times New Roman" w:eastAsia="宋体" w:cs="Times New Roman"/>
          <w:color w:val="auto"/>
          <w:highlight w:val="none"/>
          <w:lang w:val="en-US" w:eastAsia="zh-CN"/>
        </w:rPr>
        <w:t>风城二号稠油联合站原油处理系统</w:t>
      </w:r>
      <w:r>
        <w:rPr>
          <w:rFonts w:hint="default" w:ascii="Times New Roman" w:hAnsi="Times New Roman" w:eastAsia="宋体" w:cs="Times New Roman"/>
          <w:color w:val="auto"/>
          <w:highlight w:val="none"/>
          <w:lang w:val="en-US" w:eastAsia="zh-CN"/>
        </w:rPr>
        <w:t>处理，</w:t>
      </w:r>
      <w:r>
        <w:rPr>
          <w:rFonts w:hint="eastAsia" w:ascii="Times New Roman" w:hAnsi="Times New Roman" w:eastAsia="宋体" w:cs="Times New Roman"/>
          <w:color w:val="auto"/>
          <w:highlight w:val="none"/>
          <w:lang w:val="en-US" w:eastAsia="zh-CN"/>
        </w:rPr>
        <w:t>设计处理能力150×10</w:t>
      </w:r>
      <w:r>
        <w:rPr>
          <w:rFonts w:hint="eastAsia" w:ascii="Times New Roman" w:hAnsi="Times New Roman" w:eastAsia="宋体" w:cs="Times New Roman"/>
          <w:color w:val="auto"/>
          <w:highlight w:val="none"/>
          <w:vertAlign w:val="superscript"/>
          <w:lang w:val="en-US" w:eastAsia="zh-CN"/>
        </w:rPr>
        <w:t>4</w:t>
      </w:r>
      <w:r>
        <w:rPr>
          <w:rFonts w:hint="eastAsia" w:ascii="Times New Roman" w:hAnsi="Times New Roman" w:eastAsia="宋体" w:cs="Times New Roman"/>
          <w:color w:val="auto"/>
          <w:highlight w:val="none"/>
          <w:lang w:val="en-US" w:eastAsia="zh-CN"/>
        </w:rPr>
        <w:t>t/a，目前实际处理量64.27×10</w:t>
      </w:r>
      <w:r>
        <w:rPr>
          <w:rFonts w:hint="eastAsia" w:ascii="Times New Roman" w:hAnsi="Times New Roman" w:eastAsia="宋体" w:cs="Times New Roman"/>
          <w:color w:val="auto"/>
          <w:highlight w:val="none"/>
          <w:vertAlign w:val="superscript"/>
          <w:lang w:val="en-US" w:eastAsia="zh-CN"/>
        </w:rPr>
        <w:t>4</w:t>
      </w:r>
      <w:r>
        <w:rPr>
          <w:rFonts w:hint="eastAsia" w:ascii="Times New Roman" w:hAnsi="Times New Roman" w:eastAsia="宋体" w:cs="Times New Roman"/>
          <w:color w:val="auto"/>
          <w:highlight w:val="none"/>
          <w:lang w:val="en-US" w:eastAsia="zh-CN"/>
        </w:rPr>
        <w:t>t/a，</w:t>
      </w:r>
      <w:r>
        <w:rPr>
          <w:rFonts w:hint="default" w:ascii="Times New Roman" w:hAnsi="Times New Roman" w:eastAsia="宋体" w:cs="Times New Roman"/>
          <w:color w:val="auto"/>
          <w:highlight w:val="none"/>
          <w:lang w:val="en-US" w:eastAsia="zh-CN"/>
        </w:rPr>
        <w:t>富余量为</w:t>
      </w:r>
      <w:r>
        <w:rPr>
          <w:rFonts w:hint="eastAsia" w:ascii="Times New Roman" w:hAnsi="Times New Roman" w:eastAsia="宋体" w:cs="Times New Roman"/>
          <w:color w:val="auto"/>
          <w:highlight w:val="none"/>
          <w:lang w:val="en-US" w:eastAsia="zh-CN"/>
        </w:rPr>
        <w:t>85.73</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vertAlign w:val="superscript"/>
          <w:lang w:val="en-US" w:eastAsia="zh-CN"/>
        </w:rPr>
        <w:t>4</w:t>
      </w:r>
      <w:r>
        <w:rPr>
          <w:rFonts w:hint="default" w:ascii="Times New Roman" w:hAnsi="Times New Roman" w:eastAsia="宋体" w:cs="Times New Roman"/>
          <w:color w:val="auto"/>
          <w:highlight w:val="none"/>
          <w:lang w:val="en-US" w:eastAsia="zh-CN"/>
        </w:rPr>
        <w:t>t/a。本工程最高年产油</w:t>
      </w:r>
      <w:r>
        <w:rPr>
          <w:rFonts w:hint="eastAsia" w:cs="Times New Roman"/>
          <w:color w:val="auto"/>
          <w:highlight w:val="none"/>
          <w:lang w:val="en-US" w:eastAsia="zh-CN"/>
        </w:rPr>
        <w:t>15.5</w:t>
      </w:r>
      <w:r>
        <w:rPr>
          <w:rFonts w:hint="default"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vertAlign w:val="superscript"/>
          <w:lang w:val="en-US" w:eastAsia="zh-CN"/>
        </w:rPr>
        <w:t>4</w:t>
      </w:r>
      <w:r>
        <w:rPr>
          <w:rFonts w:hint="default" w:ascii="Times New Roman" w:hAnsi="Times New Roman" w:eastAsia="宋体" w:cs="Times New Roman"/>
          <w:color w:val="auto"/>
          <w:highlight w:val="none"/>
          <w:lang w:val="en-US" w:eastAsia="zh-CN"/>
        </w:rPr>
        <w:t>t，依托可行。</w:t>
      </w:r>
    </w:p>
    <w:p>
      <w:pPr>
        <w:pStyle w:val="57"/>
        <w:rPr>
          <w:rFonts w:hint="eastAsia"/>
          <w:color w:val="auto"/>
          <w:highlight w:val="none"/>
          <w:lang w:val="en-US" w:eastAsia="zh-CN"/>
        </w:rPr>
      </w:pPr>
      <w:r>
        <w:rPr>
          <w:rFonts w:hint="eastAsia"/>
          <w:color w:val="auto"/>
          <w:highlight w:val="none"/>
          <w:lang w:val="en-US" w:eastAsia="zh-CN"/>
        </w:rPr>
        <w:t>②采出水依托可行性分析</w:t>
      </w:r>
    </w:p>
    <w:p>
      <w:pPr>
        <w:pStyle w:val="57"/>
        <w:rPr>
          <w:rFonts w:hint="eastAsia"/>
          <w:color w:val="auto"/>
          <w:highlight w:val="none"/>
          <w:lang w:val="en-US" w:eastAsia="zh-CN"/>
        </w:rPr>
      </w:pPr>
      <w:r>
        <w:rPr>
          <w:rFonts w:hint="eastAsia"/>
          <w:color w:val="auto"/>
          <w:highlight w:val="none"/>
          <w:lang w:val="en-US" w:eastAsia="zh-CN"/>
        </w:rPr>
        <w:t>本工程采出水依托风城二号稠油联合站含油污水处理系统处理，设计处理规模40000m³/d，目前处理量约35000m³/d，富余量为5000m³/d，设计出水水质满足《碎屑岩油藏注水水质指标技术要求及分析方法》（SY/T5329-2022）中指标要求。本工程采出水量最大约118.5t/d（3.91×10</w:t>
      </w:r>
      <w:r>
        <w:rPr>
          <w:rFonts w:hint="eastAsia"/>
          <w:color w:val="auto"/>
          <w:highlight w:val="none"/>
          <w:vertAlign w:val="superscript"/>
          <w:lang w:val="en-US" w:eastAsia="zh-CN"/>
        </w:rPr>
        <w:t>4</w:t>
      </w:r>
      <w:r>
        <w:rPr>
          <w:rFonts w:hint="eastAsia"/>
          <w:color w:val="auto"/>
          <w:highlight w:val="none"/>
          <w:lang w:val="en-US" w:eastAsia="zh-CN"/>
        </w:rPr>
        <w:t>t/a），依托可行。</w:t>
      </w:r>
    </w:p>
    <w:p>
      <w:pPr>
        <w:pStyle w:val="57"/>
        <w:rPr>
          <w:rFonts w:hint="default"/>
          <w:color w:val="auto"/>
          <w:highlight w:val="none"/>
          <w:lang w:val="en-US" w:eastAsia="zh-CN"/>
        </w:rPr>
      </w:pPr>
      <w:r>
        <w:rPr>
          <w:rFonts w:hint="eastAsia"/>
          <w:color w:val="auto"/>
          <w:highlight w:val="none"/>
          <w:lang w:val="en-US" w:eastAsia="zh-CN"/>
        </w:rPr>
        <w:t>③压裂返排液</w:t>
      </w:r>
    </w:p>
    <w:p>
      <w:pPr>
        <w:pStyle w:val="57"/>
        <w:rPr>
          <w:rFonts w:hint="eastAsia" w:ascii="Times New Roman" w:hAnsi="Times New Roman" w:eastAsia="宋体" w:cs="Times New Roman"/>
          <w:color w:val="auto"/>
          <w:highlight w:val="none"/>
          <w:lang w:val="en-US" w:eastAsia="zh-CN"/>
        </w:rPr>
      </w:pPr>
      <w:r>
        <w:rPr>
          <w:rFonts w:hint="eastAsia"/>
          <w:color w:val="auto"/>
          <w:highlight w:val="none"/>
          <w:lang w:val="en-US" w:eastAsia="zh-CN"/>
        </w:rPr>
        <w:t>本工程采出水依托风城二号稠油联合站含油污水处理系统处理，设计处理规模40000m³/d，目前处理量约35000m³/d，富余量为5000m³/d，设计出水水质满足《碎屑岩油藏注水水质指标技术要求及分析方法》（SY/T5329-2022）中指标要求。</w:t>
      </w:r>
      <w:r>
        <w:rPr>
          <w:rFonts w:hint="eastAsia" w:ascii="Times New Roman" w:hAnsi="Times New Roman" w:eastAsia="宋体" w:cs="Times New Roman"/>
          <w:color w:val="auto"/>
          <w:highlight w:val="none"/>
          <w:lang w:val="en-US" w:eastAsia="zh-CN"/>
        </w:rPr>
        <w:t>本工程水平井压裂返排液产生量按3150m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/井计算，则7口新钻井共产生约22050m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vertAlign w:val="baseline"/>
          <w:lang w:val="en-US" w:eastAsia="zh-CN"/>
        </w:rPr>
        <w:t>（单井3150</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vertAlign w:val="baseline"/>
          <w:lang w:val="en-US" w:eastAsia="zh-CN"/>
        </w:rPr>
        <w:t>）</w:t>
      </w:r>
      <w:r>
        <w:rPr>
          <w:rFonts w:hint="eastAsia" w:ascii="Times New Roman" w:hAnsi="Times New Roman" w:eastAsia="宋体" w:cs="Times New Roman"/>
          <w:color w:val="auto"/>
          <w:highlight w:val="none"/>
          <w:lang w:val="en-US" w:eastAsia="zh-CN"/>
        </w:rPr>
        <w:t>压裂返排液</w:t>
      </w:r>
      <w:r>
        <w:rPr>
          <w:rFonts w:hint="eastAsia"/>
          <w:color w:val="auto"/>
          <w:highlight w:val="none"/>
          <w:lang w:val="en-US" w:eastAsia="zh-CN"/>
        </w:rPr>
        <w:t>，依托可行</w:t>
      </w:r>
      <w:r>
        <w:rPr>
          <w:rFonts w:hint="eastAsia" w:ascii="Times New Roman" w:hAnsi="Times New Roman" w:eastAsia="宋体" w:cs="Times New Roman"/>
          <w:color w:val="auto"/>
          <w:highlight w:val="none"/>
          <w:lang w:val="en-US"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eastAsia"/>
          <w:color w:val="auto"/>
          <w:highlight w:val="none"/>
        </w:rPr>
      </w:pPr>
    </w:p>
    <w:p>
      <w:pPr>
        <w:pStyle w:val="33"/>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rPr>
          <w:rFonts w:hint="eastAsia"/>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ascii="Times New Roman" w:hAnsi="Times New Roman" w:eastAsia="宋体"/>
          <w:color w:val="auto"/>
          <w:highlight w:val="none"/>
        </w:rPr>
      </w:pPr>
      <w:r>
        <w:rPr>
          <w:rFonts w:hint="eastAsia"/>
          <w:color w:val="auto"/>
          <w:highlight w:val="none"/>
        </w:rPr>
        <w:t>表3.</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 xml:space="preserve">23  </w:t>
      </w:r>
      <w:r>
        <w:rPr>
          <w:rFonts w:hint="eastAsia"/>
          <w:color w:val="auto"/>
          <w:highlight w:val="none"/>
        </w:rPr>
        <w:t xml:space="preserve"> </w:t>
      </w:r>
      <w:r>
        <w:rPr>
          <w:rFonts w:hint="eastAsia"/>
          <w:color w:val="auto"/>
          <w:highlight w:val="none"/>
          <w:lang w:eastAsia="zh-CN"/>
        </w:rPr>
        <w:t>风城二号稠油处理站</w:t>
      </w:r>
      <w:r>
        <w:rPr>
          <w:rFonts w:hint="eastAsia"/>
          <w:color w:val="auto"/>
          <w:highlight w:val="none"/>
        </w:rPr>
        <w:t>运行负荷统计表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248"/>
        <w:gridCol w:w="1055"/>
        <w:gridCol w:w="1082"/>
        <w:gridCol w:w="940"/>
        <w:gridCol w:w="1816"/>
        <w:gridCol w:w="1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4" w:type="pct"/>
            <w:tcBorders>
              <w:tl2br w:val="nil"/>
              <w:tr2bl w:val="nil"/>
            </w:tcBorders>
            <w:vAlign w:val="center"/>
          </w:tcPr>
          <w:p>
            <w:pPr>
              <w:pStyle w:val="41"/>
              <w:rPr>
                <w:color w:val="auto"/>
                <w:highlight w:val="none"/>
              </w:rPr>
            </w:pPr>
            <w:r>
              <w:rPr>
                <w:rFonts w:hint="eastAsia"/>
                <w:color w:val="auto"/>
                <w:sz w:val="21"/>
                <w:szCs w:val="24"/>
                <w:lang w:eastAsia="zh-CN"/>
              </w:rPr>
              <w:t>风城二号稠油处理站</w:t>
            </w:r>
          </w:p>
        </w:tc>
        <w:tc>
          <w:tcPr>
            <w:tcW w:w="631" w:type="pct"/>
            <w:tcBorders>
              <w:tl2br w:val="nil"/>
              <w:tr2bl w:val="nil"/>
            </w:tcBorders>
            <w:vAlign w:val="center"/>
          </w:tcPr>
          <w:p>
            <w:pPr>
              <w:pStyle w:val="41"/>
              <w:rPr>
                <w:color w:val="auto"/>
                <w:highlight w:val="none"/>
              </w:rPr>
            </w:pPr>
            <w:r>
              <w:rPr>
                <w:rFonts w:hint="eastAsia"/>
                <w:color w:val="auto"/>
                <w:highlight w:val="none"/>
              </w:rPr>
              <w:t>设计规模</w:t>
            </w:r>
          </w:p>
        </w:tc>
        <w:tc>
          <w:tcPr>
            <w:tcW w:w="647" w:type="pct"/>
            <w:tcBorders>
              <w:tl2br w:val="nil"/>
              <w:tr2bl w:val="nil"/>
            </w:tcBorders>
            <w:vAlign w:val="center"/>
          </w:tcPr>
          <w:p>
            <w:pPr>
              <w:pStyle w:val="41"/>
              <w:rPr>
                <w:color w:val="auto"/>
                <w:highlight w:val="none"/>
              </w:rPr>
            </w:pPr>
            <w:r>
              <w:rPr>
                <w:rFonts w:hint="eastAsia"/>
                <w:color w:val="auto"/>
                <w:highlight w:val="none"/>
              </w:rPr>
              <w:t>实际处理量</w:t>
            </w:r>
          </w:p>
        </w:tc>
        <w:tc>
          <w:tcPr>
            <w:tcW w:w="562" w:type="pct"/>
            <w:tcBorders>
              <w:tl2br w:val="nil"/>
              <w:tr2bl w:val="nil"/>
            </w:tcBorders>
            <w:vAlign w:val="center"/>
          </w:tcPr>
          <w:p>
            <w:pPr>
              <w:pStyle w:val="41"/>
              <w:rPr>
                <w:color w:val="auto"/>
                <w:highlight w:val="none"/>
              </w:rPr>
            </w:pPr>
            <w:r>
              <w:rPr>
                <w:rFonts w:hint="eastAsia"/>
                <w:color w:val="auto"/>
                <w:highlight w:val="none"/>
              </w:rPr>
              <w:t>富余能力</w:t>
            </w:r>
          </w:p>
        </w:tc>
        <w:tc>
          <w:tcPr>
            <w:tcW w:w="1086" w:type="pct"/>
            <w:tcBorders>
              <w:tl2br w:val="nil"/>
              <w:tr2bl w:val="nil"/>
            </w:tcBorders>
            <w:vAlign w:val="center"/>
          </w:tcPr>
          <w:p>
            <w:pPr>
              <w:pStyle w:val="41"/>
              <w:rPr>
                <w:color w:val="auto"/>
                <w:highlight w:val="none"/>
              </w:rPr>
            </w:pPr>
            <w:r>
              <w:rPr>
                <w:rFonts w:hint="eastAsia"/>
                <w:color w:val="auto"/>
                <w:highlight w:val="none"/>
              </w:rPr>
              <w:t>本项目需处理量</w:t>
            </w:r>
          </w:p>
        </w:tc>
        <w:tc>
          <w:tcPr>
            <w:tcW w:w="727" w:type="pct"/>
            <w:tcBorders>
              <w:tl2br w:val="nil"/>
              <w:tr2bl w:val="nil"/>
            </w:tcBorders>
            <w:vAlign w:val="center"/>
          </w:tcPr>
          <w:p>
            <w:pPr>
              <w:pStyle w:val="41"/>
              <w:rPr>
                <w:color w:val="auto"/>
                <w:highlight w:val="none"/>
              </w:rPr>
            </w:pPr>
            <w:r>
              <w:rPr>
                <w:rFonts w:hint="eastAsia"/>
                <w:color w:val="auto"/>
                <w:highlight w:val="none"/>
              </w:rPr>
              <w:t>依托可行性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4" w:type="pct"/>
            <w:tcBorders>
              <w:tl2br w:val="nil"/>
              <w:tr2bl w:val="nil"/>
            </w:tcBorders>
            <w:vAlign w:val="center"/>
          </w:tcPr>
          <w:p>
            <w:pPr>
              <w:pStyle w:val="41"/>
              <w:rPr>
                <w:color w:val="auto"/>
                <w:highlight w:val="none"/>
              </w:rPr>
            </w:pPr>
            <w:r>
              <w:rPr>
                <w:rFonts w:hint="eastAsia"/>
                <w:color w:val="auto"/>
                <w:highlight w:val="none"/>
                <w:lang w:val="en-US" w:eastAsia="zh-CN"/>
              </w:rPr>
              <w:t>原油</w:t>
            </w:r>
            <w:r>
              <w:rPr>
                <w:rFonts w:hint="eastAsia"/>
                <w:color w:val="auto"/>
                <w:highlight w:val="none"/>
              </w:rPr>
              <w:t>×10</w:t>
            </w:r>
            <w:r>
              <w:rPr>
                <w:rFonts w:hint="eastAsia"/>
                <w:color w:val="auto"/>
                <w:highlight w:val="none"/>
                <w:vertAlign w:val="superscript"/>
              </w:rPr>
              <w:t>4</w:t>
            </w:r>
            <w:r>
              <w:rPr>
                <w:rFonts w:hint="default" w:ascii="Times New Roman" w:hAnsi="Times New Roman" w:cs="Times New Roman"/>
                <w:color w:val="auto"/>
                <w:spacing w:val="-11"/>
                <w:sz w:val="21"/>
                <w:szCs w:val="21"/>
                <w:highlight w:val="none"/>
                <w:shd w:val="clear" w:color="auto" w:fill="auto"/>
              </w:rPr>
              <w:t>t/a</w:t>
            </w:r>
          </w:p>
        </w:tc>
        <w:tc>
          <w:tcPr>
            <w:tcW w:w="631"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150</w:t>
            </w:r>
          </w:p>
        </w:tc>
        <w:tc>
          <w:tcPr>
            <w:tcW w:w="647"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64.27</w:t>
            </w:r>
          </w:p>
        </w:tc>
        <w:tc>
          <w:tcPr>
            <w:tcW w:w="562" w:type="pct"/>
            <w:tcBorders>
              <w:tl2br w:val="nil"/>
              <w:tr2bl w:val="nil"/>
            </w:tcBorders>
            <w:vAlign w:val="center"/>
          </w:tcPr>
          <w:p>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85.73</w:t>
            </w:r>
          </w:p>
        </w:tc>
        <w:tc>
          <w:tcPr>
            <w:tcW w:w="1086" w:type="pct"/>
            <w:tcBorders>
              <w:tl2br w:val="nil"/>
              <w:tr2bl w:val="nil"/>
            </w:tcBorders>
            <w:vAlign w:val="center"/>
          </w:tcPr>
          <w:p>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15.5</w:t>
            </w:r>
          </w:p>
        </w:tc>
        <w:tc>
          <w:tcPr>
            <w:tcW w:w="727" w:type="pct"/>
            <w:tcBorders>
              <w:tl2br w:val="nil"/>
              <w:tr2bl w:val="nil"/>
            </w:tcBorders>
            <w:vAlign w:val="center"/>
          </w:tcPr>
          <w:p>
            <w:pPr>
              <w:pStyle w:val="41"/>
              <w:rPr>
                <w:color w:val="auto"/>
                <w:highlight w:val="none"/>
              </w:rPr>
            </w:pPr>
            <w:r>
              <w:rPr>
                <w:rFonts w:hint="eastAsia"/>
                <w:color w:val="auto"/>
                <w:highlight w:val="none"/>
              </w:rPr>
              <w:t>可依托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4" w:type="pct"/>
            <w:tcBorders>
              <w:tl2br w:val="nil"/>
              <w:tr2bl w:val="nil"/>
            </w:tcBorders>
            <w:vAlign w:val="center"/>
          </w:tcPr>
          <w:p>
            <w:pPr>
              <w:pStyle w:val="41"/>
              <w:rPr>
                <w:color w:val="auto"/>
                <w:highlight w:val="none"/>
              </w:rPr>
            </w:pPr>
            <w:r>
              <w:rPr>
                <w:rFonts w:hint="eastAsia"/>
                <w:color w:val="auto"/>
                <w:highlight w:val="none"/>
              </w:rPr>
              <w:t>采出水m</w:t>
            </w:r>
            <w:r>
              <w:rPr>
                <w:rFonts w:hint="eastAsia"/>
                <w:color w:val="auto"/>
                <w:highlight w:val="none"/>
                <w:vertAlign w:val="superscript"/>
              </w:rPr>
              <w:t>3</w:t>
            </w:r>
            <w:r>
              <w:rPr>
                <w:rFonts w:hint="eastAsia"/>
                <w:color w:val="auto"/>
                <w:highlight w:val="none"/>
              </w:rPr>
              <w:t>/d</w:t>
            </w:r>
          </w:p>
        </w:tc>
        <w:tc>
          <w:tcPr>
            <w:tcW w:w="631"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40000</w:t>
            </w:r>
          </w:p>
        </w:tc>
        <w:tc>
          <w:tcPr>
            <w:tcW w:w="647"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35000</w:t>
            </w:r>
          </w:p>
        </w:tc>
        <w:tc>
          <w:tcPr>
            <w:tcW w:w="562" w:type="pct"/>
            <w:tcBorders>
              <w:tl2br w:val="nil"/>
              <w:tr2bl w:val="nil"/>
            </w:tcBorders>
            <w:vAlign w:val="center"/>
          </w:tcPr>
          <w:p>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5000</w:t>
            </w:r>
          </w:p>
        </w:tc>
        <w:tc>
          <w:tcPr>
            <w:tcW w:w="1086" w:type="pct"/>
            <w:tcBorders>
              <w:tl2br w:val="nil"/>
              <w:tr2bl w:val="nil"/>
            </w:tcBorders>
            <w:vAlign w:val="center"/>
          </w:tcPr>
          <w:p>
            <w:pPr>
              <w:pStyle w:val="41"/>
              <w:rPr>
                <w:rFonts w:hint="default" w:eastAsia="宋体"/>
                <w:color w:val="auto"/>
                <w:sz w:val="21"/>
                <w:szCs w:val="21"/>
                <w:highlight w:val="none"/>
                <w:lang w:val="en-US" w:eastAsia="zh-CN"/>
              </w:rPr>
            </w:pPr>
            <w:r>
              <w:rPr>
                <w:rFonts w:hint="eastAsia"/>
                <w:color w:val="auto"/>
                <w:sz w:val="21"/>
                <w:szCs w:val="21"/>
                <w:highlight w:val="none"/>
                <w:lang w:val="en-US" w:eastAsia="zh-CN"/>
              </w:rPr>
              <w:t>118.5（3.91×10</w:t>
            </w:r>
            <w:r>
              <w:rPr>
                <w:rFonts w:hint="eastAsia"/>
                <w:color w:val="auto"/>
                <w:sz w:val="21"/>
                <w:szCs w:val="21"/>
                <w:highlight w:val="none"/>
                <w:vertAlign w:val="superscript"/>
                <w:lang w:val="en-US" w:eastAsia="zh-CN"/>
              </w:rPr>
              <w:t>4</w:t>
            </w:r>
            <w:r>
              <w:rPr>
                <w:rFonts w:hint="eastAsia"/>
                <w:color w:val="auto"/>
                <w:sz w:val="21"/>
                <w:szCs w:val="21"/>
                <w:highlight w:val="none"/>
                <w:lang w:val="en-US" w:eastAsia="zh-CN"/>
              </w:rPr>
              <w:t>t/a）</w:t>
            </w:r>
          </w:p>
        </w:tc>
        <w:tc>
          <w:tcPr>
            <w:tcW w:w="727" w:type="pct"/>
            <w:tcBorders>
              <w:tl2br w:val="nil"/>
              <w:tr2bl w:val="nil"/>
            </w:tcBorders>
            <w:vAlign w:val="center"/>
          </w:tcPr>
          <w:p>
            <w:pPr>
              <w:pStyle w:val="41"/>
              <w:rPr>
                <w:color w:val="auto"/>
                <w:highlight w:val="none"/>
              </w:rPr>
            </w:pPr>
            <w:r>
              <w:rPr>
                <w:rFonts w:hint="eastAsia"/>
                <w:color w:val="auto"/>
                <w:highlight w:val="none"/>
              </w:rPr>
              <w:t>可依托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44"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压裂返排液</w:t>
            </w:r>
            <w:r>
              <w:rPr>
                <w:rFonts w:hint="eastAsia"/>
                <w:color w:val="auto"/>
                <w:highlight w:val="none"/>
              </w:rPr>
              <w:t>m</w:t>
            </w:r>
            <w:r>
              <w:rPr>
                <w:rFonts w:hint="eastAsia"/>
                <w:color w:val="auto"/>
                <w:highlight w:val="none"/>
                <w:vertAlign w:val="superscript"/>
              </w:rPr>
              <w:t>3</w:t>
            </w:r>
            <w:r>
              <w:rPr>
                <w:rFonts w:hint="eastAsia"/>
                <w:color w:val="auto"/>
                <w:highlight w:val="none"/>
              </w:rPr>
              <w:t>/d</w:t>
            </w:r>
          </w:p>
        </w:tc>
        <w:tc>
          <w:tcPr>
            <w:tcW w:w="631" w:type="pct"/>
            <w:tcBorders>
              <w:tl2br w:val="nil"/>
              <w:tr2bl w:val="nil"/>
            </w:tcBorders>
            <w:vAlign w:val="center"/>
          </w:tcPr>
          <w:p>
            <w:pPr>
              <w:pStyle w:val="41"/>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40000</w:t>
            </w:r>
          </w:p>
        </w:tc>
        <w:tc>
          <w:tcPr>
            <w:tcW w:w="647" w:type="pct"/>
            <w:tcBorders>
              <w:tl2br w:val="nil"/>
              <w:tr2bl w:val="nil"/>
            </w:tcBorders>
            <w:vAlign w:val="center"/>
          </w:tcPr>
          <w:p>
            <w:pPr>
              <w:pStyle w:val="41"/>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lang w:val="en-US" w:eastAsia="zh-CN"/>
              </w:rPr>
              <w:t>35000</w:t>
            </w:r>
          </w:p>
        </w:tc>
        <w:tc>
          <w:tcPr>
            <w:tcW w:w="562" w:type="pct"/>
            <w:tcBorders>
              <w:tl2br w:val="nil"/>
              <w:tr2bl w:val="nil"/>
            </w:tcBorders>
            <w:vAlign w:val="center"/>
          </w:tcPr>
          <w:p>
            <w:pPr>
              <w:pStyle w:val="41"/>
              <w:ind w:firstLine="0" w:firstLineChars="0"/>
              <w:rPr>
                <w:rFonts w:hint="eastAsia" w:ascii="Times New Roman" w:hAnsi="Times New Roman" w:eastAsia="宋体" w:cs="Times New Roman"/>
                <w:color w:val="auto"/>
                <w:sz w:val="21"/>
                <w:szCs w:val="21"/>
                <w:highlight w:val="none"/>
                <w:lang w:val="en-US" w:eastAsia="zh-CN" w:bidi="ar-SA"/>
              </w:rPr>
            </w:pPr>
            <w:r>
              <w:rPr>
                <w:rFonts w:hint="eastAsia"/>
                <w:color w:val="auto"/>
                <w:sz w:val="21"/>
                <w:szCs w:val="21"/>
                <w:highlight w:val="none"/>
                <w:lang w:val="en-US" w:eastAsia="zh-CN"/>
              </w:rPr>
              <w:t>5000</w:t>
            </w:r>
          </w:p>
        </w:tc>
        <w:tc>
          <w:tcPr>
            <w:tcW w:w="1086" w:type="pct"/>
            <w:tcBorders>
              <w:tl2br w:val="nil"/>
              <w:tr2bl w:val="nil"/>
            </w:tcBorders>
            <w:vAlign w:val="center"/>
          </w:tcPr>
          <w:p>
            <w:pPr>
              <w:pStyle w:val="41"/>
              <w:rPr>
                <w:rFonts w:hint="eastAsia"/>
                <w:color w:val="auto"/>
                <w:sz w:val="21"/>
                <w:szCs w:val="21"/>
                <w:highlight w:val="none"/>
                <w:lang w:val="en-US" w:eastAsia="zh-CN"/>
              </w:rPr>
            </w:pPr>
            <w:r>
              <w:rPr>
                <w:rFonts w:hint="eastAsia" w:ascii="Times New Roman" w:hAnsi="Times New Roman" w:eastAsia="宋体" w:cs="Times New Roman"/>
                <w:color w:val="auto"/>
                <w:highlight w:val="none"/>
                <w:lang w:val="en-US" w:eastAsia="zh-CN"/>
              </w:rPr>
              <w:t>22050m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vertAlign w:val="baseline"/>
                <w:lang w:val="en-US" w:eastAsia="zh-CN"/>
              </w:rPr>
              <w:t>（单井3150</w:t>
            </w:r>
            <w:r>
              <w:rPr>
                <w:rFonts w:hint="eastAsia" w:ascii="Times New Roman" w:hAnsi="Times New Roman" w:eastAsia="宋体" w:cs="Times New Roman"/>
                <w:color w:val="auto"/>
                <w:highlight w:val="none"/>
                <w:lang w:val="en-US" w:eastAsia="zh-CN"/>
              </w:rPr>
              <w:t>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vertAlign w:val="baseline"/>
                <w:lang w:val="en-US" w:eastAsia="zh-CN"/>
              </w:rPr>
              <w:t>）</w:t>
            </w:r>
          </w:p>
        </w:tc>
        <w:tc>
          <w:tcPr>
            <w:tcW w:w="727" w:type="pct"/>
            <w:tcBorders>
              <w:tl2br w:val="nil"/>
              <w:tr2bl w:val="nil"/>
            </w:tcBorders>
            <w:vAlign w:val="center"/>
          </w:tcPr>
          <w:p>
            <w:pPr>
              <w:pStyle w:val="41"/>
              <w:rPr>
                <w:rFonts w:hint="eastAsia"/>
                <w:color w:val="auto"/>
                <w:highlight w:val="none"/>
              </w:rPr>
            </w:pPr>
            <w:r>
              <w:rPr>
                <w:rFonts w:hint="eastAsia"/>
                <w:color w:val="auto"/>
                <w:highlight w:val="none"/>
              </w:rPr>
              <w:t>可依托</w:t>
            </w:r>
          </w:p>
        </w:tc>
      </w:tr>
    </w:tbl>
    <w:p>
      <w:pPr>
        <w:pStyle w:val="6"/>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.4.6.2夏子街天然气增压站</w:t>
      </w:r>
    </w:p>
    <w:p>
      <w:pPr>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1</w:t>
      </w:r>
      <w:r>
        <w:rPr>
          <w:rFonts w:hint="eastAsia" w:ascii="Times New Roman" w:hAnsi="Times New Roman" w:eastAsia="宋体" w:cs="Times New Roman"/>
          <w:color w:val="auto"/>
          <w:sz w:val="24"/>
          <w:highlight w:val="none"/>
          <w:lang w:eastAsia="zh-CN"/>
        </w:rPr>
        <w:t>）</w:t>
      </w:r>
      <w:r>
        <w:rPr>
          <w:rFonts w:hint="eastAsia" w:ascii="Times New Roman" w:hAnsi="Times New Roman" w:eastAsia="宋体" w:cs="Times New Roman"/>
          <w:color w:val="auto"/>
          <w:sz w:val="24"/>
          <w:highlight w:val="none"/>
          <w:lang w:val="en-US" w:eastAsia="zh-CN"/>
        </w:rPr>
        <w:t>基本情况</w:t>
      </w:r>
    </w:p>
    <w:p>
      <w:pPr>
        <w:pStyle w:val="33"/>
        <w:keepNext w:val="0"/>
        <w:keepLines w:val="0"/>
        <w:pageBreakBefore w:val="0"/>
        <w:kinsoku/>
        <w:wordWrap/>
        <w:overflowPunct/>
        <w:topLinePunct w:val="0"/>
        <w:autoSpaceDE/>
        <w:autoSpaceDN/>
        <w:bidi w:val="0"/>
        <w:adjustRightInd/>
        <w:snapToGrid/>
        <w:spacing w:after="0" w:line="480" w:lineRule="exact"/>
        <w:ind w:left="0" w:leftChars="0" w:firstLine="480"/>
        <w:textAlignment w:val="auto"/>
        <w:rPr>
          <w:color w:val="auto"/>
          <w:highlight w:val="none"/>
        </w:rPr>
      </w:pPr>
      <w:r>
        <w:rPr>
          <w:rFonts w:hint="eastAsia" w:ascii="Times New Roman" w:hAnsi="Times New Roman" w:eastAsia="宋体" w:cs="Times New Roman"/>
          <w:color w:val="auto"/>
          <w:sz w:val="24"/>
          <w:highlight w:val="none"/>
        </w:rPr>
        <w:t>夏子街天然气增压站是夏～百输气管线的首站，于1992年建成投产</w:t>
      </w:r>
      <w:r>
        <w:rPr>
          <w:rFonts w:hint="eastAsia" w:cs="Times New Roman"/>
          <w:color w:val="auto"/>
          <w:sz w:val="24"/>
          <w:highlight w:val="none"/>
          <w:lang w:eastAsia="zh-CN"/>
        </w:rPr>
        <w:t>。</w:t>
      </w:r>
      <w:r>
        <w:rPr>
          <w:rFonts w:hint="eastAsia" w:ascii="Times New Roman" w:hAnsi="Times New Roman" w:eastAsia="宋体" w:cs="Times New Roman"/>
          <w:color w:val="auto"/>
          <w:sz w:val="24"/>
          <w:highlight w:val="none"/>
        </w:rPr>
        <w:t>该站设计增压规模为20×10</w:t>
      </w:r>
      <w:r>
        <w:rPr>
          <w:rFonts w:hint="eastAsia" w:ascii="Times New Roman" w:hAnsi="Times New Roman" w:eastAsia="宋体" w:cs="Times New Roman"/>
          <w:color w:val="auto"/>
          <w:sz w:val="24"/>
          <w:highlight w:val="none"/>
          <w:vertAlign w:val="superscript"/>
        </w:rPr>
        <w:t>4</w:t>
      </w:r>
      <w:r>
        <w:rPr>
          <w:rFonts w:hint="eastAsia" w:ascii="Times New Roman" w:hAnsi="Times New Roman" w:eastAsia="宋体" w:cs="Times New Roman"/>
          <w:color w:val="auto"/>
          <w:sz w:val="24"/>
          <w:highlight w:val="none"/>
        </w:rPr>
        <w:t>Nm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/d，</w:t>
      </w:r>
      <w:r>
        <w:rPr>
          <w:rFonts w:ascii="Times New Roman" w:hAnsi="Times New Roman"/>
          <w:color w:val="auto"/>
          <w:sz w:val="24"/>
          <w:lang w:val="zh-CN"/>
        </w:rPr>
        <w:t>采用增压三甘醇脱水外输工艺，处理后干气外输至夏百线。目前增压站已建有1台燃驱压缩机（设计能力15×10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/d），1台电驱压缩机（设计能力6×10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/d），目前实际处理量为13~15×10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/d。2024年10月实施“新疆油田燃气驱压缩机节能技术改造工程”，将已建15×10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/d燃气压缩机更换为20×10</w:t>
      </w:r>
      <w:r>
        <w:rPr>
          <w:rFonts w:ascii="Times New Roman" w:hAnsi="Times New Roman"/>
          <w:color w:val="auto"/>
          <w:sz w:val="24"/>
          <w:vertAlign w:val="superscript"/>
          <w:lang w:val="zh-CN"/>
        </w:rPr>
        <w:t>4</w:t>
      </w:r>
      <w:r>
        <w:rPr>
          <w:rFonts w:ascii="Times New Roman" w:hAnsi="Times New Roman"/>
          <w:color w:val="auto"/>
          <w:sz w:val="24"/>
          <w:lang w:val="zh-CN"/>
        </w:rPr>
        <w:t>m</w:t>
      </w:r>
      <w:r>
        <w:rPr>
          <w:rFonts w:ascii="Times New Roman" w:hAnsi="Times New Roman"/>
          <w:color w:val="auto"/>
          <w:sz w:val="24"/>
          <w:vertAlign w:val="superscript"/>
          <w:lang w:val="zh-CN"/>
        </w:rPr>
        <w:t>3</w:t>
      </w:r>
      <w:r>
        <w:rPr>
          <w:rFonts w:ascii="Times New Roman" w:hAnsi="Times New Roman"/>
          <w:color w:val="auto"/>
          <w:sz w:val="24"/>
          <w:lang w:val="zh-CN"/>
        </w:rPr>
        <w:t>/d螺杆电驱压缩机，预计2025年8月施工完成</w:t>
      </w:r>
      <w:r>
        <w:rPr>
          <w:rFonts w:hint="eastAsia"/>
          <w:b w:val="0"/>
          <w:bCs/>
          <w:color w:val="auto"/>
          <w:sz w:val="24"/>
          <w:szCs w:val="24"/>
          <w:highlight w:val="none"/>
        </w:rPr>
        <w:t>。</w:t>
      </w:r>
    </w:p>
    <w:p>
      <w:pPr>
        <w:pStyle w:val="57"/>
        <w:keepNext w:val="0"/>
        <w:keepLines w:val="0"/>
        <w:pageBreakBefore w:val="0"/>
        <w:kinsoku/>
        <w:wordWrap/>
        <w:overflowPunct/>
        <w:topLinePunct w:val="0"/>
        <w:autoSpaceDE/>
        <w:autoSpaceDN/>
        <w:bidi w:val="0"/>
        <w:adjustRightInd/>
        <w:snapToGrid/>
        <w:spacing w:line="480" w:lineRule="exact"/>
        <w:textAlignment w:val="auto"/>
        <w:rPr>
          <w:rFonts w:hint="default" w:eastAsia="宋体"/>
          <w:color w:val="auto"/>
          <w:highlight w:val="none"/>
          <w:lang w:val="en-US"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伴生气处理</w:t>
      </w:r>
    </w:p>
    <w:p>
      <w:pPr>
        <w:pStyle w:val="57"/>
        <w:keepNext w:val="0"/>
        <w:keepLines w:val="0"/>
        <w:pageBreakBefore w:val="0"/>
        <w:kinsoku/>
        <w:wordWrap/>
        <w:overflowPunct/>
        <w:topLinePunct w:val="0"/>
        <w:autoSpaceDE/>
        <w:autoSpaceDN/>
        <w:bidi w:val="0"/>
        <w:adjustRightInd/>
        <w:snapToGrid/>
        <w:spacing w:line="480" w:lineRule="exact"/>
        <w:textAlignment w:val="auto"/>
        <w:rPr>
          <w:rFonts w:hint="eastAsia"/>
          <w:color w:val="auto"/>
          <w:sz w:val="24"/>
          <w:lang w:val="zh-CN"/>
        </w:rPr>
      </w:pPr>
      <w:r>
        <w:rPr>
          <w:rFonts w:ascii="Times New Roman" w:hAnsi="Times New Roman"/>
          <w:color w:val="auto"/>
          <w:sz w:val="24"/>
          <w:lang w:val="zh-CN"/>
        </w:rPr>
        <w:t>夏子街</w:t>
      </w:r>
      <w:r>
        <w:rPr>
          <w:rFonts w:hint="eastAsia"/>
          <w:color w:val="auto"/>
          <w:sz w:val="24"/>
          <w:lang w:val="en-US" w:eastAsia="zh-CN"/>
        </w:rPr>
        <w:t>油田</w:t>
      </w:r>
      <w:r>
        <w:rPr>
          <w:rFonts w:ascii="Times New Roman" w:hAnsi="Times New Roman"/>
          <w:color w:val="auto"/>
          <w:sz w:val="24"/>
          <w:lang w:val="zh-CN"/>
        </w:rPr>
        <w:t>来伴生气（0.15~0.35MPa，20~25℃）进入增压站低压生产分离器，经气液分离后通过压缩机增压至1.6MPa，空冷至45～50℃后，再经高压生产分离器分离后，进入三甘醇脱水橇进行脱水处理后的干气一部分内部自用燃料气，其余干气通过D273×7夏～百输气管线外输，统一调配。高压气井来气与压缩机出口伴生气混合后接入高压生产分离器，统一进行脱水处理</w:t>
      </w:r>
      <w:r>
        <w:rPr>
          <w:rFonts w:hint="eastAsia"/>
          <w:color w:val="auto"/>
          <w:sz w:val="24"/>
          <w:lang w:val="zh-CN"/>
        </w:rPr>
        <w:t>。</w:t>
      </w: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eastAsia" w:ascii="黑体" w:hAnsi="黑体" w:eastAsia="黑体" w:cs="Times New Roman"/>
          <w:b/>
          <w:color w:val="auto"/>
          <w:kern w:val="2"/>
          <w:sz w:val="21"/>
          <w:szCs w:val="20"/>
          <w:highlight w:val="none"/>
          <w:lang w:val="en-US" w:eastAsia="zh-CN" w:bidi="ar-SA"/>
        </w:rPr>
      </w:pPr>
      <w:r>
        <w:rPr>
          <w:rFonts w:hint="eastAsia" w:ascii="黑体" w:hAnsi="黑体" w:eastAsia="黑体" w:cs="Times New Roman"/>
          <w:b/>
          <w:color w:val="auto"/>
          <w:kern w:val="2"/>
          <w:sz w:val="21"/>
          <w:szCs w:val="20"/>
          <w:highlight w:val="none"/>
          <w:lang w:val="en-US" w:eastAsia="zh-CN" w:bidi="ar-SA"/>
        </w:rPr>
        <w:t>图3.2-9   夏子街增压站工艺流程图</w:t>
      </w:r>
    </w:p>
    <w:p>
      <w:pPr>
        <w:pStyle w:val="57"/>
        <w:keepNext w:val="0"/>
        <w:keepLines w:val="0"/>
        <w:pageBreakBefore w:val="0"/>
        <w:kinsoku/>
        <w:wordWrap/>
        <w:overflowPunct/>
        <w:topLinePunct w:val="0"/>
        <w:autoSpaceDE/>
        <w:autoSpaceDN/>
        <w:bidi w:val="0"/>
        <w:adjustRightInd/>
        <w:snapToGrid/>
        <w:spacing w:line="480" w:lineRule="exact"/>
        <w:textAlignment w:val="auto"/>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）依托可行性</w:t>
      </w:r>
    </w:p>
    <w:p>
      <w:pPr>
        <w:pStyle w:val="57"/>
        <w:keepNext w:val="0"/>
        <w:keepLines w:val="0"/>
        <w:pageBreakBefore w:val="0"/>
        <w:kinsoku/>
        <w:wordWrap/>
        <w:overflowPunct/>
        <w:topLinePunct w:val="0"/>
        <w:autoSpaceDE/>
        <w:autoSpaceDN/>
        <w:bidi w:val="0"/>
        <w:adjustRightInd/>
        <w:snapToGrid/>
        <w:spacing w:line="480" w:lineRule="exact"/>
        <w:textAlignment w:val="auto"/>
        <w:rPr>
          <w:color w:val="auto"/>
          <w:highlight w:val="none"/>
        </w:rPr>
      </w:pPr>
      <w:r>
        <w:rPr>
          <w:rFonts w:hint="eastAsia"/>
          <w:b w:val="0"/>
          <w:bCs/>
          <w:color w:val="auto"/>
          <w:sz w:val="24"/>
          <w:highlight w:val="none"/>
        </w:rPr>
        <w:t>本工程伴生气产生量最大约</w:t>
      </w:r>
      <w:r>
        <w:rPr>
          <w:rFonts w:hint="eastAsia"/>
          <w:b w:val="0"/>
          <w:bCs/>
          <w:color w:val="auto"/>
          <w:sz w:val="24"/>
          <w:highlight w:val="none"/>
          <w:lang w:val="en-US" w:eastAsia="zh-CN"/>
        </w:rPr>
        <w:t>1.74×10</w:t>
      </w:r>
      <w:r>
        <w:rPr>
          <w:rFonts w:hint="eastAsia"/>
          <w:b w:val="0"/>
          <w:bCs/>
          <w:color w:val="auto"/>
          <w:sz w:val="24"/>
          <w:highlight w:val="none"/>
          <w:vertAlign w:val="superscript"/>
          <w:lang w:val="en-US" w:eastAsia="zh-CN"/>
        </w:rPr>
        <w:t>4</w:t>
      </w:r>
      <w:r>
        <w:rPr>
          <w:rFonts w:hint="eastAsia"/>
          <w:b w:val="0"/>
          <w:bCs/>
          <w:color w:val="auto"/>
          <w:sz w:val="24"/>
          <w:highlight w:val="none"/>
          <w:lang w:val="en-US" w:eastAsia="zh-CN"/>
        </w:rPr>
        <w:t>m³/a</w:t>
      </w:r>
      <w:r>
        <w:rPr>
          <w:rFonts w:hint="eastAsia"/>
          <w:b w:val="0"/>
          <w:bCs/>
          <w:color w:val="auto"/>
          <w:sz w:val="24"/>
          <w:highlight w:val="none"/>
        </w:rPr>
        <w:t>，</w:t>
      </w:r>
      <w:r>
        <w:rPr>
          <w:rFonts w:hint="eastAsia" w:ascii="Times New Roman" w:hAnsi="Times New Roman" w:eastAsia="宋体" w:cs="Times New Roman"/>
          <w:b w:val="0"/>
          <w:bCs/>
          <w:color w:val="auto"/>
          <w:sz w:val="24"/>
          <w:highlight w:val="none"/>
        </w:rPr>
        <w:t>夏子街伴生气增压站设计增压规模为20×10</w:t>
      </w:r>
      <w:r>
        <w:rPr>
          <w:rFonts w:hint="eastAsia" w:ascii="Times New Roman" w:hAnsi="Times New Roman" w:eastAsia="宋体" w:cs="Times New Roman"/>
          <w:b w:val="0"/>
          <w:bCs/>
          <w:color w:val="auto"/>
          <w:sz w:val="24"/>
          <w:highlight w:val="none"/>
          <w:vertAlign w:val="superscript"/>
        </w:rPr>
        <w:t>4</w:t>
      </w:r>
      <w:r>
        <w:rPr>
          <w:rFonts w:hint="eastAsia" w:ascii="Times New Roman" w:hAnsi="Times New Roman" w:eastAsia="宋体" w:cs="Times New Roman"/>
          <w:b w:val="0"/>
          <w:bCs/>
          <w:color w:val="auto"/>
          <w:sz w:val="24"/>
          <w:highlight w:val="none"/>
        </w:rPr>
        <w:t>Nm</w:t>
      </w:r>
      <w:r>
        <w:rPr>
          <w:rFonts w:hint="eastAsia" w:ascii="Times New Roman" w:hAnsi="Times New Roman" w:eastAsia="宋体" w:cs="Times New Roman"/>
          <w:b w:val="0"/>
          <w:bCs/>
          <w:color w:val="auto"/>
          <w:sz w:val="24"/>
          <w:highlight w:val="none"/>
          <w:vertAlign w:val="superscript"/>
        </w:rPr>
        <w:t>3</w:t>
      </w:r>
      <w:r>
        <w:rPr>
          <w:rFonts w:hint="eastAsia" w:ascii="Times New Roman" w:hAnsi="Times New Roman" w:eastAsia="宋体" w:cs="Times New Roman"/>
          <w:b w:val="0"/>
          <w:bCs/>
          <w:color w:val="auto"/>
          <w:sz w:val="24"/>
          <w:highlight w:val="none"/>
        </w:rPr>
        <w:t>/d，目前实际增压伴生气气量为</w:t>
      </w:r>
      <w:r>
        <w:rPr>
          <w:rFonts w:hint="eastAsia" w:cs="Times New Roman"/>
          <w:b w:val="0"/>
          <w:bCs/>
          <w:color w:val="auto"/>
          <w:sz w:val="24"/>
          <w:highlight w:val="none"/>
          <w:lang w:val="en-US" w:eastAsia="zh-CN"/>
        </w:rPr>
        <w:t>15</w:t>
      </w:r>
      <w:r>
        <w:rPr>
          <w:rFonts w:hint="eastAsia" w:ascii="Times New Roman" w:hAnsi="Times New Roman" w:eastAsia="宋体" w:cs="Times New Roman"/>
          <w:b w:val="0"/>
          <w:bCs/>
          <w:color w:val="auto"/>
          <w:sz w:val="24"/>
          <w:highlight w:val="none"/>
        </w:rPr>
        <w:t>×10</w:t>
      </w:r>
      <w:r>
        <w:rPr>
          <w:rFonts w:hint="eastAsia" w:ascii="Times New Roman" w:hAnsi="Times New Roman" w:eastAsia="宋体" w:cs="Times New Roman"/>
          <w:b w:val="0"/>
          <w:bCs/>
          <w:color w:val="auto"/>
          <w:sz w:val="24"/>
          <w:highlight w:val="none"/>
          <w:vertAlign w:val="superscript"/>
        </w:rPr>
        <w:t>4</w:t>
      </w:r>
      <w:r>
        <w:rPr>
          <w:rFonts w:hint="eastAsia" w:ascii="Times New Roman" w:hAnsi="Times New Roman" w:eastAsia="宋体" w:cs="Times New Roman"/>
          <w:b w:val="0"/>
          <w:bCs/>
          <w:color w:val="auto"/>
          <w:sz w:val="24"/>
          <w:highlight w:val="none"/>
        </w:rPr>
        <w:t>Nm</w:t>
      </w:r>
      <w:r>
        <w:rPr>
          <w:rFonts w:hint="eastAsia" w:ascii="Times New Roman" w:hAnsi="Times New Roman" w:eastAsia="宋体" w:cs="Times New Roman"/>
          <w:b w:val="0"/>
          <w:bCs/>
          <w:color w:val="auto"/>
          <w:sz w:val="24"/>
          <w:highlight w:val="none"/>
          <w:vertAlign w:val="superscript"/>
        </w:rPr>
        <w:t>3</w:t>
      </w:r>
      <w:r>
        <w:rPr>
          <w:rFonts w:hint="eastAsia" w:ascii="Times New Roman" w:hAnsi="Times New Roman" w:eastAsia="宋体" w:cs="Times New Roman"/>
          <w:b w:val="0"/>
          <w:bCs/>
          <w:color w:val="auto"/>
          <w:sz w:val="24"/>
          <w:highlight w:val="none"/>
        </w:rPr>
        <w:t>/d</w:t>
      </w:r>
      <w:r>
        <w:rPr>
          <w:rFonts w:hint="eastAsia"/>
          <w:b w:val="0"/>
          <w:bCs/>
          <w:color w:val="auto"/>
          <w:sz w:val="24"/>
          <w:highlight w:val="none"/>
        </w:rPr>
        <w:t>。</w:t>
      </w:r>
      <w:r>
        <w:rPr>
          <w:rFonts w:hint="eastAsia"/>
          <w:b w:val="0"/>
          <w:bCs/>
          <w:color w:val="auto"/>
          <w:sz w:val="24"/>
          <w:szCs w:val="24"/>
          <w:highlight w:val="none"/>
        </w:rPr>
        <w:t>可以满足本</w:t>
      </w:r>
      <w:r>
        <w:rPr>
          <w:rFonts w:hint="eastAsia"/>
          <w:b w:val="0"/>
          <w:bCs/>
          <w:color w:val="auto"/>
          <w:sz w:val="24"/>
          <w:highlight w:val="none"/>
        </w:rPr>
        <w:t>工程伴生气处理</w:t>
      </w:r>
      <w:r>
        <w:rPr>
          <w:rFonts w:hint="eastAsia"/>
          <w:b w:val="0"/>
          <w:bCs/>
          <w:color w:val="auto"/>
          <w:sz w:val="24"/>
          <w:szCs w:val="24"/>
          <w:highlight w:val="none"/>
        </w:rPr>
        <w:t>需求</w:t>
      </w:r>
      <w:r>
        <w:rPr>
          <w:rFonts w:hint="eastAsia"/>
          <w:color w:val="auto"/>
          <w:highlight w:val="none"/>
        </w:rPr>
        <w:t>。</w:t>
      </w:r>
    </w:p>
    <w:p>
      <w:pPr>
        <w:pStyle w:val="6"/>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.4.6.3克拉玛依明华环境工程有限公司（乌尔禾区生活污水处理厂）</w:t>
      </w:r>
    </w:p>
    <w:p>
      <w:pPr>
        <w:pStyle w:val="87"/>
        <w:pageBreakBefore w:val="0"/>
        <w:kinsoku/>
        <w:wordWrap/>
        <w:overflowPunct/>
        <w:topLinePunct w:val="0"/>
        <w:autoSpaceDE/>
        <w:autoSpaceDN/>
        <w:bidi w:val="0"/>
        <w:spacing w:line="480" w:lineRule="exact"/>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（1）基本情况</w:t>
      </w:r>
    </w:p>
    <w:p>
      <w:pPr>
        <w:pStyle w:val="87"/>
        <w:pageBreakBefore w:val="0"/>
        <w:kinsoku/>
        <w:wordWrap/>
        <w:overflowPunct/>
        <w:topLinePunct w:val="0"/>
        <w:autoSpaceDE/>
        <w:autoSpaceDN/>
        <w:bidi w:val="0"/>
        <w:spacing w:line="480" w:lineRule="exact"/>
        <w:jc w:val="both"/>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克拉玛依明华环境工程有限公司（乌尔禾区生活污水处理厂）</w:t>
      </w:r>
      <w:r>
        <w:rPr>
          <w:rFonts w:hint="default" w:ascii="Times New Roman" w:hAnsi="Times New Roman" w:eastAsia="宋体" w:cs="Times New Roman"/>
          <w:color w:val="auto"/>
          <w:sz w:val="24"/>
          <w:szCs w:val="24"/>
          <w:lang w:val="en-US" w:eastAsia="zh-CN"/>
        </w:rPr>
        <w:t>位于乌尔禾区西南方向10km处，</w:t>
      </w:r>
      <w:r>
        <w:rPr>
          <w:rFonts w:hint="eastAsia" w:ascii="Times New Roman" w:hAnsi="Times New Roman" w:eastAsia="宋体" w:cs="Times New Roman"/>
          <w:color w:val="auto"/>
          <w:sz w:val="24"/>
          <w:szCs w:val="24"/>
          <w:lang w:val="en-US" w:eastAsia="zh-CN"/>
        </w:rPr>
        <w:t>乌尔禾区生活污水处理厂于2010年取得原自治区生态环境厅批复新环评审函〔2010〕116号，2014年取得原克拉玛依市环境保护局环境竣工验收批复克环保函〔2014〕437号；乌尔禾区生活污水处理厂提标改造工程于2018年</w:t>
      </w:r>
      <w:r>
        <w:rPr>
          <w:rFonts w:hint="eastAsia" w:ascii="Times New Roman" w:hAnsi="宋体" w:eastAsia="宋体" w:cs="Times New Roman"/>
          <w:color w:val="auto"/>
          <w:sz w:val="24"/>
          <w:szCs w:val="24"/>
          <w:highlight w:val="none"/>
          <w:lang w:val="en-US" w:eastAsia="zh-CN"/>
        </w:rPr>
        <w:t>3月24日取得原克拉玛依市生态环境局批复克乌环函〔2018〕17号，</w:t>
      </w:r>
      <w:r>
        <w:rPr>
          <w:rFonts w:hint="default" w:ascii="Times New Roman" w:hAnsi="Times New Roman" w:eastAsia="宋体" w:cs="Times New Roman"/>
          <w:color w:val="auto"/>
          <w:sz w:val="24"/>
          <w:szCs w:val="24"/>
          <w:lang w:val="en-US" w:eastAsia="zh-CN"/>
        </w:rPr>
        <w:t>2018年</w:t>
      </w:r>
      <w:r>
        <w:rPr>
          <w:rFonts w:hint="default" w:ascii="Times New Roman" w:hAnsi="Times New Roman" w:cs="Times New Roman"/>
          <w:color w:val="auto"/>
          <w:sz w:val="24"/>
          <w:szCs w:val="24"/>
          <w:lang w:val="en-US" w:eastAsia="zh-CN"/>
        </w:rPr>
        <w:t>6</w:t>
      </w:r>
      <w:r>
        <w:rPr>
          <w:rFonts w:hint="default" w:ascii="Times New Roman" w:hAnsi="Times New Roman" w:eastAsia="宋体" w:cs="Times New Roman"/>
          <w:color w:val="auto"/>
          <w:sz w:val="24"/>
          <w:szCs w:val="24"/>
          <w:lang w:val="en-US" w:eastAsia="zh-CN"/>
        </w:rPr>
        <w:t>月通过竣工环保验收。</w:t>
      </w:r>
    </w:p>
    <w:p>
      <w:pPr>
        <w:pStyle w:val="87"/>
        <w:pageBreakBefore w:val="0"/>
        <w:kinsoku/>
        <w:wordWrap/>
        <w:overflowPunct/>
        <w:topLinePunct w:val="0"/>
        <w:autoSpaceDE/>
        <w:autoSpaceDN/>
        <w:bidi w:val="0"/>
        <w:spacing w:line="480" w:lineRule="exact"/>
        <w:jc w:val="both"/>
        <w:textAlignment w:val="auto"/>
        <w:rPr>
          <w:rFonts w:hint="eastAsia" w:ascii="Times New Roman" w:hAnsi="Times New Roman" w:cs="Times New Roman"/>
          <w:color w:val="auto"/>
          <w:sz w:val="24"/>
          <w:szCs w:val="24"/>
          <w:lang w:val="en-US" w:eastAsia="zh-CN"/>
        </w:rPr>
      </w:pPr>
      <w:r>
        <w:rPr>
          <w:rFonts w:hint="eastAsia" w:ascii="Times New Roman" w:hAnsi="Times New Roman" w:cs="Times New Roman"/>
          <w:color w:val="auto"/>
          <w:sz w:val="24"/>
          <w:szCs w:val="24"/>
          <w:lang w:val="en-US" w:eastAsia="zh-CN"/>
        </w:rPr>
        <w:t>（2）工艺及规模</w:t>
      </w:r>
    </w:p>
    <w:p>
      <w:pPr>
        <w:pStyle w:val="87"/>
        <w:pageBreakBefore w:val="0"/>
        <w:kinsoku/>
        <w:wordWrap/>
        <w:overflowPunct/>
        <w:topLinePunct w:val="0"/>
        <w:autoSpaceDE/>
        <w:autoSpaceDN/>
        <w:bidi w:val="0"/>
        <w:spacing w:line="480" w:lineRule="exact"/>
        <w:jc w:val="both"/>
        <w:textAlignment w:val="auto"/>
        <w:rPr>
          <w:rFonts w:hint="default" w:ascii="Times New Roman" w:hAnsi="宋体" w:eastAsia="宋体" w:cs="Times New Roman"/>
          <w:color w:val="auto"/>
          <w:sz w:val="24"/>
          <w:szCs w:val="24"/>
          <w:highlight w:val="none"/>
          <w:lang w:val="en-US" w:eastAsia="zh-CN"/>
        </w:rPr>
      </w:pPr>
      <w:r>
        <w:rPr>
          <w:rFonts w:hint="eastAsia" w:ascii="Times New Roman" w:hAnsi="Times New Roman" w:cs="Times New Roman"/>
          <w:color w:val="auto"/>
          <w:sz w:val="24"/>
          <w:szCs w:val="24"/>
          <w:lang w:val="en-US" w:eastAsia="zh-CN"/>
        </w:rPr>
        <w:t>克拉玛依明华环境工程有限公司（乌尔禾区生活污水处理厂）</w:t>
      </w:r>
      <w:r>
        <w:rPr>
          <w:rFonts w:hint="default" w:ascii="Times New Roman" w:hAnsi="Times New Roman" w:cs="Times New Roman"/>
          <w:color w:val="auto"/>
          <w:sz w:val="24"/>
          <w:szCs w:val="24"/>
        </w:rPr>
        <w:t>占地25600m</w:t>
      </w:r>
      <w:r>
        <w:rPr>
          <w:rFonts w:hint="default" w:ascii="Times New Roman" w:hAnsi="Times New Roman" w:cs="Times New Roman"/>
          <w:color w:val="auto"/>
          <w:sz w:val="24"/>
          <w:szCs w:val="24"/>
          <w:vertAlign w:val="superscript"/>
        </w:rPr>
        <w:t>2</w:t>
      </w:r>
      <w:r>
        <w:rPr>
          <w:rFonts w:hint="default" w:ascii="Times New Roman" w:hAnsi="Times New Roman" w:cs="Times New Roman"/>
          <w:color w:val="auto"/>
          <w:sz w:val="24"/>
          <w:szCs w:val="24"/>
        </w:rPr>
        <w:t>，由粗格栅间及提升泵房、细格栅及旋流沉砂池、CASS生化池、污泥脱水间、出水消毒间、办公楼、机修间等组成，设计处理规模为6000</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rPr>
        <w:t>/d，预留远期6000</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rPr>
        <w:t>/d扩建位置</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乌尔禾区生活污水处理厂</w:t>
      </w:r>
      <w:r>
        <w:rPr>
          <w:rFonts w:hint="default" w:ascii="Times New Roman" w:hAnsi="Times New Roman" w:cs="Times New Roman"/>
          <w:color w:val="auto"/>
          <w:sz w:val="24"/>
          <w:szCs w:val="24"/>
        </w:rPr>
        <w:t>采用三级深度处理工艺，即：进水→粗格栅及进水泵房→细格栅及沉砂池→MBBR生化池→反硝化滤池→混凝沉淀池→转盘滤池→次氯酸钠接触消毒池→出水，出水水质达到《城镇污水处理厂污染物排放标准》（GB18918-2002）中的一级A标准</w:t>
      </w:r>
      <w:r>
        <w:rPr>
          <w:rFonts w:hint="eastAsia" w:ascii="Times New Roman" w:hAnsi="宋体" w:eastAsia="宋体" w:cs="Times New Roman"/>
          <w:color w:val="auto"/>
          <w:sz w:val="24"/>
          <w:szCs w:val="24"/>
          <w:highlight w:val="none"/>
          <w:lang w:val="en-US" w:eastAsia="zh-CN"/>
        </w:rPr>
        <w:t>。</w:t>
      </w:r>
    </w:p>
    <w:p>
      <w:pPr>
        <w:pStyle w:val="88"/>
        <w:pageBreakBefore w:val="0"/>
        <w:widowControl/>
        <w:kinsoku/>
        <w:wordWrap/>
        <w:overflowPunct/>
        <w:topLinePunct w:val="0"/>
        <w:autoSpaceDE/>
        <w:autoSpaceDN/>
        <w:bidi w:val="0"/>
        <w:spacing w:line="480" w:lineRule="exact"/>
        <w:ind w:firstLine="480"/>
        <w:jc w:val="both"/>
        <w:textAlignment w:val="auto"/>
        <w:rPr>
          <w:rFonts w:ascii="Times New Roman" w:hAnsi="Times New Roman"/>
          <w:color w:val="auto"/>
          <w:highlight w:val="none"/>
        </w:rPr>
      </w:pPr>
      <w:r>
        <w:rPr>
          <w:rFonts w:hint="eastAsia" w:ascii="Times New Roman" w:hAnsi="Times New Roman"/>
          <w:color w:val="auto"/>
          <w:highlight w:val="none"/>
        </w:rPr>
        <w:t>（3）依托可行性分析</w:t>
      </w:r>
    </w:p>
    <w:p>
      <w:pPr>
        <w:pStyle w:val="88"/>
        <w:pageBreakBefore w:val="0"/>
        <w:widowControl/>
        <w:kinsoku/>
        <w:wordWrap/>
        <w:overflowPunct/>
        <w:topLinePunct w:val="0"/>
        <w:autoSpaceDE/>
        <w:autoSpaceDN/>
        <w:bidi w:val="0"/>
        <w:spacing w:line="480" w:lineRule="exact"/>
        <w:ind w:firstLine="480"/>
        <w:jc w:val="both"/>
        <w:textAlignment w:val="auto"/>
        <w:rPr>
          <w:rFonts w:ascii="Times New Roman" w:hAnsi="Times New Roman"/>
          <w:color w:val="auto"/>
          <w:highlight w:val="none"/>
        </w:rPr>
      </w:pPr>
      <w:r>
        <w:rPr>
          <w:rFonts w:hint="eastAsia" w:ascii="Times New Roman" w:hAnsi="Times New Roman"/>
          <w:color w:val="auto"/>
          <w:highlight w:val="none"/>
        </w:rPr>
        <w:t>目前，乌尔禾区生活污水处理厂实际处理规模为6000m</w:t>
      </w:r>
      <w:r>
        <w:rPr>
          <w:rFonts w:hint="eastAsia" w:ascii="Times New Roman" w:hAnsi="Times New Roman"/>
          <w:color w:val="auto"/>
          <w:highlight w:val="none"/>
          <w:vertAlign w:val="superscript"/>
        </w:rPr>
        <w:t>3</w:t>
      </w:r>
      <w:r>
        <w:rPr>
          <w:rFonts w:hint="eastAsia" w:ascii="Times New Roman" w:hAnsi="Times New Roman"/>
          <w:color w:val="auto"/>
          <w:highlight w:val="none"/>
        </w:rPr>
        <w:t>/d，目前剩余能力约为</w:t>
      </w:r>
      <w:r>
        <w:rPr>
          <w:rFonts w:hint="eastAsia" w:ascii="Times New Roman" w:hAnsi="Times New Roman"/>
          <w:color w:val="auto"/>
          <w:highlight w:val="none"/>
          <w:lang w:val="en-US" w:eastAsia="zh-CN"/>
        </w:rPr>
        <w:t>2500</w:t>
      </w:r>
      <w:r>
        <w:rPr>
          <w:rFonts w:hint="eastAsia" w:ascii="Times New Roman" w:hAnsi="Times New Roman"/>
          <w:color w:val="auto"/>
          <w:highlight w:val="none"/>
        </w:rPr>
        <w:t>m</w:t>
      </w:r>
      <w:r>
        <w:rPr>
          <w:rFonts w:hint="eastAsia" w:ascii="Times New Roman" w:hAnsi="Times New Roman"/>
          <w:color w:val="auto"/>
          <w:highlight w:val="none"/>
          <w:vertAlign w:val="superscript"/>
        </w:rPr>
        <w:t>3</w:t>
      </w:r>
      <w:r>
        <w:rPr>
          <w:rFonts w:hint="eastAsia" w:ascii="Times New Roman" w:hAnsi="Times New Roman"/>
          <w:color w:val="auto"/>
          <w:highlight w:val="none"/>
        </w:rPr>
        <w:t>/d。本工程施工期钻井队的生活污水</w:t>
      </w:r>
      <w:r>
        <w:rPr>
          <w:rFonts w:hint="eastAsia" w:ascii="Times New Roman" w:hAnsi="Times New Roman"/>
          <w:color w:val="auto"/>
          <w:highlight w:val="none"/>
          <w:lang w:val="en-US" w:eastAsia="zh-CN"/>
        </w:rPr>
        <w:t>总</w:t>
      </w:r>
      <w:r>
        <w:rPr>
          <w:rFonts w:hint="eastAsia" w:ascii="Times New Roman" w:hAnsi="Times New Roman"/>
          <w:color w:val="auto"/>
          <w:highlight w:val="none"/>
        </w:rPr>
        <w:t>产生量为</w:t>
      </w:r>
      <w:r>
        <w:rPr>
          <w:rFonts w:hint="eastAsia" w:ascii="Times New Roman" w:hAnsi="Times New Roman"/>
          <w:color w:val="auto"/>
          <w:highlight w:val="none"/>
          <w:lang w:val="en-US" w:eastAsia="zh-CN"/>
        </w:rPr>
        <w:t>2073.6</w:t>
      </w:r>
      <w:r>
        <w:rPr>
          <w:rFonts w:hint="eastAsia" w:ascii="Times New Roman" w:hAnsi="Times New Roman"/>
          <w:color w:val="auto"/>
          <w:highlight w:val="none"/>
        </w:rPr>
        <w:t>m³，因此本工程施工期钻井队的生活污水依托乌尔禾区生活污水处理厂处理，是可行的</w:t>
      </w:r>
      <w:r>
        <w:rPr>
          <w:rFonts w:ascii="Times New Roman" w:hAnsi="Times New Roman"/>
          <w:color w:val="auto"/>
          <w:highlight w:val="none"/>
        </w:rPr>
        <w:t>。</w:t>
      </w:r>
    </w:p>
    <w:p>
      <w:pPr>
        <w:pStyle w:val="6"/>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.4.6.4乌</w:t>
      </w:r>
      <w:r>
        <w:rPr>
          <w:rFonts w:hint="eastAsia"/>
          <w:color w:val="auto"/>
          <w:highlight w:val="none"/>
          <w:lang w:eastAsia="zh-CN"/>
        </w:rPr>
        <w:t>尔禾区生活垃圾填埋场</w:t>
      </w:r>
    </w:p>
    <w:p>
      <w:pPr>
        <w:pStyle w:val="87"/>
        <w:pageBreakBefore w:val="0"/>
        <w:kinsoku/>
        <w:wordWrap/>
        <w:overflowPunct/>
        <w:topLinePunct w:val="0"/>
        <w:autoSpaceDE/>
        <w:autoSpaceDN/>
        <w:bidi w:val="0"/>
        <w:spacing w:line="480" w:lineRule="exact"/>
        <w:jc w:val="both"/>
        <w:textAlignment w:val="auto"/>
        <w:rPr>
          <w:rFonts w:hint="eastAsia"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（1）基本情况</w:t>
      </w:r>
    </w:p>
    <w:p>
      <w:pPr>
        <w:pStyle w:val="57"/>
        <w:rPr>
          <w:rFonts w:hint="eastAsia" w:ascii="Times New Roman" w:hAnsi="Times New Roman" w:eastAsia="宋体" w:cs="Times New Roman"/>
          <w:color w:val="auto"/>
          <w:highlight w:val="none"/>
          <w:lang w:val="en-US" w:eastAsia="zh-CN"/>
        </w:rPr>
      </w:pPr>
      <w:r>
        <w:rPr>
          <w:rFonts w:hint="default" w:ascii="Times New Roman" w:hAnsi="Times New Roman" w:cs="Times New Roman"/>
          <w:b w:val="0"/>
          <w:bCs w:val="0"/>
          <w:color w:val="auto"/>
          <w:lang w:val="en-US" w:eastAsia="zh-CN"/>
        </w:rPr>
        <w:t>乌尔禾区</w:t>
      </w:r>
      <w:r>
        <w:rPr>
          <w:rFonts w:hint="default" w:ascii="Times New Roman" w:hAnsi="Times New Roman" w:eastAsia="宋体" w:cs="Times New Roman"/>
          <w:b w:val="0"/>
          <w:bCs w:val="0"/>
          <w:color w:val="auto"/>
          <w:lang w:val="en-US" w:eastAsia="zh-CN"/>
        </w:rPr>
        <w:t>生活垃圾填埋场</w:t>
      </w:r>
      <w:r>
        <w:rPr>
          <w:rFonts w:hint="default" w:ascii="Times New Roman" w:hAnsi="Times New Roman" w:eastAsia="宋体" w:cs="Times New Roman"/>
          <w:color w:val="auto"/>
          <w:lang w:val="en-US" w:eastAsia="zh-CN"/>
        </w:rPr>
        <w:t>位于</w:t>
      </w:r>
      <w:r>
        <w:rPr>
          <w:rFonts w:hint="default" w:ascii="Times New Roman" w:hAnsi="Times New Roman" w:cs="Times New Roman"/>
          <w:color w:val="auto"/>
          <w:lang w:val="en-US" w:eastAsia="zh-CN"/>
        </w:rPr>
        <w:t>乌尔禾区西</w:t>
      </w:r>
      <w:r>
        <w:rPr>
          <w:rFonts w:hint="default" w:ascii="Times New Roman" w:hAnsi="Times New Roman" w:eastAsia="宋体" w:cs="Times New Roman"/>
          <w:color w:val="auto"/>
        </w:rPr>
        <w:t>南</w:t>
      </w:r>
      <w:r>
        <w:rPr>
          <w:rFonts w:hint="default" w:ascii="Times New Roman" w:hAnsi="Times New Roman" w:cs="Times New Roman"/>
          <w:color w:val="auto"/>
          <w:lang w:val="en-US" w:eastAsia="zh-CN"/>
        </w:rPr>
        <w:t>7km</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rPr>
        <w:t>采用卫生填埋处理工艺，该生活垃圾填埋场的环境影响报告书于2016年7月27日取得克拉玛依市环境保护局的批复并通过了竣工环境保护验收，环评批复文号为克环保函</w:t>
      </w:r>
      <w:r>
        <w:rPr>
          <w:rFonts w:hint="eastAsia" w:ascii="Times New Roman" w:hAnsi="宋体" w:eastAsia="宋体" w:cs="Times New Roman"/>
          <w:color w:val="auto"/>
          <w:sz w:val="24"/>
          <w:szCs w:val="24"/>
          <w:highlight w:val="none"/>
          <w:lang w:val="en-US" w:eastAsia="zh-CN"/>
        </w:rPr>
        <w:t>〔2016〕</w:t>
      </w:r>
      <w:r>
        <w:rPr>
          <w:rFonts w:hint="default" w:ascii="Times New Roman" w:hAnsi="Times New Roman" w:eastAsia="宋体" w:cs="Times New Roman"/>
          <w:color w:val="auto"/>
        </w:rPr>
        <w:t>376号</w:t>
      </w:r>
      <w:r>
        <w:rPr>
          <w:rFonts w:hint="eastAsia" w:ascii="Times New Roman" w:hAnsi="Times New Roman" w:eastAsia="宋体" w:cs="Times New Roman"/>
          <w:color w:val="auto"/>
          <w:lang w:eastAsia="zh-CN"/>
        </w:rPr>
        <w:t>，</w:t>
      </w:r>
      <w:r>
        <w:rPr>
          <w:rFonts w:hint="default" w:ascii="Times New Roman" w:hAnsi="Times New Roman" w:eastAsia="宋体" w:cs="Times New Roman"/>
          <w:color w:val="auto"/>
          <w:lang w:val="en-US" w:eastAsia="zh-CN"/>
        </w:rPr>
        <w:t>2018年</w:t>
      </w:r>
      <w:r>
        <w:rPr>
          <w:rFonts w:hint="default" w:ascii="Times New Roman" w:hAnsi="Times New Roman" w:cs="Times New Roman"/>
          <w:color w:val="auto"/>
          <w:lang w:val="en-US" w:eastAsia="zh-CN"/>
        </w:rPr>
        <w:t>6</w:t>
      </w:r>
      <w:r>
        <w:rPr>
          <w:rFonts w:hint="default" w:ascii="Times New Roman" w:hAnsi="Times New Roman" w:eastAsia="宋体" w:cs="Times New Roman"/>
          <w:color w:val="auto"/>
          <w:lang w:val="en-US" w:eastAsia="zh-CN"/>
        </w:rPr>
        <w:t>月通过竣工环保验收</w:t>
      </w:r>
      <w:r>
        <w:rPr>
          <w:rFonts w:hint="eastAsia" w:ascii="Times New Roman" w:hAnsi="Times New Roman" w:eastAsia="宋体" w:cs="Times New Roman"/>
          <w:color w:val="auto"/>
          <w:highlight w:val="none"/>
          <w:lang w:val="en-US" w:eastAsia="zh-CN"/>
        </w:rPr>
        <w:t>。</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（2）工艺及规模</w:t>
      </w:r>
    </w:p>
    <w:p>
      <w:pPr>
        <w:pStyle w:val="57"/>
        <w:rPr>
          <w:rFonts w:hint="eastAsia"/>
          <w:color w:val="auto"/>
          <w:highlight w:val="none"/>
        </w:rPr>
      </w:pPr>
      <w:r>
        <w:rPr>
          <w:rFonts w:hint="eastAsia" w:ascii="Times New Roman" w:hAnsi="Times New Roman" w:eastAsia="宋体" w:cs="Times New Roman"/>
          <w:color w:val="auto"/>
          <w:highlight w:val="none"/>
          <w:lang w:val="en-US" w:eastAsia="zh-CN"/>
        </w:rPr>
        <w:t>乌尔禾区生活垃圾填埋场包括两部分：管理区和填埋库区，填埋区边坡及库底防渗衬里结构由下至上依次为：原地基整平、压实，压实度＞93%；300mm厚场地土（粒径＜5mm），压实度＞93%；4800g/m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钠基膨润土防水垫；1.5mm厚高密度聚乙烯防渗土工膜（HDPE土工膜）；600g/m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无纺土工布；300mm厚卵砾石层（粒径20～40mm）；200g/m</w:t>
      </w:r>
      <w:r>
        <w:rPr>
          <w:rFonts w:hint="eastAsia" w:ascii="Times New Roman" w:hAnsi="Times New Roman" w:eastAsia="宋体" w:cs="Times New Roman"/>
          <w:color w:val="auto"/>
          <w:highlight w:val="none"/>
          <w:vertAlign w:val="superscript"/>
          <w:lang w:val="en-US" w:eastAsia="zh-CN"/>
        </w:rPr>
        <w:t>2</w:t>
      </w:r>
      <w:r>
        <w:rPr>
          <w:rFonts w:hint="eastAsia" w:ascii="Times New Roman" w:hAnsi="Times New Roman" w:eastAsia="宋体" w:cs="Times New Roman"/>
          <w:color w:val="auto"/>
          <w:highlight w:val="none"/>
          <w:lang w:val="en-US" w:eastAsia="zh-CN"/>
        </w:rPr>
        <w:t>土工滤网。设计防渗衬里总厚度约为600mm。垃圾填埋场设计总库容约240万立方米，实际有效库容为190万立方米，目前已经使用库容50万立方米</w:t>
      </w:r>
    </w:p>
    <w:p>
      <w:pPr>
        <w:pStyle w:val="88"/>
        <w:pageBreakBefore w:val="0"/>
        <w:widowControl/>
        <w:kinsoku/>
        <w:wordWrap/>
        <w:overflowPunct/>
        <w:topLinePunct w:val="0"/>
        <w:autoSpaceDE/>
        <w:autoSpaceDN/>
        <w:bidi w:val="0"/>
        <w:spacing w:line="480" w:lineRule="exact"/>
        <w:ind w:firstLine="480"/>
        <w:jc w:val="both"/>
        <w:textAlignment w:val="auto"/>
        <w:rPr>
          <w:rFonts w:ascii="Times New Roman" w:hAnsi="Times New Roman"/>
          <w:color w:val="auto"/>
          <w:highlight w:val="none"/>
        </w:rPr>
      </w:pPr>
      <w:r>
        <w:rPr>
          <w:rFonts w:hint="eastAsia" w:ascii="Times New Roman" w:hAnsi="Times New Roman"/>
          <w:color w:val="auto"/>
          <w:highlight w:val="none"/>
        </w:rPr>
        <w:t>（3）依托可行性分析</w:t>
      </w:r>
    </w:p>
    <w:p>
      <w:pPr>
        <w:pStyle w:val="57"/>
        <w:rPr>
          <w:rFonts w:hint="eastAsia"/>
          <w:color w:val="auto"/>
          <w:highlight w:val="none"/>
        </w:rPr>
      </w:pPr>
      <w:r>
        <w:rPr>
          <w:rFonts w:hint="eastAsia"/>
          <w:color w:val="auto"/>
          <w:highlight w:val="none"/>
        </w:rPr>
        <w:t>本工程施工期钻井队的生活垃圾依托乌尔禾区生活垃圾填埋场填埋处置，设计总库容约240万立方米，实际有效库容为192万立方米，目前已经使用库容</w:t>
      </w:r>
      <w:r>
        <w:rPr>
          <w:rFonts w:hint="eastAsia"/>
          <w:color w:val="auto"/>
          <w:highlight w:val="none"/>
          <w:lang w:val="en-US" w:eastAsia="zh-CN"/>
        </w:rPr>
        <w:t>50</w:t>
      </w:r>
      <w:r>
        <w:rPr>
          <w:rFonts w:hint="eastAsia"/>
          <w:color w:val="auto"/>
          <w:highlight w:val="none"/>
        </w:rPr>
        <w:t>万立方米，剩余库容可以容纳本工程的施工期钻井队的生活垃圾。</w:t>
      </w:r>
    </w:p>
    <w:p>
      <w:pPr>
        <w:pStyle w:val="57"/>
        <w:rPr>
          <w:rFonts w:hint="eastAsia"/>
          <w:color w:val="auto"/>
          <w:highlight w:val="none"/>
          <w:lang w:eastAsia="zh-CN"/>
        </w:rPr>
      </w:pPr>
      <w:r>
        <w:rPr>
          <w:rFonts w:hint="eastAsia"/>
          <w:color w:val="auto"/>
          <w:highlight w:val="none"/>
        </w:rPr>
        <w:t>本工程施工期钻井队的生活垃圾产生量为</w:t>
      </w:r>
      <w:r>
        <w:rPr>
          <w:rFonts w:hint="eastAsia"/>
          <w:color w:val="auto"/>
          <w:highlight w:val="none"/>
          <w:lang w:val="en-US" w:eastAsia="zh-CN"/>
        </w:rPr>
        <w:t>16.2</w:t>
      </w:r>
      <w:r>
        <w:rPr>
          <w:rFonts w:hint="eastAsia"/>
          <w:color w:val="auto"/>
          <w:highlight w:val="none"/>
        </w:rPr>
        <w:t>t，统一收集至乌尔禾区生活垃圾填埋场填埋是可行的</w:t>
      </w:r>
      <w:r>
        <w:rPr>
          <w:rFonts w:hint="eastAsia"/>
          <w:color w:val="auto"/>
          <w:highlight w:val="none"/>
          <w:lang w:eastAsia="zh-CN"/>
        </w:rPr>
        <w:t>。</w:t>
      </w:r>
    </w:p>
    <w:p>
      <w:pPr>
        <w:pStyle w:val="6"/>
        <w:rPr>
          <w:color w:val="auto"/>
          <w:highlight w:val="none"/>
        </w:rPr>
      </w:pPr>
      <w:r>
        <w:rPr>
          <w:rFonts w:hint="eastAsia"/>
          <w:color w:val="auto"/>
          <w:highlight w:val="none"/>
        </w:rPr>
        <w:t>3.</w:t>
      </w:r>
      <w:r>
        <w:rPr>
          <w:rFonts w:hint="eastAsia"/>
          <w:color w:val="auto"/>
          <w:highlight w:val="none"/>
          <w:lang w:val="en-US" w:eastAsia="zh-CN"/>
        </w:rPr>
        <w:t>2</w:t>
      </w:r>
      <w:r>
        <w:rPr>
          <w:rFonts w:hint="eastAsia"/>
          <w:color w:val="auto"/>
          <w:highlight w:val="none"/>
        </w:rPr>
        <w:t>.4.6.</w:t>
      </w:r>
      <w:r>
        <w:rPr>
          <w:rFonts w:hint="eastAsia"/>
          <w:color w:val="auto"/>
          <w:highlight w:val="none"/>
          <w:lang w:val="en-US" w:eastAsia="zh-CN"/>
        </w:rPr>
        <w:t>5</w:t>
      </w:r>
      <w:r>
        <w:rPr>
          <w:rFonts w:hint="eastAsia"/>
          <w:color w:val="auto"/>
          <w:highlight w:val="none"/>
        </w:rPr>
        <w:t>克拉玛依顺通环保科技有限责任公司</w:t>
      </w:r>
    </w:p>
    <w:p>
      <w:pPr>
        <w:keepNext w:val="0"/>
        <w:keepLines w:val="0"/>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（1）基本情况</w:t>
      </w:r>
    </w:p>
    <w:p>
      <w:pPr>
        <w:pStyle w:val="64"/>
        <w:keepNext w:val="0"/>
        <w:keepLines w:val="0"/>
        <w:pageBreakBefore w:val="0"/>
        <w:tabs>
          <w:tab w:val="left" w:leader="dot" w:pos="8820"/>
        </w:tabs>
        <w:kinsoku/>
        <w:wordWrap/>
        <w:overflowPunct/>
        <w:topLinePunct w:val="0"/>
        <w:autoSpaceDE/>
        <w:autoSpaceDN/>
        <w:bidi w:val="0"/>
        <w:spacing w:line="480" w:lineRule="exact"/>
        <w:ind w:firstLine="480"/>
        <w:jc w:val="both"/>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lang w:eastAsia="zh-CN"/>
        </w:rPr>
        <w:t>本项目</w:t>
      </w:r>
      <w:r>
        <w:rPr>
          <w:rFonts w:hint="eastAsia" w:cs="Times New Roman"/>
          <w:color w:val="auto"/>
          <w:sz w:val="24"/>
          <w:szCs w:val="24"/>
          <w:highlight w:val="none"/>
          <w:shd w:val="clear" w:color="auto" w:fill="auto"/>
          <w:lang w:val="en-US" w:eastAsia="zh-CN"/>
        </w:rPr>
        <w:t>施工期和</w:t>
      </w:r>
      <w:r>
        <w:rPr>
          <w:rFonts w:hint="default" w:ascii="Times New Roman" w:hAnsi="Times New Roman" w:cs="Times New Roman"/>
          <w:color w:val="auto"/>
          <w:sz w:val="24"/>
          <w:szCs w:val="24"/>
          <w:highlight w:val="none"/>
          <w:shd w:val="clear" w:color="auto" w:fill="auto"/>
          <w:lang w:val="en-US" w:eastAsia="zh-CN"/>
        </w:rPr>
        <w:t>运营</w:t>
      </w:r>
      <w:r>
        <w:rPr>
          <w:rFonts w:hint="default" w:ascii="Times New Roman" w:hAnsi="Times New Roman" w:cs="Times New Roman"/>
          <w:color w:val="auto"/>
          <w:sz w:val="24"/>
          <w:szCs w:val="24"/>
          <w:highlight w:val="none"/>
          <w:shd w:val="clear" w:color="auto" w:fill="auto"/>
        </w:rPr>
        <w:t>期</w:t>
      </w:r>
      <w:r>
        <w:rPr>
          <w:rFonts w:hint="default" w:ascii="Times New Roman" w:hAnsi="Times New Roman" w:cs="Times New Roman"/>
          <w:color w:val="auto"/>
          <w:sz w:val="24"/>
          <w:szCs w:val="24"/>
          <w:highlight w:val="none"/>
          <w:shd w:val="clear" w:color="auto" w:fill="auto"/>
          <w:lang w:bidi="ar"/>
        </w:rPr>
        <w:t>产生的</w:t>
      </w:r>
      <w:r>
        <w:rPr>
          <w:rFonts w:hint="eastAsia" w:cs="Times New Roman"/>
          <w:color w:val="auto"/>
          <w:sz w:val="24"/>
          <w:highlight w:val="none"/>
          <w:shd w:val="clear" w:color="auto" w:fill="auto"/>
          <w:lang w:val="en-US" w:eastAsia="zh-CN"/>
        </w:rPr>
        <w:t>含油废物</w:t>
      </w:r>
      <w:r>
        <w:rPr>
          <w:rFonts w:hint="default" w:ascii="Times New Roman" w:hAnsi="Times New Roman" w:cs="Times New Roman"/>
          <w:color w:val="auto"/>
          <w:sz w:val="24"/>
          <w:szCs w:val="24"/>
          <w:highlight w:val="none"/>
          <w:shd w:val="clear" w:color="auto" w:fill="auto"/>
        </w:rPr>
        <w:t>，属于危险废物（HW08），</w:t>
      </w:r>
      <w:r>
        <w:rPr>
          <w:rFonts w:hint="default" w:ascii="Times New Roman" w:hAnsi="Times New Roman" w:cs="Times New Roman"/>
          <w:color w:val="auto"/>
          <w:sz w:val="24"/>
          <w:szCs w:val="24"/>
          <w:highlight w:val="none"/>
          <w:shd w:val="clear" w:color="auto" w:fill="auto"/>
          <w:lang w:val="en-US" w:eastAsia="zh-CN"/>
        </w:rPr>
        <w:t>委托</w:t>
      </w:r>
      <w:r>
        <w:rPr>
          <w:rFonts w:hint="default" w:ascii="Times New Roman" w:hAnsi="Times New Roman" w:cs="Times New Roman"/>
          <w:color w:val="auto"/>
          <w:sz w:val="24"/>
          <w:szCs w:val="24"/>
          <w:highlight w:val="none"/>
          <w:shd w:val="clear" w:color="auto" w:fill="auto"/>
          <w:lang w:bidi="ar"/>
        </w:rPr>
        <w:t>顺通环</w:t>
      </w:r>
      <w:r>
        <w:rPr>
          <w:rFonts w:hint="default" w:ascii="Times New Roman" w:hAnsi="Times New Roman" w:cs="Times New Roman"/>
          <w:color w:val="auto"/>
          <w:sz w:val="24"/>
          <w:szCs w:val="24"/>
          <w:highlight w:val="none"/>
          <w:shd w:val="clear" w:color="auto" w:fill="auto"/>
        </w:rPr>
        <w:t>保有限责任公司进行处理</w:t>
      </w:r>
      <w:r>
        <w:rPr>
          <w:rFonts w:hint="eastAsia"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lang w:val="en-US" w:eastAsia="zh-CN"/>
        </w:rPr>
        <w:t>克拉玛依顺通环保科技有限责任公司（危险废物经营许可证编号：6502040039，有效期2023年4月17日—2028年4月16日）经营危险废物类别包括HW08废矿物油与含矿物油废物和HW49其他废物</w:t>
      </w:r>
      <w:r>
        <w:rPr>
          <w:rFonts w:hint="default" w:ascii="Times New Roman" w:hAnsi="Times New Roman" w:cs="Times New Roman"/>
          <w:color w:val="auto"/>
          <w:sz w:val="24"/>
          <w:szCs w:val="24"/>
          <w:highlight w:val="none"/>
          <w:shd w:val="clear" w:color="auto" w:fill="auto"/>
        </w:rPr>
        <w:t>。</w:t>
      </w:r>
    </w:p>
    <w:p>
      <w:pPr>
        <w:pStyle w:val="64"/>
        <w:keepNext w:val="0"/>
        <w:keepLines w:val="0"/>
        <w:pageBreakBefore w:val="0"/>
        <w:tabs>
          <w:tab w:val="left" w:leader="dot" w:pos="8820"/>
        </w:tabs>
        <w:kinsoku/>
        <w:wordWrap/>
        <w:overflowPunct/>
        <w:topLinePunct w:val="0"/>
        <w:autoSpaceDE/>
        <w:autoSpaceDN/>
        <w:bidi w:val="0"/>
        <w:spacing w:line="480" w:lineRule="exact"/>
        <w:ind w:firstLine="480"/>
        <w:jc w:val="both"/>
        <w:textAlignment w:val="auto"/>
        <w:rPr>
          <w:rFonts w:hint="eastAsia" w:ascii="Times New Roman" w:hAnsi="Times New Roman" w:eastAsia="宋体" w:cs="Times New Roman"/>
          <w:color w:val="auto"/>
          <w:sz w:val="24"/>
          <w:szCs w:val="24"/>
          <w:highlight w:val="none"/>
          <w:shd w:val="clear" w:color="auto" w:fill="auto"/>
          <w:lang w:val="zh-CN" w:eastAsia="zh-CN"/>
        </w:rPr>
      </w:pPr>
      <w:r>
        <w:rPr>
          <w:rFonts w:hint="default" w:ascii="Times New Roman" w:hAnsi="Times New Roman" w:eastAsia="宋体" w:cs="Times New Roman"/>
          <w:color w:val="auto"/>
          <w:sz w:val="24"/>
          <w:szCs w:val="24"/>
          <w:highlight w:val="none"/>
          <w:shd w:val="clear" w:color="auto" w:fill="auto"/>
          <w:lang w:val="zh-CN" w:eastAsia="zh-CN"/>
        </w:rPr>
        <w:t>克拉玛依顺通环保有限责任公司</w:t>
      </w:r>
      <w:r>
        <w:rPr>
          <w:rFonts w:hint="eastAsia" w:eastAsia="宋体" w:cs="Times New Roman"/>
          <w:color w:val="auto"/>
          <w:sz w:val="24"/>
          <w:szCs w:val="24"/>
          <w:highlight w:val="none"/>
          <w:shd w:val="clear" w:color="auto" w:fill="auto"/>
          <w:lang w:val="zh-CN" w:eastAsia="zh-CN"/>
        </w:rPr>
        <w:t>，</w:t>
      </w:r>
      <w:r>
        <w:rPr>
          <w:rFonts w:hint="default" w:ascii="Times New Roman" w:hAnsi="Times New Roman" w:cs="Times New Roman"/>
          <w:color w:val="auto"/>
          <w:sz w:val="24"/>
          <w:szCs w:val="24"/>
          <w:highlight w:val="none"/>
          <w:shd w:val="clear" w:color="auto" w:fill="auto"/>
        </w:rPr>
        <w:t>位于克拉玛依乌尔禾风城油田作业区重32井区以西</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E85°46′15.95″，N46°09′57.12″</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zh-CN" w:eastAsia="zh-CN"/>
        </w:rPr>
        <w:t>具备</w:t>
      </w:r>
      <w:r>
        <w:rPr>
          <w:rFonts w:hint="eastAsia" w:ascii="Times New Roman" w:hAnsi="Times New Roman" w:eastAsia="宋体" w:cs="Times New Roman"/>
          <w:color w:val="auto"/>
          <w:sz w:val="24"/>
          <w:szCs w:val="24"/>
          <w:highlight w:val="none"/>
          <w:shd w:val="clear" w:color="auto" w:fill="auto"/>
          <w:lang w:val="en-US" w:eastAsia="zh-CN"/>
        </w:rPr>
        <w:t>188</w:t>
      </w:r>
      <w:r>
        <w:rPr>
          <w:rFonts w:hint="eastAsia" w:ascii="Times New Roman" w:hAnsi="Times New Roman" w:eastAsia="宋体" w:cs="Times New Roman"/>
          <w:color w:val="auto"/>
          <w:sz w:val="24"/>
          <w:szCs w:val="24"/>
          <w:highlight w:val="none"/>
          <w:shd w:val="clear" w:color="auto" w:fill="auto"/>
          <w:lang w:val="zh-CN" w:eastAsia="zh-CN"/>
        </w:rPr>
        <w:t>万吨/年HW08类危险废弃物处置能力，厂内生产设施包括：1套</w:t>
      </w:r>
      <w:r>
        <w:rPr>
          <w:rFonts w:hint="eastAsia" w:ascii="Times New Roman" w:hAnsi="Times New Roman" w:eastAsia="宋体" w:cs="Times New Roman"/>
          <w:color w:val="auto"/>
          <w:sz w:val="24"/>
          <w:szCs w:val="24"/>
          <w:highlight w:val="none"/>
          <w:shd w:val="clear" w:color="auto" w:fill="auto"/>
          <w:lang w:val="en-US" w:eastAsia="zh-CN"/>
        </w:rPr>
        <w:t>52</w:t>
      </w:r>
      <w:r>
        <w:rPr>
          <w:rFonts w:hint="eastAsia" w:ascii="Times New Roman" w:hAnsi="Times New Roman" w:eastAsia="宋体" w:cs="Times New Roman"/>
          <w:color w:val="auto"/>
          <w:sz w:val="24"/>
          <w:szCs w:val="24"/>
          <w:highlight w:val="none"/>
          <w:shd w:val="clear" w:color="auto" w:fill="auto"/>
          <w:lang w:val="zh-CN" w:eastAsia="zh-CN"/>
        </w:rPr>
        <w:t>万吨/年化学水洗</w:t>
      </w:r>
      <w:r>
        <w:rPr>
          <w:rFonts w:hint="eastAsia" w:ascii="Times New Roman" w:hAnsi="Times New Roman" w:eastAsia="宋体" w:cs="Times New Roman"/>
          <w:color w:val="auto"/>
          <w:sz w:val="24"/>
          <w:szCs w:val="24"/>
          <w:highlight w:val="none"/>
          <w:shd w:val="clear" w:color="auto" w:fill="auto"/>
          <w:lang w:val="en-US" w:eastAsia="zh-CN"/>
        </w:rPr>
        <w:t>-助剂萃</w:t>
      </w:r>
      <w:r>
        <w:rPr>
          <w:rFonts w:hint="eastAsia" w:ascii="Times New Roman" w:hAnsi="Times New Roman" w:eastAsia="宋体" w:cs="Times New Roman"/>
          <w:color w:val="auto"/>
          <w:sz w:val="24"/>
          <w:szCs w:val="24"/>
          <w:highlight w:val="none"/>
          <w:shd w:val="clear" w:color="auto" w:fill="auto"/>
          <w:lang w:val="zh-CN" w:eastAsia="zh-CN"/>
        </w:rPr>
        <w:t>装置处置</w:t>
      </w:r>
      <w:r>
        <w:rPr>
          <w:rFonts w:hint="eastAsia" w:ascii="Times New Roman" w:hAnsi="Times New Roman" w:eastAsia="宋体" w:cs="Times New Roman"/>
          <w:color w:val="auto"/>
          <w:sz w:val="24"/>
          <w:szCs w:val="24"/>
          <w:highlight w:val="none"/>
          <w:shd w:val="clear" w:color="auto" w:fill="auto"/>
          <w:lang w:val="en-US" w:eastAsia="zh-CN"/>
        </w:rPr>
        <w:t>含油污泥</w:t>
      </w:r>
      <w:r>
        <w:rPr>
          <w:rFonts w:hint="eastAsia" w:ascii="Times New Roman" w:hAnsi="Times New Roman" w:eastAsia="宋体" w:cs="Times New Roman"/>
          <w:color w:val="auto"/>
          <w:sz w:val="24"/>
          <w:szCs w:val="24"/>
          <w:highlight w:val="none"/>
          <w:shd w:val="clear" w:color="auto" w:fill="auto"/>
          <w:lang w:val="zh-CN" w:eastAsia="zh-CN"/>
        </w:rPr>
        <w:t>；</w:t>
      </w:r>
      <w:r>
        <w:rPr>
          <w:rFonts w:hint="eastAsia" w:ascii="Times New Roman" w:hAnsi="Times New Roman" w:eastAsia="宋体" w:cs="Times New Roman"/>
          <w:color w:val="auto"/>
          <w:sz w:val="24"/>
          <w:szCs w:val="24"/>
          <w:highlight w:val="none"/>
          <w:shd w:val="clear" w:color="auto" w:fill="auto"/>
          <w:lang w:val="en-US" w:eastAsia="zh-CN"/>
        </w:rPr>
        <w:t>1套112万吨热解装置处置干化油泥98万吨/年、废矿物油7万吨/年、废防渗膜7万吨/年；1套24万吨/年含油废液处理装置</w:t>
      </w:r>
      <w:r>
        <w:rPr>
          <w:rFonts w:hint="eastAsia" w:ascii="Times New Roman" w:hAnsi="Times New Roman" w:eastAsia="宋体" w:cs="Times New Roman"/>
          <w:color w:val="auto"/>
          <w:sz w:val="24"/>
          <w:szCs w:val="24"/>
          <w:highlight w:val="none"/>
          <w:shd w:val="clear" w:color="auto" w:fill="auto"/>
          <w:lang w:val="zh-CN" w:eastAsia="zh-CN"/>
        </w:rPr>
        <w:t>。201</w:t>
      </w:r>
      <w:r>
        <w:rPr>
          <w:rFonts w:hint="eastAsia" w:ascii="Times New Roman" w:hAnsi="Times New Roman" w:eastAsia="宋体" w:cs="Times New Roman"/>
          <w:color w:val="auto"/>
          <w:sz w:val="24"/>
          <w:szCs w:val="24"/>
          <w:highlight w:val="none"/>
          <w:shd w:val="clear" w:color="auto" w:fill="auto"/>
          <w:lang w:val="en-US" w:eastAsia="zh-CN"/>
        </w:rPr>
        <w:t>8</w:t>
      </w:r>
      <w:r>
        <w:rPr>
          <w:rFonts w:hint="eastAsia" w:ascii="Times New Roman" w:hAnsi="Times New Roman" w:eastAsia="宋体" w:cs="Times New Roman"/>
          <w:color w:val="auto"/>
          <w:sz w:val="24"/>
          <w:szCs w:val="24"/>
          <w:highlight w:val="none"/>
          <w:shd w:val="clear" w:color="auto" w:fill="auto"/>
          <w:lang w:val="zh-CN" w:eastAsia="zh-CN"/>
        </w:rPr>
        <w:t>年</w:t>
      </w:r>
      <w:r>
        <w:rPr>
          <w:rFonts w:hint="eastAsia" w:ascii="Times New Roman" w:hAnsi="Times New Roman" w:eastAsia="宋体"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val="zh-CN" w:eastAsia="zh-CN"/>
        </w:rPr>
        <w:t>月</w:t>
      </w:r>
      <w:r>
        <w:rPr>
          <w:rFonts w:hint="eastAsia" w:ascii="Times New Roman" w:hAnsi="Times New Roman" w:eastAsia="宋体" w:cs="Times New Roman"/>
          <w:color w:val="auto"/>
          <w:sz w:val="24"/>
          <w:szCs w:val="24"/>
          <w:highlight w:val="none"/>
          <w:shd w:val="clear" w:color="auto" w:fill="auto"/>
          <w:lang w:val="en-US" w:eastAsia="zh-CN"/>
        </w:rPr>
        <w:t>28日</w:t>
      </w:r>
      <w:r>
        <w:rPr>
          <w:rFonts w:hint="eastAsia" w:ascii="Times New Roman" w:hAnsi="Times New Roman" w:eastAsia="宋体" w:cs="Times New Roman"/>
          <w:color w:val="auto"/>
          <w:sz w:val="24"/>
          <w:szCs w:val="24"/>
          <w:highlight w:val="none"/>
          <w:shd w:val="clear" w:color="auto" w:fill="auto"/>
          <w:lang w:val="zh-CN" w:eastAsia="zh-CN"/>
        </w:rPr>
        <w:t>新疆维吾尔自治区生态环境厅批复</w:t>
      </w:r>
      <w:r>
        <w:rPr>
          <w:rFonts w:hint="default" w:ascii="Times New Roman" w:hAnsi="Times New Roman" w:eastAsia="宋体" w:cs="Times New Roman"/>
          <w:color w:val="auto"/>
          <w:sz w:val="24"/>
          <w:szCs w:val="24"/>
          <w:highlight w:val="none"/>
          <w:shd w:val="clear" w:color="auto" w:fill="auto"/>
          <w:lang w:val="zh-CN" w:eastAsia="zh-CN"/>
        </w:rPr>
        <w:t>克拉玛依顺通环保有限责任公司</w:t>
      </w:r>
      <w:r>
        <w:rPr>
          <w:rFonts w:hint="eastAsia" w:ascii="Times New Roman" w:hAnsi="Times New Roman" w:eastAsia="宋体" w:cs="Times New Roman"/>
          <w:color w:val="auto"/>
          <w:sz w:val="24"/>
          <w:szCs w:val="24"/>
          <w:highlight w:val="none"/>
          <w:shd w:val="clear" w:color="auto" w:fill="auto"/>
          <w:lang w:val="zh-CN" w:eastAsia="zh-CN"/>
        </w:rPr>
        <w:t>危废处置利用项目环评文件（新环函〔201</w:t>
      </w:r>
      <w:r>
        <w:rPr>
          <w:rFonts w:hint="eastAsia" w:ascii="Times New Roman" w:hAnsi="Times New Roman" w:eastAsia="宋体" w:cs="Times New Roman"/>
          <w:color w:val="auto"/>
          <w:sz w:val="24"/>
          <w:szCs w:val="24"/>
          <w:highlight w:val="none"/>
          <w:shd w:val="clear" w:color="auto" w:fill="auto"/>
          <w:lang w:val="en-US" w:eastAsia="zh-CN"/>
        </w:rPr>
        <w:t>8</w:t>
      </w:r>
      <w:r>
        <w:rPr>
          <w:rFonts w:hint="eastAsia" w:ascii="Times New Roman" w:hAnsi="Times New Roman" w:eastAsia="宋体" w:cs="Times New Roman"/>
          <w:color w:val="auto"/>
          <w:sz w:val="24"/>
          <w:szCs w:val="24"/>
          <w:highlight w:val="none"/>
          <w:shd w:val="clear" w:color="auto" w:fill="auto"/>
          <w:lang w:val="zh-CN" w:eastAsia="zh-CN"/>
        </w:rPr>
        <w:t>〕</w:t>
      </w:r>
      <w:r>
        <w:rPr>
          <w:rFonts w:hint="eastAsia" w:ascii="Times New Roman" w:hAnsi="Times New Roman" w:eastAsia="宋体" w:cs="Times New Roman"/>
          <w:color w:val="auto"/>
          <w:sz w:val="24"/>
          <w:szCs w:val="24"/>
          <w:highlight w:val="none"/>
          <w:shd w:val="clear" w:color="auto" w:fill="auto"/>
          <w:lang w:val="en-US" w:eastAsia="zh-CN"/>
        </w:rPr>
        <w:t>375</w:t>
      </w:r>
      <w:r>
        <w:rPr>
          <w:rFonts w:hint="eastAsia" w:ascii="Times New Roman" w:hAnsi="Times New Roman" w:eastAsia="宋体" w:cs="Times New Roman"/>
          <w:color w:val="auto"/>
          <w:sz w:val="24"/>
          <w:szCs w:val="24"/>
          <w:highlight w:val="none"/>
          <w:shd w:val="clear" w:color="auto" w:fill="auto"/>
          <w:lang w:val="zh-CN" w:eastAsia="zh-CN"/>
        </w:rPr>
        <w:t>号），202</w:t>
      </w:r>
      <w:r>
        <w:rPr>
          <w:rFonts w:hint="eastAsia" w:ascii="Times New Roman" w:hAnsi="Times New Roman" w:eastAsia="宋体" w:cs="Times New Roman"/>
          <w:color w:val="auto"/>
          <w:sz w:val="24"/>
          <w:szCs w:val="24"/>
          <w:highlight w:val="none"/>
          <w:shd w:val="clear" w:color="auto" w:fill="auto"/>
          <w:lang w:val="en-US" w:eastAsia="zh-CN"/>
        </w:rPr>
        <w:t>0</w:t>
      </w:r>
      <w:r>
        <w:rPr>
          <w:rFonts w:hint="eastAsia" w:ascii="Times New Roman" w:hAnsi="Times New Roman" w:eastAsia="宋体" w:cs="Times New Roman"/>
          <w:color w:val="auto"/>
          <w:sz w:val="24"/>
          <w:szCs w:val="24"/>
          <w:highlight w:val="none"/>
          <w:shd w:val="clear" w:color="auto" w:fill="auto"/>
          <w:lang w:val="zh-CN" w:eastAsia="zh-CN"/>
        </w:rPr>
        <w:t>年</w:t>
      </w:r>
      <w:r>
        <w:rPr>
          <w:rFonts w:hint="eastAsia" w:ascii="Times New Roman" w:hAnsi="Times New Roman" w:eastAsia="宋体" w:cs="Times New Roman"/>
          <w:color w:val="auto"/>
          <w:sz w:val="24"/>
          <w:szCs w:val="24"/>
          <w:highlight w:val="none"/>
          <w:shd w:val="clear" w:color="auto" w:fill="auto"/>
          <w:lang w:val="en-US" w:eastAsia="zh-CN"/>
        </w:rPr>
        <w:t>7</w:t>
      </w:r>
      <w:r>
        <w:rPr>
          <w:rFonts w:hint="eastAsia" w:ascii="Times New Roman" w:hAnsi="Times New Roman" w:eastAsia="宋体" w:cs="Times New Roman"/>
          <w:color w:val="auto"/>
          <w:sz w:val="24"/>
          <w:szCs w:val="24"/>
          <w:highlight w:val="none"/>
          <w:shd w:val="clear" w:color="auto" w:fill="auto"/>
          <w:lang w:val="zh-CN" w:eastAsia="zh-CN"/>
        </w:rPr>
        <w:t>月通过企业自主环保验收。</w:t>
      </w:r>
    </w:p>
    <w:p>
      <w:pPr>
        <w:pStyle w:val="64"/>
        <w:keepNext w:val="0"/>
        <w:keepLines w:val="0"/>
        <w:pageBreakBefore w:val="0"/>
        <w:tabs>
          <w:tab w:val="left" w:leader="dot" w:pos="8820"/>
        </w:tabs>
        <w:kinsoku/>
        <w:wordWrap/>
        <w:overflowPunct/>
        <w:topLinePunct w:val="0"/>
        <w:autoSpaceDE/>
        <w:autoSpaceDN/>
        <w:bidi w:val="0"/>
        <w:spacing w:line="480" w:lineRule="exact"/>
        <w:ind w:firstLine="48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cs="Times New Roman"/>
          <w:color w:val="auto"/>
          <w:sz w:val="24"/>
          <w:szCs w:val="24"/>
          <w:highlight w:val="none"/>
          <w:shd w:val="clear" w:color="auto" w:fill="auto"/>
        </w:rPr>
        <w:t>（2）</w:t>
      </w:r>
      <w:r>
        <w:rPr>
          <w:rFonts w:hint="default" w:ascii="Times New Roman" w:hAnsi="Times New Roman" w:cs="Times New Roman"/>
          <w:color w:val="auto"/>
          <w:sz w:val="24"/>
          <w:szCs w:val="24"/>
          <w:highlight w:val="none"/>
          <w:shd w:val="clear" w:color="auto" w:fill="auto"/>
          <w:lang w:val="en-US" w:eastAsia="zh-CN"/>
        </w:rPr>
        <w:t>处理工艺</w:t>
      </w:r>
    </w:p>
    <w:p>
      <w:pPr>
        <w:pStyle w:val="64"/>
        <w:keepNext w:val="0"/>
        <w:keepLines w:val="0"/>
        <w:pageBreakBefore w:val="0"/>
        <w:tabs>
          <w:tab w:val="left" w:leader="dot" w:pos="8820"/>
        </w:tabs>
        <w:kinsoku/>
        <w:wordWrap/>
        <w:overflowPunct/>
        <w:topLinePunct w:val="0"/>
        <w:autoSpaceDE/>
        <w:autoSpaceDN/>
        <w:bidi w:val="0"/>
        <w:spacing w:line="480" w:lineRule="exact"/>
        <w:ind w:firstLine="480"/>
        <w:jc w:val="both"/>
        <w:textAlignment w:val="auto"/>
        <w:rPr>
          <w:rFonts w:hint="default" w:ascii="Times New Roman" w:hAnsi="Times New Roman"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lang w:val="zh-CN" w:eastAsia="zh-CN"/>
        </w:rPr>
        <w:t>化学水洗</w:t>
      </w:r>
      <w:r>
        <w:rPr>
          <w:rFonts w:hint="eastAsia" w:ascii="Times New Roman" w:hAnsi="Times New Roman" w:eastAsia="宋体" w:cs="Times New Roman"/>
          <w:color w:val="auto"/>
          <w:sz w:val="24"/>
          <w:szCs w:val="24"/>
          <w:highlight w:val="none"/>
          <w:shd w:val="clear" w:color="auto" w:fill="auto"/>
          <w:lang w:val="en-US" w:eastAsia="zh-CN"/>
        </w:rPr>
        <w:t>-助剂萃</w:t>
      </w:r>
      <w:r>
        <w:rPr>
          <w:rFonts w:hint="eastAsia" w:ascii="Times New Roman" w:hAnsi="Times New Roman" w:eastAsia="宋体" w:cs="Times New Roman"/>
          <w:color w:val="auto"/>
          <w:sz w:val="24"/>
          <w:szCs w:val="24"/>
          <w:highlight w:val="none"/>
          <w:shd w:val="clear" w:color="auto" w:fill="auto"/>
          <w:lang w:val="zh-CN" w:eastAsia="zh-CN"/>
        </w:rPr>
        <w:t>装置</w:t>
      </w:r>
      <w:r>
        <w:rPr>
          <w:rFonts w:hint="eastAsia" w:cs="Times New Roman"/>
          <w:color w:val="auto"/>
          <w:sz w:val="24"/>
          <w:szCs w:val="24"/>
          <w:highlight w:val="none"/>
          <w:shd w:val="clear" w:color="auto" w:fill="auto"/>
          <w:lang w:val="en-US" w:eastAsia="zh-CN"/>
        </w:rPr>
        <w:t>和</w:t>
      </w:r>
      <w:r>
        <w:rPr>
          <w:rFonts w:hint="eastAsia" w:ascii="Times New Roman" w:hAnsi="Times New Roman" w:eastAsia="宋体" w:cs="Times New Roman"/>
          <w:color w:val="auto"/>
          <w:sz w:val="24"/>
          <w:szCs w:val="24"/>
          <w:highlight w:val="none"/>
          <w:shd w:val="clear" w:color="auto" w:fill="auto"/>
          <w:lang w:val="en-US" w:eastAsia="zh-CN"/>
        </w:rPr>
        <w:t>热解装置处置</w:t>
      </w:r>
      <w:r>
        <w:rPr>
          <w:rFonts w:hint="default" w:ascii="Times New Roman" w:hAnsi="Times New Roman" w:cs="Times New Roman"/>
          <w:color w:val="auto"/>
          <w:sz w:val="24"/>
          <w:szCs w:val="24"/>
          <w:highlight w:val="none"/>
          <w:shd w:val="clear" w:color="auto" w:fill="auto"/>
        </w:rPr>
        <w:t>油泥</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砂</w:t>
      </w:r>
      <w:r>
        <w:rPr>
          <w:rFonts w:hint="default" w:ascii="Times New Roman" w:hAnsi="Times New Roman" w:cs="Times New Roman"/>
          <w:color w:val="auto"/>
          <w:sz w:val="24"/>
          <w:szCs w:val="24"/>
          <w:highlight w:val="none"/>
          <w:shd w:val="clear" w:color="auto" w:fill="auto"/>
          <w:lang w:eastAsia="zh-CN"/>
        </w:rPr>
        <w:t>）</w:t>
      </w:r>
      <w:r>
        <w:rPr>
          <w:rFonts w:hint="eastAsia" w:cs="Times New Roman"/>
          <w:color w:val="auto"/>
          <w:sz w:val="24"/>
          <w:szCs w:val="24"/>
          <w:highlight w:val="none"/>
          <w:shd w:val="clear" w:color="auto" w:fill="auto"/>
          <w:lang w:eastAsia="zh-CN"/>
        </w:rPr>
        <w:t>。</w:t>
      </w:r>
    </w:p>
    <w:p>
      <w:pPr>
        <w:pStyle w:val="64"/>
        <w:keepNext w:val="0"/>
        <w:keepLines w:val="0"/>
        <w:pageBreakBefore w:val="0"/>
        <w:tabs>
          <w:tab w:val="left" w:leader="dot" w:pos="8820"/>
        </w:tabs>
        <w:kinsoku/>
        <w:wordWrap/>
        <w:overflowPunct/>
        <w:topLinePunct w:val="0"/>
        <w:autoSpaceDE/>
        <w:autoSpaceDN/>
        <w:bidi w:val="0"/>
        <w:snapToGrid w:val="0"/>
        <w:spacing w:line="480" w:lineRule="exact"/>
        <w:ind w:firstLine="480"/>
        <w:jc w:val="both"/>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（3）依托可行性分析</w:t>
      </w:r>
    </w:p>
    <w:p>
      <w:pPr>
        <w:pStyle w:val="57"/>
        <w:keepNext w:val="0"/>
        <w:keepLines w:val="0"/>
        <w:pageBreakBefore w:val="0"/>
        <w:kinsoku/>
        <w:wordWrap/>
        <w:overflowPunct/>
        <w:topLinePunct w:val="0"/>
        <w:autoSpaceDE/>
        <w:autoSpaceDN/>
        <w:bidi w:val="0"/>
        <w:spacing w:line="480" w:lineRule="exact"/>
        <w:jc w:val="both"/>
        <w:textAlignment w:val="auto"/>
        <w:rPr>
          <w:rFonts w:hint="eastAsia"/>
          <w:color w:val="auto"/>
          <w:highlight w:val="none"/>
          <w:lang w:eastAsia="zh-CN"/>
        </w:rPr>
      </w:pPr>
      <w:r>
        <w:rPr>
          <w:rFonts w:hint="default" w:ascii="Times New Roman" w:hAnsi="Times New Roman" w:cs="Times New Roman"/>
          <w:color w:val="auto"/>
          <w:sz w:val="24"/>
          <w:szCs w:val="24"/>
          <w:highlight w:val="none"/>
          <w:shd w:val="clear" w:color="auto" w:fill="auto"/>
          <w:lang w:eastAsia="zh-CN"/>
        </w:rPr>
        <w:t>根据调查，顺通环保有限责任公司年处理污油泥能力</w:t>
      </w:r>
      <w:r>
        <w:rPr>
          <w:rFonts w:hint="eastAsia" w:cs="Times New Roman"/>
          <w:color w:val="auto"/>
          <w:sz w:val="24"/>
          <w:szCs w:val="24"/>
          <w:highlight w:val="none"/>
          <w:shd w:val="clear" w:color="auto" w:fill="auto"/>
          <w:lang w:val="en-US" w:eastAsia="zh-CN"/>
        </w:rPr>
        <w:t>150</w:t>
      </w:r>
      <w:r>
        <w:rPr>
          <w:rFonts w:hint="default" w:ascii="Times New Roman" w:hAnsi="Times New Roman" w:cs="Times New Roman"/>
          <w:color w:val="auto"/>
          <w:sz w:val="24"/>
          <w:szCs w:val="24"/>
          <w:highlight w:val="none"/>
          <w:shd w:val="clear" w:color="auto" w:fill="auto"/>
          <w:lang w:eastAsia="zh-CN"/>
        </w:rPr>
        <w:t>万吨</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52</w:t>
      </w:r>
      <w:r>
        <w:rPr>
          <w:rFonts w:hint="eastAsia" w:ascii="Times New Roman" w:hAnsi="Times New Roman" w:eastAsia="宋体" w:cs="Times New Roman"/>
          <w:color w:val="auto"/>
          <w:sz w:val="24"/>
          <w:szCs w:val="24"/>
          <w:highlight w:val="none"/>
          <w:shd w:val="clear" w:color="auto" w:fill="auto"/>
          <w:lang w:val="zh-CN" w:eastAsia="zh-CN"/>
        </w:rPr>
        <w:t>万吨/年化学水洗</w:t>
      </w:r>
      <w:r>
        <w:rPr>
          <w:rFonts w:hint="eastAsia" w:ascii="Times New Roman" w:hAnsi="Times New Roman" w:eastAsia="宋体" w:cs="Times New Roman"/>
          <w:color w:val="auto"/>
          <w:sz w:val="24"/>
          <w:szCs w:val="24"/>
          <w:highlight w:val="none"/>
          <w:shd w:val="clear" w:color="auto" w:fill="auto"/>
          <w:lang w:val="en-US" w:eastAsia="zh-CN"/>
        </w:rPr>
        <w:t>-助剂萃</w:t>
      </w:r>
      <w:r>
        <w:rPr>
          <w:rFonts w:hint="eastAsia" w:ascii="Times New Roman" w:hAnsi="Times New Roman" w:eastAsia="宋体" w:cs="Times New Roman"/>
          <w:color w:val="auto"/>
          <w:sz w:val="24"/>
          <w:szCs w:val="24"/>
          <w:highlight w:val="none"/>
          <w:shd w:val="clear" w:color="auto" w:fill="auto"/>
          <w:lang w:val="zh-CN" w:eastAsia="zh-CN"/>
        </w:rPr>
        <w:t>装置</w:t>
      </w:r>
      <w:r>
        <w:rPr>
          <w:rFonts w:hint="eastAsia"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热解装置处置干化油泥98万吨/年</w:t>
      </w:r>
      <w:r>
        <w:rPr>
          <w:rFonts w:hint="eastAsia"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lang w:eastAsia="zh-CN"/>
        </w:rPr>
        <w:t>，</w:t>
      </w:r>
      <w:r>
        <w:rPr>
          <w:rFonts w:hint="eastAsia" w:cs="Times New Roman"/>
          <w:color w:val="auto"/>
          <w:sz w:val="24"/>
          <w:szCs w:val="24"/>
          <w:highlight w:val="none"/>
          <w:shd w:val="clear" w:color="auto" w:fill="auto"/>
          <w:lang w:val="en-US" w:eastAsia="zh-CN"/>
        </w:rPr>
        <w:t>实际处理量为30万t，</w:t>
      </w:r>
      <w:r>
        <w:rPr>
          <w:rFonts w:hint="default" w:ascii="Times New Roman" w:hAnsi="Times New Roman" w:cs="Times New Roman"/>
          <w:color w:val="auto"/>
          <w:sz w:val="24"/>
          <w:szCs w:val="24"/>
          <w:highlight w:val="none"/>
          <w:shd w:val="clear" w:color="auto" w:fill="auto"/>
          <w:lang w:eastAsia="zh-CN"/>
        </w:rPr>
        <w:t>现剩余量</w:t>
      </w:r>
      <w:r>
        <w:rPr>
          <w:rFonts w:hint="eastAsia" w:cs="Times New Roman"/>
          <w:color w:val="auto"/>
          <w:sz w:val="24"/>
          <w:szCs w:val="24"/>
          <w:highlight w:val="none"/>
          <w:shd w:val="clear" w:color="auto" w:fill="auto"/>
          <w:lang w:val="en-US" w:eastAsia="zh-CN"/>
        </w:rPr>
        <w:t>120万t</w:t>
      </w:r>
      <w:r>
        <w:rPr>
          <w:rFonts w:hint="default" w:ascii="Times New Roman" w:hAnsi="Times New Roman" w:cs="Times New Roman"/>
          <w:color w:val="auto"/>
          <w:sz w:val="24"/>
          <w:szCs w:val="24"/>
          <w:highlight w:val="none"/>
          <w:shd w:val="clear" w:color="auto" w:fill="auto"/>
          <w:lang w:eastAsia="zh-CN"/>
        </w:rPr>
        <w:t>，</w:t>
      </w:r>
      <w:r>
        <w:rPr>
          <w:rFonts w:hint="eastAsia" w:ascii="Times New Roman" w:hAnsi="Times New Roman" w:eastAsia="宋体" w:cs="Times New Roman"/>
          <w:color w:val="auto"/>
          <w:highlight w:val="none"/>
          <w:shd w:val="clear" w:color="auto" w:fill="auto"/>
          <w:lang w:val="en-US" w:eastAsia="zh-CN"/>
        </w:rPr>
        <w:t>本工程</w:t>
      </w:r>
      <w:r>
        <w:rPr>
          <w:rFonts w:hint="default" w:ascii="Times New Roman" w:hAnsi="Times New Roman" w:eastAsia="宋体" w:cs="Times New Roman"/>
          <w:color w:val="auto"/>
          <w:highlight w:val="none"/>
          <w:shd w:val="clear" w:color="auto" w:fill="auto"/>
          <w:lang w:val="en-US" w:eastAsia="zh-CN"/>
        </w:rPr>
        <w:t>运营期产生的油泥砂为</w:t>
      </w:r>
      <w:r>
        <w:rPr>
          <w:rFonts w:hint="eastAsia" w:ascii="Times New Roman" w:hAnsi="Times New Roman" w:eastAsia="宋体" w:cs="Times New Roman"/>
          <w:color w:val="auto"/>
          <w:highlight w:val="none"/>
          <w:shd w:val="clear" w:color="auto" w:fill="auto"/>
          <w:lang w:val="en-US" w:eastAsia="zh-CN"/>
        </w:rPr>
        <w:t>1406.78</w:t>
      </w:r>
      <w:r>
        <w:rPr>
          <w:rFonts w:hint="default" w:ascii="Times New Roman" w:hAnsi="Times New Roman" w:cs="Times New Roman"/>
          <w:color w:val="auto"/>
          <w:sz w:val="24"/>
          <w:szCs w:val="24"/>
          <w:highlight w:val="none"/>
          <w:shd w:val="clear" w:color="auto" w:fill="auto"/>
        </w:rPr>
        <w:t>t/a</w:t>
      </w:r>
      <w:r>
        <w:rPr>
          <w:rFonts w:hint="default" w:ascii="Times New Roman" w:hAnsi="Times New Roman" w:eastAsia="宋体" w:cs="Times New Roman"/>
          <w:color w:val="auto"/>
          <w:highlight w:val="none"/>
          <w:shd w:val="clear" w:color="auto" w:fill="auto"/>
          <w:lang w:val="en-US" w:eastAsia="zh-CN"/>
        </w:rPr>
        <w:t>，</w:t>
      </w:r>
      <w:r>
        <w:rPr>
          <w:rFonts w:hint="eastAsia" w:ascii="Times New Roman" w:hAnsi="Times New Roman" w:eastAsia="宋体" w:cs="Times New Roman"/>
          <w:color w:val="auto"/>
          <w:highlight w:val="none"/>
          <w:shd w:val="clear" w:color="auto" w:fill="auto"/>
          <w:lang w:val="en-US" w:eastAsia="zh-CN"/>
        </w:rPr>
        <w:t>富余量120</w:t>
      </w:r>
      <w:r>
        <w:rPr>
          <w:rFonts w:hint="default" w:ascii="Times New Roman" w:hAnsi="Times New Roman" w:eastAsia="宋体" w:cs="Times New Roman"/>
          <w:color w:val="auto"/>
          <w:highlight w:val="none"/>
          <w:shd w:val="clear" w:color="auto" w:fill="auto"/>
          <w:lang w:eastAsia="zh-CN"/>
        </w:rPr>
        <w:t>万吨</w:t>
      </w:r>
      <w:r>
        <w:rPr>
          <w:rFonts w:hint="eastAsia" w:ascii="Times New Roman" w:hAnsi="Times New Roman" w:eastAsia="宋体" w:cs="Times New Roman"/>
          <w:color w:val="auto"/>
          <w:highlight w:val="none"/>
          <w:shd w:val="clear" w:color="auto" w:fill="auto"/>
          <w:lang w:val="en-US" w:eastAsia="zh-CN"/>
        </w:rPr>
        <w:t>大于</w:t>
      </w:r>
      <w:r>
        <w:rPr>
          <w:rFonts w:hint="eastAsia" w:cs="Times New Roman"/>
          <w:color w:val="auto"/>
          <w:highlight w:val="none"/>
          <w:shd w:val="clear" w:color="auto" w:fill="auto"/>
          <w:lang w:val="en-US" w:eastAsia="zh-CN"/>
        </w:rPr>
        <w:t>1406.78</w:t>
      </w:r>
      <w:r>
        <w:rPr>
          <w:rFonts w:hint="default" w:ascii="Times New Roman" w:hAnsi="Times New Roman" w:cs="Times New Roman"/>
          <w:color w:val="auto"/>
          <w:sz w:val="24"/>
          <w:szCs w:val="24"/>
          <w:highlight w:val="none"/>
          <w:shd w:val="clear" w:color="auto" w:fill="auto"/>
        </w:rPr>
        <w:t>t/a</w:t>
      </w:r>
      <w:r>
        <w:rPr>
          <w:rFonts w:hint="eastAsia" w:ascii="Times New Roman" w:hAnsi="Times New Roman" w:eastAsia="宋体" w:cs="Times New Roman"/>
          <w:color w:val="auto"/>
          <w:highlight w:val="none"/>
          <w:shd w:val="clear" w:color="auto" w:fill="auto"/>
          <w:lang w:val="en-US" w:eastAsia="zh-CN"/>
        </w:rPr>
        <w:t>，因此本工程运营期产生的油泥砂</w:t>
      </w:r>
      <w:r>
        <w:rPr>
          <w:rFonts w:hint="default" w:ascii="Times New Roman" w:hAnsi="Times New Roman" w:eastAsia="宋体" w:cs="Times New Roman"/>
          <w:color w:val="auto"/>
          <w:highlight w:val="none"/>
          <w:shd w:val="clear" w:color="auto" w:fill="auto"/>
          <w:lang w:val="en-US" w:eastAsia="zh-CN"/>
        </w:rPr>
        <w:t>依托</w:t>
      </w:r>
      <w:r>
        <w:rPr>
          <w:rFonts w:hint="eastAsia" w:ascii="Times New Roman" w:hAnsi="Times New Roman" w:eastAsia="宋体" w:cs="Times New Roman"/>
          <w:color w:val="auto"/>
          <w:highlight w:val="none"/>
          <w:shd w:val="clear" w:color="auto" w:fill="auto"/>
          <w:lang w:eastAsia="zh-CN"/>
        </w:rPr>
        <w:t>克拉玛依顺通环保科技有限责任公司</w:t>
      </w:r>
      <w:r>
        <w:rPr>
          <w:rFonts w:hint="default" w:ascii="Times New Roman" w:hAnsi="Times New Roman" w:eastAsia="宋体" w:cs="Times New Roman"/>
          <w:color w:val="auto"/>
          <w:highlight w:val="none"/>
          <w:shd w:val="clear" w:color="auto" w:fill="auto"/>
          <w:lang w:val="en-US" w:eastAsia="zh-CN"/>
        </w:rPr>
        <w:t>是可行的</w:t>
      </w:r>
      <w:r>
        <w:rPr>
          <w:rFonts w:hint="eastAsia" w:ascii="Times New Roman" w:hAnsi="Times New Roman" w:eastAsia="宋体" w:cs="Times New Roman"/>
          <w:color w:val="auto"/>
          <w:highlight w:val="none"/>
          <w:shd w:val="clear" w:color="auto" w:fill="auto"/>
          <w:lang w:val="en-US" w:eastAsia="zh-CN"/>
        </w:rPr>
        <w:t>。</w:t>
      </w:r>
    </w:p>
    <w:p>
      <w:pPr>
        <w:pStyle w:val="49"/>
        <w:pageBreakBefore w:val="0"/>
        <w:kinsoku/>
        <w:wordWrap/>
        <w:overflowPunct/>
        <w:topLinePunct w:val="0"/>
        <w:autoSpaceDE/>
        <w:autoSpaceDN/>
        <w:bidi w:val="0"/>
        <w:spacing w:line="480" w:lineRule="exact"/>
        <w:textAlignment w:val="auto"/>
        <w:rPr>
          <w:color w:val="auto"/>
          <w:highlight w:val="none"/>
        </w:rPr>
      </w:pPr>
      <w:bookmarkStart w:id="297" w:name="_Toc6536"/>
      <w:bookmarkStart w:id="298" w:name="_Toc17342"/>
      <w:bookmarkStart w:id="299" w:name="_Toc173941723"/>
      <w:bookmarkStart w:id="300" w:name="_Toc173942677"/>
      <w:bookmarkStart w:id="301" w:name="_Toc508291881"/>
      <w:bookmarkStart w:id="302" w:name="_Toc24900"/>
      <w:bookmarkStart w:id="303" w:name="_Toc173941835"/>
      <w:r>
        <w:rPr>
          <w:color w:val="auto"/>
          <w:highlight w:val="none"/>
        </w:rPr>
        <w:t>3.</w:t>
      </w:r>
      <w:r>
        <w:rPr>
          <w:rFonts w:hint="eastAsia"/>
          <w:color w:val="auto"/>
          <w:highlight w:val="none"/>
          <w:lang w:val="en-US" w:eastAsia="zh-CN"/>
        </w:rPr>
        <w:t>3</w:t>
      </w:r>
      <w:r>
        <w:rPr>
          <w:color w:val="auto"/>
          <w:highlight w:val="none"/>
        </w:rPr>
        <w:t>工程分析</w:t>
      </w:r>
      <w:bookmarkEnd w:id="297"/>
      <w:bookmarkEnd w:id="298"/>
      <w:bookmarkEnd w:id="299"/>
      <w:bookmarkEnd w:id="300"/>
      <w:bookmarkEnd w:id="301"/>
      <w:bookmarkEnd w:id="302"/>
      <w:bookmarkEnd w:id="303"/>
    </w:p>
    <w:p>
      <w:pPr>
        <w:pStyle w:val="53"/>
        <w:pageBreakBefore w:val="0"/>
        <w:kinsoku/>
        <w:wordWrap/>
        <w:overflowPunct/>
        <w:topLinePunct w:val="0"/>
        <w:autoSpaceDE/>
        <w:autoSpaceDN/>
        <w:bidi w:val="0"/>
        <w:spacing w:line="480" w:lineRule="exact"/>
        <w:textAlignment w:val="auto"/>
        <w:rPr>
          <w:color w:val="auto"/>
          <w:highlight w:val="none"/>
        </w:rPr>
      </w:pPr>
      <w:bookmarkStart w:id="304" w:name="_Toc173941836"/>
      <w:bookmarkStart w:id="305" w:name="_Toc21225"/>
      <w:r>
        <w:rPr>
          <w:color w:val="auto"/>
          <w:highlight w:val="none"/>
        </w:rPr>
        <w:t>3.</w:t>
      </w:r>
      <w:r>
        <w:rPr>
          <w:rFonts w:hint="eastAsia"/>
          <w:color w:val="auto"/>
          <w:highlight w:val="none"/>
          <w:lang w:val="en-US" w:eastAsia="zh-CN"/>
        </w:rPr>
        <w:t>3</w:t>
      </w:r>
      <w:r>
        <w:rPr>
          <w:color w:val="auto"/>
          <w:highlight w:val="none"/>
        </w:rPr>
        <w:t>.1工艺</w:t>
      </w:r>
      <w:r>
        <w:rPr>
          <w:rFonts w:hint="eastAsia"/>
          <w:color w:val="auto"/>
          <w:highlight w:val="none"/>
        </w:rPr>
        <w:t>流程及产排污节点</w:t>
      </w:r>
      <w:bookmarkEnd w:id="304"/>
      <w:bookmarkEnd w:id="305"/>
    </w:p>
    <w:p>
      <w:pPr>
        <w:pStyle w:val="5"/>
        <w:pageBreakBefore w:val="0"/>
        <w:kinsoku/>
        <w:wordWrap/>
        <w:overflowPunct/>
        <w:topLinePunct w:val="0"/>
        <w:autoSpaceDE/>
        <w:autoSpaceDN/>
        <w:bidi w:val="0"/>
        <w:spacing w:line="480" w:lineRule="exact"/>
        <w:jc w:val="lef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.1.1</w:t>
      </w:r>
      <w:r>
        <w:rPr>
          <w:rFonts w:hint="eastAsia"/>
          <w:color w:val="auto"/>
          <w:highlight w:val="none"/>
        </w:rPr>
        <w:t>施工期</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hint="eastAsia" w:ascii="Times New Roman" w:hAnsi="Times New Roman" w:cs="Times New Roman"/>
          <w:color w:val="auto"/>
          <w:sz w:val="24"/>
          <w:szCs w:val="24"/>
          <w:highlight w:val="none"/>
          <w:shd w:val="clear" w:color="auto" w:fill="auto"/>
          <w:lang w:eastAsia="zh-CN"/>
        </w:rPr>
      </w:pPr>
      <w:bookmarkStart w:id="306" w:name="_Toc8258"/>
      <w:bookmarkStart w:id="307" w:name="_Toc23533"/>
      <w:bookmarkStart w:id="308" w:name="_Toc8970"/>
      <w:bookmarkStart w:id="309" w:name="_Toc19549"/>
      <w:bookmarkStart w:id="310" w:name="_Toc2453"/>
      <w:bookmarkStart w:id="311" w:name="_Toc14116"/>
      <w:r>
        <w:rPr>
          <w:rFonts w:hint="eastAsia"/>
          <w:b w:val="0"/>
          <w:bCs w:val="0"/>
          <w:color w:val="auto"/>
          <w:sz w:val="24"/>
          <w:szCs w:val="24"/>
          <w:highlight w:val="none"/>
          <w:shd w:val="clear" w:color="auto" w:fill="auto"/>
        </w:rPr>
        <w:t>（</w:t>
      </w:r>
      <w:r>
        <w:rPr>
          <w:rFonts w:hint="eastAsia"/>
          <w:b w:val="0"/>
          <w:bCs w:val="0"/>
          <w:color w:val="auto"/>
          <w:sz w:val="24"/>
          <w:szCs w:val="24"/>
          <w:highlight w:val="none"/>
          <w:shd w:val="clear" w:color="auto" w:fill="auto"/>
          <w:lang w:val="en-US" w:eastAsia="zh-CN"/>
        </w:rPr>
        <w:t>1</w:t>
      </w:r>
      <w:r>
        <w:rPr>
          <w:rFonts w:hint="eastAsia"/>
          <w:b w:val="0"/>
          <w:bCs w:val="0"/>
          <w:color w:val="auto"/>
          <w:sz w:val="24"/>
          <w:szCs w:val="24"/>
          <w:highlight w:val="none"/>
          <w:shd w:val="clear" w:color="auto" w:fill="auto"/>
        </w:rPr>
        <w:t>）钻</w:t>
      </w:r>
      <w:r>
        <w:rPr>
          <w:rFonts w:hint="default" w:ascii="Times New Roman" w:hAnsi="Times New Roman" w:cs="Times New Roman"/>
          <w:b w:val="0"/>
          <w:bCs w:val="0"/>
          <w:color w:val="auto"/>
          <w:sz w:val="24"/>
          <w:szCs w:val="24"/>
          <w:highlight w:val="none"/>
          <w:shd w:val="clear" w:color="auto" w:fill="auto"/>
        </w:rPr>
        <w:t>井</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ascii="Times New Roman" w:hAnsi="Times New Roman" w:cs="Times New Roman"/>
          <w:color w:val="auto"/>
          <w:sz w:val="24"/>
          <w:szCs w:val="24"/>
          <w:highlight w:val="none"/>
          <w:shd w:val="clear" w:color="auto" w:fill="auto"/>
        </w:rPr>
      </w:pPr>
      <w:r>
        <w:rPr>
          <w:rFonts w:hint="eastAsia" w:ascii="Times New Roman" w:hAnsi="Times New Roman" w:cs="Times New Roman"/>
          <w:color w:val="auto"/>
          <w:sz w:val="24"/>
          <w:szCs w:val="24"/>
          <w:highlight w:val="none"/>
          <w:shd w:val="clear" w:color="auto" w:fill="auto"/>
          <w:lang w:eastAsia="zh-CN"/>
        </w:rPr>
        <w:t>本工程</w:t>
      </w:r>
      <w:r>
        <w:rPr>
          <w:rFonts w:hint="eastAsia" w:ascii="Times New Roman" w:hAnsi="Times New Roman" w:cs="Times New Roman"/>
          <w:color w:val="auto"/>
          <w:sz w:val="24"/>
          <w:szCs w:val="24"/>
          <w:highlight w:val="none"/>
          <w:shd w:val="clear" w:color="auto" w:fill="auto"/>
        </w:rPr>
        <w:t>新钻</w:t>
      </w:r>
      <w:r>
        <w:rPr>
          <w:rFonts w:hint="eastAsia" w:ascii="Times New Roman" w:hAnsi="Times New Roman" w:cs="Times New Roman"/>
          <w:color w:val="auto"/>
          <w:sz w:val="24"/>
          <w:szCs w:val="24"/>
          <w:highlight w:val="none"/>
          <w:shd w:val="clear" w:color="auto" w:fill="auto"/>
          <w:lang w:val="en-US" w:eastAsia="zh-CN"/>
        </w:rPr>
        <w:t>采油井7口，</w:t>
      </w:r>
      <w:r>
        <w:rPr>
          <w:rFonts w:ascii="Times New Roman" w:hAnsi="Times New Roman" w:cs="Times New Roman"/>
          <w:color w:val="auto"/>
          <w:sz w:val="24"/>
          <w:szCs w:val="24"/>
          <w:highlight w:val="none"/>
          <w:shd w:val="clear" w:color="auto" w:fill="auto"/>
        </w:rPr>
        <w:t>采用常规钻井工艺。正常情况下，</w:t>
      </w:r>
      <w:r>
        <w:rPr>
          <w:rFonts w:hint="eastAsia" w:ascii="Times New Roman" w:hAnsi="Times New Roman" w:cs="Times New Roman"/>
          <w:color w:val="auto"/>
          <w:sz w:val="24"/>
          <w:szCs w:val="24"/>
          <w:highlight w:val="none"/>
          <w:shd w:val="clear" w:color="auto" w:fill="auto"/>
        </w:rPr>
        <w:t>单井钻井周期为</w:t>
      </w:r>
      <w:r>
        <w:rPr>
          <w:rFonts w:hint="eastAsia" w:ascii="Times New Roman" w:hAnsi="Times New Roman" w:cs="Times New Roman"/>
          <w:color w:val="auto"/>
          <w:sz w:val="24"/>
          <w:szCs w:val="24"/>
          <w:highlight w:val="none"/>
          <w:shd w:val="clear" w:color="auto" w:fill="auto"/>
          <w:lang w:val="en-US" w:eastAsia="zh-CN"/>
        </w:rPr>
        <w:t>120</w:t>
      </w:r>
      <w:r>
        <w:rPr>
          <w:rFonts w:hint="eastAsia" w:ascii="Times New Roman" w:hAnsi="Times New Roman" w:cs="Times New Roman"/>
          <w:color w:val="auto"/>
          <w:sz w:val="24"/>
          <w:szCs w:val="24"/>
          <w:highlight w:val="none"/>
          <w:shd w:val="clear" w:color="auto" w:fill="auto"/>
        </w:rPr>
        <w:t>天</w:t>
      </w:r>
      <w:r>
        <w:rPr>
          <w:rFonts w:hint="eastAsia" w:ascii="Times New Roman" w:hAnsi="Times New Roman" w:cs="Times New Roman"/>
          <w:color w:val="auto"/>
          <w:sz w:val="24"/>
          <w:szCs w:val="24"/>
          <w:highlight w:val="none"/>
          <w:shd w:val="clear" w:color="auto" w:fill="auto"/>
          <w:lang w:eastAsia="zh-CN"/>
        </w:rPr>
        <w:t>，</w:t>
      </w:r>
      <w:r>
        <w:rPr>
          <w:rFonts w:ascii="Times New Roman" w:hAnsi="Times New Roman" w:cs="Times New Roman"/>
          <w:color w:val="auto"/>
          <w:sz w:val="24"/>
          <w:szCs w:val="24"/>
          <w:highlight w:val="none"/>
          <w:shd w:val="clear" w:color="auto" w:fill="auto"/>
        </w:rPr>
        <w:t>且为24h连续作业。</w:t>
      </w:r>
      <w:r>
        <w:rPr>
          <w:rFonts w:hint="eastAsia" w:ascii="Times New Roman" w:hAnsi="Times New Roman" w:cs="Times New Roman"/>
          <w:color w:val="auto"/>
          <w:sz w:val="24"/>
          <w:szCs w:val="24"/>
          <w:highlight w:val="none"/>
          <w:shd w:val="clear" w:color="auto" w:fill="auto"/>
          <w:lang w:val="en-US" w:eastAsia="zh-CN"/>
        </w:rPr>
        <w:t>本工程水平井设计井深6949</w:t>
      </w:r>
      <w:r>
        <w:rPr>
          <w:rFonts w:ascii="Times New Roman" w:hAnsi="Times New Roman" w:cs="Times New Roman"/>
          <w:color w:val="auto"/>
          <w:sz w:val="24"/>
          <w:szCs w:val="24"/>
          <w:highlight w:val="none"/>
          <w:shd w:val="clear" w:color="auto" w:fill="auto"/>
        </w:rPr>
        <w:t>m</w:t>
      </w:r>
      <w:r>
        <w:rPr>
          <w:rFonts w:hint="eastAsia" w:ascii="Times New Roman" w:hAnsi="Times New Roman" w:cs="Times New Roman"/>
          <w:color w:val="auto"/>
          <w:sz w:val="24"/>
          <w:szCs w:val="24"/>
          <w:highlight w:val="none"/>
          <w:shd w:val="clear" w:color="auto" w:fill="auto"/>
          <w:lang w:eastAsia="zh-CN"/>
        </w:rPr>
        <w:t>（</w:t>
      </w:r>
      <w:r>
        <w:rPr>
          <w:rFonts w:hint="eastAsia" w:ascii="Times New Roman" w:hAnsi="Times New Roman" w:cs="Times New Roman"/>
          <w:color w:val="auto"/>
          <w:sz w:val="24"/>
          <w:szCs w:val="24"/>
          <w:highlight w:val="none"/>
          <w:shd w:val="clear" w:color="auto" w:fill="auto"/>
          <w:lang w:val="en-US" w:eastAsia="zh-CN"/>
        </w:rPr>
        <w:t>平均</w:t>
      </w:r>
      <w:r>
        <w:rPr>
          <w:rFonts w:hint="eastAsia" w:ascii="Times New Roman" w:hAnsi="Times New Roman" w:cs="Times New Roman"/>
          <w:color w:val="auto"/>
          <w:sz w:val="24"/>
          <w:szCs w:val="24"/>
          <w:highlight w:val="none"/>
          <w:shd w:val="clear" w:color="auto" w:fill="auto"/>
          <w:lang w:eastAsia="zh-CN"/>
        </w:rPr>
        <w:t>）</w:t>
      </w:r>
      <w:r>
        <w:rPr>
          <w:rFonts w:ascii="Times New Roman" w:hAnsi="Times New Roman" w:cs="Times New Roman"/>
          <w:color w:val="auto"/>
          <w:sz w:val="24"/>
          <w:szCs w:val="24"/>
          <w:highlight w:val="none"/>
          <w:shd w:val="clear" w:color="auto" w:fill="auto"/>
        </w:rPr>
        <w:t>，采用</w:t>
      </w:r>
      <w:r>
        <w:rPr>
          <w:rFonts w:hint="eastAsia" w:ascii="Times New Roman" w:hAnsi="Times New Roman" w:cs="Times New Roman"/>
          <w:color w:val="auto"/>
          <w:sz w:val="24"/>
          <w:szCs w:val="24"/>
          <w:highlight w:val="none"/>
          <w:shd w:val="clear" w:color="auto" w:fill="auto"/>
          <w:lang w:val="en-US" w:eastAsia="zh-CN"/>
        </w:rPr>
        <w:t>ZJ70D</w:t>
      </w:r>
      <w:r>
        <w:rPr>
          <w:rFonts w:ascii="Times New Roman" w:hAnsi="Times New Roman" w:cs="Times New Roman"/>
          <w:color w:val="auto"/>
          <w:sz w:val="24"/>
          <w:szCs w:val="24"/>
          <w:highlight w:val="none"/>
          <w:shd w:val="clear" w:color="auto" w:fill="auto"/>
        </w:rPr>
        <w:t>钻机。</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ascii="Times New Roman" w:hAnsi="Times New Roman" w:cs="Times New Roman"/>
          <w:color w:val="auto"/>
          <w:sz w:val="24"/>
          <w:szCs w:val="24"/>
          <w:highlight w:val="none"/>
          <w:shd w:val="clear" w:color="auto" w:fill="auto"/>
        </w:rPr>
      </w:pPr>
      <w:r>
        <w:rPr>
          <w:rFonts w:hint="eastAsia" w:ascii="Times New Roman" w:hAnsi="Times New Roman" w:cs="Times New Roman"/>
          <w:color w:val="auto"/>
          <w:sz w:val="24"/>
          <w:szCs w:val="24"/>
          <w:highlight w:val="none"/>
          <w:shd w:val="clear" w:color="auto" w:fill="auto"/>
        </w:rPr>
        <w:t>工艺包括钻前准备、钻井、固井（下套管、注水泥）、测井、录井和完井等过程</w:t>
      </w:r>
      <w:r>
        <w:rPr>
          <w:rFonts w:ascii="Times New Roman" w:hAnsi="Times New Roman" w:cs="Times New Roman"/>
          <w:color w:val="auto"/>
          <w:sz w:val="24"/>
          <w:szCs w:val="24"/>
          <w:highlight w:val="none"/>
          <w:shd w:val="clear" w:color="auto" w:fill="auto"/>
        </w:rPr>
        <w:t>。</w:t>
      </w:r>
    </w:p>
    <w:p>
      <w:pPr>
        <w:pStyle w:val="64"/>
        <w:keepNext w:val="0"/>
        <w:keepLines w:val="0"/>
        <w:pageBreakBefore w:val="0"/>
        <w:kinsoku/>
        <w:wordWrap/>
        <w:overflowPunct/>
        <w:topLinePunct w:val="0"/>
        <w:autoSpaceDE/>
        <w:autoSpaceDN/>
        <w:bidi w:val="0"/>
        <w:snapToGrid w:val="0"/>
        <w:spacing w:line="480" w:lineRule="exact"/>
        <w:ind w:firstLine="482"/>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cs="Times New Roman"/>
          <w:color w:val="auto"/>
          <w:sz w:val="24"/>
          <w:szCs w:val="24"/>
          <w:highlight w:val="none"/>
          <w:shd w:val="clear" w:color="auto" w:fill="auto"/>
          <w:lang w:val="en-US" w:eastAsia="zh-CN"/>
        </w:rPr>
        <w:t>1）钻前工程</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①井场建设</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cs="Times New Roman"/>
          <w:color w:val="auto"/>
          <w:sz w:val="24"/>
          <w:szCs w:val="24"/>
          <w:highlight w:val="none"/>
          <w:shd w:val="clear" w:color="auto" w:fill="auto"/>
        </w:rPr>
        <w:t>根据井场平面布置图，首先对井场进行初步平整，然后采用挖掘机进行应急池、放喷池等池体开挖作业，并利用应急池、放喷池等的挖方进行填方作业，对场地进行平整。场地平整作业结束后，进行设备基础、池体防渗层的建设。</w:t>
      </w:r>
      <w:r>
        <w:rPr>
          <w:rFonts w:hint="eastAsia" w:ascii="Times New Roman" w:hAnsi="Times New Roman" w:cs="Times New Roman"/>
          <w:bCs/>
          <w:snapToGrid w:val="0"/>
          <w:color w:val="auto"/>
          <w:sz w:val="24"/>
          <w:szCs w:val="24"/>
          <w:highlight w:val="none"/>
          <w:shd w:val="clear" w:color="auto" w:fill="auto"/>
          <w:lang w:val="en-US" w:eastAsia="zh-CN"/>
        </w:rPr>
        <w:t>本工程井场设置临时堆土场区，</w:t>
      </w:r>
      <w:r>
        <w:rPr>
          <w:rFonts w:hint="eastAsia" w:ascii="Times New Roman" w:hAnsi="Times New Roman" w:cs="Times New Roman"/>
          <w:color w:val="auto"/>
          <w:sz w:val="24"/>
          <w:szCs w:val="24"/>
          <w:highlight w:val="none"/>
          <w:shd w:val="clear" w:color="auto" w:fill="auto"/>
          <w:lang w:val="en-US" w:eastAsia="zh-CN"/>
        </w:rPr>
        <w:t>覆盖防尘网或者防尘布，配合定期洒水等措施，防止风蚀起尘；</w:t>
      </w:r>
      <w:r>
        <w:rPr>
          <w:rFonts w:hint="eastAsia" w:ascii="Times New Roman" w:hAnsi="Times New Roman" w:cs="Times New Roman"/>
          <w:bCs/>
          <w:snapToGrid w:val="0"/>
          <w:color w:val="auto"/>
          <w:sz w:val="24"/>
          <w:szCs w:val="24"/>
          <w:highlight w:val="none"/>
          <w:shd w:val="clear" w:color="auto" w:fill="auto"/>
          <w:lang w:val="en-US" w:eastAsia="zh-CN"/>
        </w:rPr>
        <w:t>临时堆土场区</w:t>
      </w:r>
      <w:r>
        <w:rPr>
          <w:rFonts w:hint="eastAsia" w:ascii="Times New Roman" w:hAnsi="Times New Roman" w:cs="Times New Roman"/>
          <w:color w:val="auto"/>
          <w:sz w:val="24"/>
          <w:szCs w:val="24"/>
          <w:highlight w:val="none"/>
          <w:shd w:val="clear" w:color="auto" w:fill="auto"/>
          <w:lang w:val="en-US" w:eastAsia="zh-CN"/>
        </w:rPr>
        <w:t>四周布设不低于堆放物高度的围挡物挡土，避免造成水土流失。</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eastAsia" w:ascii="Times New Roman" w:hAnsi="Times New Roman" w:cs="Times New Roman"/>
          <w:color w:val="auto"/>
          <w:sz w:val="24"/>
          <w:szCs w:val="24"/>
          <w:highlight w:val="none"/>
          <w:shd w:val="clear" w:color="auto" w:fill="auto"/>
          <w:lang w:val="en-US" w:eastAsia="zh-CN"/>
        </w:rPr>
        <w:t>②</w:t>
      </w:r>
      <w:r>
        <w:rPr>
          <w:rFonts w:hint="default" w:ascii="Times New Roman" w:hAnsi="Times New Roman" w:cs="Times New Roman"/>
          <w:color w:val="auto"/>
          <w:sz w:val="24"/>
          <w:szCs w:val="24"/>
          <w:highlight w:val="none"/>
          <w:shd w:val="clear" w:color="auto" w:fill="auto"/>
        </w:rPr>
        <w:t>设备搬运及安装</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进场道路及井场修建完成后，由运输车辆将各类设备逐步运至井场，并按井场平面布置所示位置进行安装，通过检查满足钻井要求时开始进行钻井工程。</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钻前工程施工过程及产污环节见图</w:t>
      </w:r>
      <w:r>
        <w:rPr>
          <w:rFonts w:hint="default" w:ascii="Times New Roman" w:hAnsi="Times New Roman" w:cs="Times New Roman"/>
          <w:color w:val="auto"/>
          <w:sz w:val="24"/>
          <w:szCs w:val="24"/>
          <w:highlight w:val="none"/>
          <w:shd w:val="clear" w:color="auto" w:fill="auto"/>
          <w:lang w:val="en-US" w:eastAsia="zh-CN"/>
        </w:rPr>
        <w:t>3.3-1</w:t>
      </w:r>
      <w:r>
        <w:rPr>
          <w:rFonts w:hint="default" w:ascii="Times New Roman" w:hAnsi="Times New Roman" w:cs="Times New Roman"/>
          <w:color w:val="auto"/>
          <w:sz w:val="24"/>
          <w:szCs w:val="24"/>
          <w:highlight w:val="none"/>
          <w:shd w:val="clear" w:color="auto" w:fill="auto"/>
        </w:rPr>
        <w:t>。</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cs="Times New Roman"/>
          <w:color w:val="auto"/>
          <w:sz w:val="24"/>
          <w:szCs w:val="24"/>
          <w:highlight w:val="none"/>
          <w:shd w:val="clear" w:color="auto" w:fill="auto"/>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黑体" w:hAnsi="Times New Roman" w:eastAsia="黑体" w:cs="Times New Roman"/>
          <w:b/>
          <w:color w:val="auto"/>
          <w:kern w:val="2"/>
          <w:sz w:val="21"/>
          <w:szCs w:val="21"/>
          <w:highlight w:val="none"/>
          <w:lang w:val="en-US" w:eastAsia="zh-CN" w:bidi="ar-SA"/>
        </w:rPr>
      </w:pPr>
      <w:r>
        <w:rPr>
          <w:rFonts w:hint="default" w:ascii="黑体" w:hAnsi="Times New Roman" w:eastAsia="黑体" w:cs="Times New Roman"/>
          <w:b/>
          <w:color w:val="auto"/>
          <w:kern w:val="2"/>
          <w:sz w:val="21"/>
          <w:szCs w:val="21"/>
          <w:highlight w:val="none"/>
          <w:lang w:val="en-US" w:eastAsia="zh-CN" w:bidi="ar-SA"/>
        </w:rPr>
        <w:t>图3.</w:t>
      </w:r>
      <w:r>
        <w:rPr>
          <w:rFonts w:hint="eastAsia" w:ascii="黑体" w:hAnsi="Times New Roman" w:eastAsia="黑体" w:cs="Times New Roman"/>
          <w:b/>
          <w:color w:val="auto"/>
          <w:kern w:val="2"/>
          <w:sz w:val="21"/>
          <w:szCs w:val="21"/>
          <w:highlight w:val="none"/>
          <w:lang w:val="en-US" w:eastAsia="zh-CN" w:bidi="ar-SA"/>
        </w:rPr>
        <w:t>3</w:t>
      </w:r>
      <w:r>
        <w:rPr>
          <w:rFonts w:hint="default" w:ascii="黑体" w:hAnsi="Times New Roman" w:eastAsia="黑体" w:cs="Times New Roman"/>
          <w:b/>
          <w:color w:val="auto"/>
          <w:kern w:val="2"/>
          <w:sz w:val="21"/>
          <w:szCs w:val="21"/>
          <w:highlight w:val="none"/>
          <w:lang w:val="en-US" w:eastAsia="zh-CN" w:bidi="ar-SA"/>
        </w:rPr>
        <w:t>-1  钻前工程施工过程及产污环节示意图</w:t>
      </w:r>
    </w:p>
    <w:p>
      <w:pPr>
        <w:pStyle w:val="78"/>
        <w:keepNext w:val="0"/>
        <w:keepLines w:val="0"/>
        <w:pageBreakBefore w:val="0"/>
        <w:widowControl/>
        <w:kinsoku/>
        <w:wordWrap/>
        <w:overflowPunct/>
        <w:topLinePunct w:val="0"/>
        <w:autoSpaceDE/>
        <w:autoSpaceDN/>
        <w:bidi w:val="0"/>
        <w:adjustRightInd/>
        <w:snapToGrid w:val="0"/>
        <w:spacing w:after="0"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2）钻井工程</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正常钻井作业时动力主要由柴油机和发电机提供，通过钻机、转盘，带动钻杆切削</w:t>
      </w:r>
      <w:r>
        <w:rPr>
          <w:rFonts w:hint="eastAsia" w:ascii="Times New Roman" w:hAnsi="Times New Roman" w:eastAsia="宋体" w:cs="Times New Roman"/>
          <w:color w:val="auto"/>
          <w:sz w:val="24"/>
          <w:szCs w:val="24"/>
          <w:highlight w:val="none"/>
          <w:shd w:val="clear" w:color="auto" w:fill="auto"/>
          <w:lang w:val="en-US" w:eastAsia="zh-CN"/>
        </w:rPr>
        <w:t>油藏</w:t>
      </w:r>
      <w:r>
        <w:rPr>
          <w:rFonts w:hint="default" w:ascii="Times New Roman" w:hAnsi="Times New Roman" w:eastAsia="宋体" w:cs="Times New Roman"/>
          <w:color w:val="auto"/>
          <w:sz w:val="24"/>
          <w:szCs w:val="24"/>
          <w:highlight w:val="none"/>
          <w:shd w:val="clear" w:color="auto" w:fill="auto"/>
          <w:lang w:val="en-US" w:eastAsia="zh-CN"/>
        </w:rPr>
        <w:t>，同时由泥浆泵经钻杆将泥浆注入井筒冲刷井底，将切削下的岩屑不断带至地面，整个过程循环进行，使井不断加深，直至目的井深。钻井中途需要停钻，以便起下钻具更换钻头、下套管、固井、替换洗井液和检修设备。</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在钻井时，泥浆自井口</w:t>
      </w:r>
      <w:r>
        <w:rPr>
          <w:rFonts w:hint="eastAsia" w:ascii="Times New Roman" w:hAnsi="Times New Roman" w:eastAsia="宋体" w:cs="Times New Roman"/>
          <w:color w:val="auto"/>
          <w:sz w:val="24"/>
          <w:szCs w:val="24"/>
          <w:highlight w:val="none"/>
          <w:shd w:val="clear" w:color="auto" w:fill="auto"/>
          <w:lang w:val="en-US" w:eastAsia="zh-CN"/>
        </w:rPr>
        <w:t>经</w:t>
      </w:r>
      <w:r>
        <w:rPr>
          <w:rFonts w:hint="default" w:ascii="Times New Roman" w:hAnsi="Times New Roman" w:eastAsia="宋体" w:cs="Times New Roman"/>
          <w:color w:val="auto"/>
          <w:sz w:val="24"/>
          <w:szCs w:val="24"/>
          <w:highlight w:val="none"/>
          <w:shd w:val="clear" w:color="auto" w:fill="auto"/>
          <w:lang w:val="en-US" w:eastAsia="zh-CN"/>
        </w:rPr>
        <w:t>钻杆、钻头至井底，携带井底的岩屑上返地面，经泥浆固相控制系统除去岩屑后循环使用（参见图3.</w:t>
      </w:r>
      <w:r>
        <w:rPr>
          <w:rFonts w:hint="eastAsia"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2</w:t>
      </w:r>
      <w:r>
        <w:rPr>
          <w:rFonts w:hint="default" w:ascii="Times New Roman" w:hAnsi="Times New Roman" w:eastAsia="宋体" w:cs="Times New Roman"/>
          <w:color w:val="auto"/>
          <w:sz w:val="24"/>
          <w:szCs w:val="24"/>
          <w:highlight w:val="none"/>
          <w:shd w:val="clear" w:color="auto" w:fill="auto"/>
          <w:lang w:val="en-US" w:eastAsia="zh-CN"/>
        </w:rPr>
        <w:t>）。</w:t>
      </w:r>
    </w:p>
    <w:p>
      <w:pPr>
        <w:pStyle w:val="64"/>
        <w:ind w:firstLine="482"/>
        <w:rPr>
          <w:rFonts w:hint="default" w:ascii="Times New Roman" w:hAnsi="Times New Roman" w:cs="Times New Roman"/>
          <w:b/>
          <w:bCs/>
          <w:color w:val="auto"/>
          <w:highlight w:val="none"/>
          <w:shd w:val="clear" w:color="auto" w:fill="auto"/>
        </w:rPr>
      </w:pPr>
    </w:p>
    <w:p>
      <w:pPr>
        <w:pStyle w:val="64"/>
        <w:ind w:firstLine="482"/>
        <w:rPr>
          <w:rFonts w:hint="default" w:ascii="Times New Roman" w:hAnsi="Times New Roman" w:cs="Times New Roman"/>
          <w:b/>
          <w:bCs/>
          <w:color w:val="auto"/>
          <w:highlight w:val="none"/>
          <w:shd w:val="clear" w:color="auto" w:fill="auto"/>
        </w:rPr>
      </w:pPr>
    </w:p>
    <w:p>
      <w:pPr>
        <w:pStyle w:val="64"/>
        <w:ind w:firstLine="482"/>
        <w:rPr>
          <w:rFonts w:hint="default" w:ascii="Times New Roman" w:hAnsi="Times New Roman" w:cs="Times New Roman"/>
          <w:b/>
          <w:bCs/>
          <w:color w:val="auto"/>
          <w:highlight w:val="none"/>
          <w:shd w:val="clear" w:color="auto" w:fill="auto"/>
        </w:rPr>
      </w:pPr>
    </w:p>
    <w:p>
      <w:pPr>
        <w:pStyle w:val="64"/>
        <w:ind w:firstLine="482"/>
        <w:rPr>
          <w:rFonts w:hint="default" w:ascii="Times New Roman" w:hAnsi="Times New Roman" w:cs="Times New Roman"/>
          <w:b/>
          <w:bCs/>
          <w:color w:val="auto"/>
          <w:highlight w:val="none"/>
          <w:shd w:val="clear" w:color="auto" w:fill="auto"/>
        </w:rPr>
      </w:pPr>
    </w:p>
    <w:p>
      <w:pPr>
        <w:pStyle w:val="64"/>
        <w:ind w:firstLine="482"/>
        <w:rPr>
          <w:rFonts w:hint="default" w:ascii="Times New Roman" w:hAnsi="Times New Roman" w:cs="Times New Roman"/>
          <w:b/>
          <w:bCs/>
          <w:color w:val="auto"/>
          <w:highlight w:val="none"/>
          <w:shd w:val="clear" w:color="auto" w:fill="auto"/>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黑体" w:hAnsi="Times New Roman" w:eastAsia="黑体" w:cs="Times New Roman"/>
          <w:b/>
          <w:color w:val="auto"/>
          <w:kern w:val="2"/>
          <w:sz w:val="21"/>
          <w:szCs w:val="21"/>
          <w:highlight w:val="none"/>
          <w:lang w:val="en-US" w:eastAsia="zh-CN" w:bidi="ar-SA"/>
        </w:rPr>
      </w:pPr>
      <w:r>
        <w:rPr>
          <w:rFonts w:hint="default" w:ascii="黑体" w:hAnsi="Times New Roman" w:eastAsia="黑体" w:cs="Times New Roman"/>
          <w:b/>
          <w:color w:val="auto"/>
          <w:kern w:val="2"/>
          <w:sz w:val="21"/>
          <w:szCs w:val="21"/>
          <w:highlight w:val="none"/>
          <w:lang w:val="en-US" w:eastAsia="zh-CN" w:bidi="ar-SA"/>
        </w:rPr>
        <w:t>图3.</w:t>
      </w:r>
      <w:r>
        <w:rPr>
          <w:rFonts w:hint="eastAsia" w:ascii="黑体" w:hAnsi="Times New Roman" w:eastAsia="黑体" w:cs="Times New Roman"/>
          <w:b/>
          <w:color w:val="auto"/>
          <w:kern w:val="2"/>
          <w:sz w:val="21"/>
          <w:szCs w:val="21"/>
          <w:highlight w:val="none"/>
          <w:lang w:val="en-US" w:eastAsia="zh-CN" w:bidi="ar-SA"/>
        </w:rPr>
        <w:t>3</w:t>
      </w:r>
      <w:r>
        <w:rPr>
          <w:rFonts w:hint="default" w:ascii="黑体" w:hAnsi="Times New Roman" w:eastAsia="黑体" w:cs="Times New Roman"/>
          <w:b/>
          <w:color w:val="auto"/>
          <w:kern w:val="2"/>
          <w:sz w:val="21"/>
          <w:szCs w:val="21"/>
          <w:highlight w:val="none"/>
          <w:lang w:val="en-US" w:eastAsia="zh-CN" w:bidi="ar-SA"/>
        </w:rPr>
        <w:t>-</w:t>
      </w:r>
      <w:r>
        <w:rPr>
          <w:rFonts w:hint="eastAsia" w:ascii="黑体" w:hAnsi="Times New Roman" w:eastAsia="黑体" w:cs="Times New Roman"/>
          <w:b/>
          <w:color w:val="auto"/>
          <w:kern w:val="2"/>
          <w:sz w:val="21"/>
          <w:szCs w:val="21"/>
          <w:highlight w:val="none"/>
          <w:lang w:val="en-US" w:eastAsia="zh-CN" w:bidi="ar-SA"/>
        </w:rPr>
        <w:t>2</w:t>
      </w:r>
      <w:r>
        <w:rPr>
          <w:rFonts w:hint="default" w:ascii="黑体" w:hAnsi="Times New Roman" w:eastAsia="黑体" w:cs="Times New Roman"/>
          <w:b/>
          <w:color w:val="auto"/>
          <w:kern w:val="2"/>
          <w:sz w:val="21"/>
          <w:szCs w:val="21"/>
          <w:highlight w:val="none"/>
          <w:lang w:val="en-US" w:eastAsia="zh-CN" w:bidi="ar-SA"/>
        </w:rPr>
        <w:t>钻井液循环示意图</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在钻井过程中，根据钻头磨损情况、地层情况、井深设计及控制要求等需更换钻具而进行起下钻操作。钻杆、钻铤等钻具粘附少量的钻井液和钻屑，这部分固体废物排往井场泥浆罐内。</w:t>
      </w:r>
      <w:r>
        <w:rPr>
          <w:rFonts w:hint="eastAsia" w:ascii="Times New Roman" w:hAnsi="Times New Roman" w:eastAsia="宋体" w:cs="Times New Roman"/>
          <w:color w:val="auto"/>
          <w:sz w:val="24"/>
          <w:szCs w:val="24"/>
          <w:highlight w:val="none"/>
          <w:shd w:val="clear" w:color="auto" w:fill="auto"/>
          <w:lang w:val="en-US" w:eastAsia="zh-CN"/>
        </w:rPr>
        <w:t>钻井工程施工过程及产污环节见图3.4-3。</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3）固井</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采用多层套管，水泥返高地面方式进行固井。在完成最后一个井段的钻井和固井后，实施完井作业，如果因未钻获油藏等原因而需弃井时，则封堵井眼，切除地面以下1m内的套管头。</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4）测井</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在钻井过程中需利用电测、声波幅度</w:t>
      </w:r>
      <w:r>
        <w:rPr>
          <w:rFonts w:hint="eastAsia" w:cs="Times New Roman"/>
          <w:color w:val="auto"/>
          <w:sz w:val="24"/>
          <w:szCs w:val="24"/>
          <w:highlight w:val="none"/>
          <w:shd w:val="clear" w:color="auto" w:fill="auto"/>
          <w:lang w:val="en-US" w:eastAsia="zh-CN"/>
        </w:rPr>
        <w:t>测井</w:t>
      </w:r>
      <w:r>
        <w:rPr>
          <w:rFonts w:hint="default" w:ascii="Times New Roman" w:hAnsi="Times New Roman" w:eastAsia="宋体" w:cs="Times New Roman"/>
          <w:color w:val="auto"/>
          <w:sz w:val="24"/>
          <w:szCs w:val="24"/>
          <w:highlight w:val="none"/>
          <w:shd w:val="clear" w:color="auto" w:fill="auto"/>
          <w:lang w:val="en-US" w:eastAsia="zh-CN"/>
        </w:rPr>
        <w:t>或使用测井仪等方法，测定井斜和固井质量，判断油气层位置等，以便及时采取相应措施，保证钻井质量，即为测井作业。</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测井就是在钻井过程中及钻井完成以后，利用测量地层电阻、自然电位、声波、声幅及放射性等方式确定含</w:t>
      </w:r>
      <w:r>
        <w:rPr>
          <w:rFonts w:hint="eastAsia" w:ascii="Times New Roman" w:hAnsi="Times New Roman" w:eastAsia="宋体" w:cs="Times New Roman"/>
          <w:color w:val="auto"/>
          <w:sz w:val="24"/>
          <w:szCs w:val="24"/>
          <w:highlight w:val="none"/>
          <w:shd w:val="clear" w:color="auto" w:fill="auto"/>
          <w:lang w:val="en-US" w:eastAsia="zh-CN"/>
        </w:rPr>
        <w:t>油藏</w:t>
      </w:r>
      <w:r>
        <w:rPr>
          <w:rFonts w:hint="default" w:ascii="Times New Roman" w:hAnsi="Times New Roman" w:eastAsia="宋体" w:cs="Times New Roman"/>
          <w:color w:val="auto"/>
          <w:sz w:val="24"/>
          <w:szCs w:val="24"/>
          <w:highlight w:val="none"/>
          <w:shd w:val="clear" w:color="auto" w:fill="auto"/>
          <w:lang w:val="en-US" w:eastAsia="zh-CN"/>
        </w:rPr>
        <w:t>位，检查固井质量并确定射孔层位等。</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5</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录井</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录井主要是用岩矿分析、地球物理、地球化学等方法，观察、采集、收集、记录、分析随钻过程中的固体、液体、气体等井筒返出物信息，以此建立录井地质剖面、发现油气显示、评价油气层，并为石油天然气开采工程（钻井工程、</w:t>
      </w:r>
      <w:r>
        <w:rPr>
          <w:rFonts w:hint="eastAsia" w:cs="Times New Roman"/>
          <w:color w:val="auto"/>
          <w:sz w:val="24"/>
          <w:szCs w:val="24"/>
          <w:highlight w:val="none"/>
          <w:shd w:val="clear" w:color="auto" w:fill="auto"/>
          <w:lang w:val="en-US" w:eastAsia="zh-CN"/>
        </w:rPr>
        <w:t>其他</w:t>
      </w:r>
      <w:r>
        <w:rPr>
          <w:rFonts w:hint="default" w:ascii="Times New Roman" w:hAnsi="Times New Roman" w:eastAsia="宋体" w:cs="Times New Roman"/>
          <w:color w:val="auto"/>
          <w:sz w:val="24"/>
          <w:szCs w:val="24"/>
          <w:highlight w:val="none"/>
          <w:shd w:val="clear" w:color="auto" w:fill="auto"/>
          <w:lang w:val="en-US" w:eastAsia="zh-CN"/>
        </w:rPr>
        <w:t>工程）提供钻井信息服务的过程。</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黑体" w:cs="Times New Roman"/>
          <w:b/>
          <w:color w:val="auto"/>
          <w:szCs w:val="21"/>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val="en-US" w:eastAsia="zh-CN"/>
        </w:rPr>
        <w:t>录井技术多种多样，根据其资料应用可以分为地质录井和工程录井，根据其依据的科学理论基础，可以将录井方法分为；基于地质学原理的录井方法、基于物理学原理的录井方法、基于地球化学原理的录井方法</w:t>
      </w:r>
      <w:r>
        <w:rPr>
          <w:rFonts w:hint="eastAsia" w:ascii="Times New Roman" w:hAnsi="Times New Roman" w:eastAsia="宋体" w:cs="Times New Roman"/>
          <w:color w:val="auto"/>
          <w:sz w:val="24"/>
          <w:szCs w:val="24"/>
          <w:highlight w:val="none"/>
          <w:shd w:val="clear" w:color="auto" w:fill="auto"/>
          <w:lang w:val="en-US" w:eastAsia="zh-CN"/>
        </w:rPr>
        <w:t>。</w:t>
      </w:r>
    </w:p>
    <w:p>
      <w:pPr>
        <w:pStyle w:val="74"/>
        <w:keepNext w:val="0"/>
        <w:keepLines w:val="0"/>
        <w:pageBreakBefore w:val="0"/>
        <w:widowControl/>
        <w:kinsoku/>
        <w:wordWrap/>
        <w:overflowPunct/>
        <w:topLinePunct w:val="0"/>
        <w:autoSpaceDE/>
        <w:autoSpaceDN/>
        <w:bidi w:val="0"/>
        <w:adjustRightInd w:val="0"/>
        <w:snapToGrid/>
        <w:spacing w:line="240" w:lineRule="auto"/>
        <w:ind w:left="0" w:leftChars="0" w:firstLine="0" w:firstLineChars="0"/>
        <w:jc w:val="center"/>
        <w:textAlignment w:val="baseline"/>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pStyle w:val="57"/>
        <w:keepNext w:val="0"/>
        <w:keepLines w:val="0"/>
        <w:pageBreakBefore w:val="0"/>
        <w:kinsoku/>
        <w:wordWrap/>
        <w:overflowPunct/>
        <w:topLinePunct w:val="0"/>
        <w:autoSpaceDE/>
        <w:autoSpaceDN/>
        <w:bidi w:val="0"/>
        <w:adjustRightInd/>
        <w:snapToGrid/>
        <w:spacing w:line="480" w:lineRule="exact"/>
        <w:ind w:left="0" w:leftChars="0" w:firstLine="0" w:firstLineChars="0"/>
        <w:jc w:val="center"/>
        <w:textAlignment w:val="auto"/>
        <w:rPr>
          <w:rFonts w:hint="default" w:ascii="黑体" w:hAnsi="Times New Roman" w:eastAsia="黑体" w:cs="Times New Roman"/>
          <w:b/>
          <w:color w:val="auto"/>
          <w:kern w:val="2"/>
          <w:sz w:val="21"/>
          <w:szCs w:val="21"/>
          <w:highlight w:val="none"/>
          <w:lang w:val="en-US" w:eastAsia="zh-CN" w:bidi="ar-SA"/>
        </w:rPr>
      </w:pPr>
      <w:r>
        <w:rPr>
          <w:rFonts w:hint="default" w:ascii="黑体" w:hAnsi="Times New Roman" w:eastAsia="黑体" w:cs="Times New Roman"/>
          <w:b/>
          <w:color w:val="auto"/>
          <w:kern w:val="2"/>
          <w:sz w:val="21"/>
          <w:szCs w:val="21"/>
          <w:highlight w:val="none"/>
          <w:lang w:val="en-US" w:eastAsia="zh-CN" w:bidi="ar-SA"/>
        </w:rPr>
        <w:t>图3.</w:t>
      </w:r>
      <w:r>
        <w:rPr>
          <w:rFonts w:hint="eastAsia" w:ascii="黑体" w:hAnsi="Times New Roman" w:eastAsia="黑体" w:cs="Times New Roman"/>
          <w:b/>
          <w:color w:val="auto"/>
          <w:kern w:val="2"/>
          <w:sz w:val="21"/>
          <w:szCs w:val="21"/>
          <w:highlight w:val="none"/>
          <w:lang w:val="en-US" w:eastAsia="zh-CN" w:bidi="ar-SA"/>
        </w:rPr>
        <w:t>3</w:t>
      </w:r>
      <w:r>
        <w:rPr>
          <w:rFonts w:hint="default" w:ascii="黑体" w:hAnsi="Times New Roman" w:eastAsia="黑体" w:cs="Times New Roman"/>
          <w:b/>
          <w:color w:val="auto"/>
          <w:kern w:val="2"/>
          <w:sz w:val="21"/>
          <w:szCs w:val="21"/>
          <w:highlight w:val="none"/>
          <w:lang w:val="en-US" w:eastAsia="zh-CN" w:bidi="ar-SA"/>
        </w:rPr>
        <w:t>-</w:t>
      </w:r>
      <w:r>
        <w:rPr>
          <w:rFonts w:hint="eastAsia" w:ascii="黑体" w:hAnsi="Times New Roman" w:eastAsia="黑体" w:cs="Times New Roman"/>
          <w:b/>
          <w:color w:val="auto"/>
          <w:kern w:val="2"/>
          <w:sz w:val="21"/>
          <w:szCs w:val="21"/>
          <w:highlight w:val="none"/>
          <w:lang w:val="en-US" w:eastAsia="zh-CN" w:bidi="ar-SA"/>
        </w:rPr>
        <w:t>3钻前工程、钻井工程及储层改造工程工艺流程及污染物排放示意图</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6</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完井</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完井后清理井场，</w:t>
      </w:r>
      <w:r>
        <w:rPr>
          <w:rFonts w:hint="eastAsia" w:cs="Times New Roman"/>
          <w:color w:val="auto"/>
          <w:sz w:val="24"/>
          <w:szCs w:val="24"/>
          <w:highlight w:val="none"/>
          <w:shd w:val="clear" w:color="auto" w:fill="auto"/>
          <w:lang w:val="en-US" w:eastAsia="zh-CN"/>
        </w:rPr>
        <w:t>即</w:t>
      </w:r>
      <w:r>
        <w:rPr>
          <w:rFonts w:hint="default" w:ascii="Times New Roman" w:hAnsi="Times New Roman" w:eastAsia="宋体" w:cs="Times New Roman"/>
          <w:color w:val="auto"/>
          <w:sz w:val="24"/>
          <w:szCs w:val="24"/>
          <w:highlight w:val="none"/>
          <w:shd w:val="clear" w:color="auto" w:fill="auto"/>
          <w:lang w:val="en-US" w:eastAsia="zh-CN"/>
        </w:rPr>
        <w:t>可开展采油生产或试采。完井后要清运井场废弃物，恢复地貌，做到工完料尽场地清。</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bookmarkStart w:id="312" w:name="_Toc17526"/>
      <w:r>
        <w:rPr>
          <w:rFonts w:hint="eastAsia" w:ascii="Times New Roman" w:hAnsi="Times New Roman" w:eastAsia="宋体" w:cs="Times New Roman"/>
          <w:color w:val="auto"/>
          <w:sz w:val="24"/>
          <w:szCs w:val="24"/>
          <w:highlight w:val="none"/>
          <w:shd w:val="clear" w:color="auto" w:fill="auto"/>
          <w:lang w:val="en-US" w:eastAsia="zh-CN"/>
        </w:rPr>
        <w:t>（2）储层改造工程</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储层改造工程主要包括射孔、压裂以及后续的测试放喷等。</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1）射孔</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套管射孔是油井钻井、固井完成后，利用射孔器射穿油层套管、水泥环并穿透至油层一定深度，从而建立井筒与地层间的油气流动通道。</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2）压裂</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压裂是油气井增产的一项主要措施，油气层压裂工艺过程用压裂车，把高压大排量具有一定黏度的液体挤入油层，当把油层压出许多裂缝后，加入支撑剂（如石英砂等）充填进裂缝，提高油气层的渗透能力，以增加产油量。本工程7口油井采取压裂作业方式。</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3）测试放喷</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 xml:space="preserve">测试放喷是对初步确定的油气水层进行直接测试，取得目的层产能、压力、温度和流体性质等资料的工艺过程，为储量计算和油气合理开发提供可靠数据。测试放喷采取防喷、导流等有效措施。 </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测试放喷前安装井口放喷专用管线、各种计量设备、油气两相分离设备，计量罐、储液罐（油罐）、油气水进出口管线等设备。油气经井口装置节流、降压，进入油气计量分离器，分离后的液相（包括油和水）通过管线输送至凝析油储罐，再由油罐车拉走；天然气通过管线输送至放喷池，放空时通过电点火装置点燃放空天然气。依据具体情况设定放喷时间，一般为1～2d。</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储层改造</w:t>
      </w:r>
      <w:r>
        <w:rPr>
          <w:rFonts w:hint="eastAsia" w:ascii="Times New Roman" w:hAnsi="Times New Roman" w:eastAsia="宋体" w:cs="Times New Roman"/>
          <w:color w:val="auto"/>
          <w:sz w:val="24"/>
          <w:szCs w:val="24"/>
          <w:highlight w:val="none"/>
          <w:shd w:val="clear" w:color="auto" w:fill="auto"/>
          <w:lang w:val="zh-CN" w:eastAsia="zh-CN"/>
        </w:rPr>
        <w:t>工程</w:t>
      </w:r>
      <w:r>
        <w:rPr>
          <w:rFonts w:hint="eastAsia" w:ascii="Times New Roman" w:hAnsi="Times New Roman" w:eastAsia="宋体" w:cs="Times New Roman"/>
          <w:color w:val="auto"/>
          <w:sz w:val="24"/>
          <w:szCs w:val="24"/>
          <w:highlight w:val="none"/>
          <w:shd w:val="clear" w:color="auto" w:fill="auto"/>
          <w:lang w:val="en-US" w:eastAsia="zh-CN"/>
        </w:rPr>
        <w:t>主要废气为压裂废气、放喷天然气燃烧产生的废气及施工机械尾气。废水主要为生活污水及压裂返排液，生活污水暂存在生活污水池，定期拉运至乌尔禾区污水处理厂处理。压裂返排液采用专用废液收集罐收集，拉运至风城二号稠油联合站处理。噪声为压裂车噪声及测试放喷高压气流噪声，通过定期检修施工设备、合理布置作业任务，避免局部噪声过高。固体废物为生活垃圾，定期送至乌尔禾区生活垃圾填埋场处置。</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）井场</w:t>
      </w:r>
      <w:r>
        <w:rPr>
          <w:rFonts w:hint="eastAsia" w:ascii="Times New Roman" w:hAnsi="Times New Roman" w:eastAsia="宋体" w:cs="Times New Roman"/>
          <w:color w:val="auto"/>
          <w:sz w:val="24"/>
          <w:szCs w:val="24"/>
          <w:highlight w:val="none"/>
          <w:shd w:val="clear" w:color="auto" w:fill="auto"/>
          <w:lang w:val="en-US" w:eastAsia="zh-CN"/>
        </w:rPr>
        <w:t>、站场</w:t>
      </w:r>
      <w:r>
        <w:rPr>
          <w:rFonts w:hint="default" w:ascii="Times New Roman" w:hAnsi="Times New Roman" w:eastAsia="宋体" w:cs="Times New Roman"/>
          <w:color w:val="auto"/>
          <w:sz w:val="24"/>
          <w:szCs w:val="24"/>
          <w:highlight w:val="none"/>
          <w:shd w:val="clear" w:color="auto" w:fill="auto"/>
          <w:lang w:val="en-US" w:eastAsia="zh-CN"/>
        </w:rPr>
        <w:t>建设</w:t>
      </w:r>
      <w:bookmarkEnd w:id="306"/>
      <w:bookmarkEnd w:id="307"/>
      <w:bookmarkEnd w:id="308"/>
      <w:bookmarkEnd w:id="309"/>
      <w:bookmarkEnd w:id="310"/>
      <w:bookmarkEnd w:id="311"/>
      <w:bookmarkEnd w:id="312"/>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新建井场</w:t>
      </w:r>
      <w:r>
        <w:rPr>
          <w:rFonts w:hint="eastAsia" w:ascii="Times New Roman" w:hAnsi="Times New Roman" w:eastAsia="宋体" w:cs="Times New Roman"/>
          <w:color w:val="auto"/>
          <w:sz w:val="24"/>
          <w:szCs w:val="24"/>
          <w:highlight w:val="none"/>
          <w:shd w:val="clear" w:color="auto" w:fill="auto"/>
          <w:lang w:val="en-US" w:eastAsia="zh-CN"/>
        </w:rPr>
        <w:t>、站场</w:t>
      </w:r>
      <w:r>
        <w:rPr>
          <w:rFonts w:hint="default" w:ascii="Times New Roman" w:hAnsi="Times New Roman" w:eastAsia="宋体" w:cs="Times New Roman"/>
          <w:color w:val="auto"/>
          <w:sz w:val="24"/>
          <w:szCs w:val="24"/>
          <w:highlight w:val="none"/>
          <w:shd w:val="clear" w:color="auto" w:fill="auto"/>
          <w:lang w:val="en-US" w:eastAsia="zh-CN"/>
        </w:rPr>
        <w:t>施工期内容主要为设备安装及管线连接。新增设备为成品外购，用施工车辆运至指定井场位置即可。首先需对占地进行场地平整，设置施工车辆临时停放场地，将各类设备拉运至场地，进行安装调试。施工结束后，对施工场地临时占地进行平整恢复。</w:t>
      </w: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该过程废气污染源主要为施工车辆尾气，设备运输和装卸时产生的扬尘，通过洒水抑尘减少扬尘产生量；噪声污染源为施工机械产生的噪声，通过选取低噪声设备、加强设备维护保养降低噪声；固体废物主要为生活垃圾及设备废弃包装等，</w:t>
      </w:r>
      <w:r>
        <w:rPr>
          <w:rFonts w:hint="eastAsia" w:ascii="Times New Roman" w:hAnsi="Times New Roman" w:eastAsia="宋体" w:cs="Times New Roman"/>
          <w:color w:val="auto"/>
          <w:sz w:val="24"/>
          <w:szCs w:val="24"/>
          <w:highlight w:val="none"/>
          <w:shd w:val="clear" w:color="auto" w:fill="auto"/>
          <w:lang w:val="en-US" w:eastAsia="zh-CN"/>
        </w:rPr>
        <w:t>施工废料</w:t>
      </w:r>
      <w:r>
        <w:rPr>
          <w:rFonts w:hint="default" w:ascii="Times New Roman" w:hAnsi="Times New Roman" w:eastAsia="宋体" w:cs="Times New Roman"/>
          <w:color w:val="auto"/>
          <w:sz w:val="24"/>
          <w:szCs w:val="24"/>
          <w:highlight w:val="none"/>
          <w:shd w:val="clear" w:color="auto" w:fill="auto"/>
          <w:lang w:val="en-US" w:eastAsia="zh-CN"/>
        </w:rPr>
        <w:t>收集后统一送至</w:t>
      </w:r>
      <w:r>
        <w:rPr>
          <w:rFonts w:hint="eastAsia" w:ascii="Times New Roman" w:hAnsi="Times New Roman" w:eastAsia="宋体" w:cs="Times New Roman"/>
          <w:color w:val="auto"/>
          <w:sz w:val="24"/>
          <w:szCs w:val="24"/>
          <w:highlight w:val="none"/>
          <w:shd w:val="clear" w:color="auto" w:fill="auto"/>
          <w:lang w:val="en-US" w:eastAsia="zh-CN"/>
        </w:rPr>
        <w:t>克拉玛依市建筑垃圾填埋场</w:t>
      </w:r>
      <w:r>
        <w:rPr>
          <w:rFonts w:hint="default" w:ascii="Times New Roman" w:hAnsi="Times New Roman" w:eastAsia="宋体" w:cs="Times New Roman"/>
          <w:color w:val="auto"/>
          <w:sz w:val="24"/>
          <w:szCs w:val="24"/>
          <w:highlight w:val="none"/>
          <w:shd w:val="clear" w:color="auto" w:fill="auto"/>
          <w:lang w:val="en-US" w:eastAsia="zh-CN"/>
        </w:rPr>
        <w:t>进行处置</w:t>
      </w:r>
      <w:r>
        <w:rPr>
          <w:rFonts w:hint="eastAsia"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生活垃圾</w:t>
      </w:r>
      <w:r>
        <w:rPr>
          <w:rFonts w:hint="eastAsia" w:ascii="Times New Roman" w:hAnsi="Times New Roman" w:eastAsia="宋体" w:cs="Times New Roman"/>
          <w:color w:val="auto"/>
          <w:sz w:val="24"/>
          <w:szCs w:val="24"/>
          <w:highlight w:val="none"/>
          <w:shd w:val="clear" w:color="auto" w:fill="auto"/>
          <w:lang w:val="en-US" w:eastAsia="zh-CN"/>
        </w:rPr>
        <w:t>乌尔禾区生活垃圾填埋场进行处置。</w:t>
      </w:r>
      <w:bookmarkStart w:id="313" w:name="_Toc22849"/>
      <w:bookmarkStart w:id="314" w:name="_Toc11004"/>
      <w:bookmarkStart w:id="315" w:name="_Toc4248"/>
      <w:bookmarkStart w:id="316" w:name="_Toc9844"/>
      <w:bookmarkStart w:id="317" w:name="_Toc693"/>
      <w:bookmarkStart w:id="318" w:name="_Toc22637"/>
      <w:bookmarkStart w:id="319" w:name="_Toc12508"/>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pPr>
        <w:pStyle w:val="78"/>
        <w:keepNext w:val="0"/>
        <w:keepLines w:val="0"/>
        <w:pageBreakBefore w:val="0"/>
        <w:widowControl/>
        <w:kinsoku/>
        <w:wordWrap/>
        <w:overflowPunct/>
        <w:topLinePunct w:val="0"/>
        <w:autoSpaceDE/>
        <w:autoSpaceDN/>
        <w:bidi w:val="0"/>
        <w:adjustRightInd/>
        <w:snapToGrid w:val="0"/>
        <w:spacing w:after="0" w:line="480" w:lineRule="exact"/>
        <w:ind w:firstLine="48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p>
    <w:p>
      <w:pPr>
        <w:pStyle w:val="54"/>
        <w:bidi w:val="0"/>
        <w:rPr>
          <w:rFonts w:hint="default" w:hAnsi="Times New Roman" w:cs="Times New Roman"/>
          <w:color w:val="auto"/>
          <w:sz w:val="25"/>
          <w:szCs w:val="25"/>
          <w:highlight w:val="none"/>
          <w:lang w:val="en-US" w:eastAsia="zh-CN"/>
        </w:rPr>
      </w:pPr>
      <w:bookmarkStart w:id="320" w:name="_Toc31104"/>
      <w:bookmarkStart w:id="321" w:name="_Toc169"/>
      <w:r>
        <w:rPr>
          <w:rFonts w:hint="default" w:hAnsi="Times New Roman" w:cs="Times New Roman"/>
          <w:color w:val="auto"/>
          <w:sz w:val="25"/>
          <w:szCs w:val="25"/>
          <w:highlight w:val="none"/>
          <w:lang w:val="en-US" w:eastAsia="zh-CN"/>
        </w:rPr>
        <w:t>图</w:t>
      </w:r>
      <w:r>
        <w:rPr>
          <w:rFonts w:hint="eastAsia" w:hAnsi="Times New Roman" w:cs="Times New Roman"/>
          <w:color w:val="auto"/>
          <w:sz w:val="25"/>
          <w:szCs w:val="25"/>
          <w:highlight w:val="none"/>
          <w:lang w:val="en-US" w:eastAsia="zh-CN"/>
        </w:rPr>
        <w:t>3.3-4</w:t>
      </w:r>
      <w:r>
        <w:rPr>
          <w:rFonts w:hint="default" w:hAnsi="Times New Roman" w:cs="Times New Roman"/>
          <w:color w:val="auto"/>
          <w:sz w:val="25"/>
          <w:szCs w:val="25"/>
          <w:highlight w:val="none"/>
          <w:lang w:val="en-US" w:eastAsia="zh-CN"/>
        </w:rPr>
        <w:t xml:space="preserve">   </w:t>
      </w:r>
      <w:r>
        <w:rPr>
          <w:rFonts w:hint="eastAsia" w:hAnsi="Times New Roman" w:cs="Times New Roman"/>
          <w:color w:val="auto"/>
          <w:sz w:val="25"/>
          <w:szCs w:val="25"/>
          <w:highlight w:val="none"/>
          <w:lang w:val="en-US" w:eastAsia="zh-CN"/>
        </w:rPr>
        <w:t>井场和站场</w:t>
      </w:r>
      <w:r>
        <w:rPr>
          <w:rFonts w:hint="default" w:hAnsi="Times New Roman" w:cs="Times New Roman"/>
          <w:color w:val="auto"/>
          <w:sz w:val="25"/>
          <w:szCs w:val="25"/>
          <w:highlight w:val="none"/>
          <w:lang w:val="en-US" w:eastAsia="zh-CN"/>
        </w:rPr>
        <w:t>建设</w:t>
      </w:r>
      <w:r>
        <w:rPr>
          <w:rFonts w:hint="eastAsia" w:hAnsi="Times New Roman" w:cs="Times New Roman"/>
          <w:color w:val="auto"/>
          <w:sz w:val="25"/>
          <w:szCs w:val="25"/>
          <w:highlight w:val="none"/>
          <w:lang w:val="en-US" w:eastAsia="zh-CN"/>
        </w:rPr>
        <w:t>流程</w:t>
      </w:r>
      <w:r>
        <w:rPr>
          <w:rFonts w:hint="default" w:hAnsi="Times New Roman" w:cs="Times New Roman"/>
          <w:color w:val="auto"/>
          <w:sz w:val="25"/>
          <w:szCs w:val="25"/>
          <w:highlight w:val="none"/>
          <w:lang w:val="en-US" w:eastAsia="zh-CN"/>
        </w:rPr>
        <w:t>及产污环节示意图</w:t>
      </w:r>
      <w:bookmarkEnd w:id="320"/>
      <w:bookmarkEnd w:id="321"/>
    </w:p>
    <w:p>
      <w:pPr>
        <w:spacing w:line="360" w:lineRule="auto"/>
        <w:ind w:firstLine="480" w:firstLineChars="200"/>
        <w:jc w:val="left"/>
        <w:outlineLvl w:val="9"/>
        <w:rPr>
          <w:rFonts w:hint="default" w:ascii="Times New Roman" w:hAnsi="Times New Roman" w:cs="Times New Roman"/>
          <w:b w:val="0"/>
          <w:bCs w:val="0"/>
          <w:color w:val="auto"/>
          <w:sz w:val="24"/>
          <w:szCs w:val="24"/>
          <w:highlight w:val="none"/>
          <w:shd w:val="clear" w:color="auto" w:fill="auto"/>
        </w:rPr>
      </w:pPr>
      <w:r>
        <w:rPr>
          <w:rFonts w:hint="default" w:ascii="Times New Roman" w:hAnsi="Times New Roman" w:cs="Times New Roman"/>
          <w:b w:val="0"/>
          <w:bCs w:val="0"/>
          <w:color w:val="auto"/>
          <w:sz w:val="24"/>
          <w:szCs w:val="24"/>
          <w:highlight w:val="none"/>
          <w:shd w:val="clear" w:color="auto" w:fill="auto"/>
        </w:rPr>
        <w:t>（</w:t>
      </w:r>
      <w:r>
        <w:rPr>
          <w:rFonts w:hint="eastAsia" w:ascii="Times New Roman" w:hAnsi="Times New Roman" w:cs="Times New Roman"/>
          <w:b w:val="0"/>
          <w:bCs w:val="0"/>
          <w:color w:val="auto"/>
          <w:sz w:val="24"/>
          <w:szCs w:val="24"/>
          <w:highlight w:val="none"/>
          <w:shd w:val="clear" w:color="auto" w:fill="auto"/>
          <w:lang w:val="en-US" w:eastAsia="zh-CN"/>
        </w:rPr>
        <w:t>4</w:t>
      </w:r>
      <w:r>
        <w:rPr>
          <w:rFonts w:hint="default" w:ascii="Times New Roman" w:hAnsi="Times New Roman" w:cs="Times New Roman"/>
          <w:b w:val="0"/>
          <w:bCs w:val="0"/>
          <w:color w:val="auto"/>
          <w:sz w:val="24"/>
          <w:szCs w:val="24"/>
          <w:highlight w:val="none"/>
          <w:shd w:val="clear" w:color="auto" w:fill="auto"/>
        </w:rPr>
        <w:t>）管线敷设</w:t>
      </w:r>
      <w:bookmarkEnd w:id="313"/>
      <w:bookmarkEnd w:id="314"/>
      <w:bookmarkEnd w:id="315"/>
      <w:bookmarkEnd w:id="316"/>
      <w:bookmarkEnd w:id="317"/>
      <w:bookmarkEnd w:id="318"/>
      <w:bookmarkEnd w:id="319"/>
    </w:p>
    <w:p>
      <w:pPr>
        <w:pStyle w:val="8"/>
        <w:spacing w:line="480" w:lineRule="exact"/>
        <w:ind w:firstLine="486" w:firstLineChars="196"/>
        <w:jc w:val="left"/>
        <w:rPr>
          <w:rFonts w:hint="default" w:ascii="Times New Roman" w:hAnsi="Times New Roman" w:eastAsia="黑体" w:cs="Times New Roman"/>
          <w:color w:val="auto"/>
          <w:sz w:val="24"/>
          <w:szCs w:val="24"/>
          <w:highlight w:val="none"/>
          <w:shd w:val="clear" w:color="auto" w:fill="auto"/>
        </w:rPr>
      </w:pPr>
      <w:r>
        <w:rPr>
          <w:rFonts w:hint="default" w:ascii="Times New Roman" w:hAnsi="Times New Roman" w:cs="Times New Roman"/>
          <w:color w:val="auto"/>
          <w:spacing w:val="4"/>
          <w:kern w:val="24"/>
          <w:sz w:val="24"/>
          <w:szCs w:val="24"/>
          <w:highlight w:val="none"/>
          <w:shd w:val="clear" w:color="auto" w:fill="auto"/>
        </w:rPr>
        <w:t>管线主要施工内容包括施工准备、管沟开挖及下管、管道连接与试压、连头、配套设备安装、收尾工序等。管道工程施工阶段工艺流程见图3.</w:t>
      </w:r>
      <w:r>
        <w:rPr>
          <w:rFonts w:hint="eastAsia" w:ascii="Times New Roman" w:hAnsi="Times New Roman" w:cs="Times New Roman"/>
          <w:color w:val="auto"/>
          <w:spacing w:val="4"/>
          <w:kern w:val="24"/>
          <w:sz w:val="24"/>
          <w:szCs w:val="24"/>
          <w:highlight w:val="none"/>
          <w:shd w:val="clear" w:color="auto" w:fill="auto"/>
          <w:lang w:val="en-US" w:eastAsia="zh-CN"/>
        </w:rPr>
        <w:t>3</w:t>
      </w:r>
      <w:r>
        <w:rPr>
          <w:rFonts w:hint="default" w:ascii="Times New Roman" w:hAnsi="Times New Roman" w:cs="Times New Roman"/>
          <w:color w:val="auto"/>
          <w:spacing w:val="4"/>
          <w:kern w:val="24"/>
          <w:sz w:val="24"/>
          <w:szCs w:val="24"/>
          <w:highlight w:val="none"/>
          <w:shd w:val="clear" w:color="auto" w:fill="auto"/>
        </w:rPr>
        <w:t>-</w:t>
      </w:r>
      <w:r>
        <w:rPr>
          <w:rFonts w:hint="eastAsia" w:ascii="Times New Roman" w:hAnsi="Times New Roman" w:cs="Times New Roman"/>
          <w:color w:val="auto"/>
          <w:spacing w:val="4"/>
          <w:kern w:val="24"/>
          <w:sz w:val="24"/>
          <w:szCs w:val="24"/>
          <w:highlight w:val="none"/>
          <w:shd w:val="clear" w:color="auto" w:fill="auto"/>
          <w:lang w:val="en-US" w:eastAsia="zh-CN"/>
        </w:rPr>
        <w:t>5</w:t>
      </w:r>
      <w:r>
        <w:rPr>
          <w:rFonts w:hint="default" w:ascii="Times New Roman" w:hAnsi="Times New Roman" w:cs="Times New Roman"/>
          <w:color w:val="auto"/>
          <w:spacing w:val="4"/>
          <w:kern w:val="24"/>
          <w:sz w:val="24"/>
          <w:szCs w:val="24"/>
          <w:highlight w:val="none"/>
          <w:shd w:val="clear" w:color="auto" w:fill="auto"/>
        </w:rPr>
        <w:t>。</w:t>
      </w:r>
    </w:p>
    <w:p>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jc w:val="left"/>
        <w:rPr>
          <w:rFonts w:hint="default" w:ascii="Times New Roman" w:hAnsi="Times New Roman" w:eastAsia="宋体" w:cs="Times New Roman"/>
          <w:b/>
          <w:snapToGrid w:val="0"/>
          <w:color w:val="auto"/>
          <w:kern w:val="2"/>
          <w:sz w:val="21"/>
          <w:szCs w:val="21"/>
          <w:highlight w:val="none"/>
          <w:shd w:val="clear" w:color="auto" w:fill="auto"/>
          <w:lang w:val="en-US" w:eastAsia="zh-CN" w:bidi="ar-SA"/>
        </w:rPr>
      </w:pPr>
    </w:p>
    <w:p>
      <w:pPr>
        <w:pStyle w:val="54"/>
        <w:bidi w:val="0"/>
        <w:rPr>
          <w:rFonts w:hint="default" w:hAnsi="Times New Roman" w:cs="Times New Roman"/>
          <w:color w:val="auto"/>
          <w:sz w:val="25"/>
          <w:szCs w:val="25"/>
          <w:highlight w:val="none"/>
          <w:lang w:val="en-US" w:eastAsia="zh-CN"/>
        </w:rPr>
      </w:pPr>
      <w:r>
        <w:rPr>
          <w:rFonts w:hint="default" w:hAnsi="Times New Roman" w:cs="Times New Roman"/>
          <w:color w:val="auto"/>
          <w:sz w:val="25"/>
          <w:szCs w:val="25"/>
          <w:highlight w:val="none"/>
          <w:lang w:val="en-US" w:eastAsia="zh-CN"/>
        </w:rPr>
        <w:t>图3.</w:t>
      </w:r>
      <w:r>
        <w:rPr>
          <w:rFonts w:hint="eastAsia" w:hAnsi="Times New Roman" w:cs="Times New Roman"/>
          <w:color w:val="auto"/>
          <w:sz w:val="25"/>
          <w:szCs w:val="25"/>
          <w:highlight w:val="none"/>
          <w:lang w:val="en-US" w:eastAsia="zh-CN"/>
        </w:rPr>
        <w:t>3</w:t>
      </w:r>
      <w:r>
        <w:rPr>
          <w:rFonts w:hint="default" w:hAnsi="Times New Roman" w:cs="Times New Roman"/>
          <w:color w:val="auto"/>
          <w:sz w:val="25"/>
          <w:szCs w:val="25"/>
          <w:highlight w:val="none"/>
          <w:lang w:val="en-US" w:eastAsia="zh-CN"/>
        </w:rPr>
        <w:t>-</w:t>
      </w:r>
      <w:r>
        <w:rPr>
          <w:rFonts w:hint="eastAsia" w:hAnsi="Times New Roman" w:cs="Times New Roman"/>
          <w:color w:val="auto"/>
          <w:sz w:val="25"/>
          <w:szCs w:val="25"/>
          <w:highlight w:val="none"/>
          <w:lang w:val="en-US" w:eastAsia="zh-CN"/>
        </w:rPr>
        <w:t>5</w:t>
      </w:r>
      <w:r>
        <w:rPr>
          <w:rFonts w:hint="default" w:hAnsi="Times New Roman" w:cs="Times New Roman"/>
          <w:color w:val="auto"/>
          <w:sz w:val="25"/>
          <w:szCs w:val="25"/>
          <w:highlight w:val="none"/>
          <w:lang w:val="en-US" w:eastAsia="zh-CN"/>
        </w:rPr>
        <w:t>管道工程施工阶段工艺流程图</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①施工准备</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施工前需对场地进行平整，设置施工车辆临时停放场地。施工期间根据不同管线沿设计的管线走向设置一定宽度的作业带并取管沟一侧作为挖方存放点，在合适地点设置车辆临时停放场地。</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②管沟开挖及下管</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开挖管沟前，应根据管道施工用地宽度清理其中的杂物，平整沟、坎，以便施工机具通行，同时清除管线中心线两侧以及附近斜坡上危及管道安全的崩塌堆积物。施工前应按照设计图纸要求及各个区域的地质情况向施工人员</w:t>
      </w:r>
      <w:r>
        <w:rPr>
          <w:rFonts w:hint="eastAsia" w:ascii="Times New Roman" w:hAnsi="Times New Roman" w:cs="Times New Roman"/>
          <w:color w:val="auto"/>
          <w:sz w:val="24"/>
          <w:szCs w:val="24"/>
          <w:highlight w:val="none"/>
          <w:shd w:val="clear" w:color="auto" w:fill="auto"/>
          <w:lang w:eastAsia="zh-CN"/>
        </w:rPr>
        <w:t>做好</w:t>
      </w:r>
      <w:r>
        <w:rPr>
          <w:rFonts w:hint="default" w:ascii="Times New Roman" w:hAnsi="Times New Roman" w:cs="Times New Roman"/>
          <w:color w:val="auto"/>
          <w:sz w:val="24"/>
          <w:szCs w:val="24"/>
          <w:highlight w:val="none"/>
          <w:shd w:val="clear" w:color="auto" w:fill="auto"/>
        </w:rPr>
        <w:t>管沟断面开挖要求（开挖深度及边坡比）、堆土位置及技术要求等的交底工作。管沟开挖可采用机械开挖与人工开挖相结合的方式，有地下障碍物时，障碍物两侧5m范围内，应采用人工开挖。对于重要设施，开挖前应征得其管理方的同意，并应在其监督下开挖管沟。施工机械在纵坡上挖沟，必须根据坡度的大小、土壤的类别、性质及状态计算施工机械的稳定性，并采取相应的措施，确保安全操作。</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③管道连接与试压</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管道进行焊接、补口、补伤、接口防腐等，进行注水试压。集输管线试压介质采用中性洁净水，试压完成后用于洒水抑尘。</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④井场</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站场</w:t>
      </w:r>
      <w:r>
        <w:rPr>
          <w:rFonts w:hint="default" w:ascii="Times New Roman" w:hAnsi="Times New Roman" w:eastAsia="宋体" w:cs="Times New Roman"/>
          <w:color w:val="auto"/>
          <w:sz w:val="24"/>
          <w:szCs w:val="24"/>
          <w:highlight w:val="none"/>
          <w:shd w:val="clear" w:color="auto" w:fill="auto"/>
        </w:rPr>
        <w:t>配套设备安装及连头</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将配套设备拉运至井场</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站场</w:t>
      </w:r>
      <w:r>
        <w:rPr>
          <w:rFonts w:hint="default" w:ascii="Times New Roman" w:hAnsi="Times New Roman" w:eastAsia="宋体" w:cs="Times New Roman"/>
          <w:color w:val="auto"/>
          <w:sz w:val="24"/>
          <w:szCs w:val="24"/>
          <w:highlight w:val="none"/>
          <w:shd w:val="clear" w:color="auto" w:fill="auto"/>
        </w:rPr>
        <w:t>，并完成安装工作。管线施工完成后在井场将管线与采油树阀门连接，并安装RTU室等辅助设施；采出液通过单井集输管线输送至各对应</w:t>
      </w:r>
      <w:r>
        <w:rPr>
          <w:rFonts w:hint="eastAsia" w:ascii="Times New Roman" w:hAnsi="Times New Roman" w:eastAsia="宋体" w:cs="Times New Roman"/>
          <w:color w:val="auto"/>
          <w:sz w:val="24"/>
          <w:szCs w:val="24"/>
          <w:highlight w:val="none"/>
          <w:shd w:val="clear" w:color="auto" w:fill="auto"/>
          <w:lang w:val="en-US" w:eastAsia="zh-CN"/>
        </w:rPr>
        <w:t>计量站</w:t>
      </w:r>
      <w:r>
        <w:rPr>
          <w:rFonts w:hint="default" w:ascii="Times New Roman" w:hAnsi="Times New Roman" w:eastAsia="宋体" w:cs="Times New Roman"/>
          <w:color w:val="auto"/>
          <w:sz w:val="24"/>
          <w:szCs w:val="24"/>
          <w:highlight w:val="none"/>
          <w:shd w:val="clear" w:color="auto" w:fill="auto"/>
        </w:rPr>
        <w:t>，然后再通过新建和已建集输管线输送至联合站处理。</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⑤收尾工作</w:t>
      </w:r>
    </w:p>
    <w:p>
      <w:pPr>
        <w:pStyle w:val="78"/>
        <w:keepNext w:val="0"/>
        <w:keepLines w:val="0"/>
        <w:pageBreakBefore w:val="0"/>
        <w:widowControl/>
        <w:kinsoku/>
        <w:wordWrap/>
        <w:overflowPunct/>
        <w:topLinePunct w:val="0"/>
        <w:autoSpaceDE/>
        <w:autoSpaceDN/>
        <w:bidi w:val="0"/>
        <w:adjustRightInd/>
        <w:snapToGrid/>
        <w:spacing w:after="0"/>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收尾工作包括管沟回填、场地平整和临时场地恢复。管线连接成功并检验合格后进行管沟回填。对管沟实施土方回填，回填时分二次回填，回填土应与管沟自然土相似，首先距管壁300mm范围先用较小粒径的原土进行小回填，最大回填粒径不超过10mm，然后采用原土进行回填，管顶距自然地坪不小于</w:t>
      </w:r>
      <w:r>
        <w:rPr>
          <w:rFonts w:hint="eastAsia" w:ascii="Times New Roman" w:hAnsi="Times New Roman" w:eastAsia="宋体" w:cs="Times New Roman"/>
          <w:color w:val="auto"/>
          <w:sz w:val="24"/>
          <w:szCs w:val="24"/>
          <w:highlight w:val="none"/>
          <w:shd w:val="clear" w:color="auto" w:fill="auto"/>
          <w:lang w:val="en-US" w:eastAsia="zh-CN"/>
        </w:rPr>
        <w:t>1.8</w:t>
      </w:r>
      <w:r>
        <w:rPr>
          <w:rFonts w:hint="default" w:ascii="Times New Roman" w:hAnsi="Times New Roman" w:eastAsia="宋体" w:cs="Times New Roman"/>
          <w:color w:val="auto"/>
          <w:sz w:val="24"/>
          <w:szCs w:val="24"/>
          <w:highlight w:val="none"/>
          <w:shd w:val="clear" w:color="auto" w:fill="auto"/>
        </w:rPr>
        <w:t>m且管沟回填土高出自然地面300mm，沿管线铺设方向形成垄，</w:t>
      </w:r>
      <w:r>
        <w:rPr>
          <w:rFonts w:hint="eastAsia" w:cs="Times New Roman"/>
          <w:color w:val="auto"/>
          <w:sz w:val="24"/>
          <w:szCs w:val="24"/>
          <w:highlight w:val="none"/>
          <w:shd w:val="clear" w:color="auto" w:fill="auto"/>
          <w:lang w:eastAsia="zh-CN"/>
        </w:rPr>
        <w:t>作为</w:t>
      </w:r>
      <w:r>
        <w:rPr>
          <w:rFonts w:hint="default" w:ascii="Times New Roman" w:hAnsi="Times New Roman" w:eastAsia="宋体" w:cs="Times New Roman"/>
          <w:color w:val="auto"/>
          <w:sz w:val="24"/>
          <w:szCs w:val="24"/>
          <w:highlight w:val="none"/>
          <w:shd w:val="clear" w:color="auto" w:fill="auto"/>
        </w:rPr>
        <w:t>管道上方土层自然沉降</w:t>
      </w:r>
      <w:r>
        <w:rPr>
          <w:rFonts w:hint="eastAsia" w:ascii="Times New Roman" w:hAnsi="Times New Roman" w:eastAsia="宋体" w:cs="Times New Roman"/>
          <w:color w:val="auto"/>
          <w:sz w:val="24"/>
          <w:szCs w:val="24"/>
          <w:highlight w:val="none"/>
          <w:shd w:val="clear" w:color="auto" w:fill="auto"/>
          <w:lang w:eastAsia="zh-CN"/>
        </w:rPr>
        <w:t>富余</w:t>
      </w:r>
      <w:r>
        <w:rPr>
          <w:rFonts w:hint="default" w:ascii="Times New Roman" w:hAnsi="Times New Roman" w:eastAsia="宋体" w:cs="Times New Roman"/>
          <w:color w:val="auto"/>
          <w:sz w:val="24"/>
          <w:szCs w:val="24"/>
          <w:highlight w:val="none"/>
          <w:shd w:val="clear" w:color="auto" w:fill="auto"/>
        </w:rPr>
        <w:t>量，且可以作为巡视管线的地表标志，剩余土方用于场地平整和临时施工场地土地恢复。第一次回填采用人工回填，第二次回填可采用机械回填，机械回填时，严禁施工机械碾压管道。管沟回填后，在管线沿线设置管道标识、里程桩、转角桩、标志桩、警示牌和警示带等标识</w:t>
      </w:r>
      <w:r>
        <w:rPr>
          <w:rFonts w:hint="eastAsia" w:ascii="Times New Roman" w:hAnsi="Times New Roman" w:eastAsia="宋体" w:cs="Times New Roman"/>
          <w:color w:val="auto"/>
          <w:sz w:val="24"/>
          <w:szCs w:val="24"/>
          <w:highlight w:val="none"/>
          <w:shd w:val="clear" w:color="auto" w:fill="auto"/>
        </w:rPr>
        <w:t>。</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.1.</w:t>
      </w:r>
      <w:r>
        <w:rPr>
          <w:rFonts w:hint="eastAsia"/>
          <w:color w:val="auto"/>
          <w:highlight w:val="none"/>
        </w:rPr>
        <w:t>2运营期</w:t>
      </w:r>
    </w:p>
    <w:p>
      <w:pPr>
        <w:pStyle w:val="78"/>
        <w:keepNext w:val="0"/>
        <w:keepLines w:val="0"/>
        <w:pageBreakBefore w:val="0"/>
        <w:widowControl/>
        <w:kinsoku/>
        <w:wordWrap/>
        <w:overflowPunct/>
        <w:topLinePunct w:val="0"/>
        <w:autoSpaceDE/>
        <w:autoSpaceDN/>
        <w:bidi w:val="0"/>
        <w:adjustRightInd/>
        <w:snapToGrid/>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rPr>
        <w:t>拟建工程工艺流程主要包括油气开采、集输、井下作业。</w:t>
      </w:r>
    </w:p>
    <w:p>
      <w:pPr>
        <w:pStyle w:val="78"/>
        <w:keepNext w:val="0"/>
        <w:keepLines w:val="0"/>
        <w:pageBreakBefore w:val="0"/>
        <w:widowControl/>
        <w:kinsoku/>
        <w:wordWrap/>
        <w:overflowPunct/>
        <w:topLinePunct w:val="0"/>
        <w:autoSpaceDE/>
        <w:autoSpaceDN/>
        <w:bidi w:val="0"/>
        <w:adjustRightInd/>
        <w:snapToGrid/>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（1）</w:t>
      </w:r>
      <w:r>
        <w:rPr>
          <w:rFonts w:hint="eastAsia" w:ascii="Times New Roman" w:hAnsi="Times New Roman" w:eastAsia="宋体" w:cs="Times New Roman"/>
          <w:color w:val="auto"/>
          <w:sz w:val="24"/>
          <w:szCs w:val="24"/>
          <w:highlight w:val="none"/>
          <w:shd w:val="clear" w:color="auto" w:fill="auto"/>
          <w:lang w:eastAsia="zh-CN"/>
        </w:rPr>
        <w:t>采油</w:t>
      </w:r>
      <w:r>
        <w:rPr>
          <w:rFonts w:hint="default" w:ascii="Times New Roman" w:hAnsi="Times New Roman" w:eastAsia="宋体" w:cs="Times New Roman"/>
          <w:color w:val="auto"/>
          <w:sz w:val="24"/>
          <w:szCs w:val="24"/>
          <w:highlight w:val="none"/>
          <w:shd w:val="clear" w:color="auto" w:fill="auto"/>
        </w:rPr>
        <w:t>工程</w:t>
      </w:r>
    </w:p>
    <w:p>
      <w:pPr>
        <w:pStyle w:val="78"/>
        <w:keepNext w:val="0"/>
        <w:keepLines w:val="0"/>
        <w:pageBreakBefore w:val="0"/>
        <w:widowControl/>
        <w:kinsoku/>
        <w:wordWrap/>
        <w:overflowPunct/>
        <w:topLinePunct w:val="0"/>
        <w:autoSpaceDE/>
        <w:autoSpaceDN/>
        <w:bidi w:val="0"/>
        <w:adjustRightInd/>
        <w:snapToGrid/>
        <w:spacing w:after="0"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lang w:eastAsia="zh-CN"/>
        </w:rPr>
        <w:t>采油</w:t>
      </w:r>
      <w:r>
        <w:rPr>
          <w:rFonts w:hint="default" w:ascii="Times New Roman" w:hAnsi="Times New Roman" w:eastAsia="宋体" w:cs="Times New Roman"/>
          <w:color w:val="auto"/>
          <w:sz w:val="24"/>
          <w:szCs w:val="24"/>
          <w:highlight w:val="none"/>
          <w:shd w:val="clear" w:color="auto" w:fill="auto"/>
        </w:rPr>
        <w:t>就是借助</w:t>
      </w:r>
      <w:r>
        <w:rPr>
          <w:rFonts w:hint="eastAsia" w:ascii="Times New Roman" w:hAnsi="Times New Roman" w:eastAsia="宋体" w:cs="Times New Roman"/>
          <w:color w:val="auto"/>
          <w:sz w:val="24"/>
          <w:szCs w:val="24"/>
          <w:highlight w:val="none"/>
          <w:shd w:val="clear" w:color="auto" w:fill="auto"/>
          <w:lang w:eastAsia="zh-CN"/>
        </w:rPr>
        <w:t>油藏</w:t>
      </w:r>
      <w:r>
        <w:rPr>
          <w:rFonts w:hint="default" w:ascii="Times New Roman" w:hAnsi="Times New Roman" w:eastAsia="宋体" w:cs="Times New Roman"/>
          <w:color w:val="auto"/>
          <w:sz w:val="24"/>
          <w:szCs w:val="24"/>
          <w:highlight w:val="none"/>
          <w:shd w:val="clear" w:color="auto" w:fill="auto"/>
        </w:rPr>
        <w:t>的自身压力或者抽油泵等工艺方法，使油气从地下储</w:t>
      </w:r>
      <w:r>
        <w:rPr>
          <w:rFonts w:hint="eastAsia" w:ascii="Times New Roman" w:hAnsi="Times New Roman" w:eastAsia="宋体" w:cs="Times New Roman"/>
          <w:color w:val="auto"/>
          <w:sz w:val="24"/>
          <w:szCs w:val="24"/>
          <w:highlight w:val="none"/>
          <w:shd w:val="clear" w:color="auto" w:fill="auto"/>
          <w:lang w:eastAsia="zh-CN"/>
        </w:rPr>
        <w:t>油藏</w:t>
      </w:r>
      <w:r>
        <w:rPr>
          <w:rFonts w:hint="default" w:ascii="Times New Roman" w:hAnsi="Times New Roman" w:eastAsia="宋体" w:cs="Times New Roman"/>
          <w:color w:val="auto"/>
          <w:sz w:val="24"/>
          <w:szCs w:val="24"/>
          <w:highlight w:val="none"/>
          <w:shd w:val="clear" w:color="auto" w:fill="auto"/>
        </w:rPr>
        <w:t>中产出的工艺过程。一般来说依靠气藏自身压力进行</w:t>
      </w:r>
      <w:r>
        <w:rPr>
          <w:rFonts w:hint="eastAsia" w:ascii="Times New Roman" w:hAnsi="Times New Roman" w:eastAsia="宋体" w:cs="Times New Roman"/>
          <w:color w:val="auto"/>
          <w:sz w:val="24"/>
          <w:szCs w:val="24"/>
          <w:highlight w:val="none"/>
          <w:shd w:val="clear" w:color="auto" w:fill="auto"/>
          <w:lang w:eastAsia="zh-CN"/>
        </w:rPr>
        <w:t>采油</w:t>
      </w:r>
      <w:r>
        <w:rPr>
          <w:rFonts w:hint="default" w:ascii="Times New Roman" w:hAnsi="Times New Roman" w:eastAsia="宋体" w:cs="Times New Roman"/>
          <w:color w:val="auto"/>
          <w:sz w:val="24"/>
          <w:szCs w:val="24"/>
          <w:highlight w:val="none"/>
          <w:shd w:val="clear" w:color="auto" w:fill="auto"/>
        </w:rPr>
        <w:t>的方法称为自喷开采法，而需要用抽油泵等方法进行</w:t>
      </w:r>
      <w:r>
        <w:rPr>
          <w:rFonts w:hint="eastAsia" w:ascii="Times New Roman" w:hAnsi="Times New Roman" w:eastAsia="宋体" w:cs="Times New Roman"/>
          <w:color w:val="auto"/>
          <w:sz w:val="24"/>
          <w:szCs w:val="24"/>
          <w:highlight w:val="none"/>
          <w:shd w:val="clear" w:color="auto" w:fill="auto"/>
          <w:lang w:eastAsia="zh-CN"/>
        </w:rPr>
        <w:t>采油</w:t>
      </w:r>
      <w:r>
        <w:rPr>
          <w:rFonts w:hint="default" w:ascii="Times New Roman" w:hAnsi="Times New Roman" w:eastAsia="宋体" w:cs="Times New Roman"/>
          <w:color w:val="auto"/>
          <w:sz w:val="24"/>
          <w:szCs w:val="24"/>
          <w:highlight w:val="none"/>
          <w:shd w:val="clear" w:color="auto" w:fill="auto"/>
        </w:rPr>
        <w:t>的则叫机械开采法。</w:t>
      </w:r>
      <w:r>
        <w:rPr>
          <w:rFonts w:hint="eastAsia" w:ascii="Times New Roman" w:hAnsi="Times New Roman" w:eastAsia="宋体" w:cs="Times New Roman"/>
          <w:color w:val="auto"/>
          <w:sz w:val="24"/>
          <w:szCs w:val="24"/>
          <w:highlight w:val="none"/>
          <w:shd w:val="clear" w:color="auto" w:fill="auto"/>
          <w:lang w:eastAsia="zh-CN"/>
        </w:rPr>
        <w:t>本工程</w:t>
      </w:r>
      <w:r>
        <w:rPr>
          <w:rFonts w:hint="default" w:ascii="Times New Roman" w:hAnsi="Times New Roman" w:eastAsia="宋体" w:cs="Times New Roman"/>
          <w:color w:val="auto"/>
          <w:sz w:val="24"/>
          <w:szCs w:val="24"/>
          <w:highlight w:val="none"/>
          <w:shd w:val="clear" w:color="auto" w:fill="auto"/>
        </w:rPr>
        <w:t>新建采油井前期为自喷生产，后期采用</w:t>
      </w:r>
      <w:r>
        <w:rPr>
          <w:rFonts w:hint="eastAsia" w:ascii="Times New Roman" w:hAnsi="Times New Roman" w:eastAsia="宋体" w:cs="Times New Roman"/>
          <w:color w:val="auto"/>
          <w:sz w:val="24"/>
          <w:szCs w:val="24"/>
          <w:highlight w:val="none"/>
          <w:shd w:val="clear" w:color="auto" w:fill="auto"/>
        </w:rPr>
        <w:t>抽油泵</w:t>
      </w:r>
      <w:r>
        <w:rPr>
          <w:rFonts w:hint="default" w:ascii="Times New Roman" w:hAnsi="Times New Roman" w:eastAsia="宋体" w:cs="Times New Roman"/>
          <w:color w:val="auto"/>
          <w:sz w:val="24"/>
          <w:szCs w:val="24"/>
          <w:highlight w:val="none"/>
          <w:shd w:val="clear" w:color="auto" w:fill="auto"/>
        </w:rPr>
        <w:t>生产。井场工艺流程见图3.</w:t>
      </w:r>
      <w:r>
        <w:rPr>
          <w:rFonts w:hint="eastAsia" w:ascii="Times New Roman" w:hAnsi="Times New Roman" w:eastAsia="宋体" w:cs="Times New Roman"/>
          <w:color w:val="auto"/>
          <w:sz w:val="24"/>
          <w:szCs w:val="24"/>
          <w:highlight w:val="none"/>
          <w:shd w:val="clear" w:color="auto" w:fill="auto"/>
          <w:lang w:val="en-US" w:eastAsia="zh-CN"/>
        </w:rPr>
        <w:t>4</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6</w:t>
      </w:r>
      <w:r>
        <w:rPr>
          <w:rFonts w:hint="default" w:ascii="Times New Roman" w:hAnsi="Times New Roman" w:eastAsia="宋体" w:cs="Times New Roman"/>
          <w:color w:val="auto"/>
          <w:sz w:val="24"/>
          <w:szCs w:val="24"/>
          <w:highlight w:val="none"/>
          <w:shd w:val="clear" w:color="auto" w:fill="auto"/>
        </w:rPr>
        <w:t>。</w:t>
      </w:r>
    </w:p>
    <w:p>
      <w:pPr>
        <w:pStyle w:val="64"/>
        <w:jc w:val="center"/>
        <w:rPr>
          <w:rFonts w:hint="eastAsia" w:eastAsia="黑体"/>
          <w:color w:val="auto"/>
          <w:highlight w:val="none"/>
          <w:shd w:val="clear" w:color="auto" w:fill="auto"/>
          <w:lang w:eastAsia="zh-CN"/>
        </w:rPr>
      </w:pPr>
    </w:p>
    <w:p>
      <w:pPr>
        <w:pStyle w:val="64"/>
        <w:jc w:val="center"/>
        <w:rPr>
          <w:rFonts w:hint="default" w:ascii="Times New Roman" w:hAnsi="Times New Roman" w:cs="Times New Roman"/>
          <w:color w:val="auto"/>
          <w:highlight w:val="none"/>
          <w:shd w:val="clear" w:color="auto" w:fill="auto"/>
        </w:rPr>
      </w:pPr>
    </w:p>
    <w:p>
      <w:pPr>
        <w:pStyle w:val="64"/>
        <w:jc w:val="center"/>
        <w:rPr>
          <w:rFonts w:hint="default" w:ascii="Times New Roman" w:hAnsi="Times New Roman" w:cs="Times New Roman"/>
          <w:color w:val="auto"/>
          <w:highlight w:val="none"/>
          <w:shd w:val="clear" w:color="auto" w:fill="auto"/>
        </w:rPr>
      </w:pPr>
    </w:p>
    <w:p>
      <w:pPr>
        <w:pStyle w:val="64"/>
        <w:jc w:val="center"/>
        <w:rPr>
          <w:rFonts w:hint="default" w:ascii="Times New Roman" w:hAnsi="Times New Roman" w:cs="Times New Roman"/>
          <w:color w:val="auto"/>
          <w:highlight w:val="none"/>
          <w:shd w:val="clear" w:color="auto" w:fill="auto"/>
        </w:rPr>
      </w:pPr>
    </w:p>
    <w:p>
      <w:pPr>
        <w:pStyle w:val="64"/>
        <w:jc w:val="center"/>
        <w:rPr>
          <w:rFonts w:hint="default" w:ascii="Times New Roman" w:hAnsi="Times New Roman" w:cs="Times New Roman"/>
          <w:color w:val="auto"/>
          <w:highlight w:val="none"/>
          <w:shd w:val="clear" w:color="auto" w:fill="auto"/>
        </w:rPr>
      </w:pPr>
    </w:p>
    <w:p>
      <w:pPr>
        <w:pStyle w:val="54"/>
        <w:bidi w:val="0"/>
        <w:rPr>
          <w:rFonts w:hint="default" w:hAnsi="Times New Roman" w:cs="Times New Roman"/>
          <w:color w:val="auto"/>
          <w:sz w:val="25"/>
          <w:szCs w:val="25"/>
          <w:highlight w:val="none"/>
          <w:lang w:val="en-US" w:eastAsia="zh-CN"/>
        </w:rPr>
      </w:pPr>
      <w:r>
        <w:rPr>
          <w:rFonts w:hint="default" w:hAnsi="Times New Roman" w:cs="Times New Roman"/>
          <w:color w:val="auto"/>
          <w:sz w:val="25"/>
          <w:szCs w:val="25"/>
          <w:highlight w:val="none"/>
          <w:lang w:val="en-US" w:eastAsia="zh-CN"/>
        </w:rPr>
        <w:t>图3.</w:t>
      </w:r>
      <w:r>
        <w:rPr>
          <w:rFonts w:hint="eastAsia" w:hAnsi="Times New Roman" w:cs="Times New Roman"/>
          <w:color w:val="auto"/>
          <w:sz w:val="25"/>
          <w:szCs w:val="25"/>
          <w:highlight w:val="none"/>
          <w:lang w:val="en-US" w:eastAsia="zh-CN"/>
        </w:rPr>
        <w:t>3</w:t>
      </w:r>
      <w:r>
        <w:rPr>
          <w:rFonts w:hint="default" w:hAnsi="Times New Roman" w:cs="Times New Roman"/>
          <w:color w:val="auto"/>
          <w:sz w:val="25"/>
          <w:szCs w:val="25"/>
          <w:highlight w:val="none"/>
          <w:lang w:val="en-US" w:eastAsia="zh-CN"/>
        </w:rPr>
        <w:t>-</w:t>
      </w:r>
      <w:r>
        <w:rPr>
          <w:rFonts w:hint="eastAsia" w:hAnsi="Times New Roman" w:cs="Times New Roman"/>
          <w:color w:val="auto"/>
          <w:sz w:val="25"/>
          <w:szCs w:val="25"/>
          <w:highlight w:val="none"/>
          <w:lang w:val="en-US" w:eastAsia="zh-CN"/>
        </w:rPr>
        <w:t>6</w:t>
      </w:r>
      <w:r>
        <w:rPr>
          <w:rFonts w:hint="default" w:hAnsi="Times New Roman" w:cs="Times New Roman"/>
          <w:color w:val="auto"/>
          <w:sz w:val="25"/>
          <w:szCs w:val="25"/>
          <w:highlight w:val="none"/>
          <w:lang w:val="en-US" w:eastAsia="zh-CN"/>
        </w:rPr>
        <w:t>井场工艺流程图</w:t>
      </w:r>
    </w:p>
    <w:p>
      <w:pPr>
        <w:pStyle w:val="57"/>
        <w:bidi w:val="0"/>
        <w:rPr>
          <w:color w:val="auto"/>
          <w:highlight w:val="none"/>
        </w:rPr>
      </w:pPr>
      <w:r>
        <w:rPr>
          <w:rFonts w:hint="eastAsia"/>
          <w:color w:val="auto"/>
          <w:highlight w:val="none"/>
        </w:rPr>
        <w:t>（2）油气集输</w:t>
      </w:r>
    </w:p>
    <w:p>
      <w:pPr>
        <w:pStyle w:val="57"/>
        <w:bidi w:val="0"/>
        <w:rPr>
          <w:rFonts w:hint="default"/>
          <w:color w:val="auto"/>
          <w:highlight w:val="none"/>
          <w:shd w:val="clear" w:color="auto" w:fill="auto"/>
        </w:rPr>
      </w:pPr>
      <w:r>
        <w:rPr>
          <w:rFonts w:hint="eastAsia"/>
          <w:color w:val="auto"/>
          <w:highlight w:val="none"/>
        </w:rPr>
        <w:t>本工程部署18口采油井（7口新井和11口老井），其中10口井（7口新井、3口老井）采出气液在新建集中拉油站内进行分离，采出液通过拉油方式输至风城二号稠油处理站处理，天然气密闭集输至夏子街增压站处，既集输工艺采用井口→计量站→集中拉油站→风城二号稠油处理站三级布站工艺；剩余8口老井采用单井拉油工艺，伴生气经过气液分离后通过放喷管线输至放喷池点火排放，采出液输至井场内高架罐，拉运至风城二号稠油处理站处理。本工程进站情况见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7</w:t>
      </w:r>
      <w:r>
        <w:rPr>
          <w:rFonts w:hint="eastAsia"/>
          <w:color w:val="auto"/>
          <w:highlight w:val="none"/>
        </w:rPr>
        <w:t>。</w:t>
      </w:r>
    </w:p>
    <w:p>
      <w:pPr>
        <w:pStyle w:val="57"/>
        <w:bidi w:val="0"/>
        <w:ind w:left="0" w:leftChars="0" w:firstLine="0" w:firstLineChars="0"/>
        <w:jc w:val="center"/>
        <w:rPr>
          <w:rFonts w:hint="default" w:ascii="黑体" w:hAnsi="Times New Roman" w:eastAsia="黑体" w:cs="Times New Roman"/>
          <w:b/>
          <w:color w:val="auto"/>
          <w:kern w:val="2"/>
          <w:sz w:val="25"/>
          <w:szCs w:val="25"/>
          <w:highlight w:val="yellow"/>
          <w:lang w:val="en-US" w:eastAsia="zh-CN" w:bidi="ar-SA"/>
        </w:rPr>
      </w:pPr>
    </w:p>
    <w:p>
      <w:pPr>
        <w:pStyle w:val="57"/>
        <w:bidi w:val="0"/>
        <w:ind w:left="0" w:leftChars="0" w:firstLine="0" w:firstLineChars="0"/>
        <w:jc w:val="center"/>
        <w:rPr>
          <w:rFonts w:hint="default" w:ascii="黑体" w:hAnsi="Times New Roman" w:eastAsia="黑体" w:cs="Times New Roman"/>
          <w:b/>
          <w:color w:val="auto"/>
          <w:kern w:val="2"/>
          <w:sz w:val="25"/>
          <w:szCs w:val="25"/>
          <w:highlight w:val="yellow"/>
          <w:lang w:val="en-US" w:eastAsia="zh-CN" w:bidi="ar-SA"/>
        </w:rPr>
      </w:pPr>
    </w:p>
    <w:p>
      <w:pPr>
        <w:pStyle w:val="57"/>
        <w:bidi w:val="0"/>
        <w:ind w:left="0" w:leftChars="0" w:firstLine="0" w:firstLineChars="0"/>
        <w:jc w:val="center"/>
        <w:rPr>
          <w:rFonts w:hint="default" w:ascii="黑体" w:hAnsi="Times New Roman" w:eastAsia="黑体" w:cs="Times New Roman"/>
          <w:b/>
          <w:color w:val="auto"/>
          <w:kern w:val="2"/>
          <w:sz w:val="25"/>
          <w:szCs w:val="25"/>
          <w:highlight w:val="yellow"/>
          <w:lang w:val="en-US" w:eastAsia="zh-CN" w:bidi="ar-SA"/>
        </w:rPr>
      </w:pPr>
    </w:p>
    <w:p>
      <w:pPr>
        <w:pStyle w:val="57"/>
        <w:bidi w:val="0"/>
        <w:ind w:left="0" w:leftChars="0" w:firstLine="0" w:firstLineChars="0"/>
        <w:jc w:val="both"/>
        <w:rPr>
          <w:rFonts w:hint="default" w:ascii="黑体" w:hAnsi="Times New Roman" w:eastAsia="黑体" w:cs="Times New Roman"/>
          <w:b/>
          <w:color w:val="auto"/>
          <w:kern w:val="2"/>
          <w:sz w:val="25"/>
          <w:szCs w:val="25"/>
          <w:highlight w:val="yellow"/>
          <w:lang w:val="en-US" w:eastAsia="zh-CN" w:bidi="ar-SA"/>
        </w:rPr>
      </w:pPr>
    </w:p>
    <w:p>
      <w:pPr>
        <w:pStyle w:val="57"/>
        <w:bidi w:val="0"/>
        <w:ind w:left="0" w:leftChars="0" w:firstLine="0" w:firstLineChars="0"/>
        <w:jc w:val="center"/>
        <w:rPr>
          <w:rFonts w:hint="default" w:ascii="黑体" w:hAnsi="Times New Roman" w:eastAsia="黑体" w:cs="Times New Roman"/>
          <w:b/>
          <w:color w:val="auto"/>
          <w:kern w:val="2"/>
          <w:sz w:val="25"/>
          <w:szCs w:val="25"/>
          <w:highlight w:val="yellow"/>
          <w:lang w:val="en-US" w:eastAsia="zh-CN" w:bidi="ar-SA"/>
        </w:rPr>
      </w:pPr>
    </w:p>
    <w:p>
      <w:pPr>
        <w:pStyle w:val="57"/>
        <w:bidi w:val="0"/>
        <w:ind w:left="0" w:leftChars="0" w:firstLine="251" w:firstLineChars="100"/>
        <w:jc w:val="center"/>
        <w:rPr>
          <w:rFonts w:hint="eastAsia" w:ascii="Times New Roman" w:hAnsi="Times New Roman" w:eastAsia="宋体" w:cs="Times New Roman"/>
          <w:color w:val="auto"/>
          <w:highlight w:val="none"/>
        </w:rPr>
      </w:pPr>
      <w:r>
        <w:rPr>
          <w:rFonts w:hint="default" w:ascii="黑体" w:hAnsi="Times New Roman" w:eastAsia="黑体" w:cs="Times New Roman"/>
          <w:b/>
          <w:color w:val="auto"/>
          <w:kern w:val="2"/>
          <w:sz w:val="25"/>
          <w:szCs w:val="25"/>
          <w:highlight w:val="none"/>
          <w:lang w:val="en-US" w:eastAsia="zh-CN" w:bidi="ar-SA"/>
        </w:rPr>
        <w:t>图3.</w:t>
      </w:r>
      <w:r>
        <w:rPr>
          <w:rFonts w:hint="eastAsia" w:ascii="黑体" w:hAnsi="Times New Roman" w:eastAsia="黑体" w:cs="Times New Roman"/>
          <w:b/>
          <w:color w:val="auto"/>
          <w:kern w:val="2"/>
          <w:sz w:val="25"/>
          <w:szCs w:val="25"/>
          <w:highlight w:val="none"/>
          <w:lang w:val="en-US" w:eastAsia="zh-CN" w:bidi="ar-SA"/>
        </w:rPr>
        <w:t>3-7</w:t>
      </w:r>
      <w:r>
        <w:rPr>
          <w:rFonts w:hint="default" w:ascii="黑体" w:hAnsi="Times New Roman" w:eastAsia="黑体" w:cs="Times New Roman"/>
          <w:b/>
          <w:color w:val="auto"/>
          <w:kern w:val="2"/>
          <w:sz w:val="25"/>
          <w:szCs w:val="25"/>
          <w:highlight w:val="none"/>
          <w:lang w:val="en-US" w:eastAsia="zh-CN" w:bidi="ar-SA"/>
        </w:rPr>
        <w:t xml:space="preserve">   </w:t>
      </w:r>
      <w:r>
        <w:rPr>
          <w:rFonts w:hint="eastAsia" w:ascii="黑体" w:hAnsi="Times New Roman" w:eastAsia="黑体" w:cs="Times New Roman"/>
          <w:b/>
          <w:color w:val="auto"/>
          <w:kern w:val="2"/>
          <w:sz w:val="25"/>
          <w:szCs w:val="25"/>
          <w:highlight w:val="none"/>
          <w:lang w:val="en-US" w:eastAsia="zh-CN" w:bidi="ar-SA"/>
        </w:rPr>
        <w:t>本工程</w:t>
      </w:r>
      <w:r>
        <w:rPr>
          <w:rFonts w:hint="default" w:ascii="黑体" w:hAnsi="Times New Roman" w:eastAsia="黑体" w:cs="Times New Roman"/>
          <w:b/>
          <w:color w:val="auto"/>
          <w:kern w:val="2"/>
          <w:sz w:val="25"/>
          <w:szCs w:val="25"/>
          <w:highlight w:val="none"/>
          <w:lang w:val="en-US" w:eastAsia="zh-CN" w:bidi="ar-SA"/>
        </w:rPr>
        <w:t>布站工艺流程</w:t>
      </w:r>
    </w:p>
    <w:p>
      <w:pPr>
        <w:pStyle w:val="57"/>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（3）井下作业</w:t>
      </w:r>
    </w:p>
    <w:p>
      <w:pPr>
        <w:pStyle w:val="57"/>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井下作业是进行油气生产的重要手段之一。一般在采油井投产前及投产以后进行，主要包括射孔、压裂、下泵、试油、洗井、修井、除砂、清蜡等一系列工艺过程。在钻井、测井后要进行射孔，将射孔枪下入井管中油藏部位，用射孔弹或射孔液将井管射成蜂窝状孔，使原油流入井管并用抽油泵采出。压裂作业是用不同的化学和物理方法对低渗透的油藏进行处理，进一步提高原油产量；洗井、修井、除砂和清蜡作业均是在采油井使用一段时间后，因腐蚀、结垢、机具磨损和损坏等而采取的工艺措施。</w:t>
      </w:r>
    </w:p>
    <w:p>
      <w:pPr>
        <w:pStyle w:val="5"/>
        <w:rPr>
          <w:color w:val="auto"/>
          <w:highlight w:val="none"/>
        </w:rPr>
      </w:pPr>
      <w:r>
        <w:rPr>
          <w:color w:val="auto"/>
          <w:highlight w:val="none"/>
        </w:rPr>
        <w:t>3.</w:t>
      </w:r>
      <w:r>
        <w:rPr>
          <w:rFonts w:hint="eastAsia"/>
          <w:color w:val="auto"/>
          <w:highlight w:val="none"/>
          <w:lang w:val="en-US" w:eastAsia="zh-CN"/>
        </w:rPr>
        <w:t>3</w:t>
      </w:r>
      <w:r>
        <w:rPr>
          <w:color w:val="auto"/>
          <w:highlight w:val="none"/>
        </w:rPr>
        <w:t>.1.</w:t>
      </w:r>
      <w:r>
        <w:rPr>
          <w:rFonts w:hint="eastAsia"/>
          <w:color w:val="auto"/>
          <w:highlight w:val="none"/>
        </w:rPr>
        <w:t>3退役期</w:t>
      </w:r>
    </w:p>
    <w:p>
      <w:pPr>
        <w:pStyle w:val="57"/>
        <w:rPr>
          <w:color w:val="auto"/>
          <w:highlight w:val="none"/>
        </w:rPr>
      </w:pPr>
      <w:r>
        <w:rPr>
          <w:rFonts w:hint="eastAsia"/>
          <w:color w:val="auto"/>
          <w:highlight w:val="none"/>
        </w:rPr>
        <w:t>随着</w:t>
      </w:r>
      <w:r>
        <w:rPr>
          <w:rFonts w:hint="eastAsia"/>
          <w:color w:val="auto"/>
          <w:highlight w:val="none"/>
          <w:lang w:val="en-US" w:eastAsia="zh-CN"/>
        </w:rPr>
        <w:t>页岩油</w:t>
      </w:r>
      <w:r>
        <w:rPr>
          <w:rFonts w:hint="eastAsia"/>
          <w:color w:val="auto"/>
          <w:highlight w:val="none"/>
        </w:rPr>
        <w:t>开采的不断进行，其储量逐渐下降，最终井区将进入退役期。</w:t>
      </w:r>
    </w:p>
    <w:p>
      <w:pPr>
        <w:pStyle w:val="57"/>
        <w:rPr>
          <w:color w:val="auto"/>
          <w:highlight w:val="none"/>
        </w:rPr>
      </w:pPr>
      <w:r>
        <w:rPr>
          <w:rFonts w:hint="eastAsia"/>
          <w:color w:val="auto"/>
          <w:highlight w:val="none"/>
          <w:lang w:eastAsia="zh-CN"/>
        </w:rPr>
        <w:t>首先</w:t>
      </w:r>
      <w:r>
        <w:rPr>
          <w:rFonts w:hint="eastAsia"/>
          <w:color w:val="auto"/>
          <w:highlight w:val="none"/>
        </w:rPr>
        <w:t>将固化堵剂和水泥浆从井口平推挤入地层并充满井筒、后凝固化，完成封层和封井。由于清洗后井筒中仍存在被油污、垢体和泥沙堵塞的区域，使固化堵剂和水泥浆无法进入这些区域，但是由于固化堵剂具有优良的胶结性能，且在凝固的过程中存在膨胀性，使该区域的堵塞物被挤压得更结实且能与固化堵剂胶合在一起，完成井筒的封固，使得地层的水在此井筒中无法形成窜流，达到了封井的目的。</w:t>
      </w:r>
    </w:p>
    <w:p>
      <w:pPr>
        <w:pStyle w:val="57"/>
        <w:rPr>
          <w:color w:val="auto"/>
          <w:highlight w:val="none"/>
        </w:rPr>
      </w:pPr>
      <w:r>
        <w:rPr>
          <w:rFonts w:hint="eastAsia"/>
          <w:color w:val="auto"/>
          <w:highlight w:val="none"/>
        </w:rPr>
        <w:t>完成封井后，拆除井口装置，地下截去一定深度的表层套管；将永久性占地范围内的水泥平台或砂砾石铺垫清理，清除各种固体废物。然后根据周边区域的自然现状对其进行恢复，使井场恢复到相对自然的一种状态。保证对各类废弃井采取的固井、封井措施有效可行，防止发生油水窜层，成为污染地下水的通道。</w:t>
      </w:r>
    </w:p>
    <w:p>
      <w:pPr>
        <w:pStyle w:val="57"/>
        <w:rPr>
          <w:color w:val="auto"/>
          <w:highlight w:val="none"/>
        </w:rPr>
      </w:pPr>
      <w:r>
        <w:rPr>
          <w:rFonts w:hint="eastAsia"/>
          <w:color w:val="auto"/>
          <w:highlight w:val="none"/>
        </w:rPr>
        <w:t>退役期废气污染源主要为施工扬尘，采取洒水抑尘的措施；噪声污染源主要为车辆噪声，要求合理安排作业时间，控制车辆速度等措施；固体废物主要为封井过程中产生的废弃管道、建筑垃圾等，建筑垃圾收集后送周边工业固体废物填埋场填埋处置。废弃管线维持现状，避免因开挖管线对区域生态环境造成二次破坏，管线内物质应清空干净，并按要求进行吹扫，确保管线内无残留采出液，管线两端使用盲板封堵。</w:t>
      </w:r>
    </w:p>
    <w:p>
      <w:pPr>
        <w:pStyle w:val="53"/>
        <w:pageBreakBefore w:val="0"/>
        <w:widowControl/>
        <w:kinsoku/>
        <w:wordWrap/>
        <w:overflowPunct/>
        <w:topLinePunct w:val="0"/>
        <w:autoSpaceDE/>
        <w:autoSpaceDN/>
        <w:bidi w:val="0"/>
        <w:spacing w:line="480" w:lineRule="exact"/>
        <w:textAlignment w:val="auto"/>
        <w:rPr>
          <w:color w:val="auto"/>
          <w:highlight w:val="none"/>
        </w:rPr>
      </w:pPr>
      <w:bookmarkStart w:id="322" w:name="_Toc173941838"/>
      <w:bookmarkStart w:id="323" w:name="_Toc15854"/>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2</w:t>
      </w:r>
      <w:r>
        <w:rPr>
          <w:color w:val="auto"/>
          <w:highlight w:val="none"/>
        </w:rPr>
        <w:t>施工期环境影响因素分析</w:t>
      </w:r>
      <w:bookmarkEnd w:id="322"/>
      <w:bookmarkEnd w:id="323"/>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施工期污染主要来自钻井、井场、站场、管线作业带等施工场地平整清理、管沟开挖、回填、建材运输、露天堆放、装卸等过程产生的扬尘，施工机械及运输车辆产生的燃油废气，管道试压废水，各类施工机械和运输车辆噪声，平整场地和管沟开挖破坏地表等。</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2</w:t>
      </w:r>
      <w:r>
        <w:rPr>
          <w:color w:val="auto"/>
          <w:highlight w:val="none"/>
        </w:rPr>
        <w:t>.1生态影响因素</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生态影响主要体现在井场、站场、管线建设阶段，如占用土地、施工对地表植被的影响、土壤扰动等。管沟开挖产生的弃土及时回填至管沟上方，基本可做到土石方挖填平衡</w:t>
      </w:r>
      <w:r>
        <w:rPr>
          <w:color w:val="auto"/>
          <w:highlight w:val="none"/>
        </w:rPr>
        <w:t>。</w:t>
      </w:r>
    </w:p>
    <w:p>
      <w:pPr>
        <w:pStyle w:val="57"/>
        <w:pageBreakBefore w:val="0"/>
        <w:widowControl/>
        <w:kinsoku/>
        <w:wordWrap/>
        <w:overflowPunct/>
        <w:topLinePunct w:val="0"/>
        <w:autoSpaceDE/>
        <w:autoSpaceDN/>
        <w:bidi w:val="0"/>
        <w:spacing w:line="480" w:lineRule="exact"/>
        <w:textAlignment w:val="auto"/>
        <w:rPr>
          <w:color w:val="auto"/>
          <w:spacing w:val="4"/>
          <w:highlight w:val="none"/>
        </w:rPr>
      </w:pPr>
      <w:r>
        <w:rPr>
          <w:color w:val="auto"/>
          <w:highlight w:val="none"/>
        </w:rPr>
        <w:t>占用土地包括临时占地和永久占地，将暂时或永久改变土地原有使用功能。临时占地</w:t>
      </w:r>
      <w:r>
        <w:rPr>
          <w:rFonts w:hint="eastAsia"/>
          <w:color w:val="auto"/>
          <w:highlight w:val="none"/>
        </w:rPr>
        <w:t>主要为井场、站场、</w:t>
      </w:r>
      <w:r>
        <w:rPr>
          <w:color w:val="auto"/>
          <w:highlight w:val="none"/>
        </w:rPr>
        <w:t>管线施工便道的临时占地，施工结束后临时占地可恢复原有使用功能。永久占地主要为采油井场</w:t>
      </w:r>
      <w:r>
        <w:rPr>
          <w:rFonts w:hint="eastAsia"/>
          <w:color w:val="auto"/>
          <w:highlight w:val="none"/>
        </w:rPr>
        <w:t>、</w:t>
      </w:r>
      <w:r>
        <w:rPr>
          <w:rFonts w:hint="eastAsia"/>
          <w:color w:val="auto"/>
          <w:highlight w:val="none"/>
          <w:lang w:val="en-US" w:eastAsia="zh-CN"/>
        </w:rPr>
        <w:t>计量站、集中拉油站</w:t>
      </w:r>
      <w:r>
        <w:rPr>
          <w:color w:val="auto"/>
          <w:highlight w:val="none"/>
        </w:rPr>
        <w:t>的永久占地。</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地面工程施工作业包括</w:t>
      </w:r>
      <w:r>
        <w:rPr>
          <w:rFonts w:hint="eastAsia"/>
          <w:color w:val="auto"/>
          <w:highlight w:val="none"/>
        </w:rPr>
        <w:t>井、</w:t>
      </w:r>
      <w:r>
        <w:rPr>
          <w:color w:val="auto"/>
          <w:highlight w:val="none"/>
        </w:rPr>
        <w:t>站场场地平整、管线敷设等，施工作业直接破坏了地面植被，造成了土壤扰动，容易导致水土流失。</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bookmarkStart w:id="324" w:name="OLE_LINK143"/>
      <w:r>
        <w:rPr>
          <w:color w:val="auto"/>
          <w:highlight w:val="none"/>
        </w:rPr>
        <w:t>根据估算，</w:t>
      </w:r>
      <w:r>
        <w:rPr>
          <w:rFonts w:hint="eastAsia"/>
          <w:color w:val="auto"/>
          <w:highlight w:val="none"/>
        </w:rPr>
        <w:t>本工程总占地约</w:t>
      </w:r>
      <w:r>
        <w:rPr>
          <w:rFonts w:hint="eastAsia"/>
          <w:color w:val="auto"/>
          <w:highlight w:val="none"/>
          <w:lang w:eastAsia="zh-CN"/>
        </w:rPr>
        <w:t>51.696</w:t>
      </w:r>
      <w:r>
        <w:rPr>
          <w:rFonts w:hint="eastAsia"/>
          <w:color w:val="auto"/>
          <w:highlight w:val="none"/>
        </w:rPr>
        <w:t>hm</w:t>
      </w:r>
      <w:r>
        <w:rPr>
          <w:rFonts w:hint="eastAsia"/>
          <w:color w:val="auto"/>
          <w:highlight w:val="none"/>
          <w:vertAlign w:val="superscript"/>
        </w:rPr>
        <w:t>2</w:t>
      </w:r>
      <w:r>
        <w:rPr>
          <w:rFonts w:hint="eastAsia"/>
          <w:color w:val="auto"/>
          <w:highlight w:val="none"/>
        </w:rPr>
        <w:t>，其中永久占地</w:t>
      </w:r>
      <w:r>
        <w:rPr>
          <w:rFonts w:hint="eastAsia"/>
          <w:color w:val="auto"/>
          <w:highlight w:val="none"/>
          <w:lang w:val="en-US" w:eastAsia="zh-CN"/>
        </w:rPr>
        <w:t>3.176</w:t>
      </w:r>
      <w:r>
        <w:rPr>
          <w:rFonts w:hint="eastAsia"/>
          <w:color w:val="auto"/>
          <w:highlight w:val="none"/>
        </w:rPr>
        <w:t>hm</w:t>
      </w:r>
      <w:r>
        <w:rPr>
          <w:rFonts w:hint="eastAsia"/>
          <w:color w:val="auto"/>
          <w:highlight w:val="none"/>
          <w:vertAlign w:val="superscript"/>
        </w:rPr>
        <w:t>2</w:t>
      </w:r>
      <w:r>
        <w:rPr>
          <w:rFonts w:hint="eastAsia"/>
          <w:color w:val="auto"/>
          <w:highlight w:val="none"/>
        </w:rPr>
        <w:t>、临时占地</w:t>
      </w:r>
      <w:r>
        <w:rPr>
          <w:rFonts w:hint="eastAsia"/>
          <w:color w:val="auto"/>
          <w:highlight w:val="none"/>
          <w:lang w:eastAsia="zh-CN"/>
        </w:rPr>
        <w:t>48.52</w:t>
      </w:r>
      <w:r>
        <w:rPr>
          <w:rFonts w:hint="eastAsia"/>
          <w:color w:val="auto"/>
          <w:highlight w:val="none"/>
        </w:rPr>
        <w:t>hm</w:t>
      </w:r>
      <w:r>
        <w:rPr>
          <w:rFonts w:hint="eastAsia"/>
          <w:color w:val="auto"/>
          <w:highlight w:val="none"/>
          <w:vertAlign w:val="superscript"/>
        </w:rPr>
        <w:t>2</w:t>
      </w:r>
      <w:r>
        <w:rPr>
          <w:color w:val="auto"/>
          <w:highlight w:val="none"/>
        </w:rPr>
        <w:t>，详见表</w:t>
      </w:r>
      <w:r>
        <w:rPr>
          <w:rFonts w:hint="eastAsia"/>
          <w:color w:val="auto"/>
          <w:highlight w:val="none"/>
        </w:rPr>
        <w:t>3.</w:t>
      </w:r>
      <w:r>
        <w:rPr>
          <w:rFonts w:hint="eastAsia"/>
          <w:color w:val="auto"/>
          <w:highlight w:val="none"/>
          <w:lang w:val="en-US" w:eastAsia="zh-CN"/>
        </w:rPr>
        <w:t>3</w:t>
      </w:r>
      <w:r>
        <w:rPr>
          <w:rFonts w:hint="eastAsia"/>
          <w:color w:val="auto"/>
          <w:highlight w:val="none"/>
        </w:rPr>
        <w:t>-1</w:t>
      </w:r>
      <w:r>
        <w:rPr>
          <w:color w:val="auto"/>
          <w:highlight w:val="none"/>
        </w:rPr>
        <w:t>。</w:t>
      </w:r>
      <w:r>
        <w:rPr>
          <w:rFonts w:hint="eastAsia"/>
          <w:color w:val="auto"/>
          <w:highlight w:val="none"/>
        </w:rPr>
        <w:t>工程占地类型主要为</w:t>
      </w:r>
      <w:bookmarkStart w:id="325" w:name="OLE_LINK114"/>
      <w:r>
        <w:rPr>
          <w:rFonts w:hint="eastAsia"/>
          <w:color w:val="auto"/>
          <w:highlight w:val="none"/>
          <w:lang w:val="en-US" w:eastAsia="zh-CN"/>
        </w:rPr>
        <w:t>其他草地</w:t>
      </w:r>
      <w:r>
        <w:rPr>
          <w:rFonts w:hint="eastAsia"/>
          <w:color w:val="auto"/>
          <w:highlight w:val="none"/>
        </w:rPr>
        <w:t>、裸</w:t>
      </w:r>
      <w:r>
        <w:rPr>
          <w:rFonts w:hint="eastAsia"/>
          <w:color w:val="auto"/>
          <w:highlight w:val="none"/>
          <w:lang w:val="en-US" w:eastAsia="zh-CN"/>
        </w:rPr>
        <w:t>土</w:t>
      </w:r>
      <w:r>
        <w:rPr>
          <w:rFonts w:hint="eastAsia"/>
          <w:color w:val="auto"/>
          <w:highlight w:val="none"/>
        </w:rPr>
        <w:t>地</w:t>
      </w:r>
      <w:r>
        <w:rPr>
          <w:rFonts w:hint="eastAsia"/>
          <w:color w:val="auto"/>
          <w:highlight w:val="none"/>
          <w:lang w:eastAsia="zh-CN"/>
        </w:rPr>
        <w:t>、</w:t>
      </w:r>
      <w:r>
        <w:rPr>
          <w:rFonts w:hint="eastAsia"/>
          <w:color w:val="auto"/>
          <w:highlight w:val="none"/>
          <w:lang w:val="en-US" w:eastAsia="zh-CN"/>
        </w:rPr>
        <w:t>灌木林地、盐碱地</w:t>
      </w:r>
      <w:bookmarkEnd w:id="325"/>
      <w:r>
        <w:rPr>
          <w:rFonts w:hint="eastAsia"/>
          <w:color w:val="auto"/>
          <w:highlight w:val="none"/>
        </w:rPr>
        <w:t>等。</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color w:val="auto"/>
          <w:highlight w:val="none"/>
        </w:rPr>
        <w:t>表3.</w:t>
      </w:r>
      <w:r>
        <w:rPr>
          <w:rFonts w:hint="eastAsia"/>
          <w:color w:val="auto"/>
          <w:highlight w:val="none"/>
          <w:lang w:val="en-US" w:eastAsia="zh-CN"/>
        </w:rPr>
        <w:t>3</w:t>
      </w:r>
      <w:r>
        <w:rPr>
          <w:rFonts w:hint="eastAsia"/>
          <w:color w:val="auto"/>
          <w:highlight w:val="none"/>
        </w:rPr>
        <w:t>-1  占地面积统计表</w:t>
      </w:r>
    </w:p>
    <w:tbl>
      <w:tblPr>
        <w:tblStyle w:val="34"/>
        <w:tblW w:w="507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10"/>
        <w:gridCol w:w="1141"/>
        <w:gridCol w:w="753"/>
        <w:gridCol w:w="724"/>
        <w:gridCol w:w="868"/>
        <w:gridCol w:w="47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36" w:type="pct"/>
            <w:vMerge w:val="restart"/>
            <w:tcBorders>
              <w:tl2br w:val="nil"/>
              <w:tr2bl w:val="nil"/>
            </w:tcBorders>
            <w:vAlign w:val="center"/>
          </w:tcPr>
          <w:p>
            <w:pPr>
              <w:pStyle w:val="41"/>
              <w:jc w:val="center"/>
              <w:rPr>
                <w:color w:val="auto"/>
                <w:highlight w:val="none"/>
              </w:rPr>
            </w:pPr>
            <w:r>
              <w:rPr>
                <w:color w:val="auto"/>
                <w:highlight w:val="none"/>
              </w:rPr>
              <w:t>序号</w:t>
            </w:r>
          </w:p>
        </w:tc>
        <w:tc>
          <w:tcPr>
            <w:tcW w:w="659" w:type="pct"/>
            <w:vMerge w:val="restart"/>
            <w:tcBorders>
              <w:tl2br w:val="nil"/>
              <w:tr2bl w:val="nil"/>
            </w:tcBorders>
            <w:vAlign w:val="center"/>
          </w:tcPr>
          <w:p>
            <w:pPr>
              <w:pStyle w:val="41"/>
              <w:jc w:val="center"/>
              <w:rPr>
                <w:color w:val="auto"/>
                <w:highlight w:val="none"/>
              </w:rPr>
            </w:pPr>
            <w:r>
              <w:rPr>
                <w:color w:val="auto"/>
                <w:highlight w:val="none"/>
              </w:rPr>
              <w:t>工程</w:t>
            </w:r>
          </w:p>
          <w:p>
            <w:pPr>
              <w:pStyle w:val="41"/>
              <w:jc w:val="center"/>
              <w:rPr>
                <w:color w:val="auto"/>
                <w:highlight w:val="none"/>
              </w:rPr>
            </w:pPr>
            <w:r>
              <w:rPr>
                <w:color w:val="auto"/>
                <w:highlight w:val="none"/>
              </w:rPr>
              <w:t>内容</w:t>
            </w:r>
          </w:p>
        </w:tc>
        <w:tc>
          <w:tcPr>
            <w:tcW w:w="1354" w:type="pct"/>
            <w:gridSpan w:val="3"/>
            <w:tcBorders>
              <w:tl2br w:val="nil"/>
              <w:tr2bl w:val="nil"/>
            </w:tcBorders>
            <w:vAlign w:val="center"/>
          </w:tcPr>
          <w:p>
            <w:pPr>
              <w:pStyle w:val="41"/>
              <w:jc w:val="center"/>
              <w:rPr>
                <w:color w:val="auto"/>
                <w:highlight w:val="none"/>
              </w:rPr>
            </w:pPr>
            <w:r>
              <w:rPr>
                <w:rFonts w:hint="eastAsia"/>
                <w:color w:val="auto"/>
                <w:highlight w:val="none"/>
              </w:rPr>
              <w:t>新增</w:t>
            </w:r>
            <w:r>
              <w:rPr>
                <w:color w:val="auto"/>
                <w:highlight w:val="none"/>
              </w:rPr>
              <w:t>占地面积（hm</w:t>
            </w:r>
            <w:r>
              <w:rPr>
                <w:rFonts w:hint="eastAsia"/>
                <w:color w:val="auto"/>
                <w:highlight w:val="none"/>
                <w:vertAlign w:val="superscript"/>
              </w:rPr>
              <w:t>2</w:t>
            </w:r>
            <w:r>
              <w:rPr>
                <w:color w:val="auto"/>
                <w:highlight w:val="none"/>
              </w:rPr>
              <w:t>）</w:t>
            </w:r>
          </w:p>
        </w:tc>
        <w:tc>
          <w:tcPr>
            <w:tcW w:w="2749" w:type="pct"/>
            <w:vMerge w:val="restart"/>
            <w:tcBorders>
              <w:tl2br w:val="nil"/>
              <w:tr2bl w:val="nil"/>
            </w:tcBorders>
            <w:vAlign w:val="center"/>
          </w:tcPr>
          <w:p>
            <w:pPr>
              <w:pStyle w:val="41"/>
              <w:jc w:val="center"/>
              <w:rPr>
                <w:color w:val="auto"/>
                <w:highlight w:val="none"/>
              </w:rPr>
            </w:pPr>
            <w:r>
              <w:rPr>
                <w:color w:val="auto"/>
                <w:highlight w:val="none"/>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236" w:type="pct"/>
            <w:vMerge w:val="continue"/>
            <w:tcBorders>
              <w:tl2br w:val="nil"/>
              <w:tr2bl w:val="nil"/>
            </w:tcBorders>
            <w:vAlign w:val="center"/>
          </w:tcPr>
          <w:p>
            <w:pPr>
              <w:pStyle w:val="41"/>
              <w:jc w:val="center"/>
              <w:rPr>
                <w:color w:val="auto"/>
                <w:highlight w:val="none"/>
              </w:rPr>
            </w:pPr>
          </w:p>
        </w:tc>
        <w:tc>
          <w:tcPr>
            <w:tcW w:w="659" w:type="pct"/>
            <w:vMerge w:val="continue"/>
            <w:tcBorders>
              <w:tl2br w:val="nil"/>
              <w:tr2bl w:val="nil"/>
            </w:tcBorders>
            <w:vAlign w:val="center"/>
          </w:tcPr>
          <w:p>
            <w:pPr>
              <w:pStyle w:val="41"/>
              <w:jc w:val="center"/>
              <w:rPr>
                <w:color w:val="auto"/>
                <w:highlight w:val="none"/>
              </w:rPr>
            </w:pPr>
          </w:p>
        </w:tc>
        <w:tc>
          <w:tcPr>
            <w:tcW w:w="434" w:type="pct"/>
            <w:tcBorders>
              <w:tl2br w:val="nil"/>
              <w:tr2bl w:val="nil"/>
            </w:tcBorders>
            <w:vAlign w:val="center"/>
          </w:tcPr>
          <w:p>
            <w:pPr>
              <w:pStyle w:val="41"/>
              <w:jc w:val="center"/>
              <w:rPr>
                <w:color w:val="auto"/>
                <w:highlight w:val="none"/>
              </w:rPr>
            </w:pPr>
            <w:r>
              <w:rPr>
                <w:color w:val="auto"/>
                <w:highlight w:val="none"/>
              </w:rPr>
              <w:t>永久</w:t>
            </w:r>
          </w:p>
        </w:tc>
        <w:tc>
          <w:tcPr>
            <w:tcW w:w="418" w:type="pct"/>
            <w:tcBorders>
              <w:tl2br w:val="nil"/>
              <w:tr2bl w:val="nil"/>
            </w:tcBorders>
            <w:vAlign w:val="center"/>
          </w:tcPr>
          <w:p>
            <w:pPr>
              <w:pStyle w:val="41"/>
              <w:jc w:val="center"/>
              <w:rPr>
                <w:color w:val="auto"/>
                <w:highlight w:val="none"/>
              </w:rPr>
            </w:pPr>
            <w:r>
              <w:rPr>
                <w:color w:val="auto"/>
                <w:highlight w:val="none"/>
              </w:rPr>
              <w:t>临时</w:t>
            </w:r>
          </w:p>
        </w:tc>
        <w:tc>
          <w:tcPr>
            <w:tcW w:w="501" w:type="pct"/>
            <w:tcBorders>
              <w:tl2br w:val="nil"/>
              <w:tr2bl w:val="nil"/>
            </w:tcBorders>
            <w:vAlign w:val="center"/>
          </w:tcPr>
          <w:p>
            <w:pPr>
              <w:pStyle w:val="41"/>
              <w:jc w:val="center"/>
              <w:rPr>
                <w:color w:val="auto"/>
                <w:highlight w:val="none"/>
              </w:rPr>
            </w:pPr>
            <w:r>
              <w:rPr>
                <w:color w:val="auto"/>
                <w:highlight w:val="none"/>
              </w:rPr>
              <w:t>总占地</w:t>
            </w:r>
          </w:p>
        </w:tc>
        <w:tc>
          <w:tcPr>
            <w:tcW w:w="2749" w:type="pct"/>
            <w:vMerge w:val="continue"/>
            <w:tcBorders>
              <w:tl2br w:val="nil"/>
              <w:tr2bl w:val="nil"/>
            </w:tcBorders>
            <w:vAlign w:val="center"/>
          </w:tcPr>
          <w:p>
            <w:pPr>
              <w:pStyle w:val="41"/>
              <w:jc w:val="cente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pPr>
              <w:pStyle w:val="41"/>
              <w:jc w:val="center"/>
              <w:rPr>
                <w:color w:val="auto"/>
                <w:highlight w:val="none"/>
              </w:rPr>
            </w:pPr>
            <w:r>
              <w:rPr>
                <w:color w:val="auto"/>
                <w:highlight w:val="none"/>
              </w:rPr>
              <w:t>1</w:t>
            </w:r>
          </w:p>
        </w:tc>
        <w:tc>
          <w:tcPr>
            <w:tcW w:w="659" w:type="pct"/>
            <w:tcBorders>
              <w:tl2br w:val="nil"/>
              <w:tr2bl w:val="nil"/>
            </w:tcBorders>
            <w:vAlign w:val="center"/>
          </w:tcPr>
          <w:p>
            <w:pPr>
              <w:pStyle w:val="41"/>
              <w:jc w:val="center"/>
              <w:rPr>
                <w:color w:val="auto"/>
                <w:spacing w:val="-11"/>
                <w:sz w:val="21"/>
                <w:highlight w:val="none"/>
              </w:rPr>
            </w:pPr>
            <w:r>
              <w:rPr>
                <w:rFonts w:hint="eastAsia"/>
                <w:color w:val="auto"/>
                <w:spacing w:val="-11"/>
                <w:sz w:val="21"/>
                <w:highlight w:val="none"/>
              </w:rPr>
              <w:t>新建</w:t>
            </w:r>
            <w:r>
              <w:rPr>
                <w:color w:val="auto"/>
                <w:spacing w:val="-11"/>
                <w:sz w:val="21"/>
                <w:highlight w:val="none"/>
              </w:rPr>
              <w:t>井场</w:t>
            </w:r>
          </w:p>
        </w:tc>
        <w:tc>
          <w:tcPr>
            <w:tcW w:w="434" w:type="pct"/>
            <w:tcBorders>
              <w:tl2br w:val="nil"/>
              <w:tr2bl w:val="nil"/>
            </w:tcBorders>
            <w:vAlign w:val="center"/>
          </w:tcPr>
          <w:p>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2.16</w:t>
            </w:r>
          </w:p>
        </w:tc>
        <w:tc>
          <w:tcPr>
            <w:tcW w:w="418" w:type="pct"/>
            <w:tcBorders>
              <w:tl2br w:val="nil"/>
              <w:tr2bl w:val="nil"/>
            </w:tcBorders>
            <w:vAlign w:val="center"/>
          </w:tcPr>
          <w:p>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19.44</w:t>
            </w:r>
          </w:p>
        </w:tc>
        <w:tc>
          <w:tcPr>
            <w:tcW w:w="868" w:type="dxa"/>
            <w:tcBorders>
              <w:tl2br w:val="nil"/>
              <w:tr2bl w:val="nil"/>
            </w:tcBorders>
            <w:vAlign w:val="center"/>
          </w:tcPr>
          <w:p>
            <w:pPr>
              <w:pStyle w:val="41"/>
              <w:jc w:val="center"/>
              <w:rPr>
                <w:rFonts w:hint="default"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21.6</w:t>
            </w:r>
          </w:p>
        </w:tc>
        <w:tc>
          <w:tcPr>
            <w:tcW w:w="2749" w:type="pct"/>
            <w:tcBorders>
              <w:tl2br w:val="nil"/>
              <w:tr2bl w:val="nil"/>
            </w:tcBorders>
            <w:vAlign w:val="center"/>
          </w:tcPr>
          <w:p>
            <w:pPr>
              <w:pStyle w:val="41"/>
              <w:jc w:val="center"/>
              <w:rPr>
                <w:color w:val="auto"/>
                <w:spacing w:val="-11"/>
                <w:sz w:val="21"/>
                <w:highlight w:val="none"/>
              </w:rPr>
            </w:pPr>
            <w:r>
              <w:rPr>
                <w:rFonts w:hint="default" w:ascii="Times New Roman" w:hAnsi="Times New Roman" w:cs="Times New Roman"/>
                <w:color w:val="auto"/>
                <w:spacing w:val="-11"/>
                <w:sz w:val="21"/>
                <w:szCs w:val="21"/>
                <w:highlight w:val="none"/>
                <w:shd w:val="clear" w:color="auto" w:fill="auto"/>
              </w:rPr>
              <w:t>本</w:t>
            </w:r>
            <w:r>
              <w:rPr>
                <w:rFonts w:hint="eastAsia" w:cs="Times New Roman"/>
                <w:color w:val="auto"/>
                <w:spacing w:val="-11"/>
                <w:sz w:val="21"/>
                <w:szCs w:val="21"/>
                <w:highlight w:val="none"/>
                <w:shd w:val="clear" w:color="auto" w:fill="auto"/>
                <w:lang w:val="en-US" w:eastAsia="zh-CN"/>
              </w:rPr>
              <w:t>工程</w:t>
            </w:r>
            <w:r>
              <w:rPr>
                <w:rFonts w:hint="default" w:ascii="Times New Roman" w:hAnsi="Times New Roman" w:cs="Times New Roman"/>
                <w:color w:val="auto"/>
                <w:spacing w:val="-11"/>
                <w:sz w:val="21"/>
                <w:szCs w:val="21"/>
                <w:highlight w:val="none"/>
                <w:shd w:val="clear" w:color="auto" w:fill="auto"/>
              </w:rPr>
              <w:t>新建井场</w:t>
            </w:r>
            <w:r>
              <w:rPr>
                <w:rFonts w:hint="eastAsia" w:cs="Times New Roman"/>
                <w:color w:val="auto"/>
                <w:spacing w:val="-11"/>
                <w:sz w:val="21"/>
                <w:szCs w:val="21"/>
                <w:highlight w:val="none"/>
                <w:shd w:val="clear" w:color="auto" w:fill="auto"/>
                <w:lang w:val="en-US" w:eastAsia="zh-CN"/>
              </w:rPr>
              <w:t>18</w:t>
            </w:r>
            <w:r>
              <w:rPr>
                <w:rFonts w:hint="default" w:ascii="Times New Roman" w:hAnsi="Times New Roman" w:cs="Times New Roman"/>
                <w:color w:val="auto"/>
                <w:spacing w:val="-11"/>
                <w:sz w:val="21"/>
                <w:szCs w:val="21"/>
                <w:highlight w:val="none"/>
                <w:shd w:val="clear" w:color="auto" w:fill="auto"/>
              </w:rPr>
              <w:t>座，单个井场规格1</w:t>
            </w:r>
            <w:r>
              <w:rPr>
                <w:rFonts w:hint="default" w:ascii="Times New Roman" w:hAnsi="Times New Roman" w:cs="Times New Roman"/>
                <w:color w:val="auto"/>
                <w:spacing w:val="-11"/>
                <w:sz w:val="21"/>
                <w:szCs w:val="21"/>
                <w:highlight w:val="none"/>
                <w:shd w:val="clear" w:color="auto" w:fill="auto"/>
                <w:lang w:val="en-US" w:eastAsia="zh-CN"/>
              </w:rPr>
              <w:t>00</w:t>
            </w:r>
            <w:r>
              <w:rPr>
                <w:rFonts w:hint="default" w:ascii="Times New Roman" w:hAnsi="Times New Roman" w:cs="Times New Roman"/>
                <w:color w:val="auto"/>
                <w:spacing w:val="-11"/>
                <w:sz w:val="21"/>
                <w:szCs w:val="21"/>
                <w:highlight w:val="none"/>
                <w:shd w:val="clear" w:color="auto" w:fill="auto"/>
              </w:rPr>
              <w:t>m×120m，永久占地面积为</w:t>
            </w:r>
            <w:r>
              <w:rPr>
                <w:rFonts w:hint="default" w:ascii="Times New Roman" w:hAnsi="Times New Roman" w:cs="Times New Roman"/>
                <w:color w:val="auto"/>
                <w:spacing w:val="-11"/>
                <w:sz w:val="21"/>
                <w:szCs w:val="21"/>
                <w:highlight w:val="none"/>
                <w:shd w:val="clear" w:color="auto" w:fill="auto"/>
                <w:lang w:val="en-US" w:eastAsia="zh-CN"/>
              </w:rPr>
              <w:t>1200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vertAlign w:val="superscript"/>
              </w:rPr>
              <w:t>2</w:t>
            </w:r>
            <w:r>
              <w:rPr>
                <w:rFonts w:hint="default" w:ascii="Times New Roman" w:hAnsi="Times New Roman" w:cs="Times New Roman"/>
                <w:color w:val="auto"/>
                <w:spacing w:val="-11"/>
                <w:sz w:val="21"/>
                <w:szCs w:val="21"/>
                <w:highlight w:val="none"/>
                <w:shd w:val="clear" w:color="auto" w:fill="auto"/>
              </w:rPr>
              <w:t>（</w:t>
            </w:r>
            <w:r>
              <w:rPr>
                <w:rFonts w:hint="default" w:ascii="Times New Roman" w:hAnsi="Times New Roman" w:cs="Times New Roman"/>
                <w:color w:val="auto"/>
                <w:spacing w:val="-11"/>
                <w:sz w:val="21"/>
                <w:szCs w:val="21"/>
                <w:highlight w:val="none"/>
                <w:shd w:val="clear" w:color="auto" w:fill="auto"/>
                <w:lang w:val="en-US" w:eastAsia="zh-CN"/>
              </w:rPr>
              <w:t>30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lang w:val="en-US" w:eastAsia="zh-CN"/>
              </w:rPr>
              <w:t>40</w:t>
            </w:r>
            <w:r>
              <w:rPr>
                <w:rFonts w:hint="default" w:ascii="Times New Roman" w:hAnsi="Times New Roman" w:cs="Times New Roman"/>
                <w:color w:val="auto"/>
                <w:spacing w:val="-11"/>
                <w:sz w:val="21"/>
                <w:szCs w:val="21"/>
                <w:highlight w:val="none"/>
                <w:shd w:val="clear" w:color="auto" w:fill="auto"/>
              </w:rPr>
              <w:t>m），临时占地面积为</w:t>
            </w:r>
            <w:r>
              <w:rPr>
                <w:rFonts w:hint="default" w:ascii="Times New Roman" w:hAnsi="Times New Roman" w:cs="Times New Roman"/>
                <w:color w:val="auto"/>
                <w:spacing w:val="-11"/>
                <w:sz w:val="21"/>
                <w:szCs w:val="21"/>
                <w:highlight w:val="none"/>
                <w:shd w:val="clear" w:color="auto" w:fill="auto"/>
                <w:lang w:val="en-US" w:eastAsia="zh-CN"/>
              </w:rPr>
              <w:t>10800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vertAlign w:val="superscript"/>
              </w:rPr>
              <w:t>2</w:t>
            </w:r>
            <w:r>
              <w:rPr>
                <w:rFonts w:hint="eastAsia"/>
                <w:color w:val="auto"/>
                <w:spacing w:val="-11"/>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pPr>
              <w:pStyle w:val="41"/>
              <w:jc w:val="center"/>
              <w:rPr>
                <w:color w:val="auto"/>
                <w:highlight w:val="none"/>
              </w:rPr>
            </w:pPr>
            <w:r>
              <w:rPr>
                <w:rFonts w:hint="eastAsia"/>
                <w:color w:val="auto"/>
                <w:highlight w:val="none"/>
              </w:rPr>
              <w:t>2</w:t>
            </w:r>
          </w:p>
        </w:tc>
        <w:tc>
          <w:tcPr>
            <w:tcW w:w="659" w:type="pct"/>
            <w:tcBorders>
              <w:tl2br w:val="nil"/>
              <w:tr2bl w:val="nil"/>
            </w:tcBorders>
            <w:shd w:val="clear" w:color="auto" w:fill="auto"/>
            <w:vAlign w:val="center"/>
          </w:tcPr>
          <w:p>
            <w:pPr>
              <w:pStyle w:val="41"/>
              <w:jc w:val="center"/>
              <w:rPr>
                <w:rFonts w:hint="eastAsia" w:eastAsia="宋体"/>
                <w:color w:val="auto"/>
                <w:spacing w:val="-11"/>
                <w:sz w:val="21"/>
                <w:highlight w:val="none"/>
                <w:lang w:val="en-US" w:eastAsia="zh-CN"/>
              </w:rPr>
            </w:pPr>
            <w:r>
              <w:rPr>
                <w:rFonts w:hint="eastAsia"/>
                <w:color w:val="auto"/>
                <w:spacing w:val="-11"/>
                <w:sz w:val="21"/>
                <w:highlight w:val="none"/>
                <w:lang w:val="en-US" w:eastAsia="zh-CN"/>
              </w:rPr>
              <w:t>计量站</w:t>
            </w:r>
          </w:p>
        </w:tc>
        <w:tc>
          <w:tcPr>
            <w:tcW w:w="434" w:type="pct"/>
            <w:tcBorders>
              <w:tl2br w:val="nil"/>
              <w:tr2bl w:val="nil"/>
            </w:tcBorders>
            <w:shd w:val="clear" w:color="auto" w:fill="auto"/>
            <w:vAlign w:val="center"/>
          </w:tcPr>
          <w:p>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0.016</w:t>
            </w:r>
          </w:p>
        </w:tc>
        <w:tc>
          <w:tcPr>
            <w:tcW w:w="418" w:type="pct"/>
            <w:tcBorders>
              <w:tl2br w:val="nil"/>
              <w:tr2bl w:val="nil"/>
            </w:tcBorders>
            <w:shd w:val="clear" w:color="auto" w:fill="auto"/>
            <w:vAlign w:val="center"/>
          </w:tcPr>
          <w:p>
            <w:pPr>
              <w:pStyle w:val="41"/>
              <w:jc w:val="center"/>
              <w:rPr>
                <w:rFonts w:hint="eastAsia" w:eastAsia="宋体"/>
                <w:color w:val="auto"/>
                <w:spacing w:val="-11"/>
                <w:sz w:val="21"/>
                <w:highlight w:val="none"/>
                <w:lang w:eastAsia="zh-CN"/>
              </w:rPr>
            </w:pPr>
            <w:r>
              <w:rPr>
                <w:rFonts w:hint="eastAsia"/>
                <w:color w:val="auto"/>
                <w:spacing w:val="-11"/>
                <w:sz w:val="21"/>
                <w:highlight w:val="none"/>
                <w:lang w:val="en-US" w:eastAsia="zh-CN"/>
              </w:rPr>
              <w:t>0</w:t>
            </w:r>
          </w:p>
        </w:tc>
        <w:tc>
          <w:tcPr>
            <w:tcW w:w="868" w:type="dxa"/>
            <w:tcBorders>
              <w:tl2br w:val="nil"/>
              <w:tr2bl w:val="nil"/>
            </w:tcBorders>
            <w:shd w:val="clear" w:color="auto" w:fill="auto"/>
            <w:vAlign w:val="center"/>
          </w:tcPr>
          <w:p>
            <w:pPr>
              <w:pStyle w:val="41"/>
              <w:jc w:val="center"/>
              <w:rPr>
                <w:rFonts w:hint="default" w:ascii="Times New Roman" w:hAnsi="Times New Roman" w:eastAsia="宋体" w:cs="Times New Roman"/>
                <w:color w:val="auto"/>
                <w:spacing w:val="-11"/>
                <w:sz w:val="21"/>
                <w:highlight w:val="none"/>
                <w:lang w:val="en-US"/>
              </w:rPr>
            </w:pPr>
            <w:r>
              <w:rPr>
                <w:rFonts w:hint="eastAsia" w:ascii="Times New Roman" w:hAnsi="Times New Roman" w:eastAsia="宋体" w:cs="Times New Roman"/>
                <w:color w:val="auto"/>
                <w:spacing w:val="-11"/>
                <w:sz w:val="21"/>
                <w:highlight w:val="none"/>
                <w:lang w:val="en-US" w:eastAsia="zh-CN"/>
              </w:rPr>
              <w:t>0.016</w:t>
            </w:r>
          </w:p>
        </w:tc>
        <w:tc>
          <w:tcPr>
            <w:tcW w:w="2749" w:type="pct"/>
            <w:tcBorders>
              <w:tl2br w:val="nil"/>
              <w:tr2bl w:val="nil"/>
            </w:tcBorders>
            <w:shd w:val="clear" w:color="auto" w:fill="auto"/>
            <w:vAlign w:val="center"/>
          </w:tcPr>
          <w:p>
            <w:pPr>
              <w:pStyle w:val="41"/>
              <w:jc w:val="center"/>
              <w:rPr>
                <w:color w:val="auto"/>
                <w:spacing w:val="-11"/>
                <w:sz w:val="21"/>
                <w:highlight w:val="none"/>
              </w:rPr>
            </w:pPr>
            <w:r>
              <w:rPr>
                <w:rFonts w:hint="eastAsia"/>
                <w:color w:val="auto"/>
                <w:spacing w:val="-11"/>
                <w:sz w:val="21"/>
                <w:highlight w:val="none"/>
                <w:lang w:val="en-US" w:eastAsia="zh-CN"/>
              </w:rPr>
              <w:t>本工程新建计量站1座，永久占地面积为160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vertAlign w:val="superscript"/>
              </w:rPr>
              <w:t>2</w:t>
            </w:r>
            <w:r>
              <w:rPr>
                <w:rFonts w:hint="eastAsia"/>
                <w:color w:val="auto"/>
                <w:spacing w:val="-11"/>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pPr>
              <w:pStyle w:val="41"/>
              <w:jc w:val="center"/>
              <w:rPr>
                <w:color w:val="auto"/>
                <w:highlight w:val="none"/>
              </w:rPr>
            </w:pPr>
            <w:r>
              <w:rPr>
                <w:rFonts w:hint="eastAsia"/>
                <w:color w:val="auto"/>
                <w:highlight w:val="none"/>
              </w:rPr>
              <w:t>3</w:t>
            </w:r>
          </w:p>
        </w:tc>
        <w:tc>
          <w:tcPr>
            <w:tcW w:w="659" w:type="pct"/>
            <w:tcBorders>
              <w:tl2br w:val="nil"/>
              <w:tr2bl w:val="nil"/>
            </w:tcBorders>
            <w:shd w:val="clear" w:color="auto" w:fill="auto"/>
            <w:vAlign w:val="center"/>
          </w:tcPr>
          <w:p>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集中拉油站</w:t>
            </w:r>
          </w:p>
        </w:tc>
        <w:tc>
          <w:tcPr>
            <w:tcW w:w="434" w:type="pct"/>
            <w:tcBorders>
              <w:tl2br w:val="nil"/>
              <w:tr2bl w:val="nil"/>
            </w:tcBorders>
            <w:shd w:val="clear" w:color="auto" w:fill="auto"/>
            <w:vAlign w:val="center"/>
          </w:tcPr>
          <w:p>
            <w:pPr>
              <w:pStyle w:val="41"/>
              <w:jc w:val="center"/>
              <w:rPr>
                <w:rFonts w:hint="eastAsia" w:eastAsia="宋体"/>
                <w:color w:val="auto"/>
                <w:spacing w:val="-11"/>
                <w:sz w:val="21"/>
                <w:highlight w:val="none"/>
                <w:lang w:eastAsia="zh-CN"/>
              </w:rPr>
            </w:pPr>
            <w:r>
              <w:rPr>
                <w:rFonts w:hint="eastAsia"/>
                <w:color w:val="auto"/>
                <w:spacing w:val="-11"/>
                <w:sz w:val="21"/>
                <w:highlight w:val="none"/>
                <w:lang w:val="en-US" w:eastAsia="zh-CN"/>
              </w:rPr>
              <w:t>1</w:t>
            </w:r>
          </w:p>
        </w:tc>
        <w:tc>
          <w:tcPr>
            <w:tcW w:w="418" w:type="pct"/>
            <w:tcBorders>
              <w:tl2br w:val="nil"/>
              <w:tr2bl w:val="nil"/>
            </w:tcBorders>
            <w:shd w:val="clear" w:color="auto" w:fill="auto"/>
            <w:vAlign w:val="center"/>
          </w:tcPr>
          <w:p>
            <w:pPr>
              <w:pStyle w:val="41"/>
              <w:jc w:val="center"/>
              <w:rPr>
                <w:rFonts w:hint="eastAsia" w:eastAsia="宋体"/>
                <w:color w:val="auto"/>
                <w:spacing w:val="-11"/>
                <w:sz w:val="21"/>
                <w:highlight w:val="none"/>
                <w:lang w:eastAsia="zh-CN"/>
              </w:rPr>
            </w:pPr>
            <w:r>
              <w:rPr>
                <w:rFonts w:hint="eastAsia"/>
                <w:color w:val="auto"/>
                <w:spacing w:val="-11"/>
                <w:sz w:val="21"/>
                <w:highlight w:val="none"/>
                <w:lang w:val="en-US" w:eastAsia="zh-CN"/>
              </w:rPr>
              <w:t>0</w:t>
            </w:r>
          </w:p>
        </w:tc>
        <w:tc>
          <w:tcPr>
            <w:tcW w:w="868" w:type="dxa"/>
            <w:tcBorders>
              <w:tl2br w:val="nil"/>
              <w:tr2bl w:val="nil"/>
            </w:tcBorders>
            <w:shd w:val="clear" w:color="auto" w:fill="auto"/>
            <w:vAlign w:val="center"/>
          </w:tcPr>
          <w:p>
            <w:pPr>
              <w:pStyle w:val="41"/>
              <w:jc w:val="center"/>
              <w:rPr>
                <w:rFonts w:hint="eastAsia" w:ascii="Times New Roman" w:hAnsi="Times New Roman" w:eastAsia="宋体" w:cs="Times New Roman"/>
                <w:color w:val="auto"/>
                <w:spacing w:val="-11"/>
                <w:sz w:val="21"/>
                <w:highlight w:val="none"/>
                <w:lang w:eastAsia="zh-CN"/>
              </w:rPr>
            </w:pPr>
            <w:r>
              <w:rPr>
                <w:rFonts w:hint="eastAsia" w:ascii="Times New Roman" w:hAnsi="Times New Roman" w:eastAsia="宋体" w:cs="Times New Roman"/>
                <w:color w:val="auto"/>
                <w:spacing w:val="-11"/>
                <w:sz w:val="21"/>
                <w:highlight w:val="none"/>
                <w:lang w:val="en-US" w:eastAsia="zh-CN"/>
              </w:rPr>
              <w:t>1</w:t>
            </w:r>
          </w:p>
        </w:tc>
        <w:tc>
          <w:tcPr>
            <w:tcW w:w="2749" w:type="pct"/>
            <w:tcBorders>
              <w:tl2br w:val="nil"/>
              <w:tr2bl w:val="nil"/>
            </w:tcBorders>
            <w:shd w:val="clear" w:color="auto" w:fill="auto"/>
            <w:vAlign w:val="center"/>
          </w:tcPr>
          <w:p>
            <w:pPr>
              <w:pStyle w:val="41"/>
              <w:jc w:val="center"/>
              <w:rPr>
                <w:color w:val="auto"/>
                <w:spacing w:val="-11"/>
                <w:sz w:val="21"/>
                <w:highlight w:val="none"/>
              </w:rPr>
            </w:pPr>
            <w:r>
              <w:rPr>
                <w:rFonts w:hint="eastAsia"/>
                <w:color w:val="auto"/>
                <w:spacing w:val="-11"/>
                <w:sz w:val="21"/>
                <w:highlight w:val="none"/>
                <w:lang w:val="en-US" w:eastAsia="zh-CN"/>
              </w:rPr>
              <w:t>本工程新建集中拉油站1座，永久占地面积为10000</w:t>
            </w:r>
            <w:r>
              <w:rPr>
                <w:rFonts w:hint="default" w:ascii="Times New Roman" w:hAnsi="Times New Roman" w:cs="Times New Roman"/>
                <w:color w:val="auto"/>
                <w:spacing w:val="-11"/>
                <w:sz w:val="21"/>
                <w:szCs w:val="21"/>
                <w:highlight w:val="none"/>
                <w:shd w:val="clear" w:color="auto" w:fill="auto"/>
              </w:rPr>
              <w:t>m</w:t>
            </w:r>
            <w:r>
              <w:rPr>
                <w:rFonts w:hint="default" w:ascii="Times New Roman" w:hAnsi="Times New Roman" w:cs="Times New Roman"/>
                <w:color w:val="auto"/>
                <w:spacing w:val="-11"/>
                <w:sz w:val="21"/>
                <w:szCs w:val="21"/>
                <w:highlight w:val="none"/>
                <w:shd w:val="clear" w:color="auto" w:fill="auto"/>
                <w:vertAlign w:val="superscript"/>
              </w:rPr>
              <w:t>2</w:t>
            </w:r>
            <w:r>
              <w:rPr>
                <w:rFonts w:hint="eastAsia"/>
                <w:color w:val="auto"/>
                <w:spacing w:val="-11"/>
                <w:sz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pPr>
              <w:pStyle w:val="41"/>
              <w:jc w:val="center"/>
              <w:rPr>
                <w:rFonts w:hint="eastAsia" w:eastAsia="宋体"/>
                <w:color w:val="auto"/>
                <w:highlight w:val="none"/>
                <w:lang w:eastAsia="zh-CN"/>
              </w:rPr>
            </w:pPr>
            <w:r>
              <w:rPr>
                <w:rFonts w:hint="eastAsia"/>
                <w:color w:val="auto"/>
                <w:highlight w:val="none"/>
                <w:lang w:val="en-US" w:eastAsia="zh-CN"/>
              </w:rPr>
              <w:t>4</w:t>
            </w:r>
          </w:p>
        </w:tc>
        <w:tc>
          <w:tcPr>
            <w:tcW w:w="659" w:type="pct"/>
            <w:tcBorders>
              <w:tl2br w:val="nil"/>
              <w:tr2bl w:val="nil"/>
            </w:tcBorders>
            <w:vAlign w:val="center"/>
          </w:tcPr>
          <w:p>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集输管线</w:t>
            </w:r>
          </w:p>
        </w:tc>
        <w:tc>
          <w:tcPr>
            <w:tcW w:w="434" w:type="pct"/>
            <w:tcBorders>
              <w:tl2br w:val="nil"/>
              <w:tr2bl w:val="nil"/>
            </w:tcBorders>
            <w:vAlign w:val="center"/>
          </w:tcPr>
          <w:p>
            <w:pPr>
              <w:pStyle w:val="41"/>
              <w:jc w:val="center"/>
              <w:rPr>
                <w:color w:val="auto"/>
                <w:spacing w:val="-11"/>
                <w:sz w:val="21"/>
                <w:highlight w:val="none"/>
              </w:rPr>
            </w:pPr>
            <w:r>
              <w:rPr>
                <w:rFonts w:hint="eastAsia"/>
                <w:color w:val="auto"/>
                <w:spacing w:val="-11"/>
                <w:sz w:val="21"/>
                <w:highlight w:val="none"/>
              </w:rPr>
              <w:t>0</w:t>
            </w:r>
          </w:p>
        </w:tc>
        <w:tc>
          <w:tcPr>
            <w:tcW w:w="418" w:type="pct"/>
            <w:tcBorders>
              <w:tl2br w:val="nil"/>
              <w:tr2bl w:val="nil"/>
            </w:tcBorders>
            <w:vAlign w:val="center"/>
          </w:tcPr>
          <w:p>
            <w:pPr>
              <w:pStyle w:val="41"/>
              <w:jc w:val="center"/>
              <w:rPr>
                <w:rFonts w:hint="default" w:eastAsia="宋体"/>
                <w:color w:val="auto"/>
                <w:spacing w:val="-11"/>
                <w:sz w:val="21"/>
                <w:highlight w:val="none"/>
                <w:lang w:val="en-US" w:eastAsia="zh-CN"/>
              </w:rPr>
            </w:pPr>
            <w:bookmarkStart w:id="326" w:name="OLE_LINK142"/>
            <w:r>
              <w:rPr>
                <w:rFonts w:hint="eastAsia"/>
                <w:color w:val="auto"/>
                <w:spacing w:val="-11"/>
                <w:sz w:val="21"/>
                <w:highlight w:val="none"/>
                <w:lang w:val="en-US" w:eastAsia="zh-CN"/>
              </w:rPr>
              <w:t>27.4</w:t>
            </w:r>
            <w:bookmarkEnd w:id="326"/>
          </w:p>
        </w:tc>
        <w:tc>
          <w:tcPr>
            <w:tcW w:w="868" w:type="dxa"/>
            <w:tcBorders>
              <w:tl2br w:val="nil"/>
              <w:tr2bl w:val="nil"/>
            </w:tcBorders>
            <w:vAlign w:val="center"/>
          </w:tcPr>
          <w:p>
            <w:pPr>
              <w:pStyle w:val="41"/>
              <w:jc w:val="center"/>
              <w:rPr>
                <w:rFonts w:hint="default"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27.4</w:t>
            </w:r>
          </w:p>
        </w:tc>
        <w:tc>
          <w:tcPr>
            <w:tcW w:w="2749" w:type="pct"/>
            <w:tcBorders>
              <w:tl2br w:val="nil"/>
              <w:tr2bl w:val="nil"/>
            </w:tcBorders>
            <w:vAlign w:val="center"/>
          </w:tcPr>
          <w:p>
            <w:pPr>
              <w:pStyle w:val="41"/>
              <w:jc w:val="center"/>
              <w:rPr>
                <w:color w:val="auto"/>
                <w:spacing w:val="-11"/>
                <w:sz w:val="21"/>
                <w:highlight w:val="none"/>
              </w:rPr>
            </w:pPr>
            <w:r>
              <w:rPr>
                <w:rFonts w:hint="eastAsia"/>
                <w:color w:val="auto"/>
                <w:spacing w:val="-11"/>
                <w:sz w:val="21"/>
                <w:highlight w:val="none"/>
              </w:rPr>
              <w:t>新建</w:t>
            </w:r>
            <w:r>
              <w:rPr>
                <w:rFonts w:hint="eastAsia"/>
                <w:color w:val="auto"/>
                <w:spacing w:val="-11"/>
                <w:sz w:val="21"/>
                <w:highlight w:val="none"/>
                <w:lang w:val="en-US" w:eastAsia="zh-CN"/>
              </w:rPr>
              <w:t>各类</w:t>
            </w:r>
            <w:r>
              <w:rPr>
                <w:rFonts w:hint="eastAsia"/>
                <w:color w:val="auto"/>
                <w:spacing w:val="-11"/>
                <w:sz w:val="21"/>
                <w:szCs w:val="21"/>
                <w:highlight w:val="none"/>
                <w:lang w:val="en-US" w:eastAsia="zh-CN"/>
              </w:rPr>
              <w:t>集输管线</w:t>
            </w:r>
            <w:r>
              <w:rPr>
                <w:rFonts w:hint="eastAsia" w:cs="Times New Roman"/>
                <w:color w:val="auto"/>
                <w:sz w:val="21"/>
                <w:szCs w:val="21"/>
                <w:highlight w:val="none"/>
                <w:lang w:val="en-US" w:eastAsia="zh-CN" w:bidi="ar-SA"/>
              </w:rPr>
              <w:t>34.25</w:t>
            </w:r>
            <w:r>
              <w:rPr>
                <w:rFonts w:hint="eastAsia"/>
                <w:color w:val="auto"/>
                <w:spacing w:val="-11"/>
                <w:sz w:val="21"/>
                <w:szCs w:val="21"/>
                <w:highlight w:val="none"/>
                <w:lang w:val="en-US" w:eastAsia="zh-CN"/>
              </w:rPr>
              <w:t>km（</w:t>
            </w:r>
            <w:r>
              <w:rPr>
                <w:rFonts w:hint="default" w:ascii="Times New Roman" w:hAnsi="Times New Roman" w:cs="Times New Roman"/>
                <w:color w:val="auto"/>
                <w:spacing w:val="-11"/>
                <w:sz w:val="21"/>
                <w:szCs w:val="21"/>
                <w:highlight w:val="none"/>
                <w:shd w:val="clear" w:color="auto" w:fill="auto"/>
              </w:rPr>
              <w:t>新建</w:t>
            </w:r>
            <w:r>
              <w:rPr>
                <w:rFonts w:ascii="Times New Roman" w:hAnsi="Times New Roman"/>
                <w:color w:val="auto"/>
                <w:spacing w:val="-11"/>
                <w:sz w:val="21"/>
                <w:szCs w:val="21"/>
                <w:highlight w:val="none"/>
              </w:rPr>
              <w:t>单井</w:t>
            </w:r>
            <w:r>
              <w:rPr>
                <w:rFonts w:hint="eastAsia"/>
                <w:color w:val="auto"/>
                <w:spacing w:val="-11"/>
                <w:sz w:val="21"/>
                <w:szCs w:val="21"/>
                <w:highlight w:val="none"/>
                <w:lang w:val="en-US" w:eastAsia="zh-CN"/>
              </w:rPr>
              <w:t>输油</w:t>
            </w:r>
            <w:r>
              <w:rPr>
                <w:rFonts w:ascii="Times New Roman" w:hAnsi="Times New Roman"/>
                <w:color w:val="auto"/>
                <w:spacing w:val="-11"/>
                <w:sz w:val="21"/>
                <w:szCs w:val="21"/>
                <w:highlight w:val="none"/>
              </w:rPr>
              <w:t>管线</w:t>
            </w:r>
            <w:r>
              <w:rPr>
                <w:rFonts w:hint="eastAsia"/>
                <w:color w:val="auto"/>
                <w:spacing w:val="-11"/>
                <w:sz w:val="21"/>
                <w:szCs w:val="21"/>
                <w:highlight w:val="none"/>
                <w:lang w:val="en-US" w:eastAsia="zh-CN"/>
              </w:rPr>
              <w:t>15km，</w:t>
            </w:r>
            <w:r>
              <w:rPr>
                <w:rFonts w:hint="eastAsia" w:ascii="Times New Roman" w:hAnsi="Times New Roman" w:cs="Times New Roman"/>
                <w:color w:val="auto"/>
                <w:spacing w:val="-11"/>
                <w:sz w:val="21"/>
                <w:szCs w:val="21"/>
                <w:highlight w:val="none"/>
                <w:shd w:val="clear" w:color="auto" w:fill="auto"/>
                <w:lang w:val="en-US" w:eastAsia="zh-CN"/>
              </w:rPr>
              <w:t>新建集输支线</w:t>
            </w:r>
            <w:r>
              <w:rPr>
                <w:rFonts w:hint="eastAsia"/>
                <w:color w:val="auto"/>
                <w:spacing w:val="-11"/>
                <w:sz w:val="21"/>
                <w:szCs w:val="21"/>
                <w:highlight w:val="none"/>
                <w:lang w:val="en-US" w:eastAsia="zh-CN"/>
              </w:rPr>
              <w:t>3.5km，新建输气管线0.25km，</w:t>
            </w:r>
            <w:r>
              <w:rPr>
                <w:rFonts w:hint="eastAsia" w:ascii="Times New Roman" w:hAnsi="Times New Roman" w:cs="Times New Roman"/>
                <w:color w:val="auto"/>
                <w:spacing w:val="-11"/>
                <w:sz w:val="21"/>
                <w:szCs w:val="21"/>
                <w:highlight w:val="none"/>
                <w:shd w:val="clear" w:color="auto" w:fill="auto"/>
                <w:lang w:val="en-US" w:eastAsia="zh-CN"/>
              </w:rPr>
              <w:t>新建</w:t>
            </w:r>
            <w:r>
              <w:rPr>
                <w:rFonts w:ascii="Times New Roman" w:hAnsi="Times New Roman"/>
                <w:color w:val="auto"/>
                <w:spacing w:val="-11"/>
                <w:sz w:val="21"/>
                <w:szCs w:val="21"/>
                <w:highlight w:val="none"/>
              </w:rPr>
              <w:t>净化油外输管线</w:t>
            </w:r>
            <w:r>
              <w:rPr>
                <w:rFonts w:hint="eastAsia" w:cs="Times New Roman"/>
                <w:color w:val="auto"/>
                <w:spacing w:val="-11"/>
                <w:sz w:val="21"/>
                <w:szCs w:val="21"/>
                <w:highlight w:val="none"/>
                <w:shd w:val="clear" w:color="auto" w:fill="auto"/>
                <w:lang w:val="en-US" w:eastAsia="zh-CN"/>
              </w:rPr>
              <w:t>15.5</w:t>
            </w:r>
            <w:r>
              <w:rPr>
                <w:rFonts w:hint="eastAsia"/>
                <w:color w:val="auto"/>
                <w:spacing w:val="-11"/>
                <w:sz w:val="21"/>
                <w:szCs w:val="21"/>
                <w:highlight w:val="none"/>
                <w:lang w:val="en-US" w:eastAsia="zh-CN"/>
              </w:rPr>
              <w:t>km</w:t>
            </w:r>
            <w:r>
              <w:rPr>
                <w:rFonts w:hint="eastAsia"/>
                <w:color w:val="auto"/>
                <w:spacing w:val="-11"/>
                <w:sz w:val="21"/>
                <w:highlight w:val="none"/>
                <w:lang w:val="en-US" w:eastAsia="zh-CN"/>
              </w:rPr>
              <w:t>）</w:t>
            </w:r>
            <w:r>
              <w:rPr>
                <w:rFonts w:hint="eastAsia"/>
                <w:color w:val="auto"/>
                <w:spacing w:val="-11"/>
                <w:sz w:val="21"/>
                <w:highlight w:val="none"/>
              </w:rPr>
              <w:t>，</w:t>
            </w:r>
            <w:r>
              <w:rPr>
                <w:rFonts w:hint="default" w:ascii="Times New Roman" w:hAnsi="Times New Roman" w:eastAsia="宋体" w:cs="Times New Roman"/>
                <w:color w:val="auto"/>
                <w:spacing w:val="-11"/>
                <w:sz w:val="21"/>
                <w:szCs w:val="21"/>
                <w:highlight w:val="none"/>
                <w:shd w:val="clear" w:color="auto" w:fill="auto"/>
                <w:lang w:val="en-US" w:eastAsia="zh-CN"/>
              </w:rPr>
              <w:t>作业带宽度8.0m</w:t>
            </w:r>
            <w:r>
              <w:rPr>
                <w:rFonts w:hint="eastAsia"/>
                <w:color w:val="auto"/>
                <w:spacing w:val="-11"/>
                <w:sz w:val="21"/>
                <w:highlight w:val="none"/>
              </w:rPr>
              <w:t>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236" w:type="pct"/>
            <w:tcBorders>
              <w:tl2br w:val="nil"/>
              <w:tr2bl w:val="nil"/>
            </w:tcBorders>
            <w:vAlign w:val="center"/>
          </w:tcPr>
          <w:p>
            <w:pPr>
              <w:pStyle w:val="41"/>
              <w:jc w:val="center"/>
              <w:rPr>
                <w:rFonts w:hint="eastAsia" w:eastAsia="宋体"/>
                <w:color w:val="auto"/>
                <w:highlight w:val="none"/>
                <w:lang w:eastAsia="zh-CN"/>
              </w:rPr>
            </w:pPr>
            <w:r>
              <w:rPr>
                <w:rFonts w:hint="eastAsia"/>
                <w:color w:val="auto"/>
                <w:highlight w:val="none"/>
                <w:lang w:val="en-US" w:eastAsia="zh-CN"/>
              </w:rPr>
              <w:t>5</w:t>
            </w:r>
          </w:p>
        </w:tc>
        <w:tc>
          <w:tcPr>
            <w:tcW w:w="659" w:type="pct"/>
            <w:tcBorders>
              <w:tl2br w:val="nil"/>
              <w:tr2bl w:val="nil"/>
            </w:tcBorders>
            <w:vAlign w:val="center"/>
          </w:tcPr>
          <w:p>
            <w:pPr>
              <w:pStyle w:val="41"/>
              <w:jc w:val="center"/>
              <w:rPr>
                <w:rFonts w:hint="eastAsia" w:eastAsia="宋体"/>
                <w:color w:val="auto"/>
                <w:spacing w:val="-11"/>
                <w:sz w:val="21"/>
                <w:highlight w:val="none"/>
                <w:lang w:eastAsia="zh-CN"/>
              </w:rPr>
            </w:pPr>
            <w:r>
              <w:rPr>
                <w:rFonts w:hint="eastAsia"/>
                <w:color w:val="auto"/>
                <w:spacing w:val="-11"/>
                <w:sz w:val="21"/>
                <w:highlight w:val="none"/>
                <w:lang w:val="en-US" w:eastAsia="zh-CN"/>
              </w:rPr>
              <w:t>生活营地</w:t>
            </w:r>
          </w:p>
        </w:tc>
        <w:tc>
          <w:tcPr>
            <w:tcW w:w="434" w:type="pct"/>
            <w:tcBorders>
              <w:tl2br w:val="nil"/>
              <w:tr2bl w:val="nil"/>
            </w:tcBorders>
            <w:vAlign w:val="center"/>
          </w:tcPr>
          <w:p>
            <w:pPr>
              <w:pStyle w:val="41"/>
              <w:jc w:val="center"/>
              <w:rPr>
                <w:color w:val="auto"/>
                <w:spacing w:val="-11"/>
                <w:sz w:val="21"/>
                <w:highlight w:val="none"/>
              </w:rPr>
            </w:pPr>
            <w:r>
              <w:rPr>
                <w:rFonts w:hint="eastAsia"/>
                <w:color w:val="auto"/>
                <w:spacing w:val="-11"/>
                <w:sz w:val="21"/>
                <w:highlight w:val="none"/>
              </w:rPr>
              <w:t>0</w:t>
            </w:r>
          </w:p>
        </w:tc>
        <w:tc>
          <w:tcPr>
            <w:tcW w:w="418" w:type="pct"/>
            <w:tcBorders>
              <w:tl2br w:val="nil"/>
              <w:tr2bl w:val="nil"/>
            </w:tcBorders>
            <w:vAlign w:val="center"/>
          </w:tcPr>
          <w:p>
            <w:pPr>
              <w:pStyle w:val="41"/>
              <w:jc w:val="center"/>
              <w:rPr>
                <w:rFonts w:hint="default" w:eastAsia="宋体"/>
                <w:color w:val="auto"/>
                <w:spacing w:val="-11"/>
                <w:sz w:val="21"/>
                <w:highlight w:val="none"/>
                <w:lang w:val="en-US" w:eastAsia="zh-CN"/>
              </w:rPr>
            </w:pPr>
            <w:r>
              <w:rPr>
                <w:rFonts w:hint="eastAsia"/>
                <w:color w:val="auto"/>
                <w:spacing w:val="-11"/>
                <w:sz w:val="21"/>
                <w:highlight w:val="none"/>
                <w:lang w:val="en-US" w:eastAsia="zh-CN"/>
              </w:rPr>
              <w:t>1.68</w:t>
            </w:r>
          </w:p>
        </w:tc>
        <w:tc>
          <w:tcPr>
            <w:tcW w:w="868" w:type="dxa"/>
            <w:tcBorders>
              <w:tl2br w:val="nil"/>
              <w:tr2bl w:val="nil"/>
            </w:tcBorders>
            <w:vAlign w:val="center"/>
          </w:tcPr>
          <w:p>
            <w:pPr>
              <w:pStyle w:val="41"/>
              <w:jc w:val="center"/>
              <w:rPr>
                <w:rFonts w:hint="default"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1.68</w:t>
            </w:r>
          </w:p>
        </w:tc>
        <w:tc>
          <w:tcPr>
            <w:tcW w:w="2749" w:type="pct"/>
            <w:tcBorders>
              <w:tl2br w:val="nil"/>
              <w:tr2bl w:val="nil"/>
            </w:tcBorders>
            <w:vAlign w:val="center"/>
          </w:tcPr>
          <w:p>
            <w:pPr>
              <w:pStyle w:val="41"/>
              <w:jc w:val="center"/>
              <w:rPr>
                <w:rFonts w:hint="eastAsia" w:eastAsia="宋体"/>
                <w:color w:val="auto"/>
                <w:spacing w:val="-11"/>
                <w:sz w:val="21"/>
                <w:highlight w:val="none"/>
                <w:lang w:eastAsia="zh-CN"/>
              </w:rPr>
            </w:pPr>
            <w:r>
              <w:rPr>
                <w:rFonts w:hint="default" w:ascii="Times New Roman" w:hAnsi="Times New Roman" w:cs="Times New Roman"/>
                <w:color w:val="auto"/>
                <w:spacing w:val="-11"/>
                <w:sz w:val="21"/>
                <w:szCs w:val="21"/>
                <w:highlight w:val="none"/>
                <w:shd w:val="clear" w:color="auto" w:fill="auto"/>
                <w:lang w:val="en-US" w:eastAsia="zh-CN"/>
              </w:rPr>
              <w:t>新建临时生活营地</w:t>
            </w:r>
            <w:r>
              <w:rPr>
                <w:rFonts w:hint="eastAsia" w:ascii="Times New Roman" w:hAnsi="Times New Roman" w:cs="Times New Roman"/>
                <w:color w:val="auto"/>
                <w:spacing w:val="-11"/>
                <w:sz w:val="21"/>
                <w:szCs w:val="21"/>
                <w:highlight w:val="none"/>
                <w:shd w:val="clear" w:color="auto" w:fill="auto"/>
                <w:lang w:val="en-US" w:eastAsia="zh-CN"/>
              </w:rPr>
              <w:t>7</w:t>
            </w:r>
            <w:r>
              <w:rPr>
                <w:rFonts w:hint="default" w:ascii="Times New Roman" w:hAnsi="Times New Roman" w:cs="Times New Roman"/>
                <w:color w:val="auto"/>
                <w:spacing w:val="-11"/>
                <w:sz w:val="21"/>
                <w:szCs w:val="21"/>
                <w:highlight w:val="none"/>
                <w:shd w:val="clear" w:color="auto" w:fill="auto"/>
                <w:lang w:val="en-US" w:eastAsia="zh-CN"/>
              </w:rPr>
              <w:t>座</w:t>
            </w:r>
            <w:r>
              <w:rPr>
                <w:rFonts w:hint="eastAsia" w:ascii="Times New Roman" w:hAnsi="Times New Roman" w:cs="Times New Roman"/>
                <w:color w:val="auto"/>
                <w:spacing w:val="-11"/>
                <w:sz w:val="21"/>
                <w:szCs w:val="21"/>
                <w:highlight w:val="none"/>
                <w:shd w:val="clear" w:color="auto" w:fill="auto"/>
                <w:lang w:val="en-US" w:eastAsia="zh-CN"/>
              </w:rPr>
              <w:t>，</w:t>
            </w:r>
            <w:r>
              <w:rPr>
                <w:rFonts w:hint="default" w:ascii="Times New Roman" w:hAnsi="Times New Roman" w:cs="Times New Roman"/>
                <w:color w:val="auto"/>
                <w:spacing w:val="-11"/>
                <w:sz w:val="21"/>
                <w:szCs w:val="21"/>
                <w:highlight w:val="none"/>
                <w:shd w:val="clear" w:color="auto" w:fill="auto"/>
                <w:lang w:val="en-US" w:eastAsia="zh-CN"/>
              </w:rPr>
              <w:t>单座占地面积</w:t>
            </w:r>
            <w:r>
              <w:rPr>
                <w:rFonts w:hint="eastAsia" w:ascii="Times New Roman" w:hAnsi="Times New Roman" w:cs="Times New Roman"/>
                <w:color w:val="auto"/>
                <w:spacing w:val="-11"/>
                <w:sz w:val="21"/>
                <w:szCs w:val="21"/>
                <w:highlight w:val="none"/>
                <w:shd w:val="clear" w:color="auto" w:fill="auto"/>
                <w:lang w:val="en-US" w:eastAsia="zh-CN"/>
              </w:rPr>
              <w:t>2400</w:t>
            </w:r>
            <w:r>
              <w:rPr>
                <w:rFonts w:hint="default" w:ascii="Times New Roman" w:hAnsi="Times New Roman" w:cs="Times New Roman"/>
                <w:color w:val="auto"/>
                <w:spacing w:val="-11"/>
                <w:sz w:val="21"/>
                <w:szCs w:val="21"/>
                <w:highlight w:val="none"/>
                <w:shd w:val="clear" w:color="auto" w:fill="auto"/>
                <w:lang w:val="en-US" w:eastAsia="zh-CN"/>
              </w:rPr>
              <w:t>m</w:t>
            </w:r>
            <w:r>
              <w:rPr>
                <w:rFonts w:hint="default" w:ascii="Times New Roman" w:hAnsi="Times New Roman" w:cs="Times New Roman"/>
                <w:color w:val="auto"/>
                <w:spacing w:val="-11"/>
                <w:sz w:val="21"/>
                <w:szCs w:val="21"/>
                <w:highlight w:val="none"/>
                <w:shd w:val="clear" w:color="auto" w:fill="auto"/>
                <w:vertAlign w:val="superscript"/>
                <w:lang w:val="en-US" w:eastAsia="zh-CN"/>
              </w:rPr>
              <w:t>2</w:t>
            </w:r>
            <w:r>
              <w:rPr>
                <w:rFonts w:hint="default" w:ascii="Times New Roman" w:hAnsi="Times New Roman" w:cs="Times New Roman"/>
                <w:color w:val="auto"/>
                <w:spacing w:val="-11"/>
                <w:sz w:val="21"/>
                <w:szCs w:val="21"/>
                <w:highlight w:val="none"/>
                <w:shd w:val="clear" w:color="auto" w:fill="auto"/>
                <w:lang w:val="en-US" w:eastAsia="zh-CN"/>
              </w:rPr>
              <w:t>（</w:t>
            </w:r>
            <w:r>
              <w:rPr>
                <w:rFonts w:hint="eastAsia" w:ascii="Times New Roman" w:hAnsi="Times New Roman" w:cs="Times New Roman"/>
                <w:color w:val="auto"/>
                <w:spacing w:val="-11"/>
                <w:sz w:val="21"/>
                <w:szCs w:val="21"/>
                <w:highlight w:val="none"/>
                <w:shd w:val="clear" w:color="auto" w:fill="auto"/>
                <w:lang w:val="en-US" w:eastAsia="zh-CN"/>
              </w:rPr>
              <w:t>40</w:t>
            </w:r>
            <w:r>
              <w:rPr>
                <w:rFonts w:hint="default" w:ascii="Times New Roman" w:hAnsi="Times New Roman" w:cs="Times New Roman"/>
                <w:color w:val="auto"/>
                <w:spacing w:val="-11"/>
                <w:sz w:val="21"/>
                <w:szCs w:val="21"/>
                <w:highlight w:val="none"/>
                <w:shd w:val="clear" w:color="auto" w:fill="auto"/>
                <w:lang w:val="en-US" w:eastAsia="zh-CN"/>
              </w:rPr>
              <w:t>m×</w:t>
            </w:r>
            <w:r>
              <w:rPr>
                <w:rFonts w:hint="eastAsia" w:ascii="Times New Roman" w:hAnsi="Times New Roman" w:cs="Times New Roman"/>
                <w:color w:val="auto"/>
                <w:spacing w:val="-11"/>
                <w:sz w:val="21"/>
                <w:szCs w:val="21"/>
                <w:highlight w:val="none"/>
                <w:shd w:val="clear" w:color="auto" w:fill="auto"/>
                <w:lang w:val="en-US" w:eastAsia="zh-CN"/>
              </w:rPr>
              <w:t>60</w:t>
            </w:r>
            <w:r>
              <w:rPr>
                <w:rFonts w:hint="default" w:ascii="Times New Roman" w:hAnsi="Times New Roman" w:cs="Times New Roman"/>
                <w:color w:val="auto"/>
                <w:spacing w:val="-11"/>
                <w:sz w:val="21"/>
                <w:szCs w:val="21"/>
                <w:highlight w:val="none"/>
                <w:shd w:val="clear" w:color="auto" w:fill="auto"/>
                <w:lang w:val="en-US" w:eastAsia="zh-CN"/>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95" w:type="pct"/>
            <w:gridSpan w:val="2"/>
            <w:tcBorders>
              <w:tl2br w:val="nil"/>
              <w:tr2bl w:val="nil"/>
            </w:tcBorders>
            <w:vAlign w:val="center"/>
          </w:tcPr>
          <w:p>
            <w:pPr>
              <w:pStyle w:val="41"/>
              <w:jc w:val="center"/>
              <w:rPr>
                <w:color w:val="auto"/>
                <w:highlight w:val="none"/>
              </w:rPr>
            </w:pPr>
            <w:r>
              <w:rPr>
                <w:color w:val="auto"/>
                <w:highlight w:val="none"/>
              </w:rPr>
              <w:t>合计</w:t>
            </w:r>
          </w:p>
        </w:tc>
        <w:tc>
          <w:tcPr>
            <w:tcW w:w="753" w:type="dxa"/>
            <w:tcBorders>
              <w:tl2br w:val="nil"/>
              <w:tr2bl w:val="nil"/>
            </w:tcBorders>
            <w:vAlign w:val="center"/>
          </w:tcPr>
          <w:p>
            <w:pPr>
              <w:pStyle w:val="41"/>
              <w:jc w:val="center"/>
              <w:rPr>
                <w:rFonts w:hint="eastAsia"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3.176</w:t>
            </w:r>
          </w:p>
        </w:tc>
        <w:tc>
          <w:tcPr>
            <w:tcW w:w="724" w:type="dxa"/>
            <w:tcBorders>
              <w:tl2br w:val="nil"/>
              <w:tr2bl w:val="nil"/>
            </w:tcBorders>
            <w:vAlign w:val="center"/>
          </w:tcPr>
          <w:p>
            <w:pPr>
              <w:pStyle w:val="41"/>
              <w:jc w:val="center"/>
              <w:rPr>
                <w:rFonts w:hint="eastAsia" w:ascii="Times New Roman" w:hAnsi="Times New Roman" w:eastAsia="宋体" w:cs="Times New Roman"/>
                <w:color w:val="auto"/>
                <w:spacing w:val="-11"/>
                <w:sz w:val="21"/>
                <w:highlight w:val="none"/>
                <w:lang w:val="en-US" w:eastAsia="zh-CN"/>
              </w:rPr>
            </w:pPr>
            <w:r>
              <w:rPr>
                <w:rFonts w:hint="eastAsia" w:ascii="Times New Roman" w:hAnsi="Times New Roman" w:eastAsia="宋体" w:cs="Times New Roman"/>
                <w:color w:val="auto"/>
                <w:spacing w:val="-11"/>
                <w:sz w:val="21"/>
                <w:highlight w:val="none"/>
                <w:lang w:val="en-US" w:eastAsia="zh-CN"/>
              </w:rPr>
              <w:t>48.52</w:t>
            </w:r>
          </w:p>
        </w:tc>
        <w:tc>
          <w:tcPr>
            <w:tcW w:w="868" w:type="dxa"/>
            <w:tcBorders>
              <w:tl2br w:val="nil"/>
              <w:tr2bl w:val="nil"/>
            </w:tcBorders>
            <w:vAlign w:val="center"/>
          </w:tcPr>
          <w:p>
            <w:pPr>
              <w:pStyle w:val="41"/>
              <w:jc w:val="center"/>
              <w:rPr>
                <w:rFonts w:hint="eastAsia" w:ascii="Times New Roman" w:hAnsi="Times New Roman" w:eastAsia="宋体" w:cs="Times New Roman"/>
                <w:color w:val="auto"/>
                <w:spacing w:val="-11"/>
                <w:sz w:val="21"/>
                <w:highlight w:val="none"/>
                <w:lang w:eastAsia="zh-CN"/>
              </w:rPr>
            </w:pPr>
            <w:r>
              <w:rPr>
                <w:rFonts w:hint="eastAsia" w:ascii="Times New Roman" w:hAnsi="Times New Roman" w:eastAsia="宋体" w:cs="Times New Roman"/>
                <w:color w:val="auto"/>
                <w:spacing w:val="-11"/>
                <w:sz w:val="21"/>
                <w:highlight w:val="none"/>
                <w:lang w:val="en-US" w:eastAsia="zh-CN"/>
              </w:rPr>
              <w:t>51.696</w:t>
            </w:r>
          </w:p>
        </w:tc>
        <w:tc>
          <w:tcPr>
            <w:tcW w:w="2749" w:type="pct"/>
            <w:tcBorders>
              <w:tl2br w:val="nil"/>
              <w:tr2bl w:val="nil"/>
            </w:tcBorders>
            <w:vAlign w:val="center"/>
          </w:tcPr>
          <w:p>
            <w:pPr>
              <w:pStyle w:val="41"/>
              <w:jc w:val="center"/>
              <w:rPr>
                <w:color w:val="auto"/>
                <w:highlight w:val="none"/>
              </w:rPr>
            </w:pPr>
            <w:r>
              <w:rPr>
                <w:color w:val="auto"/>
                <w:highlight w:val="none"/>
              </w:rPr>
              <w:t>/</w:t>
            </w:r>
          </w:p>
        </w:tc>
      </w:tr>
      <w:bookmarkEnd w:id="324"/>
    </w:tbl>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2</w:t>
      </w:r>
      <w:r>
        <w:rPr>
          <w:color w:val="auto"/>
          <w:highlight w:val="none"/>
        </w:rPr>
        <w:t>.2施工期污染源分析</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（1）废气污染源</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s="宋体"/>
          <w:color w:val="auto"/>
          <w:highlight w:val="none"/>
        </w:rPr>
        <w:t>施工期主要污染来自钻井工程产生的燃料燃烧废气及汽车尾气排放、钻井岩屑及钻井废水、钻井噪声，平整场地和堆放设备破坏地表等</w:t>
      </w:r>
      <w:r>
        <w:rPr>
          <w:rFonts w:hint="eastAsia"/>
          <w:color w:val="auto"/>
          <w:highlight w:val="none"/>
        </w:rPr>
        <w:t>。</w:t>
      </w:r>
    </w:p>
    <w:p>
      <w:pPr>
        <w:pStyle w:val="57"/>
        <w:pageBreakBefore w:val="0"/>
        <w:widowControl/>
        <w:kinsoku/>
        <w:wordWrap/>
        <w:overflowPunct/>
        <w:topLinePunct w:val="0"/>
        <w:autoSpaceDE/>
        <w:autoSpaceDN/>
        <w:bidi w:val="0"/>
        <w:spacing w:line="480" w:lineRule="exact"/>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①</w:t>
      </w:r>
      <w:r>
        <w:rPr>
          <w:rFonts w:ascii="Times New Roman" w:hAnsi="Times New Roman" w:eastAsia="宋体" w:cs="Times New Roman"/>
          <w:color w:val="auto"/>
          <w:highlight w:val="none"/>
        </w:rPr>
        <w:t>钻井废气</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本项目钻井期间采用柴油发电机作为电源。每个井队配备钻井柴油机2台，发电柴油机2台，柴油消耗量平均2t/d。本工程新钻</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口采油井，</w:t>
      </w:r>
      <w:r>
        <w:rPr>
          <w:rFonts w:hint="eastAsia" w:ascii="Times New Roman" w:hAnsi="Times New Roman" w:eastAsia="宋体" w:cs="Times New Roman"/>
          <w:color w:val="auto"/>
          <w:highlight w:val="none"/>
        </w:rPr>
        <w:t>单井钻井周期为</w:t>
      </w:r>
      <w:r>
        <w:rPr>
          <w:rFonts w:hint="eastAsia" w:ascii="Times New Roman" w:hAnsi="Times New Roman" w:eastAsia="宋体" w:cs="Times New Roman"/>
          <w:color w:val="auto"/>
          <w:highlight w:val="none"/>
          <w:lang w:val="en-US" w:eastAsia="zh-CN"/>
        </w:rPr>
        <w:t>120</w:t>
      </w:r>
      <w:r>
        <w:rPr>
          <w:rFonts w:hint="eastAsia" w:ascii="Times New Roman" w:hAnsi="Times New Roman" w:eastAsia="宋体" w:cs="Times New Roman"/>
          <w:color w:val="auto"/>
          <w:highlight w:val="none"/>
        </w:rPr>
        <w:t>天，</w:t>
      </w:r>
      <w:r>
        <w:rPr>
          <w:rFonts w:hint="default" w:ascii="Times New Roman" w:hAnsi="Times New Roman" w:eastAsia="宋体" w:cs="Times New Roman"/>
          <w:color w:val="auto"/>
          <w:highlight w:val="none"/>
        </w:rPr>
        <w:t>整个钻井周期</w:t>
      </w:r>
      <w:r>
        <w:rPr>
          <w:rFonts w:hint="eastAsia" w:ascii="Times New Roman" w:hAnsi="Times New Roman" w:eastAsia="宋体" w:cs="Times New Roman"/>
          <w:color w:val="auto"/>
          <w:highlight w:val="none"/>
          <w:lang w:val="en-US" w:eastAsia="zh-CN"/>
        </w:rPr>
        <w:t>合计840</w:t>
      </w:r>
      <w:r>
        <w:rPr>
          <w:rFonts w:hint="default" w:ascii="Times New Roman" w:hAnsi="Times New Roman" w:eastAsia="宋体" w:cs="Times New Roman"/>
          <w:color w:val="auto"/>
          <w:highlight w:val="none"/>
        </w:rPr>
        <w:t>d，平均每天消耗柴油2t，则整个钻井期间共耗柴油</w:t>
      </w:r>
      <w:r>
        <w:rPr>
          <w:rFonts w:hint="eastAsia" w:ascii="Times New Roman" w:hAnsi="Times New Roman" w:eastAsia="宋体" w:cs="Times New Roman"/>
          <w:color w:val="auto"/>
          <w:highlight w:val="none"/>
          <w:lang w:val="en-US" w:eastAsia="zh-CN"/>
        </w:rPr>
        <w:t>1680</w:t>
      </w:r>
      <w:r>
        <w:rPr>
          <w:rFonts w:hint="default" w:ascii="Times New Roman" w:hAnsi="Times New Roman" w:eastAsia="宋体" w:cs="Times New Roman"/>
          <w:color w:val="auto"/>
          <w:highlight w:val="none"/>
        </w:rPr>
        <w:t>t。</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根据《非道路移动污染源排放清单编制技术指南》，</w:t>
      </w:r>
      <w:bookmarkStart w:id="327" w:name="OLE_LINK21"/>
      <w:r>
        <w:rPr>
          <w:rFonts w:hint="default" w:ascii="Times New Roman" w:hAnsi="Times New Roman" w:eastAsia="宋体" w:cs="Times New Roman"/>
          <w:color w:val="auto"/>
          <w:highlight w:val="none"/>
        </w:rPr>
        <w:t>柴油机</w:t>
      </w:r>
      <w:bookmarkEnd w:id="327"/>
      <w:r>
        <w:rPr>
          <w:rFonts w:hint="default" w:ascii="Times New Roman" w:hAnsi="Times New Roman" w:eastAsia="宋体" w:cs="Times New Roman"/>
          <w:color w:val="auto"/>
          <w:highlight w:val="none"/>
        </w:rPr>
        <w:t>污染物排放系数为每消耗1kg柴油产生CO：10.722g，NO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：32.792g，烃类：3.385g；根据《车用柴油》（GB19147-2016）表3要求，车用柴油（</w:t>
      </w:r>
      <w:r>
        <w:rPr>
          <w:rFonts w:hint="default" w:ascii="Times New Roman" w:hAnsi="Times New Roman" w:cs="Times New Roman"/>
          <w:color w:val="auto"/>
          <w:highlight w:val="none"/>
          <w:lang w:eastAsia="zh-CN"/>
        </w:rPr>
        <w:t>Ⅵ</w:t>
      </w:r>
      <w:r>
        <w:rPr>
          <w:rFonts w:hint="default" w:ascii="Times New Roman" w:hAnsi="Times New Roman" w:eastAsia="宋体" w:cs="Times New Roman"/>
          <w:color w:val="auto"/>
          <w:highlight w:val="none"/>
        </w:rPr>
        <w:t>）中硫的含量≤10mg/kg。在此按柴油中硫含量为10mg/kg估算，燃烧1t柴油产生的SO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为0.02kg。</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因此，本工程钻井期间共向大气中排放CO：</w:t>
      </w:r>
      <w:r>
        <w:rPr>
          <w:rFonts w:hint="eastAsia" w:ascii="Times New Roman" w:hAnsi="Times New Roman" w:eastAsia="宋体" w:cs="Times New Roman"/>
          <w:color w:val="auto"/>
          <w:highlight w:val="none"/>
          <w:lang w:val="en-US" w:eastAsia="zh-CN"/>
        </w:rPr>
        <w:t>18.01</w:t>
      </w:r>
      <w:r>
        <w:rPr>
          <w:rFonts w:hint="default" w:ascii="Times New Roman" w:hAnsi="Times New Roman" w:eastAsia="宋体" w:cs="Times New Roman"/>
          <w:color w:val="auto"/>
          <w:highlight w:val="none"/>
        </w:rPr>
        <w:t>t，烃类：</w:t>
      </w:r>
      <w:r>
        <w:rPr>
          <w:rFonts w:hint="eastAsia" w:ascii="Times New Roman" w:hAnsi="Times New Roman" w:eastAsia="宋体" w:cs="Times New Roman"/>
          <w:color w:val="auto"/>
          <w:highlight w:val="none"/>
          <w:lang w:val="en-US" w:eastAsia="zh-CN"/>
        </w:rPr>
        <w:t>5.69</w:t>
      </w:r>
      <w:r>
        <w:rPr>
          <w:rFonts w:hint="default" w:ascii="Times New Roman" w:hAnsi="Times New Roman" w:eastAsia="宋体" w:cs="Times New Roman"/>
          <w:color w:val="auto"/>
          <w:highlight w:val="none"/>
        </w:rPr>
        <w:t>t，NO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55.1</w:t>
      </w:r>
      <w:r>
        <w:rPr>
          <w:rFonts w:hint="default" w:ascii="Times New Roman" w:hAnsi="Times New Roman" w:eastAsia="宋体" w:cs="Times New Roman"/>
          <w:color w:val="auto"/>
          <w:highlight w:val="none"/>
        </w:rPr>
        <w:t>t，SO</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0.034</w:t>
      </w:r>
      <w:r>
        <w:rPr>
          <w:rFonts w:hint="default" w:ascii="Times New Roman" w:hAnsi="Times New Roman" w:eastAsia="宋体" w:cs="Times New Roman"/>
          <w:color w:val="auto"/>
          <w:highlight w:val="none"/>
        </w:rPr>
        <w:t>t。钻井期间排放的大气污染物将随钻井工程的结束而消失。</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default" w:ascii="Times New Roman" w:hAnsi="Times New Roman" w:eastAsia="宋体" w:cs="Times New Roman"/>
          <w:color w:val="auto"/>
          <w:highlight w:val="none"/>
          <w:lang w:val="en-US"/>
        </w:rPr>
        <w:t>本环评要求钻井期间定期对柴油机、柴油发电机等设备进行维护，并且采用高品质的柴油，使用检测合格的设备等措施，在很大程度上可降低柴油燃烧污染物的排放，减轻对大气环境的影响</w:t>
      </w:r>
      <w:r>
        <w:rPr>
          <w:rFonts w:hint="eastAsia" w:ascii="Times New Roman" w:hAnsi="Times New Roman" w:eastAsia="宋体" w:cs="Times New Roman"/>
          <w:color w:val="auto"/>
          <w:highlight w:val="none"/>
          <w:lang w:val="en-US" w:eastAsia="zh-CN"/>
        </w:rPr>
        <w:t>。</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val="en-US" w:eastAsia="zh-CN"/>
        </w:rPr>
        <w:t>②</w:t>
      </w:r>
      <w:r>
        <w:rPr>
          <w:rFonts w:hint="eastAsia"/>
          <w:color w:val="auto"/>
          <w:highlight w:val="none"/>
        </w:rPr>
        <w:t>施工扬尘</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施工扬尘主要来自管沟开挖、场地平整、车辆运输过程中产生，井场施工过程、管沟开挖周期较短，且井场采取洒水抑尘，运输车辆采取减速慢行和苫盖措施，可有效降低扬尘对周围大气环境的不利影响。</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val="en-US" w:eastAsia="zh-CN"/>
        </w:rPr>
        <w:t>③</w:t>
      </w:r>
      <w:r>
        <w:rPr>
          <w:rFonts w:hint="eastAsia"/>
          <w:color w:val="auto"/>
          <w:highlight w:val="none"/>
        </w:rPr>
        <w:t>车辆尾气和焊接烟气</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在油气田地面工程施工中使用多种燃油机动设备和运输车辆，会产生机械设备和车辆内燃机燃料燃烧废气，其污染物主要有颗粒物、</w:t>
      </w:r>
      <w:r>
        <w:rPr>
          <w:rFonts w:hint="eastAsia" w:cs="宋体"/>
          <w:color w:val="auto"/>
          <w:highlight w:val="none"/>
          <w:lang w:bidi="ar"/>
        </w:rPr>
        <w:t>SO</w:t>
      </w:r>
      <w:r>
        <w:rPr>
          <w:rFonts w:hint="eastAsia" w:cs="宋体"/>
          <w:color w:val="auto"/>
          <w:highlight w:val="none"/>
          <w:vertAlign w:val="subscript"/>
          <w:lang w:bidi="ar"/>
        </w:rPr>
        <w:t>2</w:t>
      </w:r>
      <w:r>
        <w:rPr>
          <w:rFonts w:hint="eastAsia" w:cs="宋体"/>
          <w:color w:val="auto"/>
          <w:highlight w:val="none"/>
          <w:lang w:bidi="ar"/>
        </w:rPr>
        <w:t>、NO</w:t>
      </w:r>
      <w:r>
        <w:rPr>
          <w:rFonts w:hint="eastAsia" w:cs="宋体"/>
          <w:color w:val="auto"/>
          <w:highlight w:val="none"/>
          <w:vertAlign w:val="subscript"/>
          <w:lang w:bidi="ar"/>
        </w:rPr>
        <w:t>X</w:t>
      </w:r>
      <w:r>
        <w:rPr>
          <w:rFonts w:hint="eastAsia" w:cs="宋体"/>
          <w:color w:val="auto"/>
          <w:spacing w:val="-10"/>
          <w:highlight w:val="none"/>
        </w:rPr>
        <w:t>、</w:t>
      </w:r>
      <w:r>
        <w:rPr>
          <w:rFonts w:hint="eastAsia" w:cs="宋体"/>
          <w:color w:val="auto"/>
          <w:spacing w:val="-10"/>
          <w:highlight w:val="none"/>
          <w:lang w:val="de-DE"/>
        </w:rPr>
        <w:t>C</w:t>
      </w:r>
      <w:r>
        <w:rPr>
          <w:rFonts w:hint="eastAsia" w:cs="宋体"/>
          <w:color w:val="auto"/>
          <w:spacing w:val="-10"/>
          <w:highlight w:val="none"/>
          <w:vertAlign w:val="subscript"/>
          <w:lang w:val="de-DE"/>
        </w:rPr>
        <w:t>m</w:t>
      </w:r>
      <w:r>
        <w:rPr>
          <w:rFonts w:hint="eastAsia" w:cs="宋体"/>
          <w:color w:val="auto"/>
          <w:spacing w:val="-10"/>
          <w:highlight w:val="none"/>
          <w:lang w:val="de-DE"/>
        </w:rPr>
        <w:t>H</w:t>
      </w:r>
      <w:r>
        <w:rPr>
          <w:rFonts w:hint="eastAsia" w:cs="宋体"/>
          <w:color w:val="auto"/>
          <w:spacing w:val="-10"/>
          <w:highlight w:val="none"/>
          <w:vertAlign w:val="subscript"/>
          <w:lang w:val="de-DE"/>
        </w:rPr>
        <w:t>n</w:t>
      </w:r>
      <w:r>
        <w:rPr>
          <w:rFonts w:hint="eastAsia"/>
          <w:color w:val="auto"/>
          <w:highlight w:val="none"/>
        </w:rPr>
        <w:t>等；金属材质管线连接过程中会产生一定量的焊接烟气，污染物主要为颗粒物。施工机械和运输车辆运行时间和管线焊接时间一般都较短，从影响范围和程度来看，施工机械废气对周围大气环境的影响是有限的。</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④</w:t>
      </w:r>
      <w:r>
        <w:rPr>
          <w:rFonts w:hint="default" w:ascii="Times New Roman" w:hAnsi="Times New Roman" w:eastAsia="宋体" w:cs="Times New Roman"/>
          <w:color w:val="auto"/>
          <w:highlight w:val="none"/>
          <w:lang w:val="en-US" w:eastAsia="zh-CN"/>
        </w:rPr>
        <w:t>储层改造废气</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储层改造过程压裂液为外购已配置好的压裂液，废气主要来源于压裂液现场暂存过程、压裂液注入过程以及压裂返排液暂存过程中产生的废气，主要成分为非甲烷总烃等，采取压裂液和压裂返排液密闭罐存放措施，有效降低废气排放。</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（2）废水污染源</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本工程施工期产生的废水主要包括钻井废水、压裂返排液、管道试压废水和施工人员生活污水。</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fldChar w:fldCharType="begin"/>
      </w:r>
      <w:r>
        <w:rPr>
          <w:rFonts w:hint="eastAsia" w:ascii="Times New Roman" w:hAnsi="Times New Roman" w:eastAsia="宋体" w:cs="Times New Roman"/>
          <w:color w:val="auto"/>
          <w:highlight w:val="none"/>
          <w:lang w:val="en-US" w:eastAsia="zh-CN"/>
        </w:rPr>
        <w:instrText xml:space="preserve"> = 1 \* GB3 </w:instrText>
      </w:r>
      <w:r>
        <w:rPr>
          <w:rFonts w:hint="eastAsia" w:ascii="Times New Roman" w:hAnsi="Times New Roman" w:eastAsia="宋体" w:cs="Times New Roman"/>
          <w:color w:val="auto"/>
          <w:highlight w:val="none"/>
          <w:lang w:val="en-US" w:eastAsia="zh-CN"/>
        </w:rPr>
        <w:fldChar w:fldCharType="separate"/>
      </w:r>
      <w:r>
        <w:rPr>
          <w:rFonts w:hint="eastAsia" w:ascii="Times New Roman" w:hAnsi="Times New Roman" w:eastAsia="宋体" w:cs="Times New Roman"/>
          <w:color w:val="auto"/>
          <w:highlight w:val="none"/>
          <w:lang w:val="en-US" w:eastAsia="zh-CN"/>
        </w:rPr>
        <w:t>①</w:t>
      </w:r>
      <w:r>
        <w:rPr>
          <w:rFonts w:hint="eastAsia" w:ascii="Times New Roman" w:hAnsi="Times New Roman" w:eastAsia="宋体" w:cs="Times New Roman"/>
          <w:color w:val="auto"/>
          <w:highlight w:val="none"/>
          <w:lang w:val="en-US" w:eastAsia="zh-CN"/>
        </w:rPr>
        <w:fldChar w:fldCharType="end"/>
      </w:r>
      <w:r>
        <w:rPr>
          <w:rFonts w:hint="eastAsia" w:ascii="Times New Roman" w:hAnsi="Times New Roman" w:eastAsia="宋体" w:cs="Times New Roman"/>
          <w:color w:val="auto"/>
          <w:highlight w:val="none"/>
          <w:lang w:val="en-US" w:eastAsia="zh-CN"/>
        </w:rPr>
        <w:t>钻井废水</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钻井废水主要来源于钻台、钻具、地面、设备的冲洗，还有少量下钻时泥浆流失物和泥浆循环系统的渗透物。其产生量与钻井深度和钻井周期有关。根据类比调查，钻井废水中主要污染物浓度见表3.3-2。</w:t>
      </w:r>
    </w:p>
    <w:p>
      <w:pPr>
        <w:pStyle w:val="92"/>
        <w:rPr>
          <w:rFonts w:hint="eastAsia" w:ascii="黑体" w:hAnsi="黑体" w:eastAsia="黑体" w:cs="黑体"/>
          <w:b/>
          <w:bCs/>
          <w:color w:val="auto"/>
          <w:highlight w:val="none"/>
          <w:shd w:val="clear" w:color="auto" w:fill="auto"/>
        </w:rPr>
      </w:pPr>
      <w:r>
        <w:rPr>
          <w:rFonts w:hint="eastAsia" w:ascii="黑体" w:hAnsi="黑体" w:eastAsia="黑体" w:cs="Times New Roman"/>
          <w:b/>
          <w:color w:val="auto"/>
          <w:kern w:val="2"/>
          <w:sz w:val="21"/>
          <w:szCs w:val="25"/>
          <w:highlight w:val="none"/>
          <w:lang w:val="en-US" w:eastAsia="zh-CN" w:bidi="ar-SA"/>
        </w:rPr>
        <w:t>表</w:t>
      </w:r>
      <w:r>
        <w:rPr>
          <w:rFonts w:hint="eastAsia" w:ascii="黑体" w:hAnsi="黑体" w:cs="Times New Roman"/>
          <w:b/>
          <w:color w:val="auto"/>
          <w:kern w:val="2"/>
          <w:sz w:val="21"/>
          <w:szCs w:val="25"/>
          <w:highlight w:val="none"/>
          <w:lang w:val="en-US" w:eastAsia="zh-CN" w:bidi="ar-SA"/>
        </w:rPr>
        <w:t>3.3-2</w:t>
      </w:r>
      <w:r>
        <w:rPr>
          <w:rFonts w:hint="eastAsia" w:ascii="黑体" w:hAnsi="黑体" w:eastAsia="黑体" w:cs="Times New Roman"/>
          <w:b/>
          <w:color w:val="auto"/>
          <w:kern w:val="2"/>
          <w:sz w:val="21"/>
          <w:szCs w:val="25"/>
          <w:highlight w:val="none"/>
          <w:lang w:val="en-US" w:eastAsia="zh-CN" w:bidi="ar-SA"/>
        </w:rPr>
        <w:t>钻井废水水质表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94"/>
        <w:gridCol w:w="1365"/>
        <w:gridCol w:w="1419"/>
        <w:gridCol w:w="1394"/>
        <w:gridCol w:w="1403"/>
        <w:gridCol w:w="14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4"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污染物</w:t>
            </w:r>
          </w:p>
        </w:tc>
        <w:tc>
          <w:tcPr>
            <w:tcW w:w="1365"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SS</w:t>
            </w:r>
          </w:p>
        </w:tc>
        <w:tc>
          <w:tcPr>
            <w:tcW w:w="1419"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COD</w:t>
            </w:r>
          </w:p>
        </w:tc>
        <w:tc>
          <w:tcPr>
            <w:tcW w:w="1394"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石油类</w:t>
            </w:r>
          </w:p>
        </w:tc>
        <w:tc>
          <w:tcPr>
            <w:tcW w:w="1403"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挥发酚</w:t>
            </w:r>
          </w:p>
        </w:tc>
        <w:tc>
          <w:tcPr>
            <w:tcW w:w="1403"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硫化物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494"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浓度（mg/L）</w:t>
            </w:r>
          </w:p>
        </w:tc>
        <w:tc>
          <w:tcPr>
            <w:tcW w:w="1365"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2000</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2500</w:t>
            </w:r>
          </w:p>
        </w:tc>
        <w:tc>
          <w:tcPr>
            <w:tcW w:w="1419"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3000</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4000</w:t>
            </w:r>
          </w:p>
        </w:tc>
        <w:tc>
          <w:tcPr>
            <w:tcW w:w="1394"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60</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70</w:t>
            </w:r>
          </w:p>
        </w:tc>
        <w:tc>
          <w:tcPr>
            <w:tcW w:w="1403"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0.1</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0.2</w:t>
            </w:r>
          </w:p>
        </w:tc>
        <w:tc>
          <w:tcPr>
            <w:tcW w:w="1403" w:type="dxa"/>
            <w:tcBorders>
              <w:tl2br w:val="nil"/>
              <w:tr2bl w:val="nil"/>
            </w:tcBorders>
            <w:noWrap w:val="0"/>
            <w:vAlign w:val="center"/>
          </w:tcPr>
          <w:p>
            <w:pPr>
              <w:pStyle w:val="93"/>
              <w:rPr>
                <w:rFonts w:ascii="Times New Roman" w:hAnsi="Times New Roman" w:cs="Times New Roman"/>
                <w:color w:val="auto"/>
                <w:highlight w:val="none"/>
                <w:shd w:val="clear" w:color="auto" w:fill="auto"/>
              </w:rPr>
            </w:pPr>
            <w:r>
              <w:rPr>
                <w:rFonts w:ascii="Times New Roman" w:hAnsi="Times New Roman" w:cs="Times New Roman"/>
                <w:color w:val="auto"/>
                <w:highlight w:val="none"/>
                <w:shd w:val="clear" w:color="auto" w:fill="auto"/>
              </w:rPr>
              <w:t>0.2</w:t>
            </w:r>
            <w:r>
              <w:rPr>
                <w:rFonts w:hint="eastAsia" w:cs="Times New Roman"/>
                <w:color w:val="auto"/>
                <w:highlight w:val="none"/>
                <w:shd w:val="clear" w:color="auto" w:fill="auto"/>
                <w:lang w:eastAsia="zh-CN"/>
              </w:rPr>
              <w:t>~</w:t>
            </w:r>
            <w:r>
              <w:rPr>
                <w:rFonts w:ascii="Times New Roman" w:hAnsi="Times New Roman" w:cs="Times New Roman"/>
                <w:color w:val="auto"/>
                <w:highlight w:val="none"/>
                <w:shd w:val="clear" w:color="auto" w:fill="auto"/>
              </w:rPr>
              <w:t>0.3</w:t>
            </w:r>
          </w:p>
        </w:tc>
      </w:tr>
    </w:tbl>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Times New Roman" w:hAnsi="Times New Roman"/>
          <w:color w:val="auto"/>
          <w:sz w:val="24"/>
          <w:szCs w:val="24"/>
          <w:highlight w:val="none"/>
          <w:shd w:val="clear" w:color="auto" w:fill="auto"/>
          <w:lang w:val="en-US" w:eastAsia="zh-CN"/>
        </w:rPr>
        <w:t>本工程部署</w:t>
      </w:r>
      <w:r>
        <w:rPr>
          <w:rFonts w:hint="eastAsia" w:ascii="Times New Roman" w:hAnsi="Times New Roman" w:cs="Times New Roman"/>
          <w:color w:val="auto"/>
          <w:sz w:val="24"/>
          <w:szCs w:val="24"/>
          <w:highlight w:val="none"/>
          <w:shd w:val="clear" w:color="auto" w:fill="auto"/>
        </w:rPr>
        <w:t>新钻</w:t>
      </w:r>
      <w:r>
        <w:rPr>
          <w:rFonts w:hint="eastAsia" w:ascii="Times New Roman" w:hAnsi="Times New Roman" w:cs="Times New Roman"/>
          <w:color w:val="auto"/>
          <w:sz w:val="24"/>
          <w:szCs w:val="24"/>
          <w:highlight w:val="none"/>
          <w:shd w:val="clear" w:color="auto" w:fill="auto"/>
          <w:lang w:val="en-US" w:eastAsia="zh-CN"/>
        </w:rPr>
        <w:t>采油井7口，设计井深6949</w:t>
      </w:r>
      <w:r>
        <w:rPr>
          <w:rFonts w:ascii="Times New Roman" w:hAnsi="Times New Roman" w:cs="Times New Roman"/>
          <w:color w:val="auto"/>
          <w:sz w:val="24"/>
          <w:szCs w:val="24"/>
          <w:highlight w:val="none"/>
          <w:shd w:val="clear" w:color="auto" w:fill="auto"/>
        </w:rPr>
        <w:t>m</w:t>
      </w:r>
      <w:r>
        <w:rPr>
          <w:rFonts w:hint="eastAsia" w:ascii="Times New Roman" w:hAnsi="Times New Roman" w:cs="Times New Roman"/>
          <w:color w:val="auto"/>
          <w:sz w:val="24"/>
          <w:szCs w:val="24"/>
          <w:highlight w:val="none"/>
          <w:shd w:val="clear" w:color="auto" w:fill="auto"/>
          <w:lang w:eastAsia="zh-CN"/>
        </w:rPr>
        <w:t>（</w:t>
      </w:r>
      <w:r>
        <w:rPr>
          <w:rFonts w:hint="eastAsia" w:ascii="Times New Roman" w:hAnsi="Times New Roman" w:cs="Times New Roman"/>
          <w:color w:val="auto"/>
          <w:sz w:val="24"/>
          <w:szCs w:val="24"/>
          <w:highlight w:val="none"/>
          <w:shd w:val="clear" w:color="auto" w:fill="auto"/>
          <w:lang w:val="en-US" w:eastAsia="zh-CN"/>
        </w:rPr>
        <w:t>平均</w:t>
      </w:r>
      <w:r>
        <w:rPr>
          <w:rFonts w:hint="eastAsia" w:ascii="Times New Roman" w:hAnsi="Times New Roman" w:cs="Times New Roman"/>
          <w:color w:val="auto"/>
          <w:sz w:val="24"/>
          <w:szCs w:val="24"/>
          <w:highlight w:val="none"/>
          <w:shd w:val="clear" w:color="auto" w:fill="auto"/>
          <w:lang w:eastAsia="zh-CN"/>
        </w:rPr>
        <w:t>）</w:t>
      </w:r>
      <w:r>
        <w:rPr>
          <w:rFonts w:hint="eastAsia" w:ascii="Times New Roman" w:hAnsi="Times New Roman"/>
          <w:color w:val="auto"/>
          <w:sz w:val="24"/>
          <w:szCs w:val="24"/>
          <w:highlight w:val="none"/>
          <w:shd w:val="clear" w:color="auto" w:fill="auto"/>
          <w:lang w:val="en-US" w:eastAsia="zh-CN"/>
        </w:rPr>
        <w:t>，总</w:t>
      </w:r>
      <w:r>
        <w:rPr>
          <w:rFonts w:hint="default" w:ascii="Times New Roman" w:hAnsi="Times New Roman" w:cs="Times New Roman"/>
          <w:color w:val="auto"/>
          <w:sz w:val="24"/>
          <w:szCs w:val="24"/>
          <w:highlight w:val="none"/>
          <w:shd w:val="clear" w:color="auto" w:fill="auto"/>
        </w:rPr>
        <w:t>进尺</w:t>
      </w:r>
      <w:r>
        <w:rPr>
          <w:rFonts w:hint="eastAsia" w:ascii="Times New Roman" w:hAnsi="Times New Roman" w:cs="Times New Roman"/>
          <w:color w:val="auto"/>
          <w:sz w:val="24"/>
          <w:szCs w:val="24"/>
          <w:highlight w:val="none"/>
          <w:shd w:val="clear" w:color="auto" w:fill="auto"/>
          <w:lang w:val="en-US" w:eastAsia="zh-CN"/>
        </w:rPr>
        <w:t>48644</w:t>
      </w:r>
      <w:r>
        <w:rPr>
          <w:rFonts w:hint="default" w:ascii="Times New Roman" w:hAnsi="Times New Roman" w:cs="Times New Roman"/>
          <w:color w:val="auto"/>
          <w:sz w:val="24"/>
          <w:szCs w:val="24"/>
          <w:highlight w:val="none"/>
          <w:shd w:val="clear" w:color="auto" w:fill="auto"/>
        </w:rPr>
        <w:t>m</w:t>
      </w:r>
      <w:r>
        <w:rPr>
          <w:rFonts w:ascii="Times New Roman" w:hAnsi="Times New Roman"/>
          <w:color w:val="auto"/>
          <w:sz w:val="24"/>
          <w:szCs w:val="24"/>
          <w:highlight w:val="none"/>
          <w:shd w:val="clear" w:color="auto" w:fill="auto"/>
        </w:rPr>
        <w:t>。根据《排放源统计调查产排污核算方法和系数手册》中1120石油和天然气开采专业及辅助性活动行业产污系数表</w:t>
      </w:r>
      <w:r>
        <w:rPr>
          <w:rFonts w:ascii="Times New Roman" w:hAnsi="Times New Roman" w:eastAsia="宋体" w:cs="Times New Roman"/>
          <w:bCs/>
          <w:color w:val="auto"/>
          <w:sz w:val="24"/>
          <w:szCs w:val="24"/>
          <w:highlight w:val="none"/>
          <w:shd w:val="clear" w:color="auto" w:fill="auto"/>
        </w:rPr>
        <w:t>，</w:t>
      </w:r>
      <w:r>
        <w:rPr>
          <w:rFonts w:hint="eastAsia" w:ascii="Times New Roman" w:hAnsi="Times New Roman" w:eastAsia="宋体" w:cs="Times New Roman"/>
          <w:bCs/>
          <w:color w:val="auto"/>
          <w:sz w:val="24"/>
          <w:szCs w:val="24"/>
          <w:highlight w:val="none"/>
          <w:shd w:val="clear" w:color="auto" w:fill="auto"/>
          <w:lang w:val="en-US" w:eastAsia="zh-CN"/>
        </w:rPr>
        <w:t>7口采油井钻井废水参照</w:t>
      </w:r>
      <w:r>
        <w:rPr>
          <w:rFonts w:hint="eastAsia" w:ascii="Times New Roman" w:hAnsi="Times New Roman" w:eastAsia="宋体" w:cs="Times New Roman"/>
          <w:bCs/>
          <w:color w:val="auto"/>
          <w:sz w:val="24"/>
          <w:szCs w:val="24"/>
          <w:highlight w:val="none"/>
          <w:shd w:val="clear" w:color="auto" w:fill="auto"/>
        </w:rPr>
        <w:t>普通</w:t>
      </w:r>
      <w:r>
        <w:rPr>
          <w:rFonts w:hint="eastAsia" w:ascii="Times New Roman" w:hAnsi="Times New Roman" w:eastAsia="宋体" w:cs="Times New Roman"/>
          <w:bCs/>
          <w:color w:val="auto"/>
          <w:sz w:val="24"/>
          <w:szCs w:val="24"/>
          <w:highlight w:val="none"/>
          <w:shd w:val="clear" w:color="auto" w:fill="auto"/>
          <w:lang w:val="en-US" w:eastAsia="zh-CN"/>
        </w:rPr>
        <w:t>油</w:t>
      </w:r>
      <w:r>
        <w:rPr>
          <w:rFonts w:hint="eastAsia" w:ascii="Times New Roman" w:hAnsi="Times New Roman" w:eastAsia="宋体" w:cs="Times New Roman"/>
          <w:bCs/>
          <w:color w:val="auto"/>
          <w:sz w:val="24"/>
          <w:szCs w:val="24"/>
          <w:highlight w:val="none"/>
          <w:shd w:val="clear" w:color="auto" w:fill="auto"/>
        </w:rPr>
        <w:t>井</w:t>
      </w:r>
      <w:r>
        <w:rPr>
          <w:rFonts w:ascii="Times New Roman" w:hAnsi="Times New Roman" w:eastAsia="宋体" w:cs="Times New Roman"/>
          <w:bCs/>
          <w:color w:val="auto"/>
          <w:sz w:val="24"/>
          <w:szCs w:val="24"/>
          <w:highlight w:val="none"/>
          <w:shd w:val="clear" w:color="auto" w:fill="auto"/>
        </w:rPr>
        <w:t>（≥</w:t>
      </w:r>
      <w:r>
        <w:rPr>
          <w:rFonts w:hint="eastAsia" w:ascii="Times New Roman" w:hAnsi="Times New Roman" w:eastAsia="宋体" w:cs="Times New Roman"/>
          <w:bCs/>
          <w:color w:val="auto"/>
          <w:sz w:val="24"/>
          <w:szCs w:val="24"/>
          <w:highlight w:val="none"/>
          <w:shd w:val="clear" w:color="auto" w:fill="auto"/>
          <w:lang w:val="en-US" w:eastAsia="zh-CN"/>
        </w:rPr>
        <w:t>3.5</w:t>
      </w:r>
      <w:r>
        <w:rPr>
          <w:rFonts w:ascii="Times New Roman" w:hAnsi="Times New Roman" w:eastAsia="宋体" w:cs="Times New Roman"/>
          <w:bCs/>
          <w:color w:val="auto"/>
          <w:sz w:val="24"/>
          <w:szCs w:val="24"/>
          <w:highlight w:val="none"/>
          <w:shd w:val="clear" w:color="auto" w:fill="auto"/>
        </w:rPr>
        <w:t>km进尺）产</w:t>
      </w:r>
      <w:r>
        <w:rPr>
          <w:rFonts w:ascii="Times New Roman" w:hAnsi="Times New Roman"/>
          <w:color w:val="auto"/>
          <w:sz w:val="24"/>
          <w:szCs w:val="24"/>
          <w:highlight w:val="none"/>
          <w:shd w:val="clear" w:color="auto" w:fill="auto"/>
        </w:rPr>
        <w:t>污系数</w:t>
      </w:r>
      <w:r>
        <w:rPr>
          <w:rFonts w:hint="eastAsia" w:ascii="Times New Roman" w:hAnsi="Times New Roman"/>
          <w:color w:val="auto"/>
          <w:sz w:val="24"/>
          <w:szCs w:val="24"/>
          <w:highlight w:val="none"/>
          <w:shd w:val="clear" w:color="auto" w:fill="auto"/>
          <w:lang w:val="en-US" w:eastAsia="zh-CN"/>
        </w:rPr>
        <w:t>29.73</w:t>
      </w:r>
      <w:r>
        <w:rPr>
          <w:rFonts w:ascii="Times New Roman" w:hAnsi="Times New Roman"/>
          <w:color w:val="auto"/>
          <w:sz w:val="24"/>
          <w:szCs w:val="24"/>
          <w:highlight w:val="none"/>
          <w:shd w:val="clear" w:color="auto" w:fill="auto"/>
        </w:rPr>
        <w:t>t/100m进行估算</w:t>
      </w:r>
      <w:r>
        <w:rPr>
          <w:rFonts w:hint="eastAsia" w:ascii="Times New Roman" w:hAnsi="Times New Roman"/>
          <w:color w:val="auto"/>
          <w:sz w:val="24"/>
          <w:szCs w:val="24"/>
          <w:highlight w:val="none"/>
          <w:shd w:val="clear" w:color="auto" w:fill="auto"/>
          <w:lang w:eastAsia="zh-CN"/>
        </w:rPr>
        <w:t>，</w:t>
      </w:r>
      <w:r>
        <w:rPr>
          <w:rFonts w:hint="eastAsia" w:ascii="Times New Roman" w:hAnsi="Times New Roman"/>
          <w:color w:val="auto"/>
          <w:sz w:val="24"/>
          <w:szCs w:val="24"/>
          <w:highlight w:val="none"/>
          <w:shd w:val="clear" w:color="auto" w:fill="auto"/>
          <w:lang w:val="en-US" w:eastAsia="zh-CN"/>
        </w:rPr>
        <w:t>本工程</w:t>
      </w:r>
      <w:r>
        <w:rPr>
          <w:rFonts w:hint="eastAsia" w:ascii="Times New Roman" w:hAnsi="Times New Roman" w:cs="Times New Roman"/>
          <w:color w:val="auto"/>
          <w:kern w:val="2"/>
          <w:sz w:val="24"/>
          <w:szCs w:val="24"/>
          <w:highlight w:val="none"/>
          <w:shd w:val="clear" w:color="auto" w:fill="auto"/>
          <w:lang w:val="en-US" w:eastAsia="zh-CN"/>
        </w:rPr>
        <w:t>钻井总进尺为</w:t>
      </w:r>
      <w:r>
        <w:rPr>
          <w:rFonts w:hint="eastAsia" w:ascii="Times New Roman" w:hAnsi="Times New Roman" w:cs="Times New Roman"/>
          <w:color w:val="auto"/>
          <w:sz w:val="24"/>
          <w:szCs w:val="24"/>
          <w:highlight w:val="none"/>
          <w:shd w:val="clear" w:color="auto" w:fill="auto"/>
          <w:lang w:val="en-US" w:eastAsia="zh-CN"/>
        </w:rPr>
        <w:t>48644</w:t>
      </w:r>
      <w:r>
        <w:rPr>
          <w:rFonts w:hint="eastAsia" w:ascii="Times New Roman" w:hAnsi="Times New Roman" w:cs="Times New Roman"/>
          <w:color w:val="auto"/>
          <w:kern w:val="2"/>
          <w:sz w:val="24"/>
          <w:szCs w:val="24"/>
          <w:highlight w:val="none"/>
          <w:shd w:val="clear" w:color="auto" w:fill="auto"/>
          <w:lang w:val="en-US" w:eastAsia="zh-CN"/>
        </w:rPr>
        <w:t>m，</w:t>
      </w:r>
      <w:r>
        <w:rPr>
          <w:rFonts w:ascii="Times New Roman" w:hAnsi="Times New Roman"/>
          <w:color w:val="auto"/>
          <w:sz w:val="24"/>
          <w:szCs w:val="24"/>
          <w:highlight w:val="none"/>
          <w:shd w:val="clear" w:color="auto" w:fill="auto"/>
        </w:rPr>
        <w:t>则钻井废水产生量为</w:t>
      </w:r>
      <w:r>
        <w:rPr>
          <w:rFonts w:hint="eastAsia" w:ascii="Times New Roman" w:hAnsi="Times New Roman"/>
          <w:color w:val="auto"/>
          <w:sz w:val="24"/>
          <w:szCs w:val="24"/>
          <w:highlight w:val="none"/>
          <w:shd w:val="clear" w:color="auto" w:fill="auto"/>
          <w:lang w:val="en-US" w:eastAsia="zh-CN"/>
        </w:rPr>
        <w:t>14461.9</w:t>
      </w:r>
      <w:r>
        <w:rPr>
          <w:rFonts w:ascii="Times New Roman" w:hAnsi="Times New Roman"/>
          <w:color w:val="auto"/>
          <w:sz w:val="24"/>
          <w:szCs w:val="24"/>
          <w:highlight w:val="none"/>
          <w:shd w:val="clear" w:color="auto" w:fill="auto"/>
        </w:rPr>
        <w:t>m³。</w:t>
      </w:r>
      <w:bookmarkStart w:id="328" w:name="_Hlk122019887"/>
      <w:r>
        <w:rPr>
          <w:rFonts w:hint="eastAsia" w:ascii="Times New Roman" w:hAnsi="Times New Roman"/>
          <w:color w:val="auto"/>
          <w:sz w:val="24"/>
          <w:szCs w:val="24"/>
          <w:highlight w:val="none"/>
          <w:shd w:val="clear" w:color="auto" w:fill="auto"/>
        </w:rPr>
        <w:t>钻井废水与钻井泥浆、岩屑一同进入不落地系统进行分离处理，分离后的液相回用于钻井液配制，不外排</w:t>
      </w:r>
      <w:bookmarkEnd w:id="328"/>
      <w:r>
        <w:rPr>
          <w:rFonts w:ascii="Times New Roman" w:hAnsi="Times New Roman" w:cs="Times New Roman"/>
          <w:color w:val="auto"/>
          <w:kern w:val="2"/>
          <w:sz w:val="24"/>
          <w:szCs w:val="24"/>
          <w:highlight w:val="none"/>
          <w:shd w:val="clear" w:color="auto" w:fill="auto"/>
        </w:rPr>
        <w:t>；工程结束由钻井队回收。</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val="en-US" w:eastAsia="zh-CN"/>
        </w:rPr>
        <w:t>②</w:t>
      </w:r>
      <w:r>
        <w:rPr>
          <w:color w:val="auto"/>
          <w:highlight w:val="none"/>
        </w:rPr>
        <w:t>生活污水</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本工程单井钻井施工人员</w:t>
      </w:r>
      <w:r>
        <w:rPr>
          <w:rFonts w:hint="eastAsia" w:ascii="Times New Roman" w:hAnsi="Times New Roman" w:eastAsia="宋体" w:cs="Times New Roman"/>
          <w:color w:val="auto"/>
          <w:highlight w:val="none"/>
          <w:lang w:val="en-US" w:eastAsia="zh-CN"/>
        </w:rPr>
        <w:t>35</w:t>
      </w:r>
      <w:r>
        <w:rPr>
          <w:rFonts w:hint="eastAsia" w:ascii="Times New Roman" w:hAnsi="Times New Roman" w:eastAsia="宋体" w:cs="Times New Roman"/>
          <w:color w:val="auto"/>
          <w:highlight w:val="none"/>
        </w:rPr>
        <w:t>人、生活用水量</w:t>
      </w:r>
      <w:r>
        <w:rPr>
          <w:rFonts w:hint="eastAsia" w:ascii="Times New Roman" w:hAnsi="Times New Roman" w:eastAsia="宋体" w:cs="Times New Roman"/>
          <w:color w:val="auto"/>
          <w:highlight w:val="none"/>
          <w:lang w:val="en-US" w:eastAsia="zh-CN"/>
        </w:rPr>
        <w:t>80</w:t>
      </w:r>
      <w:r>
        <w:rPr>
          <w:rFonts w:hint="eastAsia" w:ascii="Times New Roman" w:hAnsi="Times New Roman" w:eastAsia="宋体" w:cs="Times New Roman"/>
          <w:color w:val="auto"/>
          <w:highlight w:val="none"/>
        </w:rPr>
        <w:t>L/人·d计算，排水量按用水量的80%计算，按照单井钻井周期</w:t>
      </w:r>
      <w:r>
        <w:rPr>
          <w:rFonts w:hint="eastAsia" w:ascii="Times New Roman" w:hAnsi="Times New Roman" w:eastAsia="宋体" w:cs="Times New Roman"/>
          <w:color w:val="auto"/>
          <w:highlight w:val="none"/>
          <w:lang w:val="en-US" w:eastAsia="zh-CN"/>
        </w:rPr>
        <w:t>120</w:t>
      </w:r>
      <w:r>
        <w:rPr>
          <w:rFonts w:hint="eastAsia" w:ascii="Times New Roman" w:hAnsi="Times New Roman" w:eastAsia="宋体" w:cs="Times New Roman"/>
          <w:color w:val="auto"/>
          <w:highlight w:val="none"/>
        </w:rPr>
        <w:t>天计算，</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rPr>
        <w:t>口井合计</w:t>
      </w:r>
      <w:r>
        <w:rPr>
          <w:rFonts w:hint="eastAsia" w:ascii="Times New Roman" w:hAnsi="Times New Roman" w:eastAsia="宋体" w:cs="Times New Roman"/>
          <w:color w:val="auto"/>
          <w:highlight w:val="none"/>
          <w:lang w:val="en-US" w:eastAsia="zh-CN"/>
        </w:rPr>
        <w:t>840</w:t>
      </w:r>
      <w:r>
        <w:rPr>
          <w:rFonts w:hint="eastAsia" w:ascii="Times New Roman" w:hAnsi="Times New Roman" w:eastAsia="宋体" w:cs="Times New Roman"/>
          <w:color w:val="auto"/>
          <w:highlight w:val="none"/>
        </w:rPr>
        <w:t>天，则钻井期内生活污水量约为</w:t>
      </w:r>
      <w:r>
        <w:rPr>
          <w:rFonts w:hint="eastAsia" w:ascii="Times New Roman" w:hAnsi="Times New Roman" w:eastAsia="宋体" w:cs="Times New Roman"/>
          <w:color w:val="auto"/>
          <w:highlight w:val="none"/>
          <w:lang w:val="en-US" w:eastAsia="zh-CN"/>
        </w:rPr>
        <w:t>1881.6</w:t>
      </w:r>
      <w:r>
        <w:rPr>
          <w:rFonts w:hint="eastAsia" w:ascii="Times New Roman" w:hAnsi="Times New Roman" w:eastAsia="宋体" w:cs="Times New Roman"/>
          <w:color w:val="auto"/>
          <w:highlight w:val="none"/>
        </w:rPr>
        <w:t>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；地面工程施工人员</w:t>
      </w:r>
      <w:r>
        <w:rPr>
          <w:rFonts w:hint="eastAsia" w:ascii="Times New Roman" w:hAnsi="Times New Roman" w:eastAsia="宋体" w:cs="Times New Roman"/>
          <w:color w:val="auto"/>
          <w:highlight w:val="none"/>
          <w:lang w:val="en-US" w:eastAsia="zh-CN"/>
        </w:rPr>
        <w:t>20</w:t>
      </w:r>
      <w:r>
        <w:rPr>
          <w:rFonts w:hint="eastAsia" w:ascii="Times New Roman" w:hAnsi="Times New Roman" w:eastAsia="宋体" w:cs="Times New Roman"/>
          <w:color w:val="auto"/>
          <w:highlight w:val="none"/>
        </w:rPr>
        <w:t>人、生活用水量</w:t>
      </w:r>
      <w:r>
        <w:rPr>
          <w:rFonts w:hint="eastAsia" w:ascii="Times New Roman" w:hAnsi="Times New Roman" w:eastAsia="宋体" w:cs="Times New Roman"/>
          <w:color w:val="auto"/>
          <w:highlight w:val="none"/>
          <w:lang w:val="en-US" w:eastAsia="zh-CN"/>
        </w:rPr>
        <w:t>80</w:t>
      </w:r>
      <w:r>
        <w:rPr>
          <w:rFonts w:hint="eastAsia" w:ascii="Times New Roman" w:hAnsi="Times New Roman" w:eastAsia="宋体" w:cs="Times New Roman"/>
          <w:color w:val="auto"/>
          <w:highlight w:val="none"/>
        </w:rPr>
        <w:t>L/人·d计算，按照周期</w:t>
      </w:r>
      <w:r>
        <w:rPr>
          <w:rFonts w:hint="eastAsia" w:ascii="Times New Roman" w:hAnsi="Times New Roman" w:eastAsia="宋体" w:cs="Times New Roman"/>
          <w:color w:val="auto"/>
          <w:highlight w:val="none"/>
          <w:lang w:val="en-US" w:eastAsia="zh-CN"/>
        </w:rPr>
        <w:t>150</w:t>
      </w:r>
      <w:r>
        <w:rPr>
          <w:rFonts w:hint="eastAsia" w:ascii="Times New Roman" w:hAnsi="Times New Roman" w:eastAsia="宋体" w:cs="Times New Roman"/>
          <w:color w:val="auto"/>
          <w:highlight w:val="none"/>
        </w:rPr>
        <w:t>天计算，排水量按用水量的80%计算，则地面工程生活污水量约为</w:t>
      </w:r>
      <w:r>
        <w:rPr>
          <w:rFonts w:hint="eastAsia" w:ascii="Times New Roman" w:hAnsi="Times New Roman" w:eastAsia="宋体" w:cs="Times New Roman"/>
          <w:color w:val="auto"/>
          <w:highlight w:val="none"/>
          <w:lang w:val="en-US" w:eastAsia="zh-CN"/>
        </w:rPr>
        <w:t>192</w:t>
      </w:r>
      <w:r>
        <w:rPr>
          <w:rFonts w:hint="eastAsia" w:ascii="Times New Roman" w:hAnsi="Times New Roman" w:eastAsia="宋体" w:cs="Times New Roman"/>
          <w:color w:val="auto"/>
          <w:highlight w:val="none"/>
        </w:rPr>
        <w:t>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本工程施工期生活污水总量为</w:t>
      </w:r>
      <w:r>
        <w:rPr>
          <w:rFonts w:hint="eastAsia" w:ascii="Times New Roman" w:hAnsi="Times New Roman" w:eastAsia="宋体" w:cs="Times New Roman"/>
          <w:color w:val="auto"/>
          <w:highlight w:val="none"/>
          <w:lang w:val="en-US" w:eastAsia="zh-CN"/>
        </w:rPr>
        <w:t>2073.6</w:t>
      </w:r>
      <w:r>
        <w:rPr>
          <w:rFonts w:hint="eastAsia" w:ascii="Times New Roman" w:hAnsi="Times New Roman" w:eastAsia="宋体" w:cs="Times New Roman"/>
          <w:color w:val="auto"/>
          <w:highlight w:val="none"/>
        </w:rPr>
        <w:t>m</w:t>
      </w:r>
      <w:r>
        <w:rPr>
          <w:rFonts w:hint="eastAsia" w:ascii="Times New Roman" w:hAnsi="Times New Roman" w:eastAsia="宋体" w:cs="Times New Roman"/>
          <w:color w:val="auto"/>
          <w:highlight w:val="none"/>
          <w:vertAlign w:val="superscript"/>
        </w:rPr>
        <w:t>3</w:t>
      </w:r>
      <w:r>
        <w:rPr>
          <w:rFonts w:hint="eastAsia" w:ascii="Times New Roman" w:hAnsi="Times New Roman" w:eastAsia="宋体" w:cs="Times New Roman"/>
          <w:color w:val="auto"/>
          <w:highlight w:val="none"/>
        </w:rPr>
        <w:t>，生活污水主要污染物为COD、NH</w:t>
      </w:r>
      <w:r>
        <w:rPr>
          <w:rFonts w:hint="eastAsia" w:ascii="Times New Roman" w:hAnsi="Times New Roman" w:eastAsia="宋体" w:cs="Times New Roman"/>
          <w:color w:val="auto"/>
          <w:highlight w:val="none"/>
          <w:vertAlign w:val="subscript"/>
        </w:rPr>
        <w:t>3</w:t>
      </w:r>
      <w:r>
        <w:rPr>
          <w:rFonts w:hint="eastAsia" w:ascii="Times New Roman" w:hAnsi="Times New Roman" w:eastAsia="宋体" w:cs="Times New Roman"/>
          <w:color w:val="auto"/>
          <w:highlight w:val="none"/>
        </w:rPr>
        <w:t>-N、SS等，其主要指标浓度COD为350mg/L，NH</w:t>
      </w:r>
      <w:r>
        <w:rPr>
          <w:rFonts w:hint="eastAsia" w:ascii="Times New Roman" w:hAnsi="Times New Roman" w:eastAsia="宋体" w:cs="Times New Roman"/>
          <w:color w:val="auto"/>
          <w:highlight w:val="none"/>
          <w:vertAlign w:val="subscript"/>
        </w:rPr>
        <w:t>3</w:t>
      </w:r>
      <w:r>
        <w:rPr>
          <w:rFonts w:hint="eastAsia" w:ascii="Times New Roman" w:hAnsi="Times New Roman" w:eastAsia="宋体" w:cs="Times New Roman"/>
          <w:color w:val="auto"/>
          <w:highlight w:val="none"/>
        </w:rPr>
        <w:t>-N为60mg/L、SS为240mg/L。生活营地设置防渗生活污水池，定期拉运至</w:t>
      </w:r>
      <w:r>
        <w:rPr>
          <w:rFonts w:hint="eastAsia" w:ascii="Times New Roman" w:hAnsi="Times New Roman" w:eastAsia="宋体" w:cs="Times New Roman"/>
          <w:color w:val="auto"/>
          <w:highlight w:val="none"/>
          <w:lang w:eastAsia="zh-CN"/>
        </w:rPr>
        <w:t>乌尔禾区污水处理厂</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每座井场设置1座</w:t>
      </w:r>
      <w:r>
        <w:rPr>
          <w:rFonts w:hint="eastAsia" w:ascii="Times New Roman" w:hAnsi="Times New Roman" w:eastAsia="宋体" w:cs="Times New Roman"/>
          <w:color w:val="auto"/>
          <w:highlight w:val="none"/>
        </w:rPr>
        <w:t>环保厕所</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粪便排入环保厕所内</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定期由清污车清运至</w:t>
      </w:r>
      <w:r>
        <w:rPr>
          <w:rFonts w:hint="eastAsia" w:ascii="Times New Roman" w:hAnsi="Times New Roman" w:eastAsia="宋体" w:cs="Times New Roman"/>
          <w:color w:val="auto"/>
          <w:highlight w:val="none"/>
        </w:rPr>
        <w:t>乌尔禾区生活垃圾填埋场</w:t>
      </w:r>
      <w:r>
        <w:rPr>
          <w:rFonts w:hint="eastAsia" w:ascii="Times New Roman" w:hAnsi="Times New Roman" w:eastAsia="宋体" w:cs="Times New Roman"/>
          <w:color w:val="auto"/>
          <w:highlight w:val="none"/>
          <w:lang w:eastAsia="zh-CN"/>
        </w:rPr>
        <w:t>。</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val="en-US" w:eastAsia="zh-CN"/>
        </w:rPr>
        <w:t>③</w:t>
      </w:r>
      <w:r>
        <w:rPr>
          <w:color w:val="auto"/>
          <w:highlight w:val="none"/>
        </w:rPr>
        <w:t>试压废水</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管道工程分段试压以测试管道的强度和严密性，</w:t>
      </w:r>
      <w:r>
        <w:rPr>
          <w:rFonts w:hint="eastAsia"/>
          <w:color w:val="auto"/>
          <w:highlight w:val="none"/>
        </w:rPr>
        <w:t>本工程</w:t>
      </w:r>
      <w:r>
        <w:rPr>
          <w:color w:val="auto"/>
          <w:highlight w:val="none"/>
        </w:rPr>
        <w:t>管道采用无腐蚀性洁净水作为试压介质，管道试压废水中主要污染物为SS。管道试压分段进行，试压水排出后进入下一段管线循环使用</w:t>
      </w:r>
      <w:r>
        <w:rPr>
          <w:rFonts w:hint="eastAsia"/>
          <w:color w:val="auto"/>
          <w:highlight w:val="none"/>
        </w:rPr>
        <w:t>，</w:t>
      </w:r>
      <w:r>
        <w:rPr>
          <w:color w:val="auto"/>
          <w:highlight w:val="none"/>
        </w:rPr>
        <w:t>主要污染物为SS</w:t>
      </w:r>
      <w:r>
        <w:rPr>
          <w:rFonts w:hint="eastAsia"/>
          <w:color w:val="auto"/>
          <w:highlight w:val="none"/>
        </w:rPr>
        <w:t>，</w:t>
      </w:r>
      <w:r>
        <w:rPr>
          <w:color w:val="auto"/>
          <w:highlight w:val="none"/>
        </w:rPr>
        <w:t>试压结束后，产生的试压废水按照每千米2.5m</w:t>
      </w:r>
      <w:r>
        <w:rPr>
          <w:color w:val="auto"/>
          <w:highlight w:val="none"/>
          <w:vertAlign w:val="superscript"/>
        </w:rPr>
        <w:t>3</w:t>
      </w:r>
      <w:r>
        <w:rPr>
          <w:color w:val="auto"/>
          <w:highlight w:val="none"/>
        </w:rPr>
        <w:t>计算，</w:t>
      </w:r>
      <w:r>
        <w:rPr>
          <w:rFonts w:hint="eastAsia"/>
          <w:color w:val="auto"/>
          <w:highlight w:val="none"/>
        </w:rPr>
        <w:t>本工程</w:t>
      </w:r>
      <w:r>
        <w:rPr>
          <w:color w:val="auto"/>
          <w:highlight w:val="none"/>
        </w:rPr>
        <w:t>各类管线</w:t>
      </w:r>
      <w:r>
        <w:rPr>
          <w:rFonts w:hint="eastAsia"/>
          <w:color w:val="auto"/>
          <w:highlight w:val="none"/>
        </w:rPr>
        <w:t>共计</w:t>
      </w:r>
      <w:r>
        <w:rPr>
          <w:rFonts w:hint="eastAsia" w:cs="Times New Roman"/>
          <w:color w:val="auto"/>
          <w:sz w:val="24"/>
          <w:szCs w:val="24"/>
          <w:highlight w:val="none"/>
          <w:lang w:val="en-US" w:eastAsia="zh-CN" w:bidi="ar-SA"/>
        </w:rPr>
        <w:t>34.25</w:t>
      </w:r>
      <w:r>
        <w:rPr>
          <w:rFonts w:hint="eastAsia"/>
          <w:color w:val="auto"/>
          <w:highlight w:val="none"/>
        </w:rPr>
        <w:t>km，</w:t>
      </w:r>
      <w:r>
        <w:rPr>
          <w:color w:val="auto"/>
          <w:highlight w:val="none"/>
        </w:rPr>
        <w:t>试压废水</w:t>
      </w:r>
      <w:r>
        <w:rPr>
          <w:rFonts w:hint="eastAsia"/>
          <w:color w:val="auto"/>
          <w:highlight w:val="none"/>
        </w:rPr>
        <w:t>约</w:t>
      </w:r>
      <w:r>
        <w:rPr>
          <w:color w:val="auto"/>
          <w:highlight w:val="none"/>
        </w:rPr>
        <w:t>为</w:t>
      </w:r>
      <w:r>
        <w:rPr>
          <w:rFonts w:hint="eastAsia"/>
          <w:color w:val="auto"/>
          <w:highlight w:val="none"/>
          <w:lang w:val="en-US" w:eastAsia="zh-CN"/>
        </w:rPr>
        <w:t>856.25</w:t>
      </w:r>
      <w:r>
        <w:rPr>
          <w:color w:val="auto"/>
          <w:highlight w:val="none"/>
        </w:rPr>
        <w:t>m</w:t>
      </w:r>
      <w:r>
        <w:rPr>
          <w:color w:val="auto"/>
          <w:highlight w:val="none"/>
          <w:vertAlign w:val="superscript"/>
        </w:rPr>
        <w:t>3</w:t>
      </w:r>
      <w:r>
        <w:rPr>
          <w:color w:val="auto"/>
          <w:highlight w:val="none"/>
        </w:rPr>
        <w:t>，主要污染物为SS。</w:t>
      </w:r>
      <w:r>
        <w:rPr>
          <w:rFonts w:hint="eastAsia"/>
          <w:color w:val="auto"/>
          <w:highlight w:val="none"/>
        </w:rPr>
        <w:t>新建管线的</w:t>
      </w:r>
      <w:r>
        <w:rPr>
          <w:color w:val="auto"/>
          <w:highlight w:val="none"/>
        </w:rPr>
        <w:t>试压废水可用作场地降尘用水。</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④压裂返排液</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当钻至目的层后，若钻孔在目的层未遇裂隙，则需进行射孔，用射孔枪打开产层，然后将压裂液注入地层孔隙、裂缝中，通过压裂液和地层岩石矿物的反应，溶解部分岩石矿物或堵塞物质，从而扩大或沟通地层岩石的孔隙裂缝，改善地层近井地带渗透率。根据压裂工程设计方案，本工程压裂液为滑溜水体系，初期返排率约5%，投加量的95%渗入油层中，后期随采出液返至地面并进入油气集输流程。根据前文表3.3-15，本工程水平井压裂返排液产生量按3150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/井计算，则7口新钻井共产生约22050m</w:t>
      </w:r>
      <w:r>
        <w:rPr>
          <w:rFonts w:hint="eastAsia" w:ascii="Times New Roman" w:hAnsi="Times New Roman" w:eastAsia="宋体" w:cs="Times New Roman"/>
          <w:color w:val="auto"/>
          <w:highlight w:val="none"/>
          <w:vertAlign w:val="superscript"/>
          <w:lang w:val="en-US" w:eastAsia="zh-CN"/>
        </w:rPr>
        <w:t>3</w:t>
      </w:r>
      <w:r>
        <w:rPr>
          <w:rFonts w:hint="eastAsia" w:ascii="Times New Roman" w:hAnsi="Times New Roman" w:eastAsia="宋体" w:cs="Times New Roman"/>
          <w:color w:val="auto"/>
          <w:highlight w:val="none"/>
          <w:lang w:val="en-US" w:eastAsia="zh-CN"/>
        </w:rPr>
        <w:t>压裂返排液。废水中主要污染指标为pH、COD、SS等。</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压裂返排液采用专用废液收集罐收集后及时拉运至风城二号稠油联合站处理，经处理达到《碎屑岩油藏注水水质指标技术要求及分析方法》（SY/T5329-2022）中的有关标准后回注油藏，不对外排放。</w:t>
      </w:r>
    </w:p>
    <w:p>
      <w:pPr>
        <w:pStyle w:val="57"/>
        <w:rPr>
          <w:color w:val="auto"/>
          <w:highlight w:val="none"/>
        </w:rPr>
      </w:pPr>
      <w:r>
        <w:rPr>
          <w:color w:val="auto"/>
          <w:highlight w:val="none"/>
        </w:rPr>
        <w:t>（3）固体废物污染源</w:t>
      </w:r>
    </w:p>
    <w:p>
      <w:pPr>
        <w:pStyle w:val="57"/>
        <w:rPr>
          <w:color w:val="auto"/>
          <w:sz w:val="25"/>
          <w:szCs w:val="25"/>
          <w:highlight w:val="none"/>
        </w:rPr>
      </w:pPr>
      <w:r>
        <w:rPr>
          <w:rFonts w:hint="eastAsia"/>
          <w:color w:val="auto"/>
          <w:highlight w:val="none"/>
        </w:rPr>
        <w:t>本工程施工期固体废物主要是钻井泥浆、岩屑、施工废料、施工机械废油和生活垃圾等。</w:t>
      </w:r>
    </w:p>
    <w:p>
      <w:pPr>
        <w:pStyle w:val="75"/>
        <w:jc w:val="both"/>
        <w:rPr>
          <w:color w:val="auto"/>
          <w:highlight w:val="none"/>
          <w:shd w:val="clear" w:color="auto" w:fill="auto"/>
        </w:rPr>
      </w:pPr>
      <w:r>
        <w:rPr>
          <w:rFonts w:hint="eastAsia"/>
          <w:color w:val="auto"/>
          <w:highlight w:val="none"/>
          <w:shd w:val="clear" w:color="auto" w:fill="auto"/>
        </w:rPr>
        <w:t>①钻井泥浆</w:t>
      </w:r>
    </w:p>
    <w:p>
      <w:pPr>
        <w:pStyle w:val="75"/>
        <w:jc w:val="both"/>
        <w:rPr>
          <w:color w:val="auto"/>
          <w:highlight w:val="none"/>
          <w:shd w:val="clear" w:color="auto" w:fill="auto"/>
          <w:lang w:val="en-US"/>
        </w:rPr>
      </w:pPr>
      <w:r>
        <w:rPr>
          <w:color w:val="auto"/>
          <w:highlight w:val="none"/>
          <w:shd w:val="clear" w:color="auto" w:fill="auto"/>
          <w:lang w:val="en-US"/>
        </w:rPr>
        <w:t>钻井废弃泥浆的性质由使用的钻井泥浆决定，其产生量随井深改变而变。钻井废弃泥浆的产生量按下式进行计算：</w:t>
      </w:r>
    </w:p>
    <w:p>
      <w:pPr>
        <w:pStyle w:val="75"/>
        <w:jc w:val="both"/>
        <w:rPr>
          <w:color w:val="auto"/>
          <w:highlight w:val="none"/>
          <w:shd w:val="clear" w:color="auto" w:fill="auto"/>
          <w:lang w:val="en-US"/>
        </w:rPr>
      </w:pPr>
      <w:r>
        <w:rPr>
          <w:color w:val="auto"/>
          <w:highlight w:val="none"/>
          <w:shd w:val="clear" w:color="auto" w:fill="auto"/>
          <w:lang w:val="en-US"/>
        </w:rPr>
        <w:drawing>
          <wp:anchor distT="0" distB="0" distL="114300" distR="114300" simplePos="0" relativeHeight="251681792" behindDoc="0" locked="0" layoutInCell="1" allowOverlap="1">
            <wp:simplePos x="0" y="0"/>
            <wp:positionH relativeFrom="column">
              <wp:posOffset>1592580</wp:posOffset>
            </wp:positionH>
            <wp:positionV relativeFrom="paragraph">
              <wp:posOffset>194945</wp:posOffset>
            </wp:positionV>
            <wp:extent cx="1943100" cy="381635"/>
            <wp:effectExtent l="0" t="0" r="0" b="18415"/>
            <wp:wrapNone/>
            <wp:docPr id="226" name="图片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678"/>
                    <pic:cNvPicPr>
                      <a:picLocks noChangeAspect="1"/>
                    </pic:cNvPicPr>
                  </pic:nvPicPr>
                  <pic:blipFill>
                    <a:blip r:embed="rId15"/>
                    <a:stretch>
                      <a:fillRect/>
                    </a:stretch>
                  </pic:blipFill>
                  <pic:spPr>
                    <a:xfrm>
                      <a:off x="0" y="0"/>
                      <a:ext cx="1943100" cy="381635"/>
                    </a:xfrm>
                    <a:prstGeom prst="rect">
                      <a:avLst/>
                    </a:prstGeom>
                    <a:noFill/>
                    <a:ln>
                      <a:noFill/>
                    </a:ln>
                  </pic:spPr>
                </pic:pic>
              </a:graphicData>
            </a:graphic>
          </wp:anchor>
        </w:drawing>
      </w:r>
    </w:p>
    <w:p>
      <w:pPr>
        <w:pStyle w:val="75"/>
        <w:jc w:val="both"/>
        <w:rPr>
          <w:color w:val="auto"/>
          <w:highlight w:val="none"/>
          <w:shd w:val="clear" w:color="auto" w:fill="auto"/>
          <w:lang w:val="en-US"/>
        </w:rPr>
      </w:pPr>
    </w:p>
    <w:p>
      <w:pPr>
        <w:pStyle w:val="75"/>
        <w:ind w:left="0" w:leftChars="0" w:firstLine="480" w:firstLineChars="200"/>
        <w:jc w:val="both"/>
        <w:rPr>
          <w:color w:val="auto"/>
          <w:highlight w:val="none"/>
          <w:shd w:val="clear" w:color="auto" w:fill="auto"/>
          <w:lang w:val="en-US"/>
        </w:rPr>
      </w:pPr>
      <w:r>
        <w:rPr>
          <w:color w:val="auto"/>
          <w:highlight w:val="none"/>
          <w:shd w:val="clear" w:color="auto" w:fill="auto"/>
          <w:lang w:val="en-US"/>
        </w:rPr>
        <w:t>式中：V——废弃钻井泥浆排放量，m³；</w:t>
      </w:r>
    </w:p>
    <w:p>
      <w:pPr>
        <w:pStyle w:val="75"/>
        <w:jc w:val="both"/>
        <w:rPr>
          <w:rFonts w:hint="default" w:eastAsia="宋体"/>
          <w:color w:val="auto"/>
          <w:highlight w:val="none"/>
          <w:shd w:val="clear" w:color="auto" w:fill="auto"/>
          <w:lang w:val="en-US" w:eastAsia="zh-CN"/>
        </w:rPr>
      </w:pPr>
      <w:r>
        <w:rPr>
          <w:color w:val="auto"/>
          <w:highlight w:val="none"/>
          <w:shd w:val="clear" w:color="auto" w:fill="auto"/>
          <w:lang w:val="en-US"/>
        </w:rPr>
        <w:t xml:space="preserve">      D——井的直径，mm；</w:t>
      </w:r>
    </w:p>
    <w:p>
      <w:pPr>
        <w:pStyle w:val="75"/>
        <w:ind w:firstLine="1200" w:firstLineChars="500"/>
        <w:jc w:val="both"/>
        <w:rPr>
          <w:rFonts w:hint="eastAsia" w:eastAsia="宋体"/>
          <w:color w:val="auto"/>
          <w:highlight w:val="none"/>
          <w:shd w:val="clear" w:color="auto" w:fill="auto"/>
          <w:lang w:val="en-US" w:eastAsia="zh-CN"/>
        </w:rPr>
      </w:pPr>
      <w:r>
        <w:rPr>
          <w:color w:val="auto"/>
          <w:highlight w:val="none"/>
          <w:shd w:val="clear" w:color="auto" w:fill="auto"/>
          <w:lang w:val="en-US"/>
        </w:rPr>
        <w:t>h——井深，m</w:t>
      </w:r>
      <w:r>
        <w:rPr>
          <w:rFonts w:hint="eastAsia"/>
          <w:color w:val="auto"/>
          <w:highlight w:val="none"/>
          <w:shd w:val="clear" w:color="auto" w:fill="auto"/>
          <w:lang w:val="en-US" w:eastAsia="zh-CN"/>
        </w:rPr>
        <w:t>。</w:t>
      </w:r>
    </w:p>
    <w:p>
      <w:pPr>
        <w:pStyle w:val="75"/>
        <w:jc w:val="both"/>
        <w:rPr>
          <w:rFonts w:hint="eastAsia" w:ascii="Times New Roman" w:hAnsi="Times New Roman" w:eastAsia="黑体" w:cs="Times New Roman"/>
          <w:b/>
          <w:bCs/>
          <w:color w:val="auto"/>
          <w:sz w:val="21"/>
          <w:szCs w:val="21"/>
          <w:highlight w:val="none"/>
          <w:shd w:val="clear" w:color="auto" w:fill="auto"/>
          <w:lang w:val="en-GB"/>
        </w:rPr>
      </w:pPr>
      <w:r>
        <w:rPr>
          <w:rFonts w:hint="eastAsia"/>
          <w:color w:val="auto"/>
          <w:sz w:val="24"/>
          <w:szCs w:val="24"/>
          <w:highlight w:val="none"/>
          <w:shd w:val="clear" w:color="auto" w:fill="auto"/>
          <w:lang w:eastAsia="zh-CN"/>
        </w:rPr>
        <w:t>本工程</w:t>
      </w:r>
      <w:r>
        <w:rPr>
          <w:rFonts w:hint="default" w:ascii="Times New Roman" w:hAnsi="Times New Roman" w:cs="Times New Roman"/>
          <w:color w:val="auto"/>
          <w:highlight w:val="none"/>
          <w:shd w:val="clear" w:color="auto" w:fill="auto"/>
          <w:lang w:val="en-US" w:eastAsia="zh-CN"/>
        </w:rPr>
        <w:t>新钻</w:t>
      </w:r>
      <w:r>
        <w:rPr>
          <w:rFonts w:hint="eastAsia" w:ascii="Times New Roman" w:hAnsi="Times New Roman" w:cs="Times New Roman"/>
          <w:color w:val="auto"/>
          <w:highlight w:val="none"/>
          <w:shd w:val="clear" w:color="auto" w:fill="auto"/>
          <w:lang w:val="en-US" w:eastAsia="zh-CN"/>
        </w:rPr>
        <w:t>7</w:t>
      </w:r>
      <w:r>
        <w:rPr>
          <w:rFonts w:hint="default" w:ascii="Times New Roman" w:hAnsi="Times New Roman" w:cs="Times New Roman"/>
          <w:color w:val="auto"/>
          <w:highlight w:val="none"/>
          <w:shd w:val="clear" w:color="auto" w:fill="auto"/>
          <w:lang w:val="en-US" w:eastAsia="zh-CN"/>
        </w:rPr>
        <w:t>口采油井</w:t>
      </w:r>
      <w:r>
        <w:rPr>
          <w:rFonts w:hint="eastAsia" w:ascii="Times New Roman" w:hAnsi="Times New Roman" w:cs="Times New Roman"/>
          <w:color w:val="auto"/>
          <w:highlight w:val="none"/>
          <w:shd w:val="clear" w:color="auto" w:fill="auto"/>
          <w:lang w:val="en-US" w:eastAsia="zh-CN"/>
        </w:rPr>
        <w:t>，</w:t>
      </w:r>
      <w:r>
        <w:rPr>
          <w:rFonts w:hint="eastAsia"/>
          <w:color w:val="auto"/>
          <w:sz w:val="24"/>
          <w:szCs w:val="24"/>
          <w:highlight w:val="none"/>
          <w:shd w:val="clear" w:color="auto" w:fill="auto"/>
          <w:lang w:eastAsia="zh-CN"/>
        </w:rPr>
        <w:t>钻井</w:t>
      </w:r>
      <w:r>
        <w:rPr>
          <w:rFonts w:hint="eastAsia" w:ascii="Times New Roman" w:hAnsi="Times New Roman"/>
          <w:color w:val="auto"/>
          <w:sz w:val="24"/>
          <w:szCs w:val="24"/>
          <w:highlight w:val="none"/>
          <w:shd w:val="clear" w:color="auto" w:fill="auto"/>
          <w:lang w:val="en-US" w:eastAsia="zh-CN"/>
        </w:rPr>
        <w:t>总</w:t>
      </w:r>
      <w:r>
        <w:rPr>
          <w:rFonts w:hint="default" w:ascii="Times New Roman" w:hAnsi="Times New Roman" w:cs="Times New Roman"/>
          <w:color w:val="auto"/>
          <w:sz w:val="24"/>
          <w:szCs w:val="24"/>
          <w:highlight w:val="none"/>
          <w:shd w:val="clear" w:color="auto" w:fill="auto"/>
        </w:rPr>
        <w:t>进尺</w:t>
      </w:r>
      <w:r>
        <w:rPr>
          <w:rFonts w:hint="eastAsia" w:ascii="Times New Roman" w:hAnsi="Times New Roman" w:cs="Times New Roman"/>
          <w:color w:val="auto"/>
          <w:sz w:val="24"/>
          <w:szCs w:val="24"/>
          <w:highlight w:val="none"/>
          <w:shd w:val="clear" w:color="auto" w:fill="auto"/>
          <w:lang w:val="en-US" w:eastAsia="zh-CN"/>
        </w:rPr>
        <w:t>48644</w:t>
      </w:r>
      <w:r>
        <w:rPr>
          <w:rFonts w:hint="default" w:ascii="Times New Roman" w:hAnsi="Times New Roman" w:cs="Times New Roman"/>
          <w:color w:val="auto"/>
          <w:sz w:val="24"/>
          <w:szCs w:val="24"/>
          <w:highlight w:val="none"/>
          <w:shd w:val="clear" w:color="auto" w:fill="auto"/>
        </w:rPr>
        <w:t>m</w:t>
      </w:r>
      <w:r>
        <w:rPr>
          <w:rFonts w:hint="eastAsia"/>
          <w:color w:val="auto"/>
          <w:sz w:val="24"/>
          <w:szCs w:val="24"/>
          <w:highlight w:val="none"/>
          <w:shd w:val="clear" w:color="auto" w:fill="auto"/>
          <w:lang w:eastAsia="zh-CN"/>
        </w:rPr>
        <w:t>。</w:t>
      </w:r>
      <w:r>
        <w:rPr>
          <w:rFonts w:hint="eastAsia"/>
          <w:color w:val="auto"/>
          <w:sz w:val="24"/>
          <w:szCs w:val="24"/>
          <w:highlight w:val="none"/>
          <w:lang w:eastAsia="zh-CN"/>
        </w:rPr>
        <w:t>根据计算，钻井泥浆产生总量约</w:t>
      </w:r>
      <w:r>
        <w:rPr>
          <w:rFonts w:hint="eastAsia"/>
          <w:color w:val="auto"/>
          <w:sz w:val="24"/>
          <w:szCs w:val="24"/>
          <w:highlight w:val="none"/>
          <w:lang w:val="en-US" w:eastAsia="zh-CN"/>
        </w:rPr>
        <w:t>16552.8</w:t>
      </w:r>
      <w:r>
        <w:rPr>
          <w:rFonts w:hint="eastAsia"/>
          <w:color w:val="auto"/>
          <w:sz w:val="24"/>
          <w:szCs w:val="24"/>
          <w:highlight w:val="none"/>
          <w:lang w:eastAsia="zh-CN"/>
        </w:rPr>
        <w:t>m</w:t>
      </w:r>
      <w:r>
        <w:rPr>
          <w:rFonts w:hint="eastAsia"/>
          <w:color w:val="auto"/>
          <w:sz w:val="24"/>
          <w:szCs w:val="24"/>
          <w:highlight w:val="none"/>
          <w:vertAlign w:val="superscript"/>
          <w:lang w:eastAsia="zh-CN"/>
        </w:rPr>
        <w:t>3</w:t>
      </w:r>
      <w:r>
        <w:rPr>
          <w:rFonts w:hint="eastAsia"/>
          <w:color w:val="auto"/>
          <w:sz w:val="24"/>
          <w:szCs w:val="24"/>
          <w:highlight w:val="none"/>
          <w:lang w:eastAsia="zh-CN"/>
        </w:rPr>
        <w:t>，</w:t>
      </w:r>
      <w:r>
        <w:rPr>
          <w:rFonts w:hint="eastAsia"/>
          <w:color w:val="auto"/>
          <w:sz w:val="24"/>
          <w:szCs w:val="24"/>
          <w:highlight w:val="none"/>
          <w:lang w:val="en-US" w:eastAsia="zh-CN"/>
        </w:rPr>
        <w:t>一开、二开</w:t>
      </w:r>
      <w:r>
        <w:rPr>
          <w:rFonts w:hint="eastAsia"/>
          <w:color w:val="auto"/>
          <w:sz w:val="24"/>
          <w:szCs w:val="24"/>
          <w:highlight w:val="none"/>
          <w:lang w:eastAsia="zh-CN"/>
        </w:rPr>
        <w:t>为水基非磺化泥浆，</w:t>
      </w:r>
      <w:r>
        <w:rPr>
          <w:rFonts w:hint="eastAsia"/>
          <w:color w:val="auto"/>
          <w:sz w:val="24"/>
          <w:szCs w:val="24"/>
          <w:highlight w:val="none"/>
          <w:lang w:val="en-US" w:eastAsia="zh-CN"/>
        </w:rPr>
        <w:t>三开为油基泥浆</w:t>
      </w:r>
      <w:r>
        <w:rPr>
          <w:rFonts w:hint="eastAsia"/>
          <w:color w:val="auto"/>
          <w:sz w:val="24"/>
          <w:szCs w:val="24"/>
          <w:highlight w:val="none"/>
          <w:lang w:eastAsia="zh-CN"/>
        </w:rPr>
        <w:t>。钻井泥浆产生量计算见表</w:t>
      </w:r>
      <w:r>
        <w:rPr>
          <w:rFonts w:hint="eastAsia"/>
          <w:color w:val="auto"/>
          <w:sz w:val="24"/>
          <w:szCs w:val="24"/>
          <w:highlight w:val="none"/>
          <w:shd w:val="clear" w:color="auto" w:fill="auto"/>
          <w:lang w:val="en-US" w:eastAsia="zh-CN"/>
        </w:rPr>
        <w:t>3.3-3</w:t>
      </w:r>
      <w:r>
        <w:rPr>
          <w:rFonts w:hint="eastAsia"/>
          <w:color w:val="auto"/>
          <w:sz w:val="24"/>
          <w:szCs w:val="24"/>
          <w:highlight w:val="none"/>
          <w:shd w:val="clear" w:color="auto" w:fill="auto"/>
          <w:lang w:eastAsia="zh-CN"/>
        </w:rPr>
        <w:t>。</w:t>
      </w:r>
    </w:p>
    <w:p>
      <w:pPr>
        <w:pStyle w:val="92"/>
        <w:rPr>
          <w:rFonts w:hint="eastAsia" w:ascii="黑体" w:hAnsi="黑体" w:eastAsia="黑体" w:cs="Times New Roman"/>
          <w:b/>
          <w:color w:val="auto"/>
          <w:kern w:val="2"/>
          <w:sz w:val="21"/>
          <w:szCs w:val="25"/>
          <w:highlight w:val="none"/>
          <w:lang w:val="en-GB" w:eastAsia="zh-CN" w:bidi="ar-SA"/>
        </w:rPr>
      </w:pPr>
      <w:r>
        <w:rPr>
          <w:rFonts w:hint="eastAsia" w:ascii="黑体" w:hAnsi="黑体" w:eastAsia="黑体" w:cs="Times New Roman"/>
          <w:b/>
          <w:color w:val="auto"/>
          <w:kern w:val="2"/>
          <w:sz w:val="21"/>
          <w:szCs w:val="25"/>
          <w:highlight w:val="none"/>
          <w:lang w:val="en-GB" w:eastAsia="zh-CN" w:bidi="ar-SA"/>
        </w:rPr>
        <w:t>表3.</w:t>
      </w:r>
      <w:r>
        <w:rPr>
          <w:rFonts w:hint="eastAsia" w:ascii="黑体" w:hAnsi="黑体" w:cs="Times New Roman"/>
          <w:b/>
          <w:color w:val="auto"/>
          <w:kern w:val="2"/>
          <w:sz w:val="21"/>
          <w:szCs w:val="25"/>
          <w:highlight w:val="none"/>
          <w:lang w:val="en-US" w:eastAsia="zh-CN" w:bidi="ar-SA"/>
        </w:rPr>
        <w:t>3</w:t>
      </w:r>
      <w:r>
        <w:rPr>
          <w:rFonts w:hint="eastAsia" w:ascii="黑体" w:hAnsi="黑体" w:eastAsia="黑体" w:cs="Times New Roman"/>
          <w:b/>
          <w:color w:val="auto"/>
          <w:kern w:val="2"/>
          <w:sz w:val="21"/>
          <w:szCs w:val="25"/>
          <w:highlight w:val="none"/>
          <w:lang w:val="en-GB" w:eastAsia="zh-CN" w:bidi="ar-SA"/>
        </w:rPr>
        <w:t>-</w:t>
      </w:r>
      <w:r>
        <w:rPr>
          <w:rFonts w:hint="eastAsia" w:ascii="黑体" w:hAnsi="黑体" w:eastAsia="黑体" w:cs="Times New Roman"/>
          <w:b/>
          <w:color w:val="auto"/>
          <w:kern w:val="2"/>
          <w:sz w:val="21"/>
          <w:szCs w:val="25"/>
          <w:highlight w:val="none"/>
          <w:lang w:val="en-US" w:eastAsia="zh-CN" w:bidi="ar-SA"/>
        </w:rPr>
        <w:t xml:space="preserve">3 </w:t>
      </w:r>
      <w:r>
        <w:rPr>
          <w:rFonts w:hint="eastAsia" w:ascii="黑体" w:hAnsi="黑体" w:eastAsia="黑体" w:cs="Times New Roman"/>
          <w:b/>
          <w:color w:val="auto"/>
          <w:kern w:val="2"/>
          <w:sz w:val="21"/>
          <w:szCs w:val="25"/>
          <w:highlight w:val="none"/>
          <w:lang w:val="en-GB" w:eastAsia="zh-CN" w:bidi="ar-SA"/>
        </w:rPr>
        <w:t>钻井泥浆产生量</w:t>
      </w:r>
    </w:p>
    <w:tbl>
      <w:tblPr>
        <w:tblStyle w:val="34"/>
        <w:tblW w:w="8401"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35"/>
        <w:gridCol w:w="2121"/>
        <w:gridCol w:w="1491"/>
        <w:gridCol w:w="1348"/>
        <w:gridCol w:w="240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5"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开钻次序</w:t>
            </w:r>
          </w:p>
        </w:tc>
        <w:tc>
          <w:tcPr>
            <w:tcW w:w="2121"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井段m</w:t>
            </w:r>
          </w:p>
        </w:tc>
        <w:tc>
          <w:tcPr>
            <w:tcW w:w="1491"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钻头直mm</w:t>
            </w:r>
          </w:p>
        </w:tc>
        <w:tc>
          <w:tcPr>
            <w:tcW w:w="1348"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泥浆量m</w:t>
            </w:r>
            <w:r>
              <w:rPr>
                <w:rFonts w:ascii="Times New Roman" w:hAnsi="Times New Roman" w:eastAsia="宋体" w:cs="Times New Roman"/>
                <w:snapToGrid w:val="0"/>
                <w:color w:val="auto"/>
                <w:sz w:val="21"/>
                <w:szCs w:val="21"/>
                <w:highlight w:val="none"/>
                <w:shd w:val="clear" w:color="auto" w:fill="auto"/>
                <w:vertAlign w:val="superscript"/>
              </w:rPr>
              <w:t>3</w:t>
            </w:r>
          </w:p>
        </w:tc>
        <w:tc>
          <w:tcPr>
            <w:tcW w:w="2406"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钻井液体系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5"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一开</w:t>
            </w:r>
          </w:p>
        </w:tc>
        <w:tc>
          <w:tcPr>
            <w:tcW w:w="2121"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default" w:ascii="Times New Roman" w:hAnsi="Times New Roman" w:eastAsia="宋体" w:cs="Times New Roman"/>
                <w:snapToGrid w:val="0"/>
                <w:color w:val="auto"/>
                <w:sz w:val="21"/>
                <w:szCs w:val="21"/>
                <w:highlight w:val="none"/>
                <w:shd w:val="clear" w:color="auto" w:fill="auto"/>
              </w:rPr>
              <w:t>0</w:t>
            </w:r>
            <w:r>
              <w:rPr>
                <w:rFonts w:hint="eastAsia" w:cs="Times New Roman"/>
                <w:snapToGrid w:val="0"/>
                <w:color w:val="auto"/>
                <w:sz w:val="21"/>
                <w:szCs w:val="21"/>
                <w:highlight w:val="none"/>
                <w:shd w:val="clear" w:color="auto" w:fill="auto"/>
                <w:lang w:eastAsia="zh-CN"/>
              </w:rPr>
              <w:t>~</w:t>
            </w:r>
            <w:r>
              <w:rPr>
                <w:rFonts w:hint="eastAsia" w:ascii="Times New Roman" w:hAnsi="Times New Roman" w:eastAsia="宋体" w:cs="Times New Roman"/>
                <w:snapToGrid w:val="0"/>
                <w:color w:val="auto"/>
                <w:sz w:val="21"/>
                <w:szCs w:val="21"/>
                <w:highlight w:val="none"/>
                <w:shd w:val="clear" w:color="auto" w:fill="auto"/>
                <w:lang w:val="en-US" w:eastAsia="zh-CN"/>
              </w:rPr>
              <w:t>500</w:t>
            </w:r>
          </w:p>
        </w:tc>
        <w:tc>
          <w:tcPr>
            <w:tcW w:w="1491"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444.5</w:t>
            </w:r>
          </w:p>
        </w:tc>
        <w:tc>
          <w:tcPr>
            <w:tcW w:w="1348"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136.8</w:t>
            </w:r>
          </w:p>
        </w:tc>
        <w:tc>
          <w:tcPr>
            <w:tcW w:w="2406"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hint="eastAsia" w:ascii="Times New Roman" w:hAnsi="Times New Roman" w:eastAsia="宋体" w:cs="Times New Roman"/>
                <w:snapToGrid w:val="0"/>
                <w:color w:val="auto"/>
                <w:sz w:val="21"/>
                <w:szCs w:val="21"/>
                <w:highlight w:val="none"/>
                <w:shd w:val="clear" w:color="auto" w:fill="auto"/>
              </w:rPr>
              <w:t>坂土-CMC钻井液体系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5" w:type="dxa"/>
            <w:tcBorders>
              <w:tl2br w:val="nil"/>
              <w:tr2bl w:val="nil"/>
            </w:tcBorders>
            <w:noWrap w:val="0"/>
            <w:vAlign w:val="center"/>
          </w:tcPr>
          <w:p>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r>
              <w:rPr>
                <w:rFonts w:ascii="Times New Roman" w:hAnsi="Times New Roman" w:eastAsia="宋体" w:cs="Times New Roman"/>
                <w:snapToGrid w:val="0"/>
                <w:color w:val="auto"/>
                <w:sz w:val="21"/>
                <w:szCs w:val="21"/>
                <w:highlight w:val="none"/>
                <w:shd w:val="clear" w:color="auto" w:fill="auto"/>
              </w:rPr>
              <w:t>二开</w:t>
            </w:r>
          </w:p>
        </w:tc>
        <w:tc>
          <w:tcPr>
            <w:tcW w:w="2121"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500</w:t>
            </w:r>
            <w:r>
              <w:rPr>
                <w:rFonts w:hint="eastAsia" w:cs="Times New Roman"/>
                <w:snapToGrid w:val="0"/>
                <w:color w:val="auto"/>
                <w:sz w:val="21"/>
                <w:szCs w:val="21"/>
                <w:highlight w:val="none"/>
                <w:shd w:val="clear" w:color="auto" w:fill="auto"/>
                <w:lang w:val="en-US" w:eastAsia="zh-CN"/>
              </w:rPr>
              <w:t>~</w:t>
            </w:r>
            <w:r>
              <w:rPr>
                <w:rFonts w:hint="eastAsia" w:ascii="Times New Roman" w:hAnsi="Times New Roman" w:eastAsia="宋体" w:cs="Times New Roman"/>
                <w:snapToGrid w:val="0"/>
                <w:color w:val="auto"/>
                <w:sz w:val="21"/>
                <w:szCs w:val="21"/>
                <w:highlight w:val="none"/>
                <w:shd w:val="clear" w:color="auto" w:fill="auto"/>
                <w:lang w:val="en-US" w:eastAsia="zh-CN"/>
              </w:rPr>
              <w:t>4700</w:t>
            </w:r>
          </w:p>
        </w:tc>
        <w:tc>
          <w:tcPr>
            <w:tcW w:w="1491"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311.2</w:t>
            </w:r>
          </w:p>
        </w:tc>
        <w:tc>
          <w:tcPr>
            <w:tcW w:w="1348"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390.9</w:t>
            </w:r>
          </w:p>
        </w:tc>
        <w:tc>
          <w:tcPr>
            <w:tcW w:w="2406"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hint="eastAsia" w:ascii="Times New Roman" w:hAnsi="Times New Roman" w:eastAsia="宋体" w:cs="Times New Roman"/>
                <w:snapToGrid w:val="0"/>
                <w:color w:val="auto"/>
                <w:sz w:val="21"/>
                <w:szCs w:val="21"/>
                <w:highlight w:val="none"/>
                <w:shd w:val="clear" w:color="auto" w:fill="auto"/>
              </w:rPr>
              <w:t>钾钙基聚合物钻井液体系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035" w:type="dxa"/>
            <w:tcBorders>
              <w:tl2br w:val="nil"/>
              <w:tr2bl w:val="nil"/>
            </w:tcBorders>
            <w:noWrap w:val="0"/>
            <w:vAlign w:val="center"/>
          </w:tcPr>
          <w:p>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三开</w:t>
            </w:r>
          </w:p>
        </w:tc>
        <w:tc>
          <w:tcPr>
            <w:tcW w:w="2121"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4700</w:t>
            </w:r>
            <w:r>
              <w:rPr>
                <w:rFonts w:hint="default" w:ascii="Times New Roman" w:hAnsi="Times New Roman" w:eastAsia="宋体" w:cs="Times New Roman"/>
                <w:snapToGrid w:val="0"/>
                <w:color w:val="auto"/>
                <w:sz w:val="21"/>
                <w:szCs w:val="21"/>
                <w:highlight w:val="none"/>
                <w:shd w:val="clear" w:color="auto" w:fill="auto"/>
              </w:rPr>
              <w:t>～</w:t>
            </w:r>
            <w:r>
              <w:rPr>
                <w:rFonts w:hint="eastAsia" w:ascii="Times New Roman" w:hAnsi="Times New Roman" w:eastAsia="宋体" w:cs="Times New Roman"/>
                <w:snapToGrid w:val="0"/>
                <w:color w:val="auto"/>
                <w:sz w:val="21"/>
                <w:szCs w:val="21"/>
                <w:highlight w:val="none"/>
                <w:shd w:val="clear" w:color="auto" w:fill="auto"/>
                <w:lang w:val="en-US" w:eastAsia="zh-CN"/>
              </w:rPr>
              <w:t>6949（平均）</w:t>
            </w:r>
          </w:p>
        </w:tc>
        <w:tc>
          <w:tcPr>
            <w:tcW w:w="1491"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215.9</w:t>
            </w:r>
          </w:p>
        </w:tc>
        <w:tc>
          <w:tcPr>
            <w:tcW w:w="1348"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202.1</w:t>
            </w:r>
          </w:p>
        </w:tc>
        <w:tc>
          <w:tcPr>
            <w:tcW w:w="2406"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油基钻井液体系</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47" w:type="dxa"/>
            <w:gridSpan w:val="3"/>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单口井合计</w:t>
            </w:r>
          </w:p>
        </w:tc>
        <w:tc>
          <w:tcPr>
            <w:tcW w:w="1348"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729.8</w:t>
            </w:r>
          </w:p>
        </w:tc>
        <w:tc>
          <w:tcPr>
            <w:tcW w:w="2406"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647" w:type="dxa"/>
            <w:gridSpan w:val="3"/>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7口井合计</w:t>
            </w:r>
          </w:p>
        </w:tc>
        <w:tc>
          <w:tcPr>
            <w:tcW w:w="1348"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p>
        </w:tc>
        <w:tc>
          <w:tcPr>
            <w:tcW w:w="2406"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w:t>
            </w:r>
          </w:p>
        </w:tc>
      </w:tr>
    </w:tbl>
    <w:p>
      <w:pPr>
        <w:pStyle w:val="86"/>
        <w:keepNext w:val="0"/>
        <w:keepLines w:val="0"/>
        <w:pageBreakBefore w:val="0"/>
        <w:kinsoku/>
        <w:overflowPunct/>
        <w:topLinePunct w:val="0"/>
        <w:autoSpaceDE/>
        <w:autoSpaceDN/>
        <w:bidi w:val="0"/>
        <w:adjustRightInd/>
        <w:snapToGrid/>
        <w:spacing w:line="336" w:lineRule="auto"/>
        <w:ind w:left="0" w:leftChars="0" w:firstLine="456" w:firstLineChars="200"/>
        <w:jc w:val="both"/>
        <w:textAlignment w:val="auto"/>
        <w:rPr>
          <w:rFonts w:hint="eastAsia"/>
          <w:color w:val="auto"/>
          <w:spacing w:val="-6"/>
          <w:sz w:val="24"/>
          <w:highlight w:val="none"/>
          <w:shd w:val="clear" w:color="auto" w:fill="auto"/>
          <w:lang w:eastAsia="zh-CN"/>
        </w:rPr>
      </w:pPr>
      <w:r>
        <w:rPr>
          <w:color w:val="auto"/>
          <w:spacing w:val="-6"/>
          <w:sz w:val="24"/>
          <w:highlight w:val="none"/>
          <w:shd w:val="clear" w:color="auto" w:fill="auto"/>
        </w:rPr>
        <w:t>根据上述公</w:t>
      </w:r>
      <w:r>
        <w:rPr>
          <w:rFonts w:hint="eastAsia"/>
          <w:color w:val="auto"/>
          <w:spacing w:val="-6"/>
          <w:sz w:val="24"/>
          <w:highlight w:val="none"/>
          <w:shd w:val="clear" w:color="auto" w:fill="auto"/>
        </w:rPr>
        <w:t>式</w:t>
      </w:r>
      <w:r>
        <w:rPr>
          <w:color w:val="auto"/>
          <w:spacing w:val="-6"/>
          <w:sz w:val="24"/>
          <w:highlight w:val="none"/>
          <w:shd w:val="clear" w:color="auto" w:fill="auto"/>
        </w:rPr>
        <w:t>计算得知：</w:t>
      </w:r>
      <w:r>
        <w:rPr>
          <w:rFonts w:hint="eastAsia"/>
          <w:color w:val="auto"/>
          <w:spacing w:val="-6"/>
          <w:sz w:val="24"/>
          <w:highlight w:val="none"/>
          <w:shd w:val="clear" w:color="auto" w:fill="auto"/>
          <w:lang w:eastAsia="zh-CN"/>
        </w:rPr>
        <w:t>本工程</w:t>
      </w:r>
      <w:r>
        <w:rPr>
          <w:color w:val="auto"/>
          <w:spacing w:val="-6"/>
          <w:sz w:val="24"/>
          <w:highlight w:val="none"/>
          <w:shd w:val="clear" w:color="auto" w:fill="auto"/>
        </w:rPr>
        <w:t>共产生钻井泥浆</w:t>
      </w:r>
      <w:r>
        <w:rPr>
          <w:rFonts w:hint="eastAsia"/>
          <w:color w:val="auto"/>
          <w:spacing w:val="-6"/>
          <w:sz w:val="24"/>
          <w:highlight w:val="none"/>
          <w:shd w:val="clear" w:color="auto" w:fill="auto"/>
          <w:lang w:val="en-US" w:eastAsia="zh-CN"/>
        </w:rPr>
        <w:t>5108.6</w:t>
      </w:r>
      <w:r>
        <w:rPr>
          <w:color w:val="auto"/>
          <w:spacing w:val="-6"/>
          <w:sz w:val="24"/>
          <w:highlight w:val="none"/>
          <w:shd w:val="clear" w:color="auto" w:fill="auto"/>
        </w:rPr>
        <w:t>m³</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其中水基</w:t>
      </w:r>
      <w:r>
        <w:rPr>
          <w:color w:val="auto"/>
          <w:spacing w:val="-6"/>
          <w:sz w:val="24"/>
          <w:highlight w:val="none"/>
          <w:shd w:val="clear" w:color="auto" w:fill="auto"/>
        </w:rPr>
        <w:t>钻井泥浆</w:t>
      </w:r>
      <w:r>
        <w:rPr>
          <w:rFonts w:hint="eastAsia"/>
          <w:color w:val="auto"/>
          <w:spacing w:val="-6"/>
          <w:sz w:val="24"/>
          <w:highlight w:val="none"/>
          <w:shd w:val="clear" w:color="auto" w:fill="auto"/>
          <w:lang w:val="en-US" w:eastAsia="zh-CN"/>
        </w:rPr>
        <w:t>3693.9</w:t>
      </w:r>
      <w:r>
        <w:rPr>
          <w:color w:val="auto"/>
          <w:spacing w:val="-6"/>
          <w:sz w:val="24"/>
          <w:highlight w:val="none"/>
          <w:shd w:val="clear" w:color="auto" w:fill="auto"/>
        </w:rPr>
        <w:t>m³</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油基泥浆1414.7</w:t>
      </w:r>
      <w:r>
        <w:rPr>
          <w:color w:val="auto"/>
          <w:spacing w:val="-6"/>
          <w:sz w:val="24"/>
          <w:highlight w:val="none"/>
          <w:shd w:val="clear" w:color="auto" w:fill="auto"/>
        </w:rPr>
        <w:t>m³</w:t>
      </w:r>
      <w:r>
        <w:rPr>
          <w:rFonts w:hint="eastAsia"/>
          <w:color w:val="auto"/>
          <w:spacing w:val="-6"/>
          <w:sz w:val="24"/>
          <w:highlight w:val="none"/>
          <w:shd w:val="clear" w:color="auto" w:fill="auto"/>
          <w:lang w:eastAsia="zh-CN"/>
        </w:rPr>
        <w:t>。</w:t>
      </w:r>
    </w:p>
    <w:p>
      <w:pPr>
        <w:pStyle w:val="75"/>
        <w:keepNext w:val="0"/>
        <w:keepLines w:val="0"/>
        <w:pageBreakBefore w:val="0"/>
        <w:widowControl w:val="0"/>
        <w:kinsoku/>
        <w:wordWrap w:val="0"/>
        <w:overflowPunct/>
        <w:topLinePunct w:val="0"/>
        <w:autoSpaceDE/>
        <w:autoSpaceDN/>
        <w:bidi w:val="0"/>
        <w:adjustRightInd/>
        <w:snapToGrid/>
        <w:spacing w:line="480" w:lineRule="exact"/>
        <w:ind w:left="0" w:leftChars="0" w:firstLine="480" w:firstLineChars="200"/>
        <w:jc w:val="both"/>
        <w:textAlignment w:val="auto"/>
        <w:rPr>
          <w:color w:val="auto"/>
          <w:highlight w:val="none"/>
          <w:shd w:val="clear" w:color="auto" w:fill="auto"/>
        </w:rPr>
      </w:pPr>
      <w:r>
        <w:rPr>
          <w:rFonts w:hint="eastAsia"/>
          <w:color w:val="auto"/>
          <w:highlight w:val="none"/>
          <w:shd w:val="clear" w:color="auto" w:fill="auto"/>
        </w:rPr>
        <w:t>②钻井岩屑</w:t>
      </w:r>
    </w:p>
    <w:p>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color w:val="auto"/>
          <w:highlight w:val="none"/>
          <w:shd w:val="clear" w:color="auto" w:fill="auto"/>
        </w:rPr>
      </w:pPr>
      <w:r>
        <w:rPr>
          <w:rFonts w:hint="eastAsia"/>
          <w:color w:val="auto"/>
          <w:highlight w:val="none"/>
          <w:shd w:val="clear" w:color="auto" w:fill="auto"/>
        </w:rPr>
        <w:t>钻井过程中，岩石经钻头和泥浆的研磨而破碎成岩屑，并经泥浆携带至地面，进入不落地系统中，可进入废液池中的单井岩屑可用下式计算</w:t>
      </w:r>
      <w:r>
        <w:rPr>
          <w:color w:val="auto"/>
          <w:highlight w:val="none"/>
          <w:shd w:val="clear" w:color="auto" w:fill="auto"/>
        </w:rPr>
        <w:t>：</w:t>
      </w:r>
    </w:p>
    <w:p>
      <w:pPr>
        <w:pStyle w:val="75"/>
        <w:keepNext w:val="0"/>
        <w:keepLines w:val="0"/>
        <w:pageBreakBefore w:val="0"/>
        <w:widowControl w:val="0"/>
        <w:kinsoku/>
        <w:wordWrap w:val="0"/>
        <w:overflowPunct/>
        <w:topLinePunct w:val="0"/>
        <w:autoSpaceDE/>
        <w:autoSpaceDN/>
        <w:bidi w:val="0"/>
        <w:adjustRightInd/>
        <w:snapToGrid/>
        <w:spacing w:line="480" w:lineRule="exact"/>
        <w:jc w:val="center"/>
        <w:textAlignment w:val="auto"/>
        <w:rPr>
          <w:color w:val="auto"/>
          <w:highlight w:val="none"/>
          <w:shd w:val="clear" w:color="auto" w:fill="auto"/>
          <w:lang w:val="en-US"/>
        </w:rPr>
      </w:pPr>
      <w:r>
        <w:rPr>
          <w:color w:val="auto"/>
          <w:highlight w:val="none"/>
          <w:shd w:val="clear" w:color="auto" w:fill="auto"/>
          <w:lang w:val="en-US"/>
        </w:rPr>
        <w:t>W=1/4×π×D</w:t>
      </w:r>
      <w:r>
        <w:rPr>
          <w:color w:val="auto"/>
          <w:highlight w:val="none"/>
          <w:shd w:val="clear" w:color="auto" w:fill="auto"/>
          <w:vertAlign w:val="superscript"/>
          <w:lang w:val="en-US"/>
        </w:rPr>
        <w:t>2</w:t>
      </w:r>
      <w:r>
        <w:rPr>
          <w:color w:val="auto"/>
          <w:highlight w:val="none"/>
          <w:shd w:val="clear" w:color="auto" w:fill="auto"/>
          <w:lang w:val="en-US"/>
        </w:rPr>
        <w:t>×h×d</w:t>
      </w:r>
    </w:p>
    <w:p>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color w:val="auto"/>
          <w:highlight w:val="none"/>
          <w:shd w:val="clear" w:color="auto" w:fill="auto"/>
          <w:lang w:val="en-US"/>
        </w:rPr>
      </w:pPr>
      <w:r>
        <w:rPr>
          <w:color w:val="auto"/>
          <w:highlight w:val="none"/>
          <w:shd w:val="clear" w:color="auto" w:fill="auto"/>
          <w:lang w:val="en-US"/>
        </w:rPr>
        <w:t>式中：W——产生的岩屑量，m</w:t>
      </w:r>
      <w:r>
        <w:rPr>
          <w:color w:val="auto"/>
          <w:highlight w:val="none"/>
          <w:shd w:val="clear" w:color="auto" w:fill="auto"/>
          <w:vertAlign w:val="superscript"/>
          <w:lang w:val="en-US"/>
        </w:rPr>
        <w:t>3</w:t>
      </w:r>
      <w:r>
        <w:rPr>
          <w:color w:val="auto"/>
          <w:highlight w:val="none"/>
          <w:shd w:val="clear" w:color="auto" w:fill="auto"/>
          <w:lang w:val="en-US"/>
        </w:rPr>
        <w:t>；</w:t>
      </w:r>
    </w:p>
    <w:p>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rFonts w:hint="eastAsia" w:eastAsia="宋体"/>
          <w:color w:val="auto"/>
          <w:highlight w:val="none"/>
          <w:shd w:val="clear" w:color="auto" w:fill="auto"/>
          <w:lang w:val="en-US" w:eastAsia="zh-CN"/>
        </w:rPr>
      </w:pPr>
      <w:r>
        <w:rPr>
          <w:color w:val="auto"/>
          <w:highlight w:val="none"/>
          <w:shd w:val="clear" w:color="auto" w:fill="auto"/>
          <w:lang w:val="en-US"/>
        </w:rPr>
        <w:t xml:space="preserve">      D——井眼平均井径，mm</w:t>
      </w:r>
      <w:r>
        <w:rPr>
          <w:rFonts w:hint="eastAsia"/>
          <w:color w:val="auto"/>
          <w:highlight w:val="none"/>
          <w:shd w:val="clear" w:color="auto" w:fill="auto"/>
          <w:lang w:val="en-US" w:eastAsia="zh-CN"/>
        </w:rPr>
        <w:t>；</w:t>
      </w:r>
    </w:p>
    <w:p>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color w:val="auto"/>
          <w:highlight w:val="none"/>
          <w:shd w:val="clear" w:color="auto" w:fill="auto"/>
          <w:lang w:val="en-US"/>
        </w:rPr>
      </w:pPr>
      <w:r>
        <w:rPr>
          <w:color w:val="auto"/>
          <w:highlight w:val="none"/>
          <w:shd w:val="clear" w:color="auto" w:fill="auto"/>
          <w:lang w:val="en-US"/>
        </w:rPr>
        <w:t xml:space="preserve">      h——裸眼长度，m；</w:t>
      </w:r>
    </w:p>
    <w:p>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color w:val="auto"/>
          <w:highlight w:val="none"/>
          <w:shd w:val="clear" w:color="auto" w:fill="auto"/>
          <w:lang w:val="en-US"/>
        </w:rPr>
      </w:pPr>
      <w:r>
        <w:rPr>
          <w:color w:val="auto"/>
          <w:highlight w:val="none"/>
          <w:shd w:val="clear" w:color="auto" w:fill="auto"/>
          <w:lang w:val="en-US"/>
        </w:rPr>
        <w:t xml:space="preserve">      d——岩屑膨胀系数，</w:t>
      </w:r>
      <w:r>
        <w:rPr>
          <w:rFonts w:hint="eastAsia"/>
          <w:color w:val="auto"/>
          <w:highlight w:val="none"/>
          <w:shd w:val="clear" w:color="auto" w:fill="auto"/>
          <w:lang w:val="en-US"/>
        </w:rPr>
        <w:t>水基钻井液</w:t>
      </w:r>
      <w:r>
        <w:rPr>
          <w:color w:val="auto"/>
          <w:highlight w:val="none"/>
          <w:shd w:val="clear" w:color="auto" w:fill="auto"/>
          <w:lang w:val="en-US"/>
        </w:rPr>
        <w:t>取d=</w:t>
      </w:r>
      <w:r>
        <w:rPr>
          <w:rFonts w:hint="eastAsia"/>
          <w:color w:val="auto"/>
          <w:highlight w:val="none"/>
          <w:shd w:val="clear" w:color="auto" w:fill="auto"/>
          <w:lang w:val="en-US" w:eastAsia="zh-CN"/>
        </w:rPr>
        <w:t>4，油</w:t>
      </w:r>
      <w:r>
        <w:rPr>
          <w:rFonts w:hint="eastAsia"/>
          <w:color w:val="auto"/>
          <w:highlight w:val="none"/>
          <w:shd w:val="clear" w:color="auto" w:fill="auto"/>
          <w:lang w:val="en-US"/>
        </w:rPr>
        <w:t>基钻井液</w:t>
      </w:r>
      <w:r>
        <w:rPr>
          <w:color w:val="auto"/>
          <w:highlight w:val="none"/>
          <w:shd w:val="clear" w:color="auto" w:fill="auto"/>
          <w:lang w:val="en-US"/>
        </w:rPr>
        <w:t>取d=</w:t>
      </w:r>
      <w:r>
        <w:rPr>
          <w:rFonts w:hint="eastAsia"/>
          <w:color w:val="auto"/>
          <w:highlight w:val="none"/>
          <w:shd w:val="clear" w:color="auto" w:fill="auto"/>
          <w:lang w:val="en-US" w:eastAsia="zh-CN"/>
        </w:rPr>
        <w:t>4.5</w:t>
      </w:r>
      <w:r>
        <w:rPr>
          <w:color w:val="auto"/>
          <w:highlight w:val="none"/>
          <w:shd w:val="clear" w:color="auto" w:fill="auto"/>
          <w:lang w:val="en-US"/>
        </w:rPr>
        <w:t>。</w:t>
      </w:r>
    </w:p>
    <w:p>
      <w:pPr>
        <w:pStyle w:val="75"/>
        <w:keepNext w:val="0"/>
        <w:keepLines w:val="0"/>
        <w:pageBreakBefore w:val="0"/>
        <w:widowControl w:val="0"/>
        <w:kinsoku/>
        <w:wordWrap w:val="0"/>
        <w:overflowPunct/>
        <w:topLinePunct w:val="0"/>
        <w:autoSpaceDE/>
        <w:autoSpaceDN/>
        <w:bidi w:val="0"/>
        <w:adjustRightInd/>
        <w:snapToGrid/>
        <w:spacing w:line="480" w:lineRule="exact"/>
        <w:jc w:val="both"/>
        <w:textAlignment w:val="auto"/>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根据井身结构计算项目水基岩屑的产生量，详见表3.</w:t>
      </w:r>
      <w:r>
        <w:rPr>
          <w:rFonts w:hint="eastAsia" w:ascii="Times New Roman" w:hAnsi="Times New Roman" w:eastAsia="宋体"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4</w:t>
      </w:r>
      <w:r>
        <w:rPr>
          <w:rFonts w:hint="eastAsia" w:ascii="Times New Roman" w:hAnsi="Times New Roman" w:eastAsia="宋体" w:cs="Times New Roman"/>
          <w:color w:val="auto"/>
          <w:sz w:val="24"/>
          <w:szCs w:val="24"/>
          <w:highlight w:val="none"/>
          <w:shd w:val="clear" w:color="auto" w:fill="auto"/>
          <w:lang w:eastAsia="zh-CN"/>
        </w:rPr>
        <w:t>。</w:t>
      </w:r>
    </w:p>
    <w:p>
      <w:pPr>
        <w:pStyle w:val="92"/>
        <w:rPr>
          <w:rFonts w:hint="eastAsia" w:ascii="黑体" w:hAnsi="黑体" w:eastAsia="黑体" w:cs="Times New Roman"/>
          <w:b/>
          <w:color w:val="auto"/>
          <w:kern w:val="2"/>
          <w:sz w:val="21"/>
          <w:szCs w:val="25"/>
          <w:highlight w:val="none"/>
          <w:lang w:val="en-GB" w:eastAsia="zh-CN" w:bidi="ar-SA"/>
        </w:rPr>
      </w:pPr>
      <w:r>
        <w:rPr>
          <w:rFonts w:hint="eastAsia" w:ascii="黑体" w:hAnsi="黑体" w:eastAsia="黑体" w:cs="Times New Roman"/>
          <w:b/>
          <w:color w:val="auto"/>
          <w:kern w:val="2"/>
          <w:sz w:val="21"/>
          <w:szCs w:val="25"/>
          <w:highlight w:val="none"/>
          <w:lang w:val="en-GB" w:eastAsia="zh-CN" w:bidi="ar-SA"/>
        </w:rPr>
        <w:t>表3.</w:t>
      </w:r>
      <w:r>
        <w:rPr>
          <w:rFonts w:hint="eastAsia" w:ascii="黑体" w:hAnsi="黑体" w:cs="Times New Roman"/>
          <w:b/>
          <w:color w:val="auto"/>
          <w:kern w:val="2"/>
          <w:sz w:val="21"/>
          <w:szCs w:val="25"/>
          <w:highlight w:val="none"/>
          <w:lang w:val="en-US" w:eastAsia="zh-CN" w:bidi="ar-SA"/>
        </w:rPr>
        <w:t>3</w:t>
      </w:r>
      <w:r>
        <w:rPr>
          <w:rFonts w:hint="eastAsia" w:ascii="黑体" w:hAnsi="黑体" w:eastAsia="黑体" w:cs="Times New Roman"/>
          <w:b/>
          <w:color w:val="auto"/>
          <w:kern w:val="2"/>
          <w:sz w:val="21"/>
          <w:szCs w:val="25"/>
          <w:highlight w:val="none"/>
          <w:lang w:val="en-GB" w:eastAsia="zh-CN" w:bidi="ar-SA"/>
        </w:rPr>
        <w:t>-</w:t>
      </w:r>
      <w:r>
        <w:rPr>
          <w:rFonts w:hint="eastAsia" w:ascii="黑体" w:hAnsi="黑体" w:cs="Times New Roman"/>
          <w:b/>
          <w:color w:val="auto"/>
          <w:kern w:val="2"/>
          <w:sz w:val="21"/>
          <w:szCs w:val="25"/>
          <w:highlight w:val="none"/>
          <w:lang w:val="en-US" w:eastAsia="zh-CN" w:bidi="ar-SA"/>
        </w:rPr>
        <w:t>4</w:t>
      </w:r>
      <w:r>
        <w:rPr>
          <w:rFonts w:hint="eastAsia" w:ascii="黑体" w:hAnsi="黑体" w:eastAsia="黑体" w:cs="Times New Roman"/>
          <w:b/>
          <w:color w:val="auto"/>
          <w:kern w:val="2"/>
          <w:sz w:val="21"/>
          <w:szCs w:val="25"/>
          <w:highlight w:val="none"/>
          <w:lang w:val="en-GB" w:eastAsia="zh-CN" w:bidi="ar-SA"/>
        </w:rPr>
        <w:t>钻井岩屑估算表</w:t>
      </w:r>
    </w:p>
    <w:tbl>
      <w:tblPr>
        <w:tblStyle w:val="34"/>
        <w:tblW w:w="8274" w:type="dxa"/>
        <w:tblInd w:w="13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62"/>
        <w:gridCol w:w="1925"/>
        <w:gridCol w:w="1337"/>
        <w:gridCol w:w="1663"/>
        <w:gridCol w:w="158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2"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hint="eastAsia"/>
                <w:color w:val="auto"/>
                <w:sz w:val="21"/>
                <w:szCs w:val="21"/>
                <w:highlight w:val="none"/>
                <w:shd w:val="clear" w:color="auto" w:fill="auto"/>
              </w:rPr>
              <w:t>井段</w:t>
            </w:r>
          </w:p>
        </w:tc>
        <w:tc>
          <w:tcPr>
            <w:tcW w:w="1925"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D井眼直径（m）</w:t>
            </w:r>
          </w:p>
        </w:tc>
        <w:tc>
          <w:tcPr>
            <w:tcW w:w="1337"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h深度（m）</w:t>
            </w:r>
          </w:p>
        </w:tc>
        <w:tc>
          <w:tcPr>
            <w:tcW w:w="1663"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W岩屑量（m</w:t>
            </w:r>
            <w:r>
              <w:rPr>
                <w:rFonts w:hint="eastAsia" w:cs="Times New Roman"/>
                <w:snapToGrid w:val="0"/>
                <w:color w:val="auto"/>
                <w:sz w:val="21"/>
                <w:szCs w:val="21"/>
                <w:highlight w:val="none"/>
                <w:shd w:val="clear" w:color="auto" w:fill="auto"/>
                <w:vertAlign w:val="superscript"/>
                <w:lang w:val="en-US" w:eastAsia="zh-CN"/>
              </w:rPr>
              <w:t>3</w:t>
            </w:r>
            <w:r>
              <w:rPr>
                <w:rFonts w:ascii="Times New Roman" w:hAnsi="Times New Roman" w:eastAsia="宋体" w:cs="Times New Roman"/>
                <w:snapToGrid w:val="0"/>
                <w:color w:val="auto"/>
                <w:sz w:val="21"/>
                <w:szCs w:val="21"/>
                <w:highlight w:val="none"/>
                <w:shd w:val="clear" w:color="auto" w:fill="auto"/>
              </w:rPr>
              <w:t>）</w:t>
            </w:r>
          </w:p>
        </w:tc>
        <w:tc>
          <w:tcPr>
            <w:tcW w:w="1587"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固废性质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2"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bidi="ar-SA"/>
              </w:rPr>
            </w:pPr>
            <w:r>
              <w:rPr>
                <w:rFonts w:hint="default" w:ascii="Times New Roman" w:hAnsi="Times New Roman" w:eastAsia="宋体" w:cs="Times New Roman"/>
                <w:snapToGrid w:val="0"/>
                <w:color w:val="auto"/>
                <w:sz w:val="21"/>
                <w:szCs w:val="21"/>
                <w:highlight w:val="none"/>
                <w:shd w:val="clear" w:color="auto" w:fill="auto"/>
              </w:rPr>
              <w:t>0</w:t>
            </w:r>
            <w:r>
              <w:rPr>
                <w:rFonts w:hint="eastAsia" w:cs="Times New Roman"/>
                <w:snapToGrid w:val="0"/>
                <w:color w:val="auto"/>
                <w:sz w:val="21"/>
                <w:szCs w:val="21"/>
                <w:highlight w:val="none"/>
                <w:shd w:val="clear" w:color="auto" w:fill="auto"/>
                <w:lang w:eastAsia="zh-CN"/>
              </w:rPr>
              <w:t>~</w:t>
            </w:r>
            <w:r>
              <w:rPr>
                <w:rFonts w:hint="eastAsia" w:ascii="Times New Roman" w:hAnsi="Times New Roman" w:eastAsia="宋体" w:cs="Times New Roman"/>
                <w:snapToGrid w:val="0"/>
                <w:color w:val="auto"/>
                <w:sz w:val="21"/>
                <w:szCs w:val="21"/>
                <w:highlight w:val="none"/>
                <w:shd w:val="clear" w:color="auto" w:fill="auto"/>
                <w:lang w:val="en-US" w:eastAsia="zh-CN"/>
              </w:rPr>
              <w:t>500</w:t>
            </w:r>
          </w:p>
        </w:tc>
        <w:tc>
          <w:tcPr>
            <w:tcW w:w="1925" w:type="dxa"/>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lang w:val="en-US" w:eastAsia="zh-CN" w:bidi="ar-SA"/>
              </w:rPr>
            </w:pPr>
            <w:r>
              <w:rPr>
                <w:rFonts w:hint="eastAsia" w:ascii="Times New Roman" w:hAnsi="Times New Roman" w:eastAsia="宋体" w:cs="Times New Roman"/>
                <w:snapToGrid w:val="0"/>
                <w:color w:val="auto"/>
                <w:sz w:val="21"/>
                <w:szCs w:val="21"/>
                <w:highlight w:val="none"/>
                <w:shd w:val="clear" w:color="auto" w:fill="auto"/>
                <w:lang w:val="en-US" w:eastAsia="zh-CN"/>
              </w:rPr>
              <w:t>444.5</w:t>
            </w:r>
          </w:p>
        </w:tc>
        <w:tc>
          <w:tcPr>
            <w:tcW w:w="1337"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500</w:t>
            </w:r>
          </w:p>
        </w:tc>
        <w:tc>
          <w:tcPr>
            <w:tcW w:w="1663"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310.4</w:t>
            </w:r>
          </w:p>
        </w:tc>
        <w:tc>
          <w:tcPr>
            <w:tcW w:w="1587"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水基，一般固废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2"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bidi="ar-SA"/>
              </w:rPr>
            </w:pPr>
            <w:r>
              <w:rPr>
                <w:rFonts w:hint="eastAsia" w:ascii="Times New Roman" w:hAnsi="Times New Roman" w:eastAsia="宋体" w:cs="Times New Roman"/>
                <w:snapToGrid w:val="0"/>
                <w:color w:val="auto"/>
                <w:sz w:val="21"/>
                <w:szCs w:val="21"/>
                <w:highlight w:val="none"/>
                <w:shd w:val="clear" w:color="auto" w:fill="auto"/>
                <w:lang w:val="en-US" w:eastAsia="zh-CN"/>
              </w:rPr>
              <w:t>500</w:t>
            </w:r>
            <w:bookmarkStart w:id="329" w:name="OLE_LINK155"/>
            <w:r>
              <w:rPr>
                <w:rFonts w:hint="eastAsia" w:cs="Times New Roman"/>
                <w:snapToGrid w:val="0"/>
                <w:color w:val="auto"/>
                <w:sz w:val="21"/>
                <w:szCs w:val="21"/>
                <w:highlight w:val="none"/>
                <w:shd w:val="clear" w:color="auto" w:fill="auto"/>
                <w:lang w:val="en-US" w:eastAsia="zh-CN"/>
              </w:rPr>
              <w:t>~</w:t>
            </w:r>
            <w:bookmarkEnd w:id="329"/>
            <w:r>
              <w:rPr>
                <w:rFonts w:hint="eastAsia" w:ascii="Times New Roman" w:hAnsi="Times New Roman" w:eastAsia="宋体" w:cs="Times New Roman"/>
                <w:snapToGrid w:val="0"/>
                <w:color w:val="auto"/>
                <w:sz w:val="21"/>
                <w:szCs w:val="21"/>
                <w:highlight w:val="none"/>
                <w:shd w:val="clear" w:color="auto" w:fill="auto"/>
                <w:lang w:val="en-US" w:eastAsia="zh-CN"/>
              </w:rPr>
              <w:t>4700</w:t>
            </w:r>
          </w:p>
        </w:tc>
        <w:tc>
          <w:tcPr>
            <w:tcW w:w="1925"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bidi="ar-SA"/>
              </w:rPr>
            </w:pPr>
            <w:r>
              <w:rPr>
                <w:rFonts w:hint="eastAsia" w:ascii="Times New Roman" w:hAnsi="Times New Roman" w:eastAsia="宋体" w:cs="Times New Roman"/>
                <w:snapToGrid w:val="0"/>
                <w:color w:val="auto"/>
                <w:sz w:val="21"/>
                <w:szCs w:val="21"/>
                <w:highlight w:val="none"/>
                <w:shd w:val="clear" w:color="auto" w:fill="auto"/>
                <w:lang w:val="en-US" w:eastAsia="zh-CN"/>
              </w:rPr>
              <w:t>311.2</w:t>
            </w:r>
          </w:p>
        </w:tc>
        <w:tc>
          <w:tcPr>
            <w:tcW w:w="1337"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4200</w:t>
            </w:r>
          </w:p>
        </w:tc>
        <w:tc>
          <w:tcPr>
            <w:tcW w:w="1663"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1277.8</w:t>
            </w:r>
          </w:p>
        </w:tc>
        <w:tc>
          <w:tcPr>
            <w:tcW w:w="1587" w:type="dxa"/>
            <w:tcBorders>
              <w:tl2br w:val="nil"/>
              <w:tr2bl w:val="nil"/>
            </w:tcBorders>
            <w:noWrap w:val="0"/>
            <w:vAlign w:val="center"/>
          </w:tcPr>
          <w:p>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水基，一般固废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762" w:type="dxa"/>
            <w:tcBorders>
              <w:tl2br w:val="nil"/>
              <w:tr2bl w:val="nil"/>
            </w:tcBorders>
            <w:noWrap w:val="0"/>
            <w:vAlign w:val="center"/>
          </w:tcPr>
          <w:p>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4700</w:t>
            </w:r>
            <w:r>
              <w:rPr>
                <w:rFonts w:hint="eastAsia" w:cs="Times New Roman"/>
                <w:snapToGrid w:val="0"/>
                <w:color w:val="auto"/>
                <w:sz w:val="21"/>
                <w:szCs w:val="21"/>
                <w:highlight w:val="none"/>
                <w:shd w:val="clear" w:color="auto" w:fill="auto"/>
                <w:lang w:val="en-US" w:eastAsia="zh-CN"/>
              </w:rPr>
              <w:t>~</w:t>
            </w:r>
            <w:r>
              <w:rPr>
                <w:rFonts w:hint="eastAsia" w:ascii="Times New Roman" w:hAnsi="Times New Roman" w:eastAsia="宋体" w:cs="Times New Roman"/>
                <w:snapToGrid w:val="0"/>
                <w:color w:val="auto"/>
                <w:sz w:val="21"/>
                <w:szCs w:val="21"/>
                <w:highlight w:val="none"/>
                <w:shd w:val="clear" w:color="auto" w:fill="auto"/>
                <w:lang w:val="en-US" w:eastAsia="zh-CN"/>
              </w:rPr>
              <w:t>6949（平均）</w:t>
            </w:r>
          </w:p>
        </w:tc>
        <w:tc>
          <w:tcPr>
            <w:tcW w:w="1925" w:type="dxa"/>
            <w:tcBorders>
              <w:tl2br w:val="nil"/>
              <w:tr2bl w:val="nil"/>
            </w:tcBorders>
            <w:noWrap w:val="0"/>
            <w:vAlign w:val="center"/>
          </w:tcPr>
          <w:p>
            <w:pPr>
              <w:spacing w:line="260" w:lineRule="exact"/>
              <w:jc w:val="center"/>
              <w:rPr>
                <w:rFonts w:hint="eastAsia" w:ascii="Times New Roman" w:hAnsi="Times New Roman" w:eastAsia="宋体" w:cs="Times New Roman"/>
                <w:snapToGrid w:val="0"/>
                <w:color w:val="auto"/>
                <w:sz w:val="21"/>
                <w:szCs w:val="21"/>
                <w:highlight w:val="none"/>
                <w:shd w:val="clear" w:color="auto" w:fill="auto"/>
              </w:rPr>
            </w:pPr>
            <w:r>
              <w:rPr>
                <w:rFonts w:hint="eastAsia" w:ascii="Times New Roman" w:hAnsi="Times New Roman" w:eastAsia="宋体" w:cs="Times New Roman"/>
                <w:snapToGrid w:val="0"/>
                <w:color w:val="auto"/>
                <w:sz w:val="21"/>
                <w:szCs w:val="21"/>
                <w:highlight w:val="none"/>
                <w:shd w:val="clear" w:color="auto" w:fill="auto"/>
                <w:lang w:val="en-US" w:eastAsia="zh-CN"/>
              </w:rPr>
              <w:t>215.9</w:t>
            </w:r>
          </w:p>
        </w:tc>
        <w:tc>
          <w:tcPr>
            <w:tcW w:w="1337"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2249</w:t>
            </w:r>
          </w:p>
        </w:tc>
        <w:tc>
          <w:tcPr>
            <w:tcW w:w="1663"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370.5</w:t>
            </w:r>
          </w:p>
        </w:tc>
        <w:tc>
          <w:tcPr>
            <w:tcW w:w="1587"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油基，危险废物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24" w:type="dxa"/>
            <w:gridSpan w:val="3"/>
            <w:tcBorders>
              <w:tl2br w:val="nil"/>
              <w:tr2bl w:val="nil"/>
            </w:tcBorders>
            <w:noWrap w:val="0"/>
            <w:vAlign w:val="center"/>
          </w:tcPr>
          <w:p>
            <w:pPr>
              <w:spacing w:line="260" w:lineRule="exact"/>
              <w:jc w:val="center"/>
              <w:rPr>
                <w:rFonts w:ascii="Times New Roman" w:hAnsi="Times New Roman" w:eastAsia="宋体" w:cs="Times New Roman"/>
                <w:snapToGrid w:val="0"/>
                <w:color w:val="auto"/>
                <w:sz w:val="21"/>
                <w:szCs w:val="21"/>
                <w:highlight w:val="none"/>
                <w:shd w:val="clear" w:color="auto" w:fill="auto"/>
              </w:rPr>
            </w:pPr>
            <w:r>
              <w:rPr>
                <w:rFonts w:ascii="Times New Roman" w:hAnsi="Times New Roman" w:eastAsia="宋体" w:cs="Times New Roman"/>
                <w:snapToGrid w:val="0"/>
                <w:color w:val="auto"/>
                <w:sz w:val="21"/>
                <w:szCs w:val="21"/>
                <w:highlight w:val="none"/>
                <w:shd w:val="clear" w:color="auto" w:fill="auto"/>
              </w:rPr>
              <w:t>单口井合计</w:t>
            </w:r>
          </w:p>
        </w:tc>
        <w:tc>
          <w:tcPr>
            <w:tcW w:w="1663"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1958.7</w:t>
            </w:r>
          </w:p>
        </w:tc>
        <w:tc>
          <w:tcPr>
            <w:tcW w:w="1587" w:type="dxa"/>
            <w:tcBorders>
              <w:tl2br w:val="nil"/>
              <w:tr2bl w:val="nil"/>
            </w:tcBorders>
            <w:noWrap w:val="0"/>
            <w:vAlign w:val="center"/>
          </w:tcPr>
          <w:p>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024" w:type="dxa"/>
            <w:gridSpan w:val="3"/>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7口井合计</w:t>
            </w:r>
          </w:p>
        </w:tc>
        <w:tc>
          <w:tcPr>
            <w:tcW w:w="1663" w:type="dxa"/>
            <w:tcBorders>
              <w:tl2br w:val="nil"/>
              <w:tr2bl w:val="nil"/>
            </w:tcBorders>
            <w:noWrap w:val="0"/>
            <w:vAlign w:val="center"/>
          </w:tcPr>
          <w:p>
            <w:pPr>
              <w:spacing w:line="260" w:lineRule="exact"/>
              <w:jc w:val="center"/>
              <w:rPr>
                <w:rFonts w:hint="default" w:ascii="Times New Roman" w:hAnsi="Times New Roman" w:eastAsia="宋体" w:cs="Times New Roman"/>
                <w:snapToGrid w:val="0"/>
                <w:color w:val="auto"/>
                <w:sz w:val="21"/>
                <w:szCs w:val="21"/>
                <w:highlight w:val="none"/>
                <w:shd w:val="clear" w:color="auto" w:fill="auto"/>
                <w:lang w:val="en-US" w:eastAsia="zh-CN"/>
              </w:rPr>
            </w:pPr>
            <w:r>
              <w:rPr>
                <w:rFonts w:hint="eastAsia" w:ascii="Times New Roman" w:hAnsi="Times New Roman" w:eastAsia="宋体" w:cs="Times New Roman"/>
                <w:snapToGrid w:val="0"/>
                <w:color w:val="auto"/>
                <w:sz w:val="21"/>
                <w:szCs w:val="21"/>
                <w:highlight w:val="none"/>
                <w:shd w:val="clear" w:color="auto" w:fill="auto"/>
                <w:lang w:val="en-US" w:eastAsia="zh-CN"/>
              </w:rPr>
              <w:t>13710.9</w:t>
            </w:r>
          </w:p>
        </w:tc>
        <w:tc>
          <w:tcPr>
            <w:tcW w:w="1587" w:type="dxa"/>
            <w:tcBorders>
              <w:tl2br w:val="nil"/>
              <w:tr2bl w:val="nil"/>
            </w:tcBorders>
            <w:noWrap w:val="0"/>
            <w:vAlign w:val="center"/>
          </w:tcPr>
          <w:p>
            <w:pPr>
              <w:spacing w:line="260" w:lineRule="exact"/>
              <w:jc w:val="center"/>
              <w:rPr>
                <w:rFonts w:hint="eastAsia" w:ascii="Times New Roman" w:hAnsi="Times New Roman" w:eastAsia="宋体" w:cs="Times New Roman"/>
                <w:snapToGrid w:val="0"/>
                <w:color w:val="auto"/>
                <w:sz w:val="21"/>
                <w:szCs w:val="21"/>
                <w:highlight w:val="none"/>
                <w:shd w:val="clear" w:color="auto" w:fill="auto"/>
                <w:lang w:val="en-US" w:eastAsia="zh-CN"/>
              </w:rPr>
            </w:pPr>
          </w:p>
        </w:tc>
      </w:tr>
    </w:tbl>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color w:val="auto"/>
          <w:spacing w:val="-6"/>
          <w:sz w:val="24"/>
          <w:highlight w:val="none"/>
          <w:shd w:val="clear" w:color="auto" w:fill="auto"/>
          <w:lang w:val="en-US" w:eastAsia="zh-CN"/>
        </w:rPr>
      </w:pPr>
      <w:r>
        <w:rPr>
          <w:rFonts w:hint="eastAsia" w:hAnsi="宋体"/>
          <w:color w:val="auto"/>
          <w:sz w:val="24"/>
          <w:lang w:bidi="ar"/>
        </w:rPr>
        <w:t>计</w:t>
      </w:r>
      <w:r>
        <w:rPr>
          <w:rFonts w:hint="eastAsia" w:hAnsi="宋体"/>
          <w:color w:val="auto"/>
          <w:sz w:val="24"/>
          <w:szCs w:val="24"/>
          <w:lang w:bidi="ar"/>
        </w:rPr>
        <w:t>算可知，</w:t>
      </w:r>
      <w:r>
        <w:rPr>
          <w:rFonts w:hint="eastAsia" w:hAnsi="宋体"/>
          <w:color w:val="auto"/>
          <w:sz w:val="24"/>
          <w:szCs w:val="24"/>
          <w:lang w:eastAsia="zh-CN" w:bidi="ar"/>
        </w:rPr>
        <w:t>本工程</w:t>
      </w:r>
      <w:r>
        <w:rPr>
          <w:rFonts w:hint="eastAsia" w:hAnsi="宋体"/>
          <w:color w:val="auto"/>
          <w:sz w:val="24"/>
          <w:szCs w:val="24"/>
          <w:lang w:bidi="ar"/>
        </w:rPr>
        <w:t>共产生钻井</w:t>
      </w:r>
      <w:r>
        <w:rPr>
          <w:rFonts w:hint="eastAsia" w:hAnsi="宋体"/>
          <w:color w:val="auto"/>
          <w:sz w:val="24"/>
          <w:szCs w:val="24"/>
          <w:lang w:val="en-US" w:eastAsia="zh-CN" w:bidi="ar"/>
        </w:rPr>
        <w:t>岩屑</w:t>
      </w:r>
      <w:r>
        <w:rPr>
          <w:rFonts w:hint="eastAsia" w:hAnsi="宋体"/>
          <w:color w:val="auto"/>
          <w:sz w:val="24"/>
          <w:szCs w:val="24"/>
          <w:lang w:bidi="ar"/>
        </w:rPr>
        <w:t>约</w:t>
      </w:r>
      <w:r>
        <w:rPr>
          <w:rFonts w:hint="eastAsia" w:hAnsi="宋体"/>
          <w:color w:val="auto"/>
          <w:sz w:val="24"/>
          <w:szCs w:val="24"/>
          <w:lang w:val="en-US" w:eastAsia="zh-CN" w:bidi="ar"/>
        </w:rPr>
        <w:t>13710.9</w:t>
      </w:r>
      <w:r>
        <w:rPr>
          <w:rFonts w:hint="eastAsia" w:hAnsi="宋体"/>
          <w:color w:val="auto"/>
          <w:sz w:val="24"/>
          <w:szCs w:val="24"/>
          <w:lang w:bidi="ar"/>
        </w:rPr>
        <w:t>m</w:t>
      </w:r>
      <w:r>
        <w:rPr>
          <w:rFonts w:hint="eastAsia" w:hAnsi="宋体"/>
          <w:color w:val="auto"/>
          <w:sz w:val="24"/>
          <w:szCs w:val="24"/>
          <w:vertAlign w:val="superscript"/>
          <w:lang w:bidi="ar"/>
        </w:rPr>
        <w:t>3</w:t>
      </w:r>
      <w:r>
        <w:rPr>
          <w:rFonts w:hint="eastAsia" w:hAnsi="宋体"/>
          <w:color w:val="auto"/>
          <w:sz w:val="24"/>
          <w:szCs w:val="24"/>
          <w:vertAlign w:val="baseline"/>
          <w:lang w:eastAsia="zh-CN" w:bidi="ar"/>
        </w:rPr>
        <w:t>（</w:t>
      </w:r>
      <w:r>
        <w:rPr>
          <w:rFonts w:hint="eastAsia"/>
          <w:color w:val="auto"/>
          <w:kern w:val="0"/>
          <w:sz w:val="24"/>
          <w:szCs w:val="24"/>
        </w:rPr>
        <w:t>水基钻井岩屑</w:t>
      </w:r>
      <w:r>
        <w:rPr>
          <w:rFonts w:hint="eastAsia"/>
          <w:color w:val="auto"/>
          <w:kern w:val="0"/>
          <w:sz w:val="24"/>
          <w:szCs w:val="24"/>
          <w:lang w:val="en-US" w:eastAsia="zh-CN"/>
        </w:rPr>
        <w:t>产生量为11117.41</w:t>
      </w:r>
      <w:r>
        <w:rPr>
          <w:rFonts w:hint="eastAsia" w:hAnsi="宋体"/>
          <w:color w:val="auto"/>
          <w:sz w:val="24"/>
          <w:szCs w:val="24"/>
          <w:lang w:bidi="ar"/>
        </w:rPr>
        <w:t>m</w:t>
      </w:r>
      <w:r>
        <w:rPr>
          <w:rFonts w:hint="eastAsia" w:hAnsi="宋体"/>
          <w:color w:val="auto"/>
          <w:sz w:val="24"/>
          <w:szCs w:val="24"/>
          <w:vertAlign w:val="superscript"/>
          <w:lang w:bidi="ar"/>
        </w:rPr>
        <w:t>3</w:t>
      </w:r>
      <w:r>
        <w:rPr>
          <w:rFonts w:hint="eastAsia"/>
          <w:color w:val="auto"/>
          <w:kern w:val="0"/>
          <w:sz w:val="24"/>
          <w:szCs w:val="24"/>
          <w:lang w:val="en-US" w:eastAsia="zh-CN"/>
        </w:rPr>
        <w:t>，</w:t>
      </w:r>
      <w:r>
        <w:rPr>
          <w:rFonts w:hint="eastAsia"/>
          <w:color w:val="auto"/>
          <w:kern w:val="0"/>
          <w:sz w:val="24"/>
          <w:szCs w:val="24"/>
        </w:rPr>
        <w:t>油基钻井岩屑</w:t>
      </w:r>
      <w:r>
        <w:rPr>
          <w:rFonts w:hint="eastAsia"/>
          <w:color w:val="auto"/>
          <w:kern w:val="0"/>
          <w:sz w:val="24"/>
          <w:szCs w:val="24"/>
          <w:lang w:val="en-US" w:eastAsia="zh-CN"/>
        </w:rPr>
        <w:t>产生量为2593.5</w:t>
      </w:r>
      <w:r>
        <w:rPr>
          <w:rFonts w:hint="eastAsia" w:hAnsi="宋体"/>
          <w:color w:val="auto"/>
          <w:sz w:val="24"/>
          <w:szCs w:val="24"/>
          <w:lang w:bidi="ar"/>
        </w:rPr>
        <w:t>m</w:t>
      </w:r>
      <w:r>
        <w:rPr>
          <w:rFonts w:hint="eastAsia" w:hAnsi="宋体"/>
          <w:color w:val="auto"/>
          <w:sz w:val="24"/>
          <w:szCs w:val="24"/>
          <w:vertAlign w:val="superscript"/>
          <w:lang w:bidi="ar"/>
        </w:rPr>
        <w:t>3</w:t>
      </w:r>
      <w:r>
        <w:rPr>
          <w:rFonts w:hint="eastAsia" w:hAnsi="宋体"/>
          <w:color w:val="auto"/>
          <w:sz w:val="24"/>
          <w:szCs w:val="24"/>
          <w:vertAlign w:val="baseline"/>
          <w:lang w:eastAsia="zh-CN" w:bidi="ar"/>
        </w:rPr>
        <w:t>）</w:t>
      </w:r>
      <w:r>
        <w:rPr>
          <w:rFonts w:hint="eastAsia" w:hAnsi="宋体"/>
          <w:color w:val="auto"/>
          <w:sz w:val="24"/>
          <w:lang w:bidi="ar"/>
        </w:rPr>
        <w:t>。</w:t>
      </w:r>
    </w:p>
    <w:p>
      <w:pPr>
        <w:pStyle w:val="86"/>
        <w:keepNext w:val="0"/>
        <w:keepLines w:val="0"/>
        <w:pageBreakBefore w:val="0"/>
        <w:widowControl/>
        <w:kinsoku/>
        <w:wordWrap/>
        <w:overflowPunct/>
        <w:topLinePunct w:val="0"/>
        <w:autoSpaceDE/>
        <w:autoSpaceDN/>
        <w:bidi w:val="0"/>
        <w:adjustRightInd/>
        <w:snapToGrid/>
        <w:spacing w:line="480" w:lineRule="exact"/>
        <w:ind w:left="0" w:leftChars="0" w:firstLine="456" w:firstLineChars="200"/>
        <w:jc w:val="both"/>
        <w:textAlignment w:val="auto"/>
        <w:rPr>
          <w:rFonts w:hint="default"/>
          <w:color w:val="auto"/>
          <w:spacing w:val="-6"/>
          <w:sz w:val="24"/>
          <w:highlight w:val="none"/>
          <w:shd w:val="clear" w:color="auto" w:fill="auto"/>
          <w:lang w:val="en-US" w:eastAsia="zh-CN"/>
        </w:rPr>
      </w:pPr>
      <w:r>
        <w:rPr>
          <w:rFonts w:hint="eastAsia"/>
          <w:color w:val="auto"/>
          <w:spacing w:val="-6"/>
          <w:sz w:val="24"/>
          <w:highlight w:val="none"/>
          <w:shd w:val="clear" w:color="auto" w:fill="auto"/>
          <w:lang w:val="en-US" w:eastAsia="zh-CN"/>
        </w:rPr>
        <w:t>本工程一开、二开采用水基泥浆，由膨润土、氯化钙、重晶石粉、天然高分子材料合成的聚合物润滑封堵钻井液及防塌降滤失剂、封堵剂等主要成分配置而成，不含重金属等难降解物质、不涉及磺化泥浆、不涉及合成基泥浆。根据《关于发布＜危险废物排除管理清单（2021 年版）＞的公告》（生态环境部公告2021年第66号），废弃水基钻井泥浆及岩屑不属于危险废物，属于一般工业固体废物；三开采用油基泥浆，根据《关于印发＜危险废物环境管理指南陆上石油天然气开采＞等七项危险废物环境管理指南的公告》（公告2021年第74号），三开钻井固废属于危险废物（HW08，071-002-08）。</w:t>
      </w:r>
    </w:p>
    <w:p>
      <w:pPr>
        <w:pStyle w:val="86"/>
        <w:keepNext w:val="0"/>
        <w:keepLines w:val="0"/>
        <w:pageBreakBefore w:val="0"/>
        <w:widowControl/>
        <w:kinsoku/>
        <w:wordWrap/>
        <w:overflowPunct/>
        <w:topLinePunct w:val="0"/>
        <w:autoSpaceDE/>
        <w:autoSpaceDN/>
        <w:bidi w:val="0"/>
        <w:adjustRightInd/>
        <w:snapToGrid/>
        <w:spacing w:line="480" w:lineRule="exact"/>
        <w:ind w:left="0" w:leftChars="0" w:firstLine="456" w:firstLineChars="200"/>
        <w:jc w:val="both"/>
        <w:textAlignment w:val="auto"/>
        <w:rPr>
          <w:rFonts w:hint="eastAsia" w:eastAsia="宋体"/>
          <w:color w:val="auto"/>
          <w:spacing w:val="-6"/>
          <w:sz w:val="24"/>
          <w:szCs w:val="24"/>
          <w:highlight w:val="none"/>
          <w:shd w:val="clear" w:color="auto" w:fill="auto"/>
          <w:lang w:val="en-US" w:eastAsia="zh-CN"/>
        </w:rPr>
      </w:pPr>
      <w:r>
        <w:rPr>
          <w:rFonts w:hint="eastAsia"/>
          <w:color w:val="auto"/>
          <w:spacing w:val="-6"/>
          <w:sz w:val="24"/>
          <w:highlight w:val="none"/>
          <w:shd w:val="clear" w:color="auto" w:fill="auto"/>
          <w:lang w:val="en-US" w:eastAsia="zh-CN"/>
        </w:rPr>
        <w:t>本工程一开、二开水基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p>
    <w:p>
      <w:pPr>
        <w:pStyle w:val="57"/>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③</w:t>
      </w:r>
      <w:r>
        <w:rPr>
          <w:rFonts w:hint="eastAsia" w:ascii="Times New Roman" w:hAnsi="Times New Roman" w:eastAsia="宋体" w:cs="Times New Roman"/>
          <w:color w:val="auto"/>
          <w:highlight w:val="none"/>
        </w:rPr>
        <w:t>生活垃圾</w:t>
      </w:r>
    </w:p>
    <w:p>
      <w:pPr>
        <w:pStyle w:val="57"/>
        <w:rPr>
          <w:rFonts w:hint="eastAsia" w:ascii="Times New Roman" w:hAnsi="Times New Roman" w:eastAsia="宋体" w:cs="Times New Roman"/>
          <w:color w:val="auto"/>
          <w:highlight w:val="none"/>
        </w:rPr>
      </w:pPr>
      <w:r>
        <w:rPr>
          <w:rFonts w:hint="eastAsia"/>
          <w:color w:val="auto"/>
          <w:highlight w:val="none"/>
          <w:shd w:val="clear" w:color="auto" w:fill="auto"/>
        </w:rPr>
        <w:t>钻井期常驻井场人员</w:t>
      </w:r>
      <w:r>
        <w:rPr>
          <w:rFonts w:hint="eastAsia"/>
          <w:color w:val="auto"/>
          <w:highlight w:val="none"/>
          <w:shd w:val="clear" w:color="auto" w:fill="auto"/>
          <w:lang w:val="en-US" w:eastAsia="zh-CN"/>
        </w:rPr>
        <w:t>35</w:t>
      </w:r>
      <w:r>
        <w:rPr>
          <w:rFonts w:hint="eastAsia"/>
          <w:color w:val="auto"/>
          <w:highlight w:val="none"/>
          <w:shd w:val="clear" w:color="auto" w:fill="auto"/>
        </w:rPr>
        <w:t>人，生活垃圾产生量按0.5kg/人·d计算，单井钻井周期</w:t>
      </w:r>
      <w:r>
        <w:rPr>
          <w:rFonts w:hint="eastAsia"/>
          <w:color w:val="auto"/>
          <w:highlight w:val="none"/>
          <w:shd w:val="clear" w:color="auto" w:fill="auto"/>
          <w:lang w:val="en-US" w:eastAsia="zh-CN"/>
        </w:rPr>
        <w:t>120</w:t>
      </w:r>
      <w:r>
        <w:rPr>
          <w:rFonts w:hint="eastAsia"/>
          <w:color w:val="auto"/>
          <w:highlight w:val="none"/>
          <w:shd w:val="clear" w:color="auto" w:fill="auto"/>
        </w:rPr>
        <w:t>d，钻井周期总计</w:t>
      </w:r>
      <w:r>
        <w:rPr>
          <w:rFonts w:hint="eastAsia"/>
          <w:color w:val="auto"/>
          <w:highlight w:val="none"/>
          <w:shd w:val="clear" w:color="auto" w:fill="auto"/>
          <w:lang w:val="en-US" w:eastAsia="zh-CN"/>
        </w:rPr>
        <w:t>840</w:t>
      </w:r>
      <w:r>
        <w:rPr>
          <w:rFonts w:hint="eastAsia"/>
          <w:color w:val="auto"/>
          <w:highlight w:val="none"/>
          <w:shd w:val="clear" w:color="auto" w:fill="auto"/>
        </w:rPr>
        <w:t>d，则本工程钻井期共产生生活垃圾</w:t>
      </w:r>
      <w:r>
        <w:rPr>
          <w:rFonts w:hint="eastAsia"/>
          <w:color w:val="auto"/>
          <w:highlight w:val="none"/>
          <w:shd w:val="clear" w:color="auto" w:fill="auto"/>
          <w:lang w:val="en-US" w:eastAsia="zh-CN"/>
        </w:rPr>
        <w:t>14.7</w:t>
      </w:r>
      <w:r>
        <w:rPr>
          <w:rFonts w:hint="eastAsia"/>
          <w:color w:val="auto"/>
          <w:highlight w:val="none"/>
          <w:shd w:val="clear" w:color="auto" w:fill="auto"/>
        </w:rPr>
        <w:t>t；地面工程常驻井场人员</w:t>
      </w:r>
      <w:r>
        <w:rPr>
          <w:rFonts w:hint="eastAsia"/>
          <w:color w:val="auto"/>
          <w:highlight w:val="none"/>
          <w:shd w:val="clear" w:color="auto" w:fill="auto"/>
          <w:lang w:val="en-US" w:eastAsia="zh-CN"/>
        </w:rPr>
        <w:t>20</w:t>
      </w:r>
      <w:r>
        <w:rPr>
          <w:rFonts w:hint="eastAsia"/>
          <w:color w:val="auto"/>
          <w:highlight w:val="none"/>
          <w:shd w:val="clear" w:color="auto" w:fill="auto"/>
        </w:rPr>
        <w:t>人，生活垃圾产生量按0.5kg/人·d计算，地面工程按照合计</w:t>
      </w:r>
      <w:r>
        <w:rPr>
          <w:rFonts w:hint="eastAsia"/>
          <w:color w:val="auto"/>
          <w:highlight w:val="none"/>
          <w:shd w:val="clear" w:color="auto" w:fill="auto"/>
          <w:lang w:val="en-US" w:eastAsia="zh-CN"/>
        </w:rPr>
        <w:t>150</w:t>
      </w:r>
      <w:r>
        <w:rPr>
          <w:rFonts w:hint="eastAsia"/>
          <w:color w:val="auto"/>
          <w:highlight w:val="none"/>
          <w:shd w:val="clear" w:color="auto" w:fill="auto"/>
        </w:rPr>
        <w:t>天算，则本工程地面工程产生生活垃圾</w:t>
      </w:r>
      <w:r>
        <w:rPr>
          <w:rFonts w:hint="eastAsia"/>
          <w:color w:val="auto"/>
          <w:highlight w:val="none"/>
          <w:shd w:val="clear" w:color="auto" w:fill="auto"/>
          <w:lang w:val="en-US" w:eastAsia="zh-CN"/>
        </w:rPr>
        <w:t>1.5</w:t>
      </w:r>
      <w:r>
        <w:rPr>
          <w:rFonts w:hint="eastAsia"/>
          <w:color w:val="auto"/>
          <w:highlight w:val="none"/>
          <w:shd w:val="clear" w:color="auto" w:fill="auto"/>
        </w:rPr>
        <w:t>t。</w:t>
      </w:r>
      <w:r>
        <w:rPr>
          <w:rFonts w:hint="eastAsia"/>
          <w:color w:val="auto"/>
          <w:highlight w:val="none"/>
          <w:shd w:val="clear" w:color="auto" w:fill="auto"/>
          <w:lang w:val="en-US"/>
        </w:rPr>
        <w:t>本工程施工期共产生</w:t>
      </w:r>
      <w:r>
        <w:rPr>
          <w:rFonts w:hint="eastAsia"/>
          <w:color w:val="auto"/>
          <w:highlight w:val="none"/>
          <w:shd w:val="clear" w:color="auto" w:fill="auto"/>
        </w:rPr>
        <w:t>生活垃圾</w:t>
      </w:r>
      <w:r>
        <w:rPr>
          <w:rFonts w:hint="eastAsia"/>
          <w:color w:val="auto"/>
          <w:highlight w:val="none"/>
          <w:shd w:val="clear" w:color="auto" w:fill="auto"/>
          <w:lang w:val="en-US" w:eastAsia="zh-CN"/>
        </w:rPr>
        <w:t>16.2</w:t>
      </w:r>
      <w:r>
        <w:rPr>
          <w:rFonts w:hint="eastAsia"/>
          <w:color w:val="auto"/>
          <w:highlight w:val="none"/>
          <w:shd w:val="clear" w:color="auto" w:fill="auto"/>
        </w:rPr>
        <w:t>t</w:t>
      </w:r>
      <w:r>
        <w:rPr>
          <w:rFonts w:hint="eastAsia"/>
          <w:color w:val="auto"/>
          <w:highlight w:val="none"/>
          <w:shd w:val="clear" w:color="auto" w:fill="auto"/>
          <w:lang w:val="en-US"/>
        </w:rPr>
        <w:t>，</w:t>
      </w:r>
      <w:r>
        <w:rPr>
          <w:rFonts w:hint="eastAsia"/>
          <w:color w:val="auto"/>
          <w:highlight w:val="none"/>
          <w:shd w:val="clear" w:color="auto" w:fill="auto"/>
        </w:rPr>
        <w:t>生活垃圾集中收集后运至</w:t>
      </w:r>
      <w:r>
        <w:rPr>
          <w:rFonts w:hint="eastAsia"/>
          <w:color w:val="auto"/>
          <w:highlight w:val="none"/>
          <w:shd w:val="clear" w:color="auto" w:fill="auto"/>
          <w:lang w:eastAsia="zh-CN"/>
        </w:rPr>
        <w:t>乌尔禾区生活垃圾填埋场</w:t>
      </w:r>
      <w:r>
        <w:rPr>
          <w:rFonts w:hint="eastAsia"/>
          <w:color w:val="auto"/>
          <w:highlight w:val="none"/>
          <w:shd w:val="clear" w:color="auto" w:fill="auto"/>
        </w:rPr>
        <w:t>进行处置</w:t>
      </w:r>
      <w:r>
        <w:rPr>
          <w:rFonts w:hint="eastAsia" w:ascii="Times New Roman" w:hAnsi="Times New Roman" w:eastAsia="宋体" w:cs="Times New Roman"/>
          <w:color w:val="auto"/>
          <w:highlight w:val="none"/>
          <w:lang w:eastAsia="zh-CN"/>
        </w:rPr>
        <w:t>。</w:t>
      </w:r>
    </w:p>
    <w:p>
      <w:pPr>
        <w:pStyle w:val="57"/>
        <w:rPr>
          <w:color w:val="auto"/>
          <w:highlight w:val="none"/>
        </w:rPr>
      </w:pPr>
      <w:r>
        <w:rPr>
          <w:rFonts w:hint="eastAsia"/>
          <w:color w:val="auto"/>
          <w:highlight w:val="none"/>
          <w:lang w:val="en-US" w:eastAsia="zh-CN"/>
        </w:rPr>
        <w:t>④</w:t>
      </w:r>
      <w:r>
        <w:rPr>
          <w:rFonts w:hint="eastAsia"/>
          <w:color w:val="auto"/>
          <w:highlight w:val="none"/>
        </w:rPr>
        <w:t>施工废料</w:t>
      </w:r>
    </w:p>
    <w:p>
      <w:pPr>
        <w:pStyle w:val="57"/>
        <w:keepNext w:val="0"/>
        <w:keepLines w:val="0"/>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施工废料主要包括管材边角料、焊接作业中产生的废焊渣等。根据类比调查，施工废料的产生量约为0.2t/km，本工程新建各类集输管线均</w:t>
      </w:r>
      <w:r>
        <w:rPr>
          <w:rFonts w:hint="eastAsia"/>
          <w:color w:val="auto"/>
          <w:highlight w:val="none"/>
          <w:lang w:val="en-US" w:eastAsia="zh-CN"/>
        </w:rPr>
        <w:t>34.25</w:t>
      </w:r>
      <w:r>
        <w:rPr>
          <w:color w:val="auto"/>
          <w:highlight w:val="none"/>
        </w:rPr>
        <w:t>km</w:t>
      </w:r>
      <w:r>
        <w:rPr>
          <w:rFonts w:hint="eastAsia"/>
          <w:color w:val="auto"/>
          <w:highlight w:val="none"/>
        </w:rPr>
        <w:t>，施工废料产生量约为</w:t>
      </w:r>
      <w:r>
        <w:rPr>
          <w:rFonts w:hint="eastAsia"/>
          <w:color w:val="auto"/>
          <w:highlight w:val="none"/>
          <w:lang w:val="en-US" w:eastAsia="zh-CN"/>
        </w:rPr>
        <w:t>5.25</w:t>
      </w:r>
      <w:r>
        <w:rPr>
          <w:rFonts w:hint="eastAsia"/>
          <w:color w:val="auto"/>
          <w:highlight w:val="none"/>
        </w:rPr>
        <w:t>t。施工废料应首先考虑回收利用，</w:t>
      </w:r>
      <w:r>
        <w:rPr>
          <w:rFonts w:hint="default" w:ascii="Times New Roman" w:hAnsi="Times New Roman" w:cs="Times New Roman"/>
          <w:color w:val="auto"/>
          <w:sz w:val="24"/>
          <w:szCs w:val="24"/>
          <w:highlight w:val="none"/>
          <w:shd w:val="clear" w:color="auto" w:fill="auto"/>
        </w:rPr>
        <w:t>不可回收利用部分拉运至</w:t>
      </w:r>
      <w:r>
        <w:rPr>
          <w:rFonts w:hint="eastAsia" w:ascii="Times New Roman" w:hAnsi="Times New Roman" w:cs="Times New Roman"/>
          <w:color w:val="auto"/>
          <w:sz w:val="24"/>
          <w:szCs w:val="24"/>
          <w:highlight w:val="none"/>
          <w:shd w:val="clear" w:color="auto" w:fill="auto"/>
          <w:lang w:eastAsia="zh-CN"/>
        </w:rPr>
        <w:t>克拉玛依市建筑垃圾填埋场填埋处置</w:t>
      </w:r>
      <w:r>
        <w:rPr>
          <w:color w:val="auto"/>
          <w:highlight w:val="none"/>
        </w:rPr>
        <w:t>。</w:t>
      </w:r>
    </w:p>
    <w:p>
      <w:pPr>
        <w:pStyle w:val="57"/>
        <w:keepNext w:val="0"/>
        <w:keepLines w:val="0"/>
        <w:pageBreakBefore w:val="0"/>
        <w:kinsoku/>
        <w:wordWrap/>
        <w:overflowPunct/>
        <w:topLinePunct w:val="0"/>
        <w:autoSpaceDE/>
        <w:autoSpaceDN/>
        <w:bidi w:val="0"/>
        <w:spacing w:line="480" w:lineRule="exact"/>
        <w:jc w:val="left"/>
        <w:textAlignment w:val="auto"/>
        <w:rPr>
          <w:color w:val="auto"/>
          <w:highlight w:val="none"/>
        </w:rPr>
      </w:pPr>
      <w:r>
        <w:rPr>
          <w:rFonts w:hint="eastAsia" w:ascii="Times New Roman" w:hAnsi="Times New Roman" w:cs="Times New Roman"/>
          <w:color w:val="auto"/>
          <w:sz w:val="24"/>
          <w:szCs w:val="24"/>
          <w:highlight w:val="none"/>
          <w:shd w:val="clear" w:color="auto" w:fill="auto"/>
          <w:lang w:val="en-US" w:eastAsia="zh-CN"/>
        </w:rPr>
        <w:t>⑤</w:t>
      </w:r>
      <w:r>
        <w:rPr>
          <w:rFonts w:hint="eastAsia"/>
          <w:color w:val="auto"/>
          <w:highlight w:val="none"/>
        </w:rPr>
        <w:t>土石方</w:t>
      </w:r>
    </w:p>
    <w:p>
      <w:pPr>
        <w:pStyle w:val="87"/>
        <w:keepNext w:val="0"/>
        <w:keepLines w:val="0"/>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cs="Times New Roman"/>
          <w:color w:val="auto"/>
          <w:sz w:val="24"/>
          <w:szCs w:val="24"/>
          <w:highlight w:val="none"/>
          <w:shd w:val="clear" w:color="auto" w:fill="auto"/>
          <w:lang w:eastAsia="zh-CN"/>
        </w:rPr>
        <w:t>本工程</w:t>
      </w:r>
      <w:r>
        <w:rPr>
          <w:rFonts w:hint="default" w:ascii="Times New Roman" w:hAnsi="Times New Roman" w:cs="Times New Roman"/>
          <w:color w:val="auto"/>
          <w:sz w:val="24"/>
          <w:szCs w:val="24"/>
          <w:highlight w:val="none"/>
          <w:shd w:val="clear" w:color="auto" w:fill="auto"/>
          <w:lang w:val="en-US" w:eastAsia="zh-CN"/>
        </w:rPr>
        <w:t>新建井场</w:t>
      </w:r>
      <w:r>
        <w:rPr>
          <w:rFonts w:hint="eastAsia" w:cs="Times New Roman"/>
          <w:color w:val="auto"/>
          <w:sz w:val="24"/>
          <w:szCs w:val="24"/>
          <w:highlight w:val="none"/>
          <w:shd w:val="clear" w:color="auto" w:fill="auto"/>
          <w:lang w:val="en-US" w:eastAsia="zh-CN"/>
        </w:rPr>
        <w:t>18</w:t>
      </w:r>
      <w:r>
        <w:rPr>
          <w:rFonts w:hint="default" w:ascii="Times New Roman" w:hAnsi="Times New Roman" w:cs="Times New Roman"/>
          <w:color w:val="auto"/>
          <w:sz w:val="24"/>
          <w:szCs w:val="24"/>
          <w:highlight w:val="none"/>
          <w:shd w:val="clear" w:color="auto" w:fill="auto"/>
          <w:lang w:val="en-US" w:eastAsia="zh-CN"/>
        </w:rPr>
        <w:t>座</w:t>
      </w:r>
      <w:r>
        <w:rPr>
          <w:rFonts w:hint="default" w:ascii="Times New Roman" w:hAnsi="Times New Roman" w:cs="Times New Roman"/>
          <w:color w:val="auto"/>
          <w:sz w:val="24"/>
          <w:szCs w:val="24"/>
          <w:highlight w:val="none"/>
          <w:shd w:val="clear" w:color="auto" w:fill="auto"/>
          <w:lang w:eastAsia="zh-CN"/>
        </w:rPr>
        <w:t>，</w:t>
      </w:r>
      <w:r>
        <w:rPr>
          <w:rFonts w:hint="eastAsia" w:ascii="Times New Roman" w:hAnsi="Times New Roman" w:cs="Times New Roman"/>
          <w:color w:val="auto"/>
          <w:sz w:val="24"/>
          <w:szCs w:val="24"/>
          <w:highlight w:val="none"/>
          <w:shd w:val="clear" w:color="auto" w:fill="auto"/>
          <w:lang w:val="en-US" w:eastAsia="zh-CN"/>
        </w:rPr>
        <w:t>新建计量站1座，新建集中拉油站1座</w:t>
      </w:r>
      <w:r>
        <w:rPr>
          <w:rFonts w:hint="eastAsia" w:ascii="Times New Roman" w:hAnsi="Times New Roman"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rPr>
        <w:t>新建</w:t>
      </w:r>
      <w:r>
        <w:rPr>
          <w:rFonts w:hint="eastAsia" w:ascii="Times New Roman" w:hAnsi="Times New Roman" w:eastAsia="宋体" w:cs="Times New Roman"/>
          <w:color w:val="auto"/>
          <w:sz w:val="24"/>
          <w:szCs w:val="24"/>
          <w:highlight w:val="none"/>
          <w:shd w:val="clear" w:color="auto" w:fill="auto"/>
          <w:lang w:val="en-US" w:eastAsia="zh-CN"/>
        </w:rPr>
        <w:t>各类</w:t>
      </w:r>
      <w:r>
        <w:rPr>
          <w:rFonts w:hint="default" w:ascii="Times New Roman" w:hAnsi="Times New Roman" w:cs="Times New Roman"/>
          <w:color w:val="auto"/>
          <w:sz w:val="24"/>
          <w:szCs w:val="24"/>
          <w:highlight w:val="none"/>
          <w:shd w:val="clear" w:color="auto" w:fill="auto"/>
          <w:lang w:val="en-US" w:eastAsia="zh-CN"/>
        </w:rPr>
        <w:t>管线</w:t>
      </w:r>
      <w:r>
        <w:rPr>
          <w:rFonts w:hint="eastAsia" w:cs="Times New Roman"/>
          <w:color w:val="auto"/>
          <w:sz w:val="24"/>
          <w:szCs w:val="24"/>
          <w:highlight w:val="none"/>
          <w:shd w:val="clear" w:color="auto" w:fill="auto"/>
          <w:lang w:val="en-US" w:eastAsia="zh-CN"/>
        </w:rPr>
        <w:t>34.25</w:t>
      </w:r>
      <w:r>
        <w:rPr>
          <w:rFonts w:hint="default" w:ascii="Times New Roman" w:hAnsi="Times New Roman" w:eastAsia="宋体" w:cs="Times New Roman"/>
          <w:color w:val="auto"/>
          <w:sz w:val="24"/>
          <w:szCs w:val="24"/>
          <w:highlight w:val="none"/>
          <w:shd w:val="clear" w:color="auto" w:fill="auto"/>
        </w:rPr>
        <w:t>km</w:t>
      </w:r>
      <w:r>
        <w:rPr>
          <w:rFonts w:hint="default" w:ascii="Times New Roman" w:hAnsi="Times New Roman" w:eastAsia="宋体" w:cs="Times New Roman"/>
          <w:color w:val="auto"/>
          <w:sz w:val="24"/>
          <w:szCs w:val="24"/>
          <w:highlight w:val="none"/>
          <w:shd w:val="clear" w:color="auto" w:fill="auto"/>
          <w:lang w:val="en-US" w:eastAsia="zh-CN"/>
        </w:rPr>
        <w:t>。项目区</w:t>
      </w:r>
      <w:r>
        <w:rPr>
          <w:rFonts w:hint="eastAsia" w:ascii="Times New Roman" w:hAnsi="Times New Roman" w:eastAsia="宋体" w:cs="Times New Roman"/>
          <w:color w:val="auto"/>
          <w:sz w:val="24"/>
          <w:szCs w:val="24"/>
          <w:highlight w:val="none"/>
          <w:shd w:val="clear" w:color="auto" w:fill="auto"/>
          <w:lang w:val="en-US" w:eastAsia="zh-CN"/>
        </w:rPr>
        <w:t>井场、站场</w:t>
      </w:r>
      <w:r>
        <w:rPr>
          <w:rFonts w:hint="default" w:ascii="Times New Roman" w:hAnsi="Times New Roman" w:eastAsia="宋体" w:cs="Times New Roman"/>
          <w:color w:val="auto"/>
          <w:sz w:val="24"/>
          <w:szCs w:val="24"/>
          <w:highlight w:val="none"/>
          <w:shd w:val="clear" w:color="auto" w:fill="auto"/>
          <w:lang w:val="en-US" w:eastAsia="zh-CN"/>
        </w:rPr>
        <w:t>永久占地为</w:t>
      </w:r>
      <w:r>
        <w:rPr>
          <w:rFonts w:hint="eastAsia"/>
          <w:color w:val="auto"/>
          <w:sz w:val="24"/>
          <w:szCs w:val="24"/>
          <w:highlight w:val="none"/>
          <w:lang w:val="en-US" w:eastAsia="zh-CN"/>
        </w:rPr>
        <w:t>3.176</w:t>
      </w:r>
      <w:r>
        <w:rPr>
          <w:rFonts w:hint="eastAsia"/>
          <w:color w:val="auto"/>
          <w:sz w:val="24"/>
          <w:szCs w:val="24"/>
          <w:highlight w:val="none"/>
        </w:rPr>
        <w:t>hm</w:t>
      </w:r>
      <w:r>
        <w:rPr>
          <w:rFonts w:hint="eastAsia"/>
          <w:color w:val="auto"/>
          <w:sz w:val="24"/>
          <w:szCs w:val="24"/>
          <w:highlight w:val="none"/>
          <w:vertAlign w:val="superscript"/>
        </w:rPr>
        <w:t>2</w:t>
      </w:r>
      <w:r>
        <w:rPr>
          <w:rFonts w:hint="default" w:ascii="Times New Roman" w:hAnsi="Times New Roman" w:eastAsia="宋体" w:cs="Times New Roman"/>
          <w:color w:val="auto"/>
          <w:sz w:val="24"/>
          <w:szCs w:val="24"/>
          <w:highlight w:val="none"/>
          <w:shd w:val="clear" w:color="auto" w:fill="auto"/>
          <w:lang w:val="en-US" w:eastAsia="zh-CN"/>
        </w:rPr>
        <w:t>，场平高度约为1m，开挖量为</w:t>
      </w:r>
      <w:r>
        <w:rPr>
          <w:rFonts w:hint="eastAsia"/>
          <w:color w:val="auto"/>
          <w:sz w:val="24"/>
          <w:szCs w:val="24"/>
          <w:highlight w:val="none"/>
          <w:lang w:val="en-US" w:eastAsia="zh-CN"/>
        </w:rPr>
        <w:t>3.176</w:t>
      </w:r>
      <w:r>
        <w:rPr>
          <w:rFonts w:hint="default" w:ascii="Times New Roman" w:hAnsi="Times New Roman" w:eastAsia="宋体" w:cs="Times New Roman"/>
          <w:color w:val="auto"/>
          <w:sz w:val="24"/>
          <w:szCs w:val="24"/>
          <w:highlight w:val="none"/>
          <w:shd w:val="clear" w:color="auto" w:fill="auto"/>
          <w:lang w:val="en-US" w:eastAsia="zh-CN"/>
        </w:rPr>
        <w:t>万m</w:t>
      </w:r>
      <w:r>
        <w:rPr>
          <w:rFonts w:hint="default" w:ascii="Times New Roman" w:hAnsi="Times New Roman" w:eastAsia="宋体" w:cs="Times New Roman"/>
          <w:color w:val="auto"/>
          <w:sz w:val="24"/>
          <w:szCs w:val="24"/>
          <w:highlight w:val="none"/>
          <w:shd w:val="clear" w:color="auto" w:fill="auto"/>
          <w:vertAlign w:val="superscript"/>
          <w:lang w:val="en-US" w:eastAsia="zh-CN"/>
        </w:rPr>
        <w:t>3</w:t>
      </w:r>
      <w:r>
        <w:rPr>
          <w:rFonts w:hint="default" w:ascii="Times New Roman" w:hAnsi="Times New Roman" w:eastAsia="宋体" w:cs="Times New Roman"/>
          <w:color w:val="auto"/>
          <w:sz w:val="24"/>
          <w:szCs w:val="24"/>
          <w:highlight w:val="none"/>
          <w:shd w:val="clear" w:color="auto" w:fill="auto"/>
          <w:vertAlign w:val="baseline"/>
          <w:lang w:val="en-US" w:eastAsia="zh-CN"/>
        </w:rPr>
        <w:t>，全部用于回填，场地平整。</w:t>
      </w:r>
    </w:p>
    <w:p>
      <w:pPr>
        <w:pStyle w:val="75"/>
        <w:keepNext w:val="0"/>
        <w:keepLines w:val="0"/>
        <w:pageBreakBefore w:val="0"/>
        <w:kinsoku/>
        <w:overflowPunct/>
        <w:topLinePunct w:val="0"/>
        <w:autoSpaceDE/>
        <w:autoSpaceDN/>
        <w:bidi w:val="0"/>
        <w:adjustRightInd w:val="0"/>
        <w:snapToGrid w:val="0"/>
        <w:spacing w:line="480" w:lineRule="exact"/>
        <w:jc w:val="left"/>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rPr>
        <w:t>新建</w:t>
      </w:r>
      <w:r>
        <w:rPr>
          <w:rFonts w:hint="eastAsia" w:ascii="Times New Roman" w:hAnsi="Times New Roman" w:eastAsia="宋体" w:cs="Times New Roman"/>
          <w:color w:val="auto"/>
          <w:sz w:val="24"/>
          <w:szCs w:val="24"/>
          <w:highlight w:val="none"/>
          <w:shd w:val="clear" w:color="auto" w:fill="auto"/>
          <w:lang w:val="en-US" w:eastAsia="zh-CN"/>
        </w:rPr>
        <w:t>各类</w:t>
      </w:r>
      <w:r>
        <w:rPr>
          <w:rFonts w:hint="default" w:ascii="Times New Roman" w:hAnsi="Times New Roman" w:eastAsia="宋体" w:cs="Times New Roman"/>
          <w:color w:val="auto"/>
          <w:sz w:val="24"/>
          <w:szCs w:val="24"/>
          <w:highlight w:val="none"/>
          <w:shd w:val="clear" w:color="auto" w:fill="auto"/>
          <w:lang w:val="en-US" w:eastAsia="zh-CN"/>
        </w:rPr>
        <w:t>集输</w:t>
      </w:r>
      <w:r>
        <w:rPr>
          <w:rFonts w:hint="default" w:ascii="Times New Roman" w:hAnsi="Times New Roman" w:cs="Times New Roman"/>
          <w:color w:val="auto"/>
          <w:sz w:val="24"/>
          <w:szCs w:val="24"/>
          <w:highlight w:val="none"/>
          <w:shd w:val="clear" w:color="auto" w:fill="auto"/>
          <w:lang w:val="en-US" w:eastAsia="zh-CN"/>
        </w:rPr>
        <w:t>管线</w:t>
      </w:r>
      <w:r>
        <w:rPr>
          <w:rFonts w:hint="eastAsia" w:cs="Times New Roman"/>
          <w:color w:val="auto"/>
          <w:sz w:val="24"/>
          <w:szCs w:val="24"/>
          <w:highlight w:val="none"/>
          <w:shd w:val="clear" w:color="auto" w:fill="auto"/>
          <w:lang w:val="en-US" w:eastAsia="zh-CN"/>
        </w:rPr>
        <w:t>34.25</w:t>
      </w:r>
      <w:r>
        <w:rPr>
          <w:rFonts w:hint="default" w:ascii="Times New Roman" w:hAnsi="Times New Roman" w:eastAsia="宋体" w:cs="Times New Roman"/>
          <w:color w:val="auto"/>
          <w:sz w:val="24"/>
          <w:szCs w:val="24"/>
          <w:highlight w:val="none"/>
          <w:shd w:val="clear" w:color="auto" w:fill="auto"/>
        </w:rPr>
        <w:t>km</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其中</w:t>
      </w:r>
      <w:r>
        <w:rPr>
          <w:rFonts w:hint="eastAsia"/>
          <w:color w:val="auto"/>
          <w:highlight w:val="none"/>
        </w:rPr>
        <w:t>新建单井集输管线</w:t>
      </w:r>
      <w:r>
        <w:rPr>
          <w:rFonts w:hint="eastAsia"/>
          <w:color w:val="auto"/>
          <w:highlight w:val="none"/>
          <w:lang w:val="en-US" w:eastAsia="zh-CN"/>
        </w:rPr>
        <w:t>15</w:t>
      </w:r>
      <w:r>
        <w:rPr>
          <w:rFonts w:hint="eastAsia"/>
          <w:color w:val="auto"/>
          <w:highlight w:val="none"/>
        </w:rPr>
        <w:t>km，新建集油支线</w:t>
      </w:r>
      <w:r>
        <w:rPr>
          <w:rFonts w:hint="eastAsia"/>
          <w:color w:val="auto"/>
          <w:highlight w:val="none"/>
          <w:lang w:val="en-US" w:eastAsia="zh-CN"/>
        </w:rPr>
        <w:t>3.5</w:t>
      </w:r>
      <w:r>
        <w:rPr>
          <w:rFonts w:hint="eastAsia"/>
          <w:color w:val="auto"/>
          <w:highlight w:val="none"/>
        </w:rPr>
        <w:t>km，</w:t>
      </w:r>
      <w:r>
        <w:rPr>
          <w:rFonts w:hint="eastAsia"/>
          <w:color w:val="auto"/>
          <w:highlight w:val="none"/>
          <w:lang w:val="en-US" w:eastAsia="zh-CN"/>
        </w:rPr>
        <w:t>新建输气管道0.25km</w:t>
      </w:r>
      <w:r>
        <w:rPr>
          <w:rFonts w:hint="eastAsia"/>
          <w:color w:val="auto"/>
          <w:highlight w:val="none"/>
          <w:lang w:eastAsia="zh-CN"/>
        </w:rPr>
        <w:t>，</w:t>
      </w:r>
      <w:r>
        <w:rPr>
          <w:rFonts w:hint="eastAsia"/>
          <w:color w:val="auto"/>
          <w:highlight w:val="none"/>
        </w:rPr>
        <w:t>新建净化油外输管线</w:t>
      </w:r>
      <w:r>
        <w:rPr>
          <w:rFonts w:hint="eastAsia"/>
          <w:color w:val="auto"/>
          <w:highlight w:val="none"/>
          <w:lang w:val="en-US" w:eastAsia="zh-CN"/>
        </w:rPr>
        <w:t>15.5</w:t>
      </w:r>
      <w:r>
        <w:rPr>
          <w:rFonts w:hint="eastAsia"/>
          <w:color w:val="auto"/>
          <w:highlight w:val="none"/>
        </w:rPr>
        <w:t>km</w:t>
      </w:r>
      <w:r>
        <w:rPr>
          <w:rFonts w:hint="eastAsia"/>
          <w:color w:val="auto"/>
          <w:highlight w:val="none"/>
          <w:lang w:eastAsia="zh-CN"/>
        </w:rPr>
        <w:t>，</w:t>
      </w:r>
      <w:r>
        <w:rPr>
          <w:rFonts w:hint="default" w:ascii="Times New Roman" w:hAnsi="Times New Roman" w:eastAsia="宋体" w:cs="Times New Roman"/>
          <w:color w:val="auto"/>
          <w:sz w:val="24"/>
          <w:szCs w:val="24"/>
          <w:highlight w:val="none"/>
          <w:shd w:val="clear" w:color="auto" w:fill="auto"/>
          <w:lang w:val="en-US" w:eastAsia="zh-CN"/>
        </w:rPr>
        <w:t>开挖宽度2m、开挖深度</w:t>
      </w:r>
      <w:r>
        <w:rPr>
          <w:rFonts w:hint="eastAsia" w:ascii="Times New Roman" w:hAnsi="Times New Roman" w:eastAsia="宋体" w:cs="Times New Roman"/>
          <w:color w:val="auto"/>
          <w:sz w:val="24"/>
          <w:szCs w:val="24"/>
          <w:highlight w:val="none"/>
          <w:shd w:val="clear" w:color="auto" w:fill="auto"/>
          <w:lang w:val="en-US" w:eastAsia="zh-CN"/>
        </w:rPr>
        <w:t>1.8</w:t>
      </w:r>
      <w:r>
        <w:rPr>
          <w:rFonts w:hint="default" w:ascii="Times New Roman" w:hAnsi="Times New Roman" w:eastAsia="宋体" w:cs="Times New Roman"/>
          <w:color w:val="auto"/>
          <w:sz w:val="24"/>
          <w:szCs w:val="24"/>
          <w:highlight w:val="none"/>
          <w:shd w:val="clear" w:color="auto" w:fill="auto"/>
          <w:lang w:val="en-US" w:eastAsia="zh-CN"/>
        </w:rPr>
        <w:t>m，挖方量</w:t>
      </w:r>
      <w:r>
        <w:rPr>
          <w:rFonts w:hint="eastAsia" w:ascii="Times New Roman" w:hAnsi="Times New Roman" w:eastAsia="宋体" w:cs="Times New Roman"/>
          <w:color w:val="auto"/>
          <w:sz w:val="24"/>
          <w:szCs w:val="24"/>
          <w:highlight w:val="none"/>
          <w:shd w:val="clear" w:color="auto" w:fill="auto"/>
          <w:lang w:val="en-US" w:eastAsia="zh-CN"/>
        </w:rPr>
        <w:t>约</w:t>
      </w:r>
      <w:r>
        <w:rPr>
          <w:rFonts w:hint="eastAsia" w:cs="Times New Roman"/>
          <w:color w:val="auto"/>
          <w:sz w:val="24"/>
          <w:szCs w:val="24"/>
          <w:highlight w:val="none"/>
          <w:shd w:val="clear" w:color="auto" w:fill="auto"/>
          <w:lang w:val="en-US" w:eastAsia="zh-CN"/>
        </w:rPr>
        <w:t>12.33</w:t>
      </w:r>
      <w:r>
        <w:rPr>
          <w:rFonts w:hint="default" w:ascii="Times New Roman" w:hAnsi="Times New Roman" w:eastAsia="宋体" w:cs="Times New Roman"/>
          <w:color w:val="auto"/>
          <w:sz w:val="24"/>
          <w:szCs w:val="24"/>
          <w:highlight w:val="none"/>
          <w:shd w:val="clear" w:color="auto" w:fill="auto"/>
          <w:lang w:val="en-US" w:eastAsia="zh-CN"/>
        </w:rPr>
        <w:t>万m</w:t>
      </w:r>
      <w:r>
        <w:rPr>
          <w:rFonts w:hint="default" w:ascii="Times New Roman" w:hAnsi="Times New Roman" w:eastAsia="宋体" w:cs="Times New Roman"/>
          <w:color w:val="auto"/>
          <w:sz w:val="24"/>
          <w:szCs w:val="24"/>
          <w:highlight w:val="none"/>
          <w:shd w:val="clear" w:color="auto" w:fill="auto"/>
          <w:vertAlign w:val="superscript"/>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施工土方在管线施工结束后回填在管堤上</w:t>
      </w:r>
      <w:r>
        <w:rPr>
          <w:rFonts w:hint="default" w:ascii="Times New Roman" w:hAnsi="Times New Roman" w:eastAsia="宋体" w:cs="Times New Roman"/>
          <w:color w:val="auto"/>
          <w:sz w:val="24"/>
          <w:szCs w:val="24"/>
          <w:highlight w:val="none"/>
          <w:shd w:val="clear" w:color="auto" w:fill="auto"/>
          <w:lang w:eastAsia="zh-CN"/>
        </w:rPr>
        <w:t>。</w:t>
      </w:r>
    </w:p>
    <w:p>
      <w:pPr>
        <w:pStyle w:val="76"/>
        <w:keepNext w:val="0"/>
        <w:keepLines w:val="0"/>
        <w:pageBreakBefore w:val="0"/>
        <w:kinsoku/>
        <w:overflowPunct/>
        <w:topLinePunct w:val="0"/>
        <w:autoSpaceDE/>
        <w:autoSpaceDN/>
        <w:bidi w:val="0"/>
        <w:adjustRightInd w:val="0"/>
        <w:snapToGrid w:val="0"/>
        <w:spacing w:line="480" w:lineRule="exact"/>
        <w:ind w:left="0" w:leftChars="0" w:firstLine="480" w:firstLineChars="20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cs="Times New Roman"/>
          <w:bCs/>
          <w:snapToGrid w:val="0"/>
          <w:color w:val="auto"/>
          <w:sz w:val="24"/>
          <w:szCs w:val="24"/>
          <w:highlight w:val="none"/>
          <w:shd w:val="clear" w:color="auto" w:fill="auto"/>
          <w:lang w:val="en-US" w:eastAsia="zh-CN"/>
        </w:rPr>
        <w:t>本工程井场、站场设置临时堆土场区，</w:t>
      </w:r>
      <w:r>
        <w:rPr>
          <w:rFonts w:hint="eastAsia" w:ascii="Times New Roman" w:hAnsi="Times New Roman" w:cs="Times New Roman"/>
          <w:color w:val="auto"/>
          <w:sz w:val="24"/>
          <w:szCs w:val="24"/>
          <w:highlight w:val="none"/>
          <w:shd w:val="clear" w:color="auto" w:fill="auto"/>
          <w:lang w:val="en-US" w:eastAsia="zh-CN"/>
        </w:rPr>
        <w:t>覆盖防尘网或者防尘布，配合定期洒水等措施，防止风蚀起尘；</w:t>
      </w:r>
      <w:r>
        <w:rPr>
          <w:rFonts w:hint="eastAsia" w:ascii="Times New Roman" w:hAnsi="Times New Roman" w:cs="Times New Roman"/>
          <w:bCs/>
          <w:snapToGrid w:val="0"/>
          <w:color w:val="auto"/>
          <w:sz w:val="24"/>
          <w:szCs w:val="24"/>
          <w:highlight w:val="none"/>
          <w:shd w:val="clear" w:color="auto" w:fill="auto"/>
          <w:lang w:val="en-US" w:eastAsia="zh-CN"/>
        </w:rPr>
        <w:t>临时堆土场区</w:t>
      </w:r>
      <w:r>
        <w:rPr>
          <w:rFonts w:hint="eastAsia" w:ascii="Times New Roman" w:hAnsi="Times New Roman" w:cs="Times New Roman"/>
          <w:color w:val="auto"/>
          <w:sz w:val="24"/>
          <w:szCs w:val="24"/>
          <w:highlight w:val="none"/>
          <w:shd w:val="clear" w:color="auto" w:fill="auto"/>
          <w:lang w:val="en-US" w:eastAsia="zh-CN"/>
        </w:rPr>
        <w:t>四周布设不低于堆放物高度的围挡物挡土，避免造成水土流失。</w:t>
      </w:r>
    </w:p>
    <w:p>
      <w:pPr>
        <w:pStyle w:val="86"/>
        <w:keepNext w:val="0"/>
        <w:keepLines w:val="0"/>
        <w:pageBreakBefore w:val="0"/>
        <w:kinsoku/>
        <w:overflowPunct/>
        <w:topLinePunct w:val="0"/>
        <w:autoSpaceDE/>
        <w:autoSpaceDN/>
        <w:bidi w:val="0"/>
        <w:adjustRightInd w:val="0"/>
        <w:snapToGrid w:val="0"/>
        <w:spacing w:line="480" w:lineRule="exact"/>
        <w:ind w:firstLine="480" w:firstLineChars="200"/>
        <w:jc w:val="left"/>
        <w:textAlignment w:val="auto"/>
        <w:rPr>
          <w:rFonts w:hint="eastAsia"/>
          <w:color w:val="auto"/>
          <w:highlight w:val="none"/>
        </w:rPr>
      </w:pPr>
      <w:r>
        <w:rPr>
          <w:rFonts w:hint="default" w:ascii="Times New Roman" w:hAnsi="Times New Roman" w:eastAsia="宋体" w:cs="Times New Roman"/>
          <w:color w:val="auto"/>
          <w:sz w:val="24"/>
          <w:szCs w:val="24"/>
          <w:highlight w:val="none"/>
          <w:shd w:val="clear" w:color="auto" w:fill="auto"/>
        </w:rPr>
        <w:t>预计</w:t>
      </w:r>
      <w:r>
        <w:rPr>
          <w:rFonts w:hint="default" w:ascii="Times New Roman" w:hAnsi="Times New Roman" w:eastAsia="宋体" w:cs="Times New Roman"/>
          <w:color w:val="auto"/>
          <w:sz w:val="24"/>
          <w:szCs w:val="24"/>
          <w:highlight w:val="none"/>
          <w:shd w:val="clear" w:color="auto" w:fill="auto"/>
          <w:lang w:eastAsia="zh-CN"/>
        </w:rPr>
        <w:t>本工程</w:t>
      </w:r>
      <w:r>
        <w:rPr>
          <w:rFonts w:hint="default" w:ascii="Times New Roman" w:hAnsi="Times New Roman" w:eastAsia="宋体" w:cs="Times New Roman"/>
          <w:color w:val="auto"/>
          <w:sz w:val="24"/>
          <w:szCs w:val="24"/>
          <w:highlight w:val="none"/>
          <w:shd w:val="clear" w:color="auto" w:fill="auto"/>
        </w:rPr>
        <w:t>挖方量约为</w:t>
      </w:r>
      <w:r>
        <w:rPr>
          <w:rFonts w:hint="eastAsia" w:cs="Times New Roman"/>
          <w:color w:val="auto"/>
          <w:sz w:val="24"/>
          <w:szCs w:val="24"/>
          <w:highlight w:val="none"/>
          <w:shd w:val="clear" w:color="auto" w:fill="auto"/>
          <w:lang w:val="en-US" w:eastAsia="zh-CN"/>
        </w:rPr>
        <w:t>15.506</w:t>
      </w:r>
      <w:r>
        <w:rPr>
          <w:rFonts w:hint="default" w:ascii="Times New Roman" w:hAnsi="Times New Roman" w:eastAsia="宋体" w:cs="Times New Roman"/>
          <w:color w:val="auto"/>
          <w:sz w:val="24"/>
          <w:szCs w:val="24"/>
          <w:highlight w:val="none"/>
          <w:shd w:val="clear" w:color="auto" w:fill="auto"/>
          <w:lang w:val="en-US" w:eastAsia="zh-CN"/>
        </w:rPr>
        <w:t>万</w:t>
      </w:r>
      <w:r>
        <w:rPr>
          <w:rFonts w:hint="default" w:ascii="Times New Roman" w:hAnsi="Times New Roman" w:eastAsia="宋体" w:cs="Times New Roman"/>
          <w:color w:val="auto"/>
          <w:sz w:val="24"/>
          <w:szCs w:val="24"/>
          <w:highlight w:val="none"/>
          <w:shd w:val="clear" w:color="auto" w:fill="auto"/>
          <w:lang w:eastAsia="zh-CN"/>
        </w:rPr>
        <w:t>m</w:t>
      </w:r>
      <w:r>
        <w:rPr>
          <w:rFonts w:hint="default" w:ascii="Times New Roman" w:hAnsi="Times New Roman" w:eastAsia="宋体" w:cs="Times New Roman"/>
          <w:color w:val="auto"/>
          <w:sz w:val="24"/>
          <w:szCs w:val="24"/>
          <w:highlight w:val="none"/>
          <w:shd w:val="clear" w:color="auto" w:fill="auto"/>
          <w:vertAlign w:val="superscript"/>
          <w:lang w:eastAsia="zh-CN"/>
        </w:rPr>
        <w:t>3</w:t>
      </w:r>
      <w:r>
        <w:rPr>
          <w:rFonts w:hint="default" w:ascii="Times New Roman" w:hAnsi="Times New Roman" w:eastAsia="宋体" w:cs="Times New Roman"/>
          <w:color w:val="auto"/>
          <w:sz w:val="24"/>
          <w:szCs w:val="24"/>
          <w:highlight w:val="none"/>
          <w:shd w:val="clear" w:color="auto" w:fill="auto"/>
        </w:rPr>
        <w:t>，填方总量为</w:t>
      </w:r>
      <w:r>
        <w:rPr>
          <w:rFonts w:hint="eastAsia" w:cs="Times New Roman"/>
          <w:color w:val="auto"/>
          <w:sz w:val="24"/>
          <w:szCs w:val="24"/>
          <w:highlight w:val="none"/>
          <w:shd w:val="clear" w:color="auto" w:fill="auto"/>
          <w:lang w:val="en-US" w:eastAsia="zh-CN"/>
        </w:rPr>
        <w:t>15.506</w:t>
      </w:r>
      <w:r>
        <w:rPr>
          <w:rFonts w:hint="default" w:ascii="Times New Roman" w:hAnsi="Times New Roman" w:eastAsia="宋体" w:cs="Times New Roman"/>
          <w:color w:val="auto"/>
          <w:sz w:val="24"/>
          <w:szCs w:val="24"/>
          <w:highlight w:val="none"/>
          <w:shd w:val="clear" w:color="auto" w:fill="auto"/>
          <w:lang w:val="en-US" w:eastAsia="zh-CN"/>
        </w:rPr>
        <w:t>万</w:t>
      </w:r>
      <w:r>
        <w:rPr>
          <w:rFonts w:hint="default" w:ascii="Times New Roman" w:hAnsi="Times New Roman" w:eastAsia="宋体" w:cs="Times New Roman"/>
          <w:color w:val="auto"/>
          <w:sz w:val="24"/>
          <w:szCs w:val="24"/>
          <w:highlight w:val="none"/>
          <w:shd w:val="clear" w:color="auto" w:fill="auto"/>
          <w:lang w:eastAsia="zh-CN"/>
        </w:rPr>
        <w:t>m</w:t>
      </w:r>
      <w:r>
        <w:rPr>
          <w:rFonts w:hint="default" w:ascii="Times New Roman" w:hAnsi="Times New Roman" w:eastAsia="宋体" w:cs="Times New Roman"/>
          <w:color w:val="auto"/>
          <w:sz w:val="24"/>
          <w:szCs w:val="24"/>
          <w:highlight w:val="none"/>
          <w:shd w:val="clear" w:color="auto" w:fill="auto"/>
          <w:vertAlign w:val="superscript"/>
          <w:lang w:eastAsia="zh-CN"/>
        </w:rPr>
        <w:t>3</w:t>
      </w:r>
      <w:r>
        <w:rPr>
          <w:rFonts w:hint="default" w:ascii="Times New Roman" w:hAnsi="Times New Roman" w:eastAsia="宋体" w:cs="Times New Roman"/>
          <w:color w:val="auto"/>
          <w:sz w:val="24"/>
          <w:szCs w:val="24"/>
          <w:highlight w:val="none"/>
          <w:shd w:val="clear" w:color="auto" w:fill="auto"/>
        </w:rPr>
        <w:t>，无废弃土方量。施工土方在管线施工结束后回填在管堤上，井场施工过程产生的土方回填至挖方处或回填至周边低洼场地，并实施压实平整水土保持措施</w:t>
      </w:r>
      <w:r>
        <w:rPr>
          <w:rFonts w:ascii="Times New Roman" w:hAnsi="Times New Roman"/>
          <w:color w:val="auto"/>
          <w:sz w:val="24"/>
          <w:szCs w:val="24"/>
          <w:highlight w:val="none"/>
          <w:shd w:val="clear" w:color="auto" w:fill="auto"/>
        </w:rPr>
        <w:t>。</w:t>
      </w:r>
      <w:r>
        <w:rPr>
          <w:rFonts w:hint="eastAsia" w:ascii="Times New Roman" w:hAnsi="Times New Roman"/>
          <w:color w:val="auto"/>
          <w:sz w:val="24"/>
          <w:szCs w:val="24"/>
          <w:highlight w:val="none"/>
          <w:shd w:val="clear" w:color="auto" w:fill="auto"/>
          <w:lang w:eastAsia="zh-CN"/>
        </w:rPr>
        <w:t>本工程</w:t>
      </w:r>
      <w:r>
        <w:rPr>
          <w:rFonts w:ascii="Times New Roman" w:hAnsi="Times New Roman"/>
          <w:color w:val="auto"/>
          <w:sz w:val="24"/>
          <w:szCs w:val="24"/>
          <w:highlight w:val="none"/>
          <w:shd w:val="clear" w:color="auto" w:fill="auto"/>
        </w:rPr>
        <w:t>土石方平衡表见下表3.</w:t>
      </w:r>
      <w:r>
        <w:rPr>
          <w:rFonts w:hint="eastAsia"/>
          <w:color w:val="auto"/>
          <w:sz w:val="24"/>
          <w:szCs w:val="24"/>
          <w:highlight w:val="none"/>
          <w:shd w:val="clear" w:color="auto" w:fill="auto"/>
          <w:lang w:val="en-US" w:eastAsia="zh-CN"/>
        </w:rPr>
        <w:t>3</w:t>
      </w:r>
      <w:r>
        <w:rPr>
          <w:rFonts w:ascii="Times New Roman" w:hAnsi="Times New Roman"/>
          <w:color w:val="auto"/>
          <w:sz w:val="24"/>
          <w:szCs w:val="24"/>
          <w:highlight w:val="none"/>
          <w:shd w:val="clear" w:color="auto" w:fill="auto"/>
        </w:rPr>
        <w:t>-</w:t>
      </w:r>
      <w:r>
        <w:rPr>
          <w:rFonts w:hint="eastAsia"/>
          <w:color w:val="auto"/>
          <w:sz w:val="24"/>
          <w:szCs w:val="24"/>
          <w:highlight w:val="none"/>
          <w:shd w:val="clear" w:color="auto" w:fill="auto"/>
          <w:lang w:val="en-US" w:eastAsia="zh-CN"/>
        </w:rPr>
        <w:t>5</w:t>
      </w:r>
      <w:r>
        <w:rPr>
          <w:rFonts w:ascii="Times New Roman" w:hAnsi="Times New Roman"/>
          <w:color w:val="auto"/>
          <w:sz w:val="24"/>
          <w:szCs w:val="24"/>
          <w:highlight w:val="none"/>
          <w:shd w:val="clear" w:color="auto" w:fill="auto"/>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Ansi="宋体" w:cs="宋体"/>
          <w:color w:val="auto"/>
          <w:highlight w:val="none"/>
          <w:vertAlign w:val="superscript"/>
        </w:rPr>
      </w:pPr>
      <w:r>
        <w:rPr>
          <w:rFonts w:hint="eastAsia"/>
          <w:color w:val="auto"/>
          <w:highlight w:val="none"/>
        </w:rPr>
        <w:t>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5</w:t>
      </w:r>
      <w:r>
        <w:rPr>
          <w:rFonts w:hint="eastAsia"/>
          <w:color w:val="auto"/>
          <w:highlight w:val="none"/>
        </w:rPr>
        <w:t xml:space="preserve">           土方挖填方平衡表              单位：万m</w:t>
      </w:r>
      <w:r>
        <w:rPr>
          <w:rFonts w:hint="eastAsia"/>
          <w:color w:val="auto"/>
          <w:highlight w:val="none"/>
          <w:vertAlign w:val="superscript"/>
        </w:rPr>
        <w:t>3</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15" w:type="dxa"/>
          <w:left w:w="28" w:type="dxa"/>
          <w:bottom w:w="15" w:type="dxa"/>
          <w:right w:w="28" w:type="dxa"/>
        </w:tblCellMar>
      </w:tblPr>
      <w:tblGrid>
        <w:gridCol w:w="1558"/>
        <w:gridCol w:w="1097"/>
        <w:gridCol w:w="1363"/>
        <w:gridCol w:w="1150"/>
        <w:gridCol w:w="1112"/>
        <w:gridCol w:w="988"/>
        <w:gridCol w:w="108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vMerge w:val="restart"/>
            <w:tcBorders>
              <w:tl2br w:val="nil"/>
              <w:tr2bl w:val="nil"/>
            </w:tcBorders>
            <w:vAlign w:val="center"/>
          </w:tcPr>
          <w:p>
            <w:pPr>
              <w:pStyle w:val="41"/>
              <w:rPr>
                <w:color w:val="auto"/>
                <w:highlight w:val="none"/>
              </w:rPr>
            </w:pPr>
            <w:r>
              <w:rPr>
                <w:rFonts w:hint="eastAsia"/>
                <w:color w:val="auto"/>
                <w:highlight w:val="none"/>
                <w:lang w:bidi="ar"/>
              </w:rPr>
              <w:t>工程分区</w:t>
            </w:r>
          </w:p>
        </w:tc>
        <w:tc>
          <w:tcPr>
            <w:tcW w:w="656" w:type="pct"/>
            <w:vMerge w:val="restart"/>
            <w:tcBorders>
              <w:tl2br w:val="nil"/>
              <w:tr2bl w:val="nil"/>
            </w:tcBorders>
            <w:vAlign w:val="center"/>
          </w:tcPr>
          <w:p>
            <w:pPr>
              <w:pStyle w:val="41"/>
              <w:rPr>
                <w:color w:val="auto"/>
                <w:highlight w:val="none"/>
              </w:rPr>
            </w:pPr>
            <w:r>
              <w:rPr>
                <w:rFonts w:hint="eastAsia"/>
                <w:color w:val="auto"/>
                <w:highlight w:val="none"/>
              </w:rPr>
              <w:t>挖方</w:t>
            </w:r>
          </w:p>
        </w:tc>
        <w:tc>
          <w:tcPr>
            <w:tcW w:w="815" w:type="pct"/>
            <w:vMerge w:val="restart"/>
            <w:tcBorders>
              <w:tl2br w:val="nil"/>
              <w:tr2bl w:val="nil"/>
            </w:tcBorders>
            <w:vAlign w:val="center"/>
          </w:tcPr>
          <w:p>
            <w:pPr>
              <w:pStyle w:val="41"/>
              <w:rPr>
                <w:color w:val="auto"/>
                <w:highlight w:val="none"/>
              </w:rPr>
            </w:pPr>
            <w:r>
              <w:rPr>
                <w:rFonts w:hint="eastAsia"/>
                <w:color w:val="auto"/>
                <w:highlight w:val="none"/>
              </w:rPr>
              <w:t>填方</w:t>
            </w:r>
          </w:p>
        </w:tc>
        <w:tc>
          <w:tcPr>
            <w:tcW w:w="1353" w:type="pct"/>
            <w:gridSpan w:val="2"/>
            <w:tcBorders>
              <w:tl2br w:val="nil"/>
              <w:tr2bl w:val="nil"/>
            </w:tcBorders>
            <w:vAlign w:val="center"/>
          </w:tcPr>
          <w:p>
            <w:pPr>
              <w:pStyle w:val="41"/>
              <w:rPr>
                <w:color w:val="auto"/>
                <w:highlight w:val="none"/>
              </w:rPr>
            </w:pPr>
            <w:r>
              <w:rPr>
                <w:rFonts w:hint="eastAsia"/>
                <w:color w:val="auto"/>
                <w:highlight w:val="none"/>
              </w:rPr>
              <w:t>借方量</w:t>
            </w:r>
          </w:p>
        </w:tc>
        <w:tc>
          <w:tcPr>
            <w:tcW w:w="1242" w:type="pct"/>
            <w:gridSpan w:val="2"/>
            <w:tcBorders>
              <w:tl2br w:val="nil"/>
              <w:tr2bl w:val="nil"/>
            </w:tcBorders>
            <w:vAlign w:val="center"/>
          </w:tcPr>
          <w:p>
            <w:pPr>
              <w:pStyle w:val="41"/>
              <w:rPr>
                <w:color w:val="auto"/>
                <w:highlight w:val="none"/>
              </w:rPr>
            </w:pPr>
            <w:r>
              <w:rPr>
                <w:rFonts w:hint="eastAsia"/>
                <w:color w:val="auto"/>
                <w:highlight w:val="none"/>
              </w:rPr>
              <w:t>弃方量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vMerge w:val="continue"/>
            <w:tcBorders>
              <w:tl2br w:val="nil"/>
              <w:tr2bl w:val="nil"/>
            </w:tcBorders>
            <w:vAlign w:val="center"/>
          </w:tcPr>
          <w:p>
            <w:pPr>
              <w:pStyle w:val="41"/>
              <w:rPr>
                <w:color w:val="auto"/>
                <w:highlight w:val="none"/>
              </w:rPr>
            </w:pPr>
          </w:p>
        </w:tc>
        <w:tc>
          <w:tcPr>
            <w:tcW w:w="656" w:type="pct"/>
            <w:vMerge w:val="continue"/>
            <w:tcBorders>
              <w:tl2br w:val="nil"/>
              <w:tr2bl w:val="nil"/>
            </w:tcBorders>
            <w:vAlign w:val="center"/>
          </w:tcPr>
          <w:p>
            <w:pPr>
              <w:pStyle w:val="41"/>
              <w:rPr>
                <w:color w:val="auto"/>
                <w:highlight w:val="none"/>
              </w:rPr>
            </w:pPr>
          </w:p>
        </w:tc>
        <w:tc>
          <w:tcPr>
            <w:tcW w:w="815" w:type="pct"/>
            <w:vMerge w:val="continue"/>
            <w:tcBorders>
              <w:tl2br w:val="nil"/>
              <w:tr2bl w:val="nil"/>
            </w:tcBorders>
            <w:vAlign w:val="center"/>
          </w:tcPr>
          <w:p>
            <w:pPr>
              <w:pStyle w:val="41"/>
              <w:rPr>
                <w:color w:val="auto"/>
                <w:highlight w:val="none"/>
              </w:rPr>
            </w:pPr>
          </w:p>
        </w:tc>
        <w:tc>
          <w:tcPr>
            <w:tcW w:w="688" w:type="pct"/>
            <w:tcBorders>
              <w:tl2br w:val="nil"/>
              <w:tr2bl w:val="nil"/>
            </w:tcBorders>
            <w:vAlign w:val="center"/>
          </w:tcPr>
          <w:p>
            <w:pPr>
              <w:pStyle w:val="41"/>
              <w:rPr>
                <w:color w:val="auto"/>
                <w:highlight w:val="none"/>
              </w:rPr>
            </w:pPr>
            <w:r>
              <w:rPr>
                <w:rFonts w:hint="eastAsia"/>
                <w:color w:val="auto"/>
                <w:highlight w:val="none"/>
              </w:rPr>
              <w:t>数量</w:t>
            </w:r>
          </w:p>
        </w:tc>
        <w:tc>
          <w:tcPr>
            <w:tcW w:w="665" w:type="pct"/>
            <w:tcBorders>
              <w:tl2br w:val="nil"/>
              <w:tr2bl w:val="nil"/>
            </w:tcBorders>
            <w:vAlign w:val="center"/>
          </w:tcPr>
          <w:p>
            <w:pPr>
              <w:pStyle w:val="41"/>
              <w:rPr>
                <w:color w:val="auto"/>
                <w:highlight w:val="none"/>
              </w:rPr>
            </w:pPr>
            <w:r>
              <w:rPr>
                <w:rFonts w:hint="eastAsia"/>
                <w:color w:val="auto"/>
                <w:highlight w:val="none"/>
              </w:rPr>
              <w:t>来源</w:t>
            </w:r>
          </w:p>
        </w:tc>
        <w:tc>
          <w:tcPr>
            <w:tcW w:w="591" w:type="pct"/>
            <w:tcBorders>
              <w:tl2br w:val="nil"/>
              <w:tr2bl w:val="nil"/>
            </w:tcBorders>
            <w:vAlign w:val="center"/>
          </w:tcPr>
          <w:p>
            <w:pPr>
              <w:pStyle w:val="41"/>
              <w:rPr>
                <w:color w:val="auto"/>
                <w:highlight w:val="none"/>
              </w:rPr>
            </w:pPr>
            <w:r>
              <w:rPr>
                <w:rFonts w:hint="eastAsia"/>
                <w:color w:val="auto"/>
                <w:highlight w:val="none"/>
              </w:rPr>
              <w:t>数量</w:t>
            </w:r>
          </w:p>
        </w:tc>
        <w:tc>
          <w:tcPr>
            <w:tcW w:w="651" w:type="pct"/>
            <w:tcBorders>
              <w:tl2br w:val="nil"/>
              <w:tr2bl w:val="nil"/>
            </w:tcBorders>
            <w:vAlign w:val="center"/>
          </w:tcPr>
          <w:p>
            <w:pPr>
              <w:pStyle w:val="41"/>
              <w:rPr>
                <w:color w:val="auto"/>
                <w:highlight w:val="none"/>
              </w:rPr>
            </w:pPr>
            <w:r>
              <w:rPr>
                <w:rFonts w:hint="eastAsia"/>
                <w:color w:val="auto"/>
                <w:highlight w:val="none"/>
              </w:rPr>
              <w:t>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tcBorders>
              <w:tl2br w:val="nil"/>
              <w:tr2bl w:val="nil"/>
            </w:tcBorders>
            <w:vAlign w:val="center"/>
          </w:tcPr>
          <w:p>
            <w:pPr>
              <w:pStyle w:val="41"/>
              <w:rPr>
                <w:color w:val="auto"/>
                <w:highlight w:val="none"/>
              </w:rPr>
            </w:pPr>
            <w:r>
              <w:rPr>
                <w:rFonts w:hint="eastAsia"/>
                <w:color w:val="auto"/>
                <w:highlight w:val="none"/>
                <w:lang w:bidi="ar"/>
              </w:rPr>
              <w:t>井场工程</w:t>
            </w:r>
          </w:p>
        </w:tc>
        <w:tc>
          <w:tcPr>
            <w:tcW w:w="656" w:type="pct"/>
            <w:tcBorders>
              <w:tl2br w:val="nil"/>
              <w:tr2bl w:val="nil"/>
            </w:tcBorders>
            <w:vAlign w:val="center"/>
          </w:tcPr>
          <w:p>
            <w:pPr>
              <w:pStyle w:val="41"/>
              <w:rPr>
                <w:rFonts w:hint="default" w:eastAsia="宋体"/>
                <w:color w:val="auto"/>
                <w:highlight w:val="none"/>
                <w:lang w:val="en-US" w:eastAsia="zh-CN" w:bidi="ar"/>
              </w:rPr>
            </w:pPr>
            <w:r>
              <w:rPr>
                <w:rFonts w:hint="eastAsia"/>
                <w:color w:val="auto"/>
                <w:highlight w:val="none"/>
                <w:lang w:val="en-US" w:eastAsia="zh-CN" w:bidi="ar"/>
              </w:rPr>
              <w:t>2.16</w:t>
            </w:r>
          </w:p>
        </w:tc>
        <w:tc>
          <w:tcPr>
            <w:tcW w:w="815" w:type="pct"/>
            <w:tcBorders>
              <w:tl2br w:val="nil"/>
              <w:tr2bl w:val="nil"/>
            </w:tcBorders>
            <w:vAlign w:val="center"/>
          </w:tcPr>
          <w:p>
            <w:pPr>
              <w:pStyle w:val="41"/>
              <w:rPr>
                <w:rFonts w:hint="default" w:eastAsia="宋体"/>
                <w:color w:val="auto"/>
                <w:highlight w:val="none"/>
                <w:lang w:val="en-US" w:eastAsia="zh-CN" w:bidi="ar"/>
              </w:rPr>
            </w:pPr>
            <w:r>
              <w:rPr>
                <w:rFonts w:hint="eastAsia"/>
                <w:color w:val="auto"/>
                <w:highlight w:val="none"/>
                <w:lang w:val="en-US" w:eastAsia="zh-CN" w:bidi="ar"/>
              </w:rPr>
              <w:t>2.16</w:t>
            </w:r>
          </w:p>
        </w:tc>
        <w:tc>
          <w:tcPr>
            <w:tcW w:w="688" w:type="pct"/>
            <w:tcBorders>
              <w:tl2br w:val="nil"/>
              <w:tr2bl w:val="nil"/>
            </w:tcBorders>
            <w:vAlign w:val="center"/>
          </w:tcPr>
          <w:p>
            <w:pPr>
              <w:pStyle w:val="41"/>
              <w:rPr>
                <w:color w:val="auto"/>
                <w:highlight w:val="none"/>
                <w:lang w:bidi="ar"/>
              </w:rPr>
            </w:pPr>
            <w:r>
              <w:rPr>
                <w:rFonts w:hint="eastAsia"/>
                <w:color w:val="auto"/>
                <w:highlight w:val="none"/>
                <w:lang w:bidi="ar"/>
              </w:rPr>
              <w:t>0</w:t>
            </w:r>
          </w:p>
        </w:tc>
        <w:tc>
          <w:tcPr>
            <w:tcW w:w="665" w:type="pct"/>
            <w:tcBorders>
              <w:tl2br w:val="nil"/>
              <w:tr2bl w:val="nil"/>
            </w:tcBorders>
            <w:vAlign w:val="center"/>
          </w:tcPr>
          <w:p>
            <w:pPr>
              <w:rPr>
                <w:color w:val="auto"/>
                <w:highlight w:val="none"/>
                <w:lang w:bidi="ar"/>
              </w:rPr>
            </w:pPr>
            <w:r>
              <w:rPr>
                <w:rFonts w:hint="eastAsia"/>
                <w:color w:val="auto"/>
                <w:highlight w:val="none"/>
                <w:lang w:bidi="ar"/>
              </w:rPr>
              <w:t>—</w:t>
            </w:r>
          </w:p>
        </w:tc>
        <w:tc>
          <w:tcPr>
            <w:tcW w:w="591" w:type="pct"/>
            <w:tcBorders>
              <w:tl2br w:val="nil"/>
              <w:tr2bl w:val="nil"/>
            </w:tcBorders>
            <w:vAlign w:val="center"/>
          </w:tcPr>
          <w:p>
            <w:pPr>
              <w:pStyle w:val="41"/>
              <w:rPr>
                <w:color w:val="auto"/>
                <w:highlight w:val="none"/>
                <w:lang w:bidi="ar"/>
              </w:rPr>
            </w:pPr>
            <w:r>
              <w:rPr>
                <w:rFonts w:hint="eastAsia"/>
                <w:color w:val="auto"/>
                <w:highlight w:val="none"/>
                <w:lang w:bidi="ar"/>
              </w:rPr>
              <w:t>0</w:t>
            </w:r>
          </w:p>
        </w:tc>
        <w:tc>
          <w:tcPr>
            <w:tcW w:w="651" w:type="pct"/>
            <w:tcBorders>
              <w:tl2br w:val="nil"/>
              <w:tr2bl w:val="nil"/>
            </w:tcBorders>
            <w:vAlign w:val="center"/>
          </w:tcPr>
          <w:p>
            <w:pPr>
              <w:pStyle w:val="41"/>
              <w:rPr>
                <w:color w:val="auto"/>
                <w:highlight w:val="none"/>
                <w:lang w:bidi="ar"/>
              </w:rPr>
            </w:pPr>
            <w:r>
              <w:rPr>
                <w:rFonts w:hint="eastAsia"/>
                <w:color w:val="auto"/>
                <w:highlight w:val="none"/>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tcBorders>
              <w:tl2br w:val="nil"/>
              <w:tr2bl w:val="nil"/>
            </w:tcBorders>
            <w:vAlign w:val="center"/>
          </w:tcPr>
          <w:p>
            <w:pPr>
              <w:pStyle w:val="41"/>
              <w:rPr>
                <w:color w:val="auto"/>
                <w:highlight w:val="none"/>
              </w:rPr>
            </w:pPr>
            <w:r>
              <w:rPr>
                <w:rFonts w:hint="eastAsia"/>
                <w:color w:val="auto"/>
                <w:highlight w:val="none"/>
                <w:lang w:bidi="ar"/>
              </w:rPr>
              <w:t>管道工程</w:t>
            </w:r>
          </w:p>
        </w:tc>
        <w:tc>
          <w:tcPr>
            <w:tcW w:w="656"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12.33</w:t>
            </w:r>
          </w:p>
        </w:tc>
        <w:tc>
          <w:tcPr>
            <w:tcW w:w="815"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12.33</w:t>
            </w:r>
          </w:p>
        </w:tc>
        <w:tc>
          <w:tcPr>
            <w:tcW w:w="688" w:type="pct"/>
            <w:tcBorders>
              <w:tl2br w:val="nil"/>
              <w:tr2bl w:val="nil"/>
            </w:tcBorders>
            <w:vAlign w:val="center"/>
          </w:tcPr>
          <w:p>
            <w:pPr>
              <w:pStyle w:val="41"/>
              <w:rPr>
                <w:color w:val="auto"/>
                <w:highlight w:val="none"/>
                <w:lang w:bidi="ar"/>
              </w:rPr>
            </w:pPr>
            <w:r>
              <w:rPr>
                <w:rFonts w:hint="eastAsia"/>
                <w:color w:val="auto"/>
                <w:highlight w:val="none"/>
                <w:lang w:bidi="ar"/>
              </w:rPr>
              <w:t>0</w:t>
            </w:r>
          </w:p>
        </w:tc>
        <w:tc>
          <w:tcPr>
            <w:tcW w:w="665" w:type="pct"/>
            <w:tcBorders>
              <w:tl2br w:val="nil"/>
              <w:tr2bl w:val="nil"/>
            </w:tcBorders>
            <w:vAlign w:val="center"/>
          </w:tcPr>
          <w:p>
            <w:pPr>
              <w:rPr>
                <w:color w:val="auto"/>
                <w:highlight w:val="none"/>
                <w:lang w:bidi="ar"/>
              </w:rPr>
            </w:pPr>
            <w:r>
              <w:rPr>
                <w:rFonts w:hint="eastAsia"/>
                <w:color w:val="auto"/>
                <w:highlight w:val="none"/>
                <w:lang w:bidi="ar"/>
              </w:rPr>
              <w:t>—</w:t>
            </w:r>
          </w:p>
        </w:tc>
        <w:tc>
          <w:tcPr>
            <w:tcW w:w="591" w:type="pct"/>
            <w:tcBorders>
              <w:tl2br w:val="nil"/>
              <w:tr2bl w:val="nil"/>
            </w:tcBorders>
            <w:vAlign w:val="center"/>
          </w:tcPr>
          <w:p>
            <w:pPr>
              <w:pStyle w:val="41"/>
              <w:rPr>
                <w:color w:val="auto"/>
                <w:highlight w:val="none"/>
                <w:lang w:bidi="ar"/>
              </w:rPr>
            </w:pPr>
            <w:r>
              <w:rPr>
                <w:rFonts w:hint="eastAsia"/>
                <w:color w:val="auto"/>
                <w:highlight w:val="none"/>
                <w:lang w:bidi="ar"/>
              </w:rPr>
              <w:t>0</w:t>
            </w:r>
          </w:p>
        </w:tc>
        <w:tc>
          <w:tcPr>
            <w:tcW w:w="651" w:type="pct"/>
            <w:tcBorders>
              <w:tl2br w:val="nil"/>
              <w:tr2bl w:val="nil"/>
            </w:tcBorders>
            <w:vAlign w:val="center"/>
          </w:tcPr>
          <w:p>
            <w:pPr>
              <w:pStyle w:val="41"/>
              <w:rPr>
                <w:color w:val="auto"/>
                <w:highlight w:val="none"/>
                <w:lang w:bidi="ar"/>
              </w:rPr>
            </w:pPr>
            <w:r>
              <w:rPr>
                <w:rFonts w:hint="eastAsia"/>
                <w:color w:val="auto"/>
                <w:highlight w:val="none"/>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tcBorders>
              <w:tl2br w:val="nil"/>
              <w:tr2bl w:val="nil"/>
            </w:tcBorders>
            <w:vAlign w:val="center"/>
          </w:tcPr>
          <w:p>
            <w:pPr>
              <w:pStyle w:val="41"/>
              <w:rPr>
                <w:color w:val="auto"/>
                <w:highlight w:val="none"/>
                <w:lang w:bidi="ar"/>
              </w:rPr>
            </w:pPr>
            <w:r>
              <w:rPr>
                <w:rFonts w:hint="eastAsia"/>
                <w:color w:val="auto"/>
                <w:highlight w:val="none"/>
                <w:lang w:bidi="ar"/>
              </w:rPr>
              <w:t>站场工程</w:t>
            </w:r>
          </w:p>
        </w:tc>
        <w:tc>
          <w:tcPr>
            <w:tcW w:w="656"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1.016</w:t>
            </w:r>
          </w:p>
        </w:tc>
        <w:tc>
          <w:tcPr>
            <w:tcW w:w="815" w:type="pct"/>
            <w:tcBorders>
              <w:tl2br w:val="nil"/>
              <w:tr2bl w:val="nil"/>
            </w:tcBorders>
            <w:vAlign w:val="center"/>
          </w:tcPr>
          <w:p>
            <w:pPr>
              <w:pStyle w:val="41"/>
              <w:rPr>
                <w:color w:val="auto"/>
                <w:highlight w:val="none"/>
              </w:rPr>
            </w:pPr>
            <w:r>
              <w:rPr>
                <w:rFonts w:hint="eastAsia"/>
                <w:color w:val="auto"/>
                <w:highlight w:val="none"/>
                <w:lang w:val="en-US" w:eastAsia="zh-CN"/>
              </w:rPr>
              <w:t>1.016</w:t>
            </w:r>
          </w:p>
        </w:tc>
        <w:tc>
          <w:tcPr>
            <w:tcW w:w="688" w:type="pct"/>
            <w:tcBorders>
              <w:tl2br w:val="nil"/>
              <w:tr2bl w:val="nil"/>
            </w:tcBorders>
            <w:vAlign w:val="center"/>
          </w:tcPr>
          <w:p>
            <w:pPr>
              <w:pStyle w:val="41"/>
              <w:rPr>
                <w:color w:val="auto"/>
                <w:highlight w:val="none"/>
                <w:lang w:bidi="ar"/>
              </w:rPr>
            </w:pPr>
            <w:r>
              <w:rPr>
                <w:rFonts w:hint="eastAsia"/>
                <w:color w:val="auto"/>
                <w:highlight w:val="none"/>
                <w:lang w:bidi="ar"/>
              </w:rPr>
              <w:t>0</w:t>
            </w:r>
          </w:p>
        </w:tc>
        <w:tc>
          <w:tcPr>
            <w:tcW w:w="665" w:type="pct"/>
            <w:tcBorders>
              <w:tl2br w:val="nil"/>
              <w:tr2bl w:val="nil"/>
            </w:tcBorders>
            <w:vAlign w:val="center"/>
          </w:tcPr>
          <w:p>
            <w:pPr>
              <w:rPr>
                <w:color w:val="auto"/>
                <w:highlight w:val="none"/>
                <w:lang w:bidi="ar"/>
              </w:rPr>
            </w:pPr>
            <w:r>
              <w:rPr>
                <w:rFonts w:hint="eastAsia"/>
                <w:color w:val="auto"/>
                <w:highlight w:val="none"/>
                <w:lang w:bidi="ar"/>
              </w:rPr>
              <w:t>—</w:t>
            </w:r>
          </w:p>
        </w:tc>
        <w:tc>
          <w:tcPr>
            <w:tcW w:w="591" w:type="pct"/>
            <w:tcBorders>
              <w:tl2br w:val="nil"/>
              <w:tr2bl w:val="nil"/>
            </w:tcBorders>
            <w:vAlign w:val="center"/>
          </w:tcPr>
          <w:p>
            <w:pPr>
              <w:pStyle w:val="41"/>
              <w:rPr>
                <w:color w:val="auto"/>
                <w:highlight w:val="none"/>
                <w:lang w:bidi="ar"/>
              </w:rPr>
            </w:pPr>
            <w:r>
              <w:rPr>
                <w:rFonts w:hint="eastAsia"/>
                <w:color w:val="auto"/>
                <w:highlight w:val="none"/>
                <w:lang w:bidi="ar"/>
              </w:rPr>
              <w:t>0</w:t>
            </w:r>
          </w:p>
        </w:tc>
        <w:tc>
          <w:tcPr>
            <w:tcW w:w="651" w:type="pct"/>
            <w:tcBorders>
              <w:tl2br w:val="nil"/>
              <w:tr2bl w:val="nil"/>
            </w:tcBorders>
            <w:shd w:val="clear" w:color="auto" w:fill="auto"/>
            <w:vAlign w:val="center"/>
          </w:tcPr>
          <w:p>
            <w:pPr>
              <w:pStyle w:val="41"/>
              <w:rPr>
                <w:color w:val="auto"/>
                <w:highlight w:val="none"/>
                <w:lang w:bidi="ar"/>
              </w:rPr>
            </w:pPr>
            <w:r>
              <w:rPr>
                <w:rFonts w:hint="eastAsia"/>
                <w:color w:val="auto"/>
                <w:highlight w:val="none"/>
                <w:lang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28" w:type="dxa"/>
            <w:bottom w:w="15" w:type="dxa"/>
            <w:right w:w="28" w:type="dxa"/>
          </w:tblCellMar>
        </w:tblPrEx>
        <w:trPr>
          <w:trHeight w:val="397" w:hRule="atLeast"/>
          <w:jc w:val="center"/>
        </w:trPr>
        <w:tc>
          <w:tcPr>
            <w:tcW w:w="932" w:type="pct"/>
            <w:tcBorders>
              <w:tl2br w:val="nil"/>
              <w:tr2bl w:val="nil"/>
            </w:tcBorders>
            <w:vAlign w:val="center"/>
          </w:tcPr>
          <w:p>
            <w:pPr>
              <w:pStyle w:val="41"/>
              <w:rPr>
                <w:color w:val="auto"/>
                <w:highlight w:val="none"/>
              </w:rPr>
            </w:pPr>
            <w:r>
              <w:rPr>
                <w:rFonts w:hint="eastAsia"/>
                <w:color w:val="auto"/>
                <w:highlight w:val="none"/>
                <w:lang w:bidi="ar"/>
              </w:rPr>
              <w:t>合计</w:t>
            </w:r>
          </w:p>
        </w:tc>
        <w:tc>
          <w:tcPr>
            <w:tcW w:w="656" w:type="pct"/>
            <w:tcBorders>
              <w:tl2br w:val="nil"/>
              <w:tr2bl w:val="nil"/>
            </w:tcBorders>
            <w:vAlign w:val="center"/>
          </w:tcPr>
          <w:p>
            <w:pPr>
              <w:pStyle w:val="41"/>
              <w:rPr>
                <w:rFonts w:hint="default" w:eastAsia="宋体"/>
                <w:color w:val="auto"/>
                <w:highlight w:val="none"/>
                <w:lang w:val="en-US" w:eastAsia="zh-CN" w:bidi="ar"/>
              </w:rPr>
            </w:pPr>
            <w:r>
              <w:rPr>
                <w:rFonts w:hint="eastAsia"/>
                <w:color w:val="auto"/>
                <w:highlight w:val="none"/>
                <w:lang w:val="en-US" w:eastAsia="zh-CN" w:bidi="ar"/>
              </w:rPr>
              <w:t>15.506</w:t>
            </w:r>
          </w:p>
        </w:tc>
        <w:tc>
          <w:tcPr>
            <w:tcW w:w="815" w:type="pct"/>
            <w:tcBorders>
              <w:tl2br w:val="nil"/>
              <w:tr2bl w:val="nil"/>
            </w:tcBorders>
            <w:vAlign w:val="center"/>
          </w:tcPr>
          <w:p>
            <w:pPr>
              <w:pStyle w:val="41"/>
              <w:ind w:firstLine="0" w:firstLineChars="0"/>
              <w:rPr>
                <w:rFonts w:hint="default" w:ascii="Times New Roman" w:hAnsi="Times New Roman" w:eastAsia="宋体" w:cs="Times New Roman"/>
                <w:color w:val="auto"/>
                <w:sz w:val="21"/>
                <w:highlight w:val="none"/>
                <w:lang w:val="en-US" w:eastAsia="zh-CN" w:bidi="ar"/>
              </w:rPr>
            </w:pPr>
            <w:r>
              <w:rPr>
                <w:rFonts w:hint="eastAsia"/>
                <w:color w:val="auto"/>
                <w:highlight w:val="none"/>
                <w:lang w:val="en-US" w:eastAsia="zh-CN" w:bidi="ar"/>
              </w:rPr>
              <w:t>15.506</w:t>
            </w:r>
          </w:p>
        </w:tc>
        <w:tc>
          <w:tcPr>
            <w:tcW w:w="688" w:type="pct"/>
            <w:tcBorders>
              <w:tl2br w:val="nil"/>
              <w:tr2bl w:val="nil"/>
            </w:tcBorders>
            <w:vAlign w:val="center"/>
          </w:tcPr>
          <w:p>
            <w:pPr>
              <w:pStyle w:val="41"/>
              <w:rPr>
                <w:color w:val="auto"/>
                <w:highlight w:val="none"/>
                <w:lang w:bidi="ar"/>
              </w:rPr>
            </w:pPr>
            <w:r>
              <w:rPr>
                <w:rFonts w:hint="eastAsia"/>
                <w:color w:val="auto"/>
                <w:highlight w:val="none"/>
                <w:lang w:bidi="ar"/>
              </w:rPr>
              <w:t>0</w:t>
            </w:r>
          </w:p>
        </w:tc>
        <w:tc>
          <w:tcPr>
            <w:tcW w:w="665" w:type="pct"/>
            <w:tcBorders>
              <w:tl2br w:val="nil"/>
              <w:tr2bl w:val="nil"/>
            </w:tcBorders>
            <w:vAlign w:val="center"/>
          </w:tcPr>
          <w:p>
            <w:pPr>
              <w:pStyle w:val="41"/>
              <w:rPr>
                <w:color w:val="auto"/>
                <w:highlight w:val="none"/>
                <w:lang w:bidi="ar"/>
              </w:rPr>
            </w:pPr>
            <w:r>
              <w:rPr>
                <w:rFonts w:hint="eastAsia"/>
                <w:color w:val="auto"/>
                <w:highlight w:val="none"/>
                <w:lang w:bidi="ar"/>
              </w:rPr>
              <w:t>—</w:t>
            </w:r>
          </w:p>
        </w:tc>
        <w:tc>
          <w:tcPr>
            <w:tcW w:w="591" w:type="pct"/>
            <w:tcBorders>
              <w:tl2br w:val="nil"/>
              <w:tr2bl w:val="nil"/>
            </w:tcBorders>
            <w:vAlign w:val="center"/>
          </w:tcPr>
          <w:p>
            <w:pPr>
              <w:pStyle w:val="41"/>
              <w:rPr>
                <w:color w:val="auto"/>
                <w:highlight w:val="none"/>
                <w:lang w:bidi="ar"/>
              </w:rPr>
            </w:pPr>
            <w:r>
              <w:rPr>
                <w:rFonts w:hint="eastAsia"/>
                <w:color w:val="auto"/>
                <w:highlight w:val="none"/>
                <w:lang w:bidi="ar"/>
              </w:rPr>
              <w:t>0</w:t>
            </w:r>
          </w:p>
        </w:tc>
        <w:tc>
          <w:tcPr>
            <w:tcW w:w="651" w:type="pct"/>
            <w:tcBorders>
              <w:tl2br w:val="nil"/>
              <w:tr2bl w:val="nil"/>
            </w:tcBorders>
            <w:vAlign w:val="center"/>
          </w:tcPr>
          <w:p>
            <w:pPr>
              <w:pStyle w:val="41"/>
              <w:rPr>
                <w:color w:val="auto"/>
                <w:highlight w:val="none"/>
                <w:lang w:bidi="ar"/>
              </w:rPr>
            </w:pPr>
            <w:r>
              <w:rPr>
                <w:rFonts w:hint="eastAsia"/>
                <w:color w:val="auto"/>
                <w:highlight w:val="none"/>
                <w:lang w:bidi="ar"/>
              </w:rPr>
              <w:t>—</w:t>
            </w:r>
          </w:p>
        </w:tc>
      </w:tr>
    </w:tbl>
    <w:p>
      <w:pPr>
        <w:pStyle w:val="76"/>
        <w:keepNext w:val="0"/>
        <w:keepLines w:val="0"/>
        <w:pageBreakBefore w:val="0"/>
        <w:kinsoku/>
        <w:overflowPunct/>
        <w:topLinePunct w:val="0"/>
        <w:autoSpaceDE/>
        <w:autoSpaceDN/>
        <w:bidi w:val="0"/>
        <w:spacing w:line="480" w:lineRule="exact"/>
        <w:ind w:left="0" w:leftChars="0" w:firstLine="480" w:firstLineChars="200"/>
        <w:jc w:val="both"/>
        <w:textAlignment w:val="auto"/>
        <w:rPr>
          <w:rFonts w:hint="default" w:ascii="Times New Roman" w:hAnsi="Times New Roman" w:cs="Times New Roman"/>
          <w:color w:val="auto"/>
          <w:sz w:val="24"/>
          <w:szCs w:val="24"/>
          <w:highlight w:val="none"/>
          <w:shd w:val="clear" w:color="auto" w:fill="auto"/>
        </w:rPr>
      </w:pPr>
      <w:r>
        <w:rPr>
          <w:rFonts w:hint="eastAsia" w:ascii="Times New Roman" w:hAnsi="Times New Roman" w:cs="Times New Roman"/>
          <w:bCs/>
          <w:snapToGrid w:val="0"/>
          <w:color w:val="auto"/>
          <w:sz w:val="24"/>
          <w:szCs w:val="24"/>
          <w:highlight w:val="none"/>
          <w:shd w:val="clear" w:color="auto" w:fill="auto"/>
          <w:lang w:val="en-US" w:eastAsia="zh-CN"/>
        </w:rPr>
        <w:t>⑥</w:t>
      </w:r>
      <w:r>
        <w:rPr>
          <w:rFonts w:hint="default" w:ascii="Times New Roman" w:hAnsi="Times New Roman" w:cs="Times New Roman"/>
          <w:bCs/>
          <w:snapToGrid w:val="0"/>
          <w:color w:val="auto"/>
          <w:sz w:val="24"/>
          <w:szCs w:val="24"/>
          <w:highlight w:val="none"/>
          <w:shd w:val="clear" w:color="auto" w:fill="auto"/>
        </w:rPr>
        <w:t>机械设备废油和含油废弃物</w:t>
      </w:r>
    </w:p>
    <w:p>
      <w:pPr>
        <w:keepNext w:val="0"/>
        <w:keepLines w:val="0"/>
        <w:pageBreakBefore w:val="0"/>
        <w:kinsoku/>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施工期间使用的机械设备运行过程中需进行维护、保养、维修等工作，以使其能正常运转，此过程中将产生少量的废油，如废液压油、废润滑油、废机油、含油废弃物等，类比调查一个钻井施工期产生量不足0.1t，</w:t>
      </w:r>
      <w:r>
        <w:rPr>
          <w:rFonts w:hint="default" w:ascii="Times New Roman" w:hAnsi="Times New Roman" w:cs="Times New Roman"/>
          <w:color w:val="auto"/>
          <w:sz w:val="24"/>
          <w:szCs w:val="24"/>
          <w:highlight w:val="none"/>
          <w:shd w:val="clear" w:color="auto" w:fill="auto"/>
          <w:lang w:val="en-US" w:eastAsia="zh-CN"/>
        </w:rPr>
        <w:t>本工程部署</w:t>
      </w:r>
      <w:r>
        <w:rPr>
          <w:rFonts w:hint="eastAsia" w:ascii="Times New Roman" w:hAnsi="Times New Roman" w:cs="Times New Roman"/>
          <w:color w:val="auto"/>
          <w:sz w:val="24"/>
          <w:szCs w:val="24"/>
          <w:highlight w:val="none"/>
          <w:shd w:val="clear" w:color="auto" w:fill="auto"/>
          <w:lang w:val="en-US" w:eastAsia="zh-CN"/>
        </w:rPr>
        <w:t>新钻7口采油井</w:t>
      </w:r>
      <w:r>
        <w:rPr>
          <w:rFonts w:hint="default" w:ascii="Times New Roman" w:hAnsi="Times New Roman" w:cs="Times New Roman"/>
          <w:color w:val="auto"/>
          <w:sz w:val="24"/>
          <w:szCs w:val="24"/>
          <w:highlight w:val="none"/>
          <w:shd w:val="clear" w:color="auto" w:fill="auto"/>
          <w:lang w:val="en-US" w:eastAsia="zh-CN"/>
        </w:rPr>
        <w:t>，整个施工期废机油的产生量共计</w:t>
      </w:r>
      <w:r>
        <w:rPr>
          <w:rFonts w:hint="eastAsia" w:ascii="Times New Roman" w:hAnsi="Times New Roman" w:cs="Times New Roman"/>
          <w:color w:val="auto"/>
          <w:sz w:val="24"/>
          <w:szCs w:val="24"/>
          <w:highlight w:val="none"/>
          <w:shd w:val="clear" w:color="auto" w:fill="auto"/>
          <w:lang w:val="en-US" w:eastAsia="zh-CN"/>
        </w:rPr>
        <w:t>0.7</w:t>
      </w:r>
      <w:r>
        <w:rPr>
          <w:rFonts w:hint="default" w:ascii="Times New Roman" w:hAnsi="Times New Roman" w:cs="Times New Roman"/>
          <w:color w:val="auto"/>
          <w:sz w:val="24"/>
          <w:szCs w:val="24"/>
          <w:highlight w:val="none"/>
          <w:shd w:val="clear" w:color="auto" w:fill="auto"/>
          <w:lang w:val="en-US" w:eastAsia="zh-CN"/>
        </w:rPr>
        <w:t>t，委托</w:t>
      </w:r>
      <w:r>
        <w:rPr>
          <w:rFonts w:hint="eastAsia" w:ascii="Times New Roman" w:hAnsi="Times New Roman" w:cs="Times New Roman"/>
          <w:color w:val="auto"/>
          <w:sz w:val="24"/>
          <w:szCs w:val="24"/>
          <w:highlight w:val="none"/>
          <w:shd w:val="clear" w:color="auto" w:fill="auto"/>
          <w:lang w:val="en-US" w:eastAsia="zh-CN"/>
        </w:rPr>
        <w:t>克拉玛依顺通环保科技有限责任公司</w:t>
      </w:r>
      <w:r>
        <w:rPr>
          <w:rFonts w:hint="default" w:ascii="Times New Roman" w:hAnsi="Times New Roman" w:cs="Times New Roman"/>
          <w:color w:val="auto"/>
          <w:sz w:val="24"/>
          <w:szCs w:val="24"/>
          <w:highlight w:val="none"/>
          <w:shd w:val="clear" w:color="auto" w:fill="auto"/>
          <w:lang w:val="en-US" w:eastAsia="zh-CN"/>
        </w:rPr>
        <w:t>或其他有危废处置资质单位接收处置</w:t>
      </w:r>
      <w:r>
        <w:rPr>
          <w:rFonts w:hint="default" w:ascii="Times New Roman" w:hAnsi="Times New Roman" w:eastAsia="宋体" w:cs="Times New Roman"/>
          <w:color w:val="auto"/>
          <w:sz w:val="24"/>
          <w:szCs w:val="24"/>
          <w:highlight w:val="none"/>
          <w:shd w:val="clear" w:color="auto" w:fill="auto"/>
        </w:rPr>
        <w:t>。</w:t>
      </w:r>
    </w:p>
    <w:p>
      <w:pPr>
        <w:pStyle w:val="75"/>
        <w:keepNext w:val="0"/>
        <w:keepLines w:val="0"/>
        <w:pageBreakBefore w:val="0"/>
        <w:kinsoku/>
        <w:overflowPunct/>
        <w:topLinePunct w:val="0"/>
        <w:autoSpaceDE/>
        <w:autoSpaceDN/>
        <w:bidi w:val="0"/>
        <w:spacing w:line="480" w:lineRule="exact"/>
        <w:jc w:val="both"/>
        <w:textAlignment w:val="auto"/>
        <w:rPr>
          <w:rFonts w:hint="eastAsia" w:ascii="Times New Roman" w:hAnsi="Times New Roman" w:cs="Times New Roman"/>
          <w:color w:val="auto"/>
          <w:sz w:val="24"/>
          <w:szCs w:val="24"/>
          <w:highlight w:val="none"/>
          <w:shd w:val="clear" w:color="auto" w:fill="auto"/>
          <w:lang w:eastAsia="zh-CN"/>
        </w:rPr>
      </w:pPr>
      <w:r>
        <w:rPr>
          <w:rFonts w:hint="default" w:ascii="Times New Roman" w:hAnsi="Times New Roman" w:cs="Times New Roman"/>
          <w:color w:val="auto"/>
          <w:sz w:val="24"/>
          <w:szCs w:val="24"/>
          <w:highlight w:val="none"/>
          <w:shd w:val="clear" w:color="auto" w:fill="auto"/>
        </w:rPr>
        <w:t>按照《国家危险废物名录》</w:t>
      </w:r>
      <w:r>
        <w:rPr>
          <w:rFonts w:hint="eastAsia" w:cs="Times New Roman"/>
          <w:color w:val="auto"/>
          <w:sz w:val="24"/>
          <w:szCs w:val="24"/>
          <w:highlight w:val="none"/>
          <w:shd w:val="clear" w:color="auto" w:fill="auto"/>
          <w:lang w:eastAsia="zh-CN"/>
        </w:rPr>
        <w:t>，将</w:t>
      </w:r>
      <w:r>
        <w:rPr>
          <w:rFonts w:hint="default" w:ascii="Times New Roman" w:hAnsi="Times New Roman" w:cs="Times New Roman"/>
          <w:color w:val="auto"/>
          <w:sz w:val="24"/>
          <w:szCs w:val="24"/>
          <w:highlight w:val="none"/>
          <w:shd w:val="clear" w:color="auto" w:fill="auto"/>
        </w:rPr>
        <w:t>废油划分为废矿物油与含矿物油废物类，其危险废物编号为HW08。考虑到转运期间的时间间隔，井场地内应设置危险废物临时贮存间，危险废物临时贮存间须严格按照《危险废物贮存污染控制标准》（GB18597-2023）的相关要求建设，在此基础上，可确保工程产生的危险废物在过程控制阶段对环境的影响最小</w:t>
      </w:r>
      <w:r>
        <w:rPr>
          <w:rFonts w:hint="eastAsia" w:ascii="Times New Roman" w:hAnsi="Times New Roman" w:cs="Times New Roman"/>
          <w:color w:val="auto"/>
          <w:sz w:val="24"/>
          <w:szCs w:val="24"/>
          <w:highlight w:val="none"/>
          <w:shd w:val="clear" w:color="auto" w:fill="auto"/>
          <w:lang w:eastAsia="zh-CN"/>
        </w:rPr>
        <w:t>。</w:t>
      </w:r>
    </w:p>
    <w:p>
      <w:pPr>
        <w:pStyle w:val="76"/>
        <w:keepNext w:val="0"/>
        <w:keepLines w:val="0"/>
        <w:pageBreakBefore w:val="0"/>
        <w:kinsoku/>
        <w:overflowPunct/>
        <w:topLinePunct w:val="0"/>
        <w:autoSpaceDE/>
        <w:autoSpaceDN/>
        <w:bidi w:val="0"/>
        <w:spacing w:line="480" w:lineRule="exact"/>
        <w:ind w:left="0" w:leftChars="0" w:firstLine="480" w:firstLineChars="200"/>
        <w:jc w:val="both"/>
        <w:textAlignment w:val="auto"/>
        <w:rPr>
          <w:rFonts w:hint="eastAsia" w:ascii="Times New Roman" w:hAnsi="Times New Roman" w:eastAsia="宋体" w:cs="Times New Roman"/>
          <w:bCs/>
          <w:snapToGrid w:val="0"/>
          <w:color w:val="auto"/>
          <w:sz w:val="24"/>
          <w:szCs w:val="24"/>
          <w:highlight w:val="none"/>
          <w:shd w:val="clear" w:color="auto" w:fill="auto"/>
          <w:lang w:val="en-US" w:eastAsia="zh-CN"/>
        </w:rPr>
      </w:pPr>
      <w:r>
        <w:rPr>
          <w:rFonts w:hint="eastAsia" w:eastAsia="宋体" w:cs="Times New Roman"/>
          <w:bCs/>
          <w:snapToGrid w:val="0"/>
          <w:color w:val="auto"/>
          <w:sz w:val="24"/>
          <w:szCs w:val="24"/>
          <w:highlight w:val="none"/>
          <w:shd w:val="clear" w:color="auto" w:fill="auto"/>
          <w:lang w:val="en-US" w:eastAsia="zh-CN"/>
        </w:rPr>
        <w:t>⑦</w:t>
      </w:r>
      <w:r>
        <w:rPr>
          <w:rFonts w:hint="eastAsia"/>
          <w:b/>
          <w:color w:val="auto"/>
          <w:sz w:val="24"/>
          <w:highlight w:val="none"/>
          <w:shd w:val="clear" w:color="auto" w:fill="auto"/>
        </w:rPr>
        <w:t>废纯碱、膨润土、水泥等包装袋</w:t>
      </w:r>
    </w:p>
    <w:p>
      <w:pPr>
        <w:pStyle w:val="57"/>
        <w:keepNext w:val="0"/>
        <w:keepLines w:val="0"/>
        <w:pageBreakBefore w:val="0"/>
        <w:kinsoku/>
        <w:overflowPunct/>
        <w:topLinePunct w:val="0"/>
        <w:autoSpaceDE/>
        <w:autoSpaceDN/>
        <w:bidi w:val="0"/>
        <w:spacing w:line="480" w:lineRule="exact"/>
        <w:textAlignment w:val="auto"/>
        <w:rPr>
          <w:color w:val="auto"/>
          <w:highlight w:val="none"/>
        </w:rPr>
      </w:pPr>
      <w:r>
        <w:rPr>
          <w:rFonts w:hint="eastAsia" w:ascii="Times New Roman" w:hAnsi="Times New Roman" w:eastAsia="宋体" w:cs="Times New Roman"/>
          <w:color w:val="auto"/>
          <w:sz w:val="24"/>
          <w:highlight w:val="none"/>
          <w:shd w:val="clear" w:color="auto" w:fill="auto"/>
          <w:lang w:eastAsia="zh-CN"/>
        </w:rPr>
        <w:t>本工程钻井过程中，会产生废烧碱、膨润土、水泥等包装袋。钻井过程中，单井膨润土、纯碱、水泥等包装袋产生量约为0.02t，本工程新钻</w:t>
      </w:r>
      <w:r>
        <w:rPr>
          <w:rFonts w:hint="eastAsia" w:ascii="Times New Roman" w:hAnsi="Times New Roman" w:eastAsia="宋体" w:cs="Times New Roman"/>
          <w:color w:val="auto"/>
          <w:sz w:val="24"/>
          <w:highlight w:val="none"/>
          <w:shd w:val="clear" w:color="auto" w:fill="auto"/>
          <w:lang w:val="en-US" w:eastAsia="zh-CN"/>
        </w:rPr>
        <w:t>7</w:t>
      </w:r>
      <w:r>
        <w:rPr>
          <w:rFonts w:hint="eastAsia" w:ascii="Times New Roman" w:hAnsi="Times New Roman" w:eastAsia="宋体" w:cs="Times New Roman"/>
          <w:color w:val="auto"/>
          <w:sz w:val="24"/>
          <w:highlight w:val="none"/>
          <w:shd w:val="clear" w:color="auto" w:fill="auto"/>
          <w:lang w:eastAsia="zh-CN"/>
        </w:rPr>
        <w:t>口采油井，因此，项目施工期废膨润土、废烧碱、水泥等包装袋产生量约为</w:t>
      </w:r>
      <w:r>
        <w:rPr>
          <w:rFonts w:hint="eastAsia" w:ascii="Times New Roman" w:hAnsi="Times New Roman" w:eastAsia="宋体" w:cs="Times New Roman"/>
          <w:color w:val="auto"/>
          <w:sz w:val="24"/>
          <w:highlight w:val="none"/>
          <w:shd w:val="clear" w:color="auto" w:fill="auto"/>
          <w:lang w:val="en-US" w:eastAsia="zh-CN"/>
        </w:rPr>
        <w:t>0.14</w:t>
      </w:r>
      <w:r>
        <w:rPr>
          <w:rFonts w:hint="eastAsia" w:ascii="Times New Roman" w:hAnsi="Times New Roman" w:eastAsia="宋体" w:cs="Times New Roman"/>
          <w:color w:val="auto"/>
          <w:sz w:val="24"/>
          <w:highlight w:val="none"/>
          <w:shd w:val="clear" w:color="auto" w:fill="auto"/>
          <w:lang w:eastAsia="zh-CN"/>
        </w:rPr>
        <w:t>t，属于一般工业固体废物，参照执行《一般工业固体废物贮存和填埋污染控制标准》（GB18599-2020）要求，由钻井施工单位集中收集后统一回收处置。</w:t>
      </w:r>
    </w:p>
    <w:p>
      <w:pPr>
        <w:pStyle w:val="57"/>
        <w:rPr>
          <w:color w:val="auto"/>
          <w:highlight w:val="none"/>
        </w:rPr>
      </w:pPr>
      <w:r>
        <w:rPr>
          <w:color w:val="auto"/>
          <w:highlight w:val="none"/>
        </w:rPr>
        <w:t>（4）</w:t>
      </w:r>
      <w:r>
        <w:rPr>
          <w:rFonts w:hint="eastAsia"/>
          <w:color w:val="auto"/>
          <w:highlight w:val="none"/>
        </w:rPr>
        <w:t>施工噪声源强</w:t>
      </w:r>
    </w:p>
    <w:p>
      <w:pPr>
        <w:pStyle w:val="57"/>
        <w:rPr>
          <w:rFonts w:hint="eastAsia" w:ascii="Times New Roman" w:hAnsi="Times New Roman" w:eastAsia="宋体" w:cs="Times New Roman"/>
          <w:color w:val="auto"/>
          <w:highlight w:val="none"/>
        </w:rPr>
      </w:pPr>
      <w:r>
        <w:rPr>
          <w:rFonts w:hint="eastAsia"/>
          <w:color w:val="auto"/>
          <w:highlight w:val="none"/>
        </w:rPr>
        <w:t>在不同的施工阶段将使用不同的施工机械，如挖掘机、钻机、吊机、泥浆泵、压裂车、测试放喷噪声等，产生噪声级在90～110dB（A）之间，对周围声环境产生一定的影响，工程采取选用低噪声施工设备，合理控制施工作业时间，控制施工噪声对周围的不利影响。</w:t>
      </w:r>
    </w:p>
    <w:p>
      <w:pPr>
        <w:pStyle w:val="5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（5）施工期污染物排放情况汇总</w:t>
      </w:r>
    </w:p>
    <w:p>
      <w:pPr>
        <w:pStyle w:val="57"/>
        <w:rPr>
          <w:rFonts w:hint="default" w:ascii="Times New Roman" w:hAnsi="Times New Roman" w:cs="Times New Roman"/>
          <w:color w:val="auto"/>
          <w:szCs w:val="21"/>
          <w:highlight w:val="none"/>
          <w:shd w:val="clear" w:color="auto" w:fill="auto"/>
        </w:rPr>
      </w:pPr>
      <w:r>
        <w:rPr>
          <w:rFonts w:hint="default" w:ascii="Times New Roman" w:hAnsi="Times New Roman" w:eastAsia="宋体" w:cs="Times New Roman"/>
          <w:color w:val="auto"/>
          <w:highlight w:val="none"/>
          <w:lang w:eastAsia="zh-CN"/>
        </w:rPr>
        <w:t>本工程</w:t>
      </w:r>
      <w:r>
        <w:rPr>
          <w:rFonts w:hint="default" w:ascii="Times New Roman" w:hAnsi="Times New Roman" w:eastAsia="宋体" w:cs="Times New Roman"/>
          <w:color w:val="auto"/>
          <w:highlight w:val="none"/>
        </w:rPr>
        <w:t>施工期污染物排放情况汇总见表3.</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6</w:t>
      </w:r>
      <w:r>
        <w:rPr>
          <w:rFonts w:hint="default" w:ascii="Times New Roman" w:hAnsi="Times New Roman" w:cs="Times New Roman"/>
          <w:color w:val="auto"/>
          <w:highlight w:val="none"/>
          <w:shd w:val="clear" w:color="auto" w:fill="auto"/>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default" w:cs="Times New Roman"/>
          <w:color w:val="auto"/>
          <w:highlight w:val="none"/>
        </w:rPr>
        <w:t>-</w:t>
      </w:r>
      <w:r>
        <w:rPr>
          <w:rFonts w:hint="eastAsia" w:cs="Times New Roman"/>
          <w:color w:val="auto"/>
          <w:highlight w:val="none"/>
          <w:lang w:val="en-US" w:eastAsia="zh-CN"/>
        </w:rPr>
        <w:t>6</w:t>
      </w:r>
      <w:r>
        <w:rPr>
          <w:rFonts w:hint="default" w:cs="Times New Roman"/>
          <w:color w:val="auto"/>
          <w:highlight w:val="none"/>
          <w:lang w:eastAsia="zh-CN"/>
        </w:rPr>
        <w:t>本工程</w:t>
      </w:r>
      <w:r>
        <w:rPr>
          <w:rFonts w:hint="default" w:cs="Times New Roman"/>
          <w:color w:val="auto"/>
          <w:highlight w:val="none"/>
        </w:rPr>
        <w:t>施工期污染物排放情况汇总表</w:t>
      </w:r>
    </w:p>
    <w:tbl>
      <w:tblPr>
        <w:tblStyle w:val="34"/>
        <w:tblW w:w="518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16"/>
        <w:gridCol w:w="1088"/>
        <w:gridCol w:w="1300"/>
        <w:gridCol w:w="1181"/>
        <w:gridCol w:w="788"/>
        <w:gridCol w:w="385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项目</w:t>
            </w: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污染源</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污染物</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产生量</w:t>
            </w:r>
          </w:p>
        </w:tc>
        <w:tc>
          <w:tcPr>
            <w:tcW w:w="446"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排放量</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主要处理措施及排放去向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废气</w:t>
            </w:r>
          </w:p>
        </w:tc>
        <w:tc>
          <w:tcPr>
            <w:tcW w:w="616" w:type="pct"/>
            <w:vMerge w:val="restar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钻井机械</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lang w:val="zh-CN"/>
              </w:rPr>
              <w:t>CO</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cs="Times New Roman"/>
                <w:snapToGrid w:val="0"/>
                <w:color w:val="auto"/>
                <w:spacing w:val="0"/>
                <w:sz w:val="21"/>
                <w:szCs w:val="21"/>
                <w:highlight w:val="none"/>
                <w:shd w:val="clear" w:color="auto" w:fill="auto"/>
                <w:lang w:val="en-US" w:eastAsia="zh-CN"/>
              </w:rPr>
              <w:t>18.01</w:t>
            </w:r>
            <w:r>
              <w:rPr>
                <w:rFonts w:hint="default" w:ascii="Times New Roman" w:hAnsi="Times New Roman" w:cs="Times New Roman"/>
                <w:snapToGrid w:val="0"/>
                <w:color w:val="auto"/>
                <w:spacing w:val="0"/>
                <w:sz w:val="21"/>
                <w:szCs w:val="21"/>
                <w:highlight w:val="none"/>
                <w:shd w:val="clear" w:color="auto" w:fill="auto"/>
              </w:rPr>
              <w:t>t</w:t>
            </w:r>
          </w:p>
        </w:tc>
        <w:tc>
          <w:tcPr>
            <w:tcW w:w="446" w:type="pct"/>
            <w:tcBorders>
              <w:tl2br w:val="nil"/>
              <w:tr2bl w:val="nil"/>
            </w:tcBorders>
            <w:noWrap w:val="0"/>
            <w:vAlign w:val="center"/>
          </w:tcPr>
          <w:p>
            <w:pPr>
              <w:jc w:val="center"/>
              <w:rPr>
                <w:rFonts w:hint="eastAsia" w:ascii="Times New Roman" w:hAnsi="Times New Roman" w:cs="Times New Roman"/>
                <w:snapToGrid w:val="0"/>
                <w:color w:val="auto"/>
                <w:spacing w:val="0"/>
                <w:sz w:val="21"/>
                <w:szCs w:val="21"/>
                <w:highlight w:val="none"/>
                <w:shd w:val="clear" w:color="auto" w:fill="auto"/>
                <w:lang w:val="en-US" w:eastAsia="zh-CN"/>
              </w:rPr>
            </w:pPr>
            <w:r>
              <w:rPr>
                <w:rFonts w:hint="eastAsia" w:ascii="Times New Roman" w:hAnsi="Times New Roman" w:cs="Times New Roman"/>
                <w:snapToGrid w:val="0"/>
                <w:color w:val="auto"/>
                <w:spacing w:val="0"/>
                <w:sz w:val="21"/>
                <w:szCs w:val="21"/>
                <w:highlight w:val="none"/>
                <w:shd w:val="clear" w:color="auto" w:fill="auto"/>
                <w:lang w:val="en-US" w:eastAsia="zh-CN"/>
              </w:rPr>
              <w:t>18.01</w:t>
            </w:r>
            <w:r>
              <w:rPr>
                <w:rFonts w:hint="default" w:ascii="Times New Roman" w:hAnsi="Times New Roman" w:cs="Times New Roman"/>
                <w:snapToGrid w:val="0"/>
                <w:color w:val="auto"/>
                <w:spacing w:val="0"/>
                <w:sz w:val="21"/>
                <w:szCs w:val="21"/>
                <w:highlight w:val="none"/>
                <w:shd w:val="clear" w:color="auto" w:fill="auto"/>
              </w:rPr>
              <w:t>t</w:t>
            </w:r>
          </w:p>
        </w:tc>
        <w:tc>
          <w:tcPr>
            <w:tcW w:w="2183" w:type="pct"/>
            <w:vMerge w:val="restar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使用合格燃料</w:t>
            </w:r>
            <w:r>
              <w:rPr>
                <w:rFonts w:hint="eastAsia" w:ascii="Times New Roman" w:hAnsi="Times New Roman" w:eastAsia="宋体" w:cs="Times New Roman"/>
                <w:color w:val="auto"/>
                <w:spacing w:val="0"/>
                <w:sz w:val="21"/>
                <w:szCs w:val="21"/>
                <w:highlight w:val="none"/>
                <w:shd w:val="clear" w:color="auto" w:fill="auto"/>
              </w:rPr>
              <w:t>，</w:t>
            </w:r>
            <w:r>
              <w:rPr>
                <w:rFonts w:hint="default" w:ascii="Times New Roman" w:hAnsi="Times New Roman" w:eastAsia="宋体" w:cs="Times New Roman"/>
                <w:color w:val="auto"/>
                <w:spacing w:val="0"/>
                <w:sz w:val="21"/>
                <w:szCs w:val="21"/>
                <w:highlight w:val="none"/>
                <w:shd w:val="clear" w:color="auto" w:fill="auto"/>
              </w:rPr>
              <w:t>加强施工管理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NO</w:t>
            </w:r>
            <w:r>
              <w:rPr>
                <w:rFonts w:hint="eastAsia" w:ascii="Times New Roman" w:hAnsi="Times New Roman" w:eastAsia="宋体" w:cs="Times New Roman"/>
                <w:color w:val="auto"/>
                <w:spacing w:val="0"/>
                <w:sz w:val="21"/>
                <w:szCs w:val="21"/>
                <w:highlight w:val="none"/>
                <w:shd w:val="clear" w:color="auto" w:fill="auto"/>
                <w:vertAlign w:val="subscript"/>
              </w:rPr>
              <w:t>X</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cs="Times New Roman"/>
                <w:snapToGrid w:val="0"/>
                <w:color w:val="auto"/>
                <w:spacing w:val="0"/>
                <w:sz w:val="21"/>
                <w:szCs w:val="21"/>
                <w:highlight w:val="none"/>
                <w:shd w:val="clear" w:color="auto" w:fill="auto"/>
                <w:lang w:val="en-US" w:eastAsia="zh-CN"/>
              </w:rPr>
              <w:t>55.1</w:t>
            </w:r>
            <w:r>
              <w:rPr>
                <w:rFonts w:hint="default" w:ascii="Times New Roman" w:hAnsi="Times New Roman" w:cs="Times New Roman"/>
                <w:snapToGrid w:val="0"/>
                <w:color w:val="auto"/>
                <w:spacing w:val="0"/>
                <w:sz w:val="21"/>
                <w:szCs w:val="21"/>
                <w:highlight w:val="none"/>
                <w:shd w:val="clear" w:color="auto" w:fill="auto"/>
              </w:rPr>
              <w:t>t</w:t>
            </w:r>
          </w:p>
        </w:tc>
        <w:tc>
          <w:tcPr>
            <w:tcW w:w="446" w:type="pct"/>
            <w:tcBorders>
              <w:tl2br w:val="nil"/>
              <w:tr2bl w:val="nil"/>
            </w:tcBorders>
            <w:noWrap w:val="0"/>
            <w:vAlign w:val="center"/>
          </w:tcPr>
          <w:p>
            <w:pPr>
              <w:jc w:val="center"/>
              <w:rPr>
                <w:rFonts w:hint="eastAsia" w:ascii="Times New Roman" w:hAnsi="Times New Roman" w:cs="Times New Roman"/>
                <w:snapToGrid w:val="0"/>
                <w:color w:val="auto"/>
                <w:spacing w:val="0"/>
                <w:sz w:val="21"/>
                <w:szCs w:val="21"/>
                <w:highlight w:val="none"/>
                <w:shd w:val="clear" w:color="auto" w:fill="auto"/>
                <w:lang w:val="en-US" w:eastAsia="zh-CN"/>
              </w:rPr>
            </w:pPr>
            <w:r>
              <w:rPr>
                <w:rFonts w:hint="eastAsia" w:ascii="Times New Roman" w:hAnsi="Times New Roman" w:cs="Times New Roman"/>
                <w:snapToGrid w:val="0"/>
                <w:color w:val="auto"/>
                <w:spacing w:val="0"/>
                <w:sz w:val="21"/>
                <w:szCs w:val="21"/>
                <w:highlight w:val="none"/>
                <w:shd w:val="clear" w:color="auto" w:fill="auto"/>
                <w:lang w:val="en-US" w:eastAsia="zh-CN"/>
              </w:rPr>
              <w:t>55.1</w:t>
            </w:r>
            <w:r>
              <w:rPr>
                <w:rFonts w:hint="default" w:ascii="Times New Roman" w:hAnsi="Times New Roman" w:cs="Times New Roman"/>
                <w:snapToGrid w:val="0"/>
                <w:color w:val="auto"/>
                <w:spacing w:val="0"/>
                <w:sz w:val="21"/>
                <w:szCs w:val="21"/>
                <w:highlight w:val="none"/>
                <w:shd w:val="clear" w:color="auto" w:fill="auto"/>
              </w:rPr>
              <w:t>t</w:t>
            </w:r>
          </w:p>
        </w:tc>
        <w:tc>
          <w:tcPr>
            <w:tcW w:w="2183"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lang w:val="zh-CN"/>
              </w:rPr>
              <w:t>烃类</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cs="Times New Roman"/>
                <w:snapToGrid w:val="0"/>
                <w:color w:val="auto"/>
                <w:spacing w:val="0"/>
                <w:sz w:val="21"/>
                <w:szCs w:val="21"/>
                <w:highlight w:val="none"/>
                <w:shd w:val="clear" w:color="auto" w:fill="auto"/>
                <w:lang w:val="en-US" w:eastAsia="zh-CN"/>
              </w:rPr>
              <w:t>5.69</w:t>
            </w:r>
            <w:r>
              <w:rPr>
                <w:rFonts w:hint="default" w:ascii="Times New Roman" w:hAnsi="Times New Roman" w:cs="Times New Roman"/>
                <w:snapToGrid w:val="0"/>
                <w:color w:val="auto"/>
                <w:spacing w:val="0"/>
                <w:sz w:val="21"/>
                <w:szCs w:val="21"/>
                <w:highlight w:val="none"/>
                <w:shd w:val="clear" w:color="auto" w:fill="auto"/>
              </w:rPr>
              <w:t>t</w:t>
            </w:r>
          </w:p>
        </w:tc>
        <w:tc>
          <w:tcPr>
            <w:tcW w:w="446" w:type="pct"/>
            <w:tcBorders>
              <w:tl2br w:val="nil"/>
              <w:tr2bl w:val="nil"/>
            </w:tcBorders>
            <w:noWrap w:val="0"/>
            <w:vAlign w:val="center"/>
          </w:tcPr>
          <w:p>
            <w:pPr>
              <w:jc w:val="center"/>
              <w:rPr>
                <w:rFonts w:hint="eastAsia" w:ascii="Times New Roman" w:hAnsi="Times New Roman" w:cs="Times New Roman"/>
                <w:snapToGrid w:val="0"/>
                <w:color w:val="auto"/>
                <w:spacing w:val="0"/>
                <w:sz w:val="21"/>
                <w:szCs w:val="21"/>
                <w:highlight w:val="none"/>
                <w:shd w:val="clear" w:color="auto" w:fill="auto"/>
                <w:lang w:val="en-US" w:eastAsia="zh-CN"/>
              </w:rPr>
            </w:pPr>
            <w:r>
              <w:rPr>
                <w:rFonts w:hint="eastAsia" w:ascii="Times New Roman" w:hAnsi="Times New Roman" w:cs="Times New Roman"/>
                <w:snapToGrid w:val="0"/>
                <w:color w:val="auto"/>
                <w:spacing w:val="0"/>
                <w:sz w:val="21"/>
                <w:szCs w:val="21"/>
                <w:highlight w:val="none"/>
                <w:shd w:val="clear" w:color="auto" w:fill="auto"/>
                <w:lang w:val="en-US" w:eastAsia="zh-CN"/>
              </w:rPr>
              <w:t>5.69</w:t>
            </w:r>
            <w:r>
              <w:rPr>
                <w:rFonts w:hint="default" w:ascii="Times New Roman" w:hAnsi="Times New Roman" w:cs="Times New Roman"/>
                <w:snapToGrid w:val="0"/>
                <w:color w:val="auto"/>
                <w:spacing w:val="0"/>
                <w:sz w:val="21"/>
                <w:szCs w:val="21"/>
                <w:highlight w:val="none"/>
                <w:shd w:val="clear" w:color="auto" w:fill="auto"/>
              </w:rPr>
              <w:t>t</w:t>
            </w:r>
          </w:p>
        </w:tc>
        <w:tc>
          <w:tcPr>
            <w:tcW w:w="2183"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lang w:val="zh-CN"/>
              </w:rPr>
              <w:t>SO</w:t>
            </w:r>
            <w:r>
              <w:rPr>
                <w:rFonts w:hint="default" w:ascii="Times New Roman" w:hAnsi="Times New Roman" w:eastAsia="宋体" w:cs="Times New Roman"/>
                <w:color w:val="auto"/>
                <w:spacing w:val="0"/>
                <w:sz w:val="21"/>
                <w:szCs w:val="21"/>
                <w:highlight w:val="none"/>
                <w:shd w:val="clear" w:color="auto" w:fill="auto"/>
                <w:vertAlign w:val="subscript"/>
                <w:lang w:val="zh-CN"/>
              </w:rPr>
              <w:t>2</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cs="Times New Roman"/>
                <w:snapToGrid w:val="0"/>
                <w:color w:val="auto"/>
                <w:spacing w:val="0"/>
                <w:sz w:val="21"/>
                <w:szCs w:val="21"/>
                <w:highlight w:val="none"/>
                <w:shd w:val="clear" w:color="auto" w:fill="auto"/>
                <w:lang w:val="en-US" w:eastAsia="zh-CN"/>
              </w:rPr>
              <w:t>0.034</w:t>
            </w:r>
            <w:r>
              <w:rPr>
                <w:rFonts w:hint="default" w:ascii="Times New Roman" w:hAnsi="Times New Roman" w:cs="Times New Roman"/>
                <w:snapToGrid w:val="0"/>
                <w:color w:val="auto"/>
                <w:spacing w:val="0"/>
                <w:sz w:val="21"/>
                <w:szCs w:val="21"/>
                <w:highlight w:val="none"/>
                <w:shd w:val="clear" w:color="auto" w:fill="auto"/>
              </w:rPr>
              <w:t>t</w:t>
            </w:r>
          </w:p>
        </w:tc>
        <w:tc>
          <w:tcPr>
            <w:tcW w:w="446" w:type="pct"/>
            <w:tcBorders>
              <w:tl2br w:val="nil"/>
              <w:tr2bl w:val="nil"/>
            </w:tcBorders>
            <w:noWrap w:val="0"/>
            <w:vAlign w:val="center"/>
          </w:tcPr>
          <w:p>
            <w:pPr>
              <w:jc w:val="center"/>
              <w:rPr>
                <w:rFonts w:hint="eastAsia" w:ascii="Times New Roman" w:hAnsi="Times New Roman" w:cs="Times New Roman"/>
                <w:snapToGrid w:val="0"/>
                <w:color w:val="auto"/>
                <w:spacing w:val="0"/>
                <w:sz w:val="21"/>
                <w:szCs w:val="21"/>
                <w:highlight w:val="none"/>
                <w:shd w:val="clear" w:color="auto" w:fill="auto"/>
                <w:lang w:val="en-US" w:eastAsia="zh-CN"/>
              </w:rPr>
            </w:pPr>
            <w:r>
              <w:rPr>
                <w:rFonts w:hint="eastAsia" w:ascii="Times New Roman" w:hAnsi="Times New Roman" w:cs="Times New Roman"/>
                <w:snapToGrid w:val="0"/>
                <w:color w:val="auto"/>
                <w:spacing w:val="0"/>
                <w:sz w:val="21"/>
                <w:szCs w:val="21"/>
                <w:highlight w:val="none"/>
                <w:shd w:val="clear" w:color="auto" w:fill="auto"/>
                <w:lang w:val="en-US" w:eastAsia="zh-CN"/>
              </w:rPr>
              <w:t>0.034</w:t>
            </w:r>
            <w:r>
              <w:rPr>
                <w:rFonts w:hint="default" w:ascii="Times New Roman" w:hAnsi="Times New Roman" w:cs="Times New Roman"/>
                <w:snapToGrid w:val="0"/>
                <w:color w:val="auto"/>
                <w:spacing w:val="0"/>
                <w:sz w:val="21"/>
                <w:szCs w:val="21"/>
                <w:highlight w:val="none"/>
                <w:shd w:val="clear" w:color="auto" w:fill="auto"/>
              </w:rPr>
              <w:t>t</w:t>
            </w:r>
          </w:p>
        </w:tc>
        <w:tc>
          <w:tcPr>
            <w:tcW w:w="2183"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lang w:val="en-US" w:eastAsia="zh-CN"/>
              </w:rPr>
            </w:pP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施工场地</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TSP、SO</w:t>
            </w:r>
            <w:r>
              <w:rPr>
                <w:rFonts w:hint="default" w:ascii="Times New Roman" w:hAnsi="Times New Roman" w:eastAsia="宋体" w:cs="Times New Roman"/>
                <w:color w:val="auto"/>
                <w:spacing w:val="0"/>
                <w:sz w:val="21"/>
                <w:szCs w:val="21"/>
                <w:highlight w:val="none"/>
                <w:shd w:val="clear" w:color="auto" w:fill="auto"/>
                <w:vertAlign w:val="subscript"/>
              </w:rPr>
              <w:t>2</w:t>
            </w:r>
            <w:r>
              <w:rPr>
                <w:rFonts w:hint="default" w:ascii="Times New Roman" w:hAnsi="Times New Roman" w:eastAsia="宋体" w:cs="Times New Roman"/>
                <w:color w:val="auto"/>
                <w:spacing w:val="0"/>
                <w:sz w:val="21"/>
                <w:szCs w:val="21"/>
                <w:highlight w:val="none"/>
                <w:shd w:val="clear" w:color="auto" w:fill="auto"/>
              </w:rPr>
              <w:t>、NOx等</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少量</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少量</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洒水降尘，使用合格燃料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color w:val="auto"/>
                <w:spacing w:val="0"/>
                <w:sz w:val="21"/>
                <w:szCs w:val="21"/>
                <w:highlight w:val="none"/>
                <w:shd w:val="clear" w:color="auto" w:fill="auto"/>
              </w:rPr>
            </w:pP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储层改造废气</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非甲烷总烃等</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少量</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少量</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压裂液和压裂返排液</w:t>
            </w:r>
            <w:r>
              <w:rPr>
                <w:rFonts w:hint="default" w:ascii="Times New Roman" w:hAnsi="Times New Roman" w:eastAsia="宋体" w:cs="Times New Roman"/>
                <w:color w:val="auto"/>
                <w:spacing w:val="0"/>
                <w:sz w:val="21"/>
                <w:szCs w:val="21"/>
                <w:highlight w:val="none"/>
                <w:shd w:val="clear" w:color="auto" w:fill="auto"/>
              </w:rPr>
              <w:t>使用密闭罐存放</w:t>
            </w:r>
            <w:r>
              <w:rPr>
                <w:rFonts w:hint="eastAsia" w:ascii="Times New Roman" w:hAnsi="Times New Roman" w:eastAsia="宋体" w:cs="Times New Roman"/>
                <w:color w:val="auto"/>
                <w:spacing w:val="0"/>
                <w:sz w:val="21"/>
                <w:szCs w:val="21"/>
                <w:highlight w:val="none"/>
                <w:shd w:val="clear" w:color="auto" w:fill="auto"/>
                <w:lang w:eastAsia="zh-CN"/>
              </w:rPr>
              <w:t>，</w:t>
            </w:r>
            <w:r>
              <w:rPr>
                <w:rFonts w:hint="default" w:ascii="Times New Roman" w:hAnsi="Times New Roman" w:eastAsia="宋体" w:cs="Times New Roman"/>
                <w:color w:val="auto"/>
                <w:spacing w:val="0"/>
                <w:sz w:val="21"/>
                <w:szCs w:val="21"/>
                <w:highlight w:val="none"/>
                <w:shd w:val="clear" w:color="auto" w:fill="auto"/>
              </w:rPr>
              <w:t>有效降低废气排放。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restar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废水</w:t>
            </w: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钻井废水</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悬浮物</w:t>
            </w:r>
            <w:r>
              <w:rPr>
                <w:rFonts w:hint="default" w:ascii="Times New Roman" w:hAnsi="Times New Roman" w:eastAsia="宋体" w:cs="Times New Roman"/>
                <w:color w:val="auto"/>
                <w:spacing w:val="0"/>
                <w:sz w:val="21"/>
                <w:szCs w:val="21"/>
                <w:highlight w:val="none"/>
                <w:shd w:val="clear" w:color="auto" w:fill="auto"/>
              </w:rPr>
              <w:t>、石油类、COD等</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14461.9</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采用不落地技术进行固液分离后，液相回用于钻井液配备。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管道试压废水</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SS</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cs="Times New Roman"/>
                <w:color w:val="auto"/>
                <w:spacing w:val="0"/>
                <w:sz w:val="21"/>
                <w:szCs w:val="21"/>
                <w:highlight w:val="none"/>
                <w:shd w:val="clear" w:color="auto" w:fill="auto"/>
                <w:lang w:val="en-US" w:eastAsia="zh-CN"/>
              </w:rPr>
              <w:t>856.25</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试压期间循环使用，试压结束后，试压废水可用作场地降尘用水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生活污水</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COD、氨氮等</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2073.6</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依托</w:t>
            </w:r>
            <w:r>
              <w:rPr>
                <w:rFonts w:hint="eastAsia" w:ascii="Times New Roman" w:hAnsi="Times New Roman" w:eastAsia="宋体" w:cs="Times New Roman"/>
                <w:color w:val="auto"/>
                <w:spacing w:val="0"/>
                <w:sz w:val="21"/>
                <w:szCs w:val="21"/>
                <w:highlight w:val="none"/>
                <w:shd w:val="clear" w:color="auto" w:fill="auto"/>
                <w:lang w:eastAsia="zh-CN"/>
              </w:rPr>
              <w:t>乌尔禾污水处理厂</w:t>
            </w:r>
            <w:r>
              <w:rPr>
                <w:rFonts w:hint="eastAsia" w:ascii="Times New Roman" w:hAnsi="Times New Roman" w:eastAsia="宋体" w:cs="Times New Roman"/>
                <w:color w:val="auto"/>
                <w:spacing w:val="0"/>
                <w:sz w:val="21"/>
                <w:szCs w:val="21"/>
                <w:highlight w:val="none"/>
                <w:shd w:val="clear" w:color="auto" w:fill="auto"/>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color w:val="auto"/>
                <w:spacing w:val="0"/>
                <w:sz w:val="21"/>
                <w:szCs w:val="21"/>
                <w:highlight w:val="none"/>
                <w:shd w:val="clear" w:color="auto" w:fill="auto"/>
              </w:rPr>
            </w:pPr>
          </w:p>
        </w:tc>
        <w:tc>
          <w:tcPr>
            <w:tcW w:w="616"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压裂返排液</w:t>
            </w:r>
          </w:p>
        </w:tc>
        <w:tc>
          <w:tcPr>
            <w:tcW w:w="736"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pH、COD、SS</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22050</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采用专用废液收集罐收集后及时拉运至</w:t>
            </w:r>
            <w:r>
              <w:rPr>
                <w:rFonts w:hint="eastAsia" w:ascii="Times New Roman" w:hAnsi="Times New Roman" w:eastAsia="宋体" w:cs="Times New Roman"/>
                <w:color w:val="auto"/>
                <w:spacing w:val="0"/>
                <w:sz w:val="21"/>
                <w:szCs w:val="21"/>
                <w:highlight w:val="none"/>
                <w:shd w:val="clear" w:color="auto" w:fill="auto"/>
                <w:lang w:eastAsia="zh-CN"/>
              </w:rPr>
              <w:t>风城二号稠油联合站</w:t>
            </w:r>
            <w:r>
              <w:rPr>
                <w:rFonts w:hint="eastAsia" w:ascii="Times New Roman" w:hAnsi="Times New Roman" w:eastAsia="宋体" w:cs="Times New Roman"/>
                <w:color w:val="auto"/>
                <w:spacing w:val="0"/>
                <w:sz w:val="21"/>
                <w:szCs w:val="21"/>
                <w:highlight w:val="none"/>
                <w:shd w:val="clear" w:color="auto" w:fill="auto"/>
              </w:rPr>
              <w:t>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4" w:hRule="atLeast"/>
          <w:jc w:val="center"/>
        </w:trPr>
        <w:tc>
          <w:tcPr>
            <w:tcW w:w="348" w:type="pct"/>
            <w:vMerge w:val="restar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固体废物</w:t>
            </w: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泥浆</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5108.6</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vMerge w:val="restar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本工程钻井采用泥浆不落地系统。新钻井井身结构</w:t>
            </w:r>
            <w:r>
              <w:rPr>
                <w:rFonts w:hint="eastAsia" w:ascii="Times New Roman" w:hAnsi="Times New Roman" w:eastAsia="宋体" w:cs="Times New Roman"/>
                <w:color w:val="auto"/>
                <w:spacing w:val="0"/>
                <w:sz w:val="21"/>
                <w:szCs w:val="21"/>
                <w:highlight w:val="none"/>
                <w:shd w:val="clear" w:color="auto" w:fill="auto"/>
                <w:lang w:val="en-US" w:eastAsia="zh-CN"/>
              </w:rPr>
              <w:t>均</w:t>
            </w:r>
            <w:r>
              <w:rPr>
                <w:rFonts w:hint="eastAsia" w:ascii="Times New Roman" w:hAnsi="Times New Roman" w:eastAsia="宋体" w:cs="Times New Roman"/>
                <w:color w:val="auto"/>
                <w:spacing w:val="0"/>
                <w:sz w:val="21"/>
                <w:szCs w:val="21"/>
                <w:highlight w:val="none"/>
                <w:shd w:val="clear" w:color="auto" w:fill="auto"/>
              </w:rPr>
              <w:t>为</w:t>
            </w:r>
            <w:r>
              <w:rPr>
                <w:rFonts w:hint="eastAsia" w:ascii="Times New Roman" w:hAnsi="Times New Roman" w:eastAsia="宋体" w:cs="Times New Roman"/>
                <w:color w:val="auto"/>
                <w:spacing w:val="0"/>
                <w:sz w:val="21"/>
                <w:szCs w:val="21"/>
                <w:highlight w:val="none"/>
                <w:shd w:val="clear" w:color="auto" w:fill="auto"/>
                <w:lang w:val="en-US" w:eastAsia="zh-CN"/>
              </w:rPr>
              <w:t>三</w:t>
            </w:r>
            <w:r>
              <w:rPr>
                <w:rFonts w:hint="eastAsia" w:ascii="Times New Roman" w:hAnsi="Times New Roman" w:eastAsia="宋体" w:cs="Times New Roman"/>
                <w:color w:val="auto"/>
                <w:spacing w:val="0"/>
                <w:sz w:val="21"/>
                <w:szCs w:val="21"/>
                <w:highlight w:val="none"/>
                <w:shd w:val="clear" w:color="auto" w:fill="auto"/>
              </w:rPr>
              <w:t>开，采用非磺化泥浆。本工程一开、二开水基钻井泥浆及岩屑经泥浆不落地系统处理后，液相泥浆进罐收集，循环使用，完井后剩余泥浆由钻井液分公司回收；分离后的固相暂存于岩屑储罐，委托第三方处置单位进行处理，处理后经检测满足《油气田钻井固体废物综合利用污染控制要求》（DB65/T3997-2017）中相关标准要求后综合利用；三开油基钻井泥浆及岩屑经泥浆不落地系统处理后，液相泥浆进罐收集，循环使用，完井后剩余泥浆由钻井液分公司回收；分离后的固相暂存于专用油基岩屑储罐，委托有相应危险废物处理资质的单位进行无害化处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岩屑（一般固废）</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13710.9</w:t>
            </w:r>
            <w:r>
              <w:rPr>
                <w:rFonts w:hint="default" w:ascii="Times New Roman" w:hAnsi="Times New Roman" w:eastAsia="宋体" w:cs="Times New Roman"/>
                <w:color w:val="auto"/>
                <w:spacing w:val="0"/>
                <w:sz w:val="21"/>
                <w:szCs w:val="21"/>
                <w:highlight w:val="none"/>
                <w:shd w:val="clear" w:color="auto" w:fill="auto"/>
              </w:rPr>
              <w:t>m</w:t>
            </w:r>
            <w:r>
              <w:rPr>
                <w:rFonts w:hint="default" w:ascii="Times New Roman" w:hAnsi="Times New Roman" w:eastAsia="宋体" w:cs="Times New Roman"/>
                <w:color w:val="auto"/>
                <w:spacing w:val="0"/>
                <w:sz w:val="21"/>
                <w:szCs w:val="21"/>
                <w:highlight w:val="none"/>
                <w:shd w:val="clear" w:color="auto" w:fill="auto"/>
                <w:vertAlign w:val="superscript"/>
              </w:rPr>
              <w:t>3</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施工废料</w:t>
            </w:r>
          </w:p>
        </w:tc>
        <w:tc>
          <w:tcPr>
            <w:tcW w:w="736"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cs="Times New Roman"/>
                <w:color w:val="auto"/>
                <w:spacing w:val="0"/>
                <w:sz w:val="21"/>
                <w:szCs w:val="21"/>
                <w:highlight w:val="none"/>
                <w:shd w:val="clear" w:color="auto" w:fill="auto"/>
                <w:lang w:val="en-US" w:eastAsia="zh-CN"/>
              </w:rPr>
              <w:t>5.25</w:t>
            </w:r>
            <w:r>
              <w:rPr>
                <w:rFonts w:hint="default" w:ascii="Times New Roman" w:hAnsi="Times New Roman" w:eastAsia="宋体" w:cs="Times New Roman"/>
                <w:color w:val="auto"/>
                <w:spacing w:val="0"/>
                <w:sz w:val="21"/>
                <w:szCs w:val="21"/>
                <w:highlight w:val="none"/>
                <w:shd w:val="clear" w:color="auto" w:fill="auto"/>
              </w:rPr>
              <w:t>t</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首先考虑回收利用，不可回收利用部分拉运至</w:t>
            </w:r>
            <w:r>
              <w:rPr>
                <w:rFonts w:hint="eastAsia" w:ascii="Times New Roman" w:hAnsi="Times New Roman" w:eastAsia="宋体" w:cs="Times New Roman"/>
                <w:color w:val="auto"/>
                <w:spacing w:val="0"/>
                <w:sz w:val="21"/>
                <w:szCs w:val="21"/>
                <w:highlight w:val="none"/>
                <w:shd w:val="clear" w:color="auto" w:fill="auto"/>
              </w:rPr>
              <w:t>克拉玛依市建筑垃圾填埋场填埋处置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废油、含油废弃物</w:t>
            </w:r>
          </w:p>
        </w:tc>
        <w:tc>
          <w:tcPr>
            <w:tcW w:w="736"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0.7</w:t>
            </w:r>
            <w:r>
              <w:rPr>
                <w:rFonts w:hint="eastAsia" w:ascii="Times New Roman" w:hAnsi="Times New Roman" w:eastAsia="宋体" w:cs="Times New Roman"/>
                <w:color w:val="auto"/>
                <w:spacing w:val="0"/>
                <w:sz w:val="21"/>
                <w:szCs w:val="21"/>
                <w:highlight w:val="none"/>
                <w:shd w:val="clear" w:color="auto" w:fill="auto"/>
              </w:rPr>
              <w:t>t</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eastAsia="zh-CN"/>
              </w:rPr>
              <w:t>委托克拉玛依顺通环保科技有限责任公司</w:t>
            </w:r>
            <w:r>
              <w:rPr>
                <w:rFonts w:hint="eastAsia" w:ascii="Times New Roman" w:hAnsi="Times New Roman" w:eastAsia="宋体" w:cs="Times New Roman"/>
                <w:color w:val="auto"/>
                <w:spacing w:val="0"/>
                <w:sz w:val="21"/>
                <w:szCs w:val="21"/>
                <w:highlight w:val="none"/>
                <w:shd w:val="clear" w:color="auto" w:fill="auto"/>
              </w:rPr>
              <w:t>或其他有危废处置资质单位接收处置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生活垃圾</w:t>
            </w:r>
          </w:p>
        </w:tc>
        <w:tc>
          <w:tcPr>
            <w:tcW w:w="736"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16.2</w:t>
            </w:r>
            <w:r>
              <w:rPr>
                <w:rFonts w:hint="default" w:ascii="Times New Roman" w:hAnsi="Times New Roman" w:eastAsia="宋体" w:cs="Times New Roman"/>
                <w:color w:val="auto"/>
                <w:spacing w:val="0"/>
                <w:sz w:val="21"/>
                <w:szCs w:val="21"/>
                <w:highlight w:val="none"/>
                <w:shd w:val="clear" w:color="auto" w:fill="auto"/>
              </w:rPr>
              <w:t>t</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rPr>
              <w:t>集中收集后运至</w:t>
            </w:r>
            <w:r>
              <w:rPr>
                <w:rFonts w:hint="eastAsia" w:ascii="Times New Roman" w:hAnsi="Times New Roman" w:eastAsia="宋体" w:cs="Times New Roman"/>
                <w:color w:val="auto"/>
                <w:spacing w:val="0"/>
                <w:sz w:val="21"/>
                <w:szCs w:val="21"/>
                <w:highlight w:val="none"/>
                <w:shd w:val="clear" w:color="auto" w:fill="auto"/>
                <w:lang w:eastAsia="zh-CN"/>
              </w:rPr>
              <w:t>乌尔禾区生活垃圾填埋场进行处置</w:t>
            </w:r>
            <w:r>
              <w:rPr>
                <w:rFonts w:hint="eastAsia" w:ascii="Times New Roman" w:hAnsi="Times New Roman" w:eastAsia="宋体"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vMerge w:val="continue"/>
            <w:tcBorders>
              <w:tl2br w:val="nil"/>
              <w:tr2bl w:val="nil"/>
            </w:tcBorders>
            <w:noWrap w:val="0"/>
            <w:vAlign w:val="center"/>
          </w:tcPr>
          <w:p>
            <w:pPr>
              <w:jc w:val="center"/>
              <w:rPr>
                <w:color w:val="auto"/>
                <w:spacing w:val="0"/>
                <w:sz w:val="21"/>
                <w:szCs w:val="21"/>
                <w:highlight w:val="none"/>
                <w:shd w:val="clear" w:color="auto" w:fill="auto"/>
              </w:rPr>
            </w:pP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shd w:val="clear" w:color="auto" w:fill="auto"/>
                <w:lang w:val="en-US" w:eastAsia="zh-CN"/>
              </w:rPr>
              <w:t>包装袋</w:t>
            </w:r>
          </w:p>
        </w:tc>
        <w:tc>
          <w:tcPr>
            <w:tcW w:w="736"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w:t>
            </w:r>
          </w:p>
        </w:tc>
        <w:tc>
          <w:tcPr>
            <w:tcW w:w="66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0.14</w:t>
            </w:r>
            <w:r>
              <w:rPr>
                <w:rFonts w:hint="default" w:ascii="Times New Roman" w:hAnsi="Times New Roman" w:eastAsia="宋体" w:cs="Times New Roman"/>
                <w:color w:val="auto"/>
                <w:spacing w:val="0"/>
                <w:sz w:val="21"/>
                <w:szCs w:val="21"/>
                <w:highlight w:val="none"/>
                <w:shd w:val="clear" w:color="auto" w:fill="auto"/>
              </w:rPr>
              <w:t>t</w:t>
            </w:r>
          </w:p>
        </w:tc>
        <w:tc>
          <w:tcPr>
            <w:tcW w:w="44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0</w:t>
            </w:r>
          </w:p>
        </w:tc>
        <w:tc>
          <w:tcPr>
            <w:tcW w:w="2183" w:type="pct"/>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lang w:eastAsia="zh-CN"/>
              </w:rPr>
            </w:pPr>
            <w:r>
              <w:rPr>
                <w:rFonts w:hint="eastAsia" w:ascii="Times New Roman" w:hAnsi="Times New Roman" w:eastAsia="宋体" w:cs="Times New Roman"/>
                <w:color w:val="auto"/>
                <w:spacing w:val="0"/>
                <w:sz w:val="21"/>
                <w:szCs w:val="21"/>
                <w:highlight w:val="none"/>
                <w:shd w:val="clear" w:color="auto" w:fill="auto"/>
              </w:rPr>
              <w:t>由钻井施工单位集中收集后统一回收处置</w:t>
            </w:r>
            <w:r>
              <w:rPr>
                <w:rFonts w:hint="eastAsia" w:ascii="Times New Roman" w:hAnsi="Times New Roman" w:eastAsia="宋体" w:cs="Times New Roman"/>
                <w:color w:val="auto"/>
                <w:spacing w:val="0"/>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48"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噪声</w:t>
            </w:r>
          </w:p>
        </w:tc>
        <w:tc>
          <w:tcPr>
            <w:tcW w:w="61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施工机械、运输车辆</w:t>
            </w:r>
          </w:p>
        </w:tc>
        <w:tc>
          <w:tcPr>
            <w:tcW w:w="736"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w:t>
            </w:r>
          </w:p>
        </w:tc>
        <w:tc>
          <w:tcPr>
            <w:tcW w:w="1115" w:type="pct"/>
            <w:gridSpan w:val="2"/>
            <w:tcBorders>
              <w:tl2br w:val="nil"/>
              <w:tr2bl w:val="nil"/>
            </w:tcBorders>
            <w:noWrap w:val="0"/>
            <w:vAlign w:val="center"/>
          </w:tcPr>
          <w:p>
            <w:pPr>
              <w:jc w:val="center"/>
              <w:rPr>
                <w:rFonts w:hint="eastAsia"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78</w:t>
            </w:r>
            <w:r>
              <w:rPr>
                <w:rFonts w:hint="default" w:ascii="Times New Roman" w:hAnsi="Times New Roman" w:eastAsia="宋体" w:cs="Times New Roman"/>
                <w:color w:val="auto"/>
                <w:spacing w:val="0"/>
                <w:sz w:val="21"/>
                <w:szCs w:val="21"/>
                <w:highlight w:val="none"/>
                <w:shd w:val="clear" w:color="auto" w:fill="auto"/>
              </w:rPr>
              <w:t>~</w:t>
            </w:r>
            <w:r>
              <w:rPr>
                <w:rFonts w:hint="eastAsia" w:ascii="Times New Roman" w:hAnsi="Times New Roman" w:eastAsia="宋体" w:cs="Times New Roman"/>
                <w:color w:val="auto"/>
                <w:spacing w:val="0"/>
                <w:sz w:val="21"/>
                <w:szCs w:val="21"/>
                <w:highlight w:val="none"/>
                <w:shd w:val="clear" w:color="auto" w:fill="auto"/>
              </w:rPr>
              <w:t>100</w:t>
            </w:r>
            <w:r>
              <w:rPr>
                <w:rFonts w:hint="default" w:ascii="Times New Roman" w:hAnsi="Times New Roman" w:eastAsia="宋体" w:cs="Times New Roman"/>
                <w:color w:val="auto"/>
                <w:spacing w:val="0"/>
                <w:sz w:val="21"/>
                <w:szCs w:val="21"/>
                <w:highlight w:val="none"/>
                <w:shd w:val="clear" w:color="auto" w:fill="auto"/>
              </w:rPr>
              <w:t>dB(A)</w:t>
            </w:r>
          </w:p>
        </w:tc>
        <w:tc>
          <w:tcPr>
            <w:tcW w:w="2183" w:type="pct"/>
            <w:tcBorders>
              <w:tl2br w:val="nil"/>
              <w:tr2bl w:val="nil"/>
            </w:tcBorders>
            <w:noWrap w:val="0"/>
            <w:vAlign w:val="center"/>
          </w:tcPr>
          <w:p>
            <w:pPr>
              <w:jc w:val="center"/>
              <w:rPr>
                <w:rFonts w:hint="default" w:ascii="Times New Roman" w:hAnsi="Times New Roman" w:eastAsia="宋体" w:cs="Times New Roman"/>
                <w:color w:val="auto"/>
                <w:spacing w:val="0"/>
                <w:sz w:val="21"/>
                <w:szCs w:val="21"/>
                <w:highlight w:val="none"/>
                <w:shd w:val="clear" w:color="auto" w:fill="auto"/>
              </w:rPr>
            </w:pPr>
            <w:r>
              <w:rPr>
                <w:rFonts w:hint="default" w:ascii="Times New Roman" w:hAnsi="Times New Roman" w:eastAsia="宋体" w:cs="Times New Roman"/>
                <w:color w:val="auto"/>
                <w:spacing w:val="0"/>
                <w:sz w:val="21"/>
                <w:szCs w:val="21"/>
                <w:highlight w:val="none"/>
                <w:shd w:val="clear" w:color="auto" w:fill="auto"/>
              </w:rPr>
              <w:t>加强施工管理</w:t>
            </w:r>
          </w:p>
        </w:tc>
      </w:tr>
    </w:tbl>
    <w:p>
      <w:pPr>
        <w:pStyle w:val="53"/>
        <w:pageBreakBefore w:val="0"/>
        <w:widowControl/>
        <w:kinsoku/>
        <w:wordWrap/>
        <w:overflowPunct/>
        <w:topLinePunct w:val="0"/>
        <w:autoSpaceDE/>
        <w:autoSpaceDN/>
        <w:bidi w:val="0"/>
        <w:spacing w:line="480" w:lineRule="exact"/>
        <w:textAlignment w:val="auto"/>
        <w:rPr>
          <w:color w:val="auto"/>
          <w:highlight w:val="none"/>
        </w:rPr>
      </w:pPr>
      <w:bookmarkStart w:id="330" w:name="_Toc173941839"/>
      <w:bookmarkStart w:id="331" w:name="_Toc27338"/>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运营期环境影响因素分析</w:t>
      </w:r>
      <w:bookmarkEnd w:id="330"/>
      <w:bookmarkEnd w:id="331"/>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本工程运营期废水主要为采出水、井下作业废水。</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.1废水污染源</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（1）采出水</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根据开发方案，本工程前期采出水量较小，最大采出水量</w:t>
      </w:r>
      <w:r>
        <w:rPr>
          <w:rFonts w:hint="eastAsia"/>
          <w:color w:val="auto"/>
          <w:highlight w:val="none"/>
          <w:lang w:val="en-US" w:eastAsia="zh-CN"/>
        </w:rPr>
        <w:t>预测</w:t>
      </w:r>
      <w:r>
        <w:rPr>
          <w:rFonts w:hint="eastAsia"/>
          <w:color w:val="auto"/>
          <w:highlight w:val="none"/>
        </w:rPr>
        <w:t>核算为</w:t>
      </w:r>
      <w:r>
        <w:rPr>
          <w:rFonts w:hint="eastAsia"/>
          <w:color w:val="auto"/>
          <w:highlight w:val="none"/>
          <w:lang w:val="en-US" w:eastAsia="zh-CN"/>
        </w:rPr>
        <w:t>118.5t/d（3.91×10</w:t>
      </w:r>
      <w:r>
        <w:rPr>
          <w:rFonts w:hint="eastAsia"/>
          <w:color w:val="auto"/>
          <w:highlight w:val="none"/>
          <w:vertAlign w:val="superscript"/>
          <w:lang w:val="en-US" w:eastAsia="zh-CN"/>
        </w:rPr>
        <w:t>4</w:t>
      </w:r>
      <w:r>
        <w:rPr>
          <w:rFonts w:hint="eastAsia"/>
          <w:color w:val="auto"/>
          <w:highlight w:val="none"/>
          <w:lang w:val="en-US" w:eastAsia="zh-CN"/>
        </w:rPr>
        <w:t>t/a）</w:t>
      </w:r>
      <w:r>
        <w:rPr>
          <w:rFonts w:hint="eastAsia"/>
          <w:color w:val="auto"/>
          <w:highlight w:val="none"/>
        </w:rPr>
        <w:t>，采出水中主要污染物为SS、COD、石油类、挥发酚等</w:t>
      </w:r>
      <w:r>
        <w:rPr>
          <w:rFonts w:hint="eastAsia"/>
          <w:color w:val="auto"/>
          <w:highlight w:val="none"/>
          <w:lang w:eastAsia="zh-CN"/>
        </w:rPr>
        <w:t>。</w:t>
      </w: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w:t>
      </w:r>
      <w:r>
        <w:rPr>
          <w:rFonts w:hint="eastAsia"/>
          <w:color w:val="auto"/>
          <w:highlight w:val="none"/>
          <w:lang w:val="en-US" w:eastAsia="zh-CN"/>
        </w:rPr>
        <w:t>和《陆上油气田采出水地下注入环境保护技术规范》（SY/T7784-2024）</w:t>
      </w:r>
      <w:r>
        <w:rPr>
          <w:rFonts w:hint="eastAsia"/>
          <w:color w:val="auto"/>
          <w:highlight w:val="none"/>
        </w:rPr>
        <w:t>标准后回注地层。</w:t>
      </w:r>
    </w:p>
    <w:p>
      <w:pPr>
        <w:pStyle w:val="57"/>
        <w:rPr>
          <w:color w:val="auto"/>
          <w:highlight w:val="none"/>
        </w:rPr>
      </w:pPr>
      <w:r>
        <w:rPr>
          <w:color w:val="auto"/>
          <w:highlight w:val="none"/>
        </w:rPr>
        <w:t>（2）井下作业废水</w:t>
      </w:r>
    </w:p>
    <w:p>
      <w:pPr>
        <w:pStyle w:val="57"/>
        <w:rPr>
          <w:rFonts w:hint="eastAsia" w:eastAsia="宋体"/>
          <w:color w:val="auto"/>
          <w:highlight w:val="none"/>
          <w:lang w:eastAsia="zh-CN"/>
        </w:rPr>
      </w:pPr>
      <w:r>
        <w:rPr>
          <w:rFonts w:hint="eastAsia"/>
          <w:color w:val="auto"/>
          <w:highlight w:val="none"/>
        </w:rPr>
        <w:t>井下作业废水的主要来源为修井过</w:t>
      </w:r>
      <w:r>
        <w:rPr>
          <w:rFonts w:hint="eastAsia"/>
          <w:color w:val="auto"/>
          <w:highlight w:val="none"/>
          <w:lang w:eastAsia="zh-CN"/>
        </w:rPr>
        <w:t>程中</w:t>
      </w:r>
      <w:r>
        <w:rPr>
          <w:rFonts w:hint="eastAsia"/>
          <w:color w:val="auto"/>
          <w:highlight w:val="none"/>
        </w:rPr>
        <w:t>产生的压井水和压井液、修井时的循环水及洗井时产生的洗井废水。根据《排放源统计调查产排污核算方法和系数手册》</w:t>
      </w:r>
      <w:r>
        <w:rPr>
          <w:color w:val="auto"/>
          <w:highlight w:val="none"/>
        </w:rPr>
        <w:t>（公告2021年第24号）</w:t>
      </w:r>
      <w:r>
        <w:rPr>
          <w:rFonts w:hint="eastAsia"/>
          <w:color w:val="auto"/>
          <w:highlight w:val="none"/>
        </w:rPr>
        <w:t>中1120石油和天然气开采专业及辅助性活动行业系数手册（见表3.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7</w:t>
      </w:r>
      <w:r>
        <w:rPr>
          <w:rFonts w:hint="eastAsia"/>
          <w:color w:val="auto"/>
          <w:highlight w:val="none"/>
        </w:rPr>
        <w:t>），计算井下作业废水的产生量</w:t>
      </w:r>
      <w:r>
        <w:rPr>
          <w:rFonts w:hint="eastAsia"/>
          <w:color w:val="auto"/>
          <w:highlight w:val="none"/>
          <w:lang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eastAsia" w:cs="Times New Roman"/>
          <w:color w:val="auto"/>
          <w:highlight w:val="none"/>
        </w:rPr>
        <w:t>-</w:t>
      </w:r>
      <w:r>
        <w:rPr>
          <w:rFonts w:hint="eastAsia" w:cs="Times New Roman"/>
          <w:color w:val="auto"/>
          <w:highlight w:val="none"/>
          <w:lang w:val="en-US" w:eastAsia="zh-CN"/>
        </w:rPr>
        <w:t>7</w:t>
      </w:r>
      <w:r>
        <w:rPr>
          <w:rFonts w:hint="default" w:cs="Times New Roman"/>
          <w:color w:val="auto"/>
          <w:highlight w:val="none"/>
        </w:rPr>
        <w:t xml:space="preserve">  与石油和天然气开采有关的服务活动产排污系数一览表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7"/>
        <w:gridCol w:w="713"/>
        <w:gridCol w:w="1025"/>
        <w:gridCol w:w="725"/>
        <w:gridCol w:w="1300"/>
        <w:gridCol w:w="1400"/>
        <w:gridCol w:w="908"/>
        <w:gridCol w:w="1095"/>
        <w:gridCol w:w="66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产品</w:t>
            </w:r>
          </w:p>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名称</w:t>
            </w:r>
          </w:p>
        </w:tc>
        <w:tc>
          <w:tcPr>
            <w:tcW w:w="713"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原料</w:t>
            </w:r>
          </w:p>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名称</w:t>
            </w:r>
          </w:p>
        </w:tc>
        <w:tc>
          <w:tcPr>
            <w:tcW w:w="1025"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工艺</w:t>
            </w:r>
          </w:p>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名称</w:t>
            </w:r>
          </w:p>
        </w:tc>
        <w:tc>
          <w:tcPr>
            <w:tcW w:w="725"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规模</w:t>
            </w:r>
          </w:p>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等级</w:t>
            </w:r>
          </w:p>
        </w:tc>
        <w:tc>
          <w:tcPr>
            <w:tcW w:w="13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污染物指标</w:t>
            </w:r>
          </w:p>
        </w:tc>
        <w:tc>
          <w:tcPr>
            <w:tcW w:w="14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单位</w:t>
            </w:r>
          </w:p>
        </w:tc>
        <w:tc>
          <w:tcPr>
            <w:tcW w:w="908"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产污</w:t>
            </w:r>
          </w:p>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系数</w:t>
            </w:r>
          </w:p>
        </w:tc>
        <w:tc>
          <w:tcPr>
            <w:tcW w:w="1095"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末端治理技术名称</w:t>
            </w:r>
          </w:p>
        </w:tc>
        <w:tc>
          <w:tcPr>
            <w:tcW w:w="66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排污</w:t>
            </w:r>
          </w:p>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restart"/>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井下作业</w:t>
            </w:r>
          </w:p>
        </w:tc>
        <w:tc>
          <w:tcPr>
            <w:tcW w:w="713" w:type="dxa"/>
            <w:vMerge w:val="restart"/>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洗井液</w:t>
            </w:r>
          </w:p>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（水）</w:t>
            </w:r>
          </w:p>
        </w:tc>
        <w:tc>
          <w:tcPr>
            <w:tcW w:w="1025" w:type="dxa"/>
            <w:vMerge w:val="restart"/>
            <w:tcBorders>
              <w:tl2br w:val="nil"/>
              <w:tr2bl w:val="nil"/>
            </w:tcBorders>
            <w:noWrap w:val="0"/>
            <w:vAlign w:val="center"/>
          </w:tcPr>
          <w:p>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r>
              <w:rPr>
                <w:rFonts w:hint="default" w:ascii="Times New Roman" w:hAnsi="Times New Roman" w:eastAsia="宋体" w:cs="Times New Roman"/>
                <w:color w:val="auto"/>
                <w:spacing w:val="-6"/>
                <w:sz w:val="21"/>
                <w:szCs w:val="21"/>
                <w:highlight w:val="none"/>
                <w:shd w:val="clear" w:color="auto" w:fill="auto"/>
              </w:rPr>
              <w:t>非低渗透油井洗井作业</w:t>
            </w:r>
          </w:p>
        </w:tc>
        <w:tc>
          <w:tcPr>
            <w:tcW w:w="725" w:type="dxa"/>
            <w:vMerge w:val="restart"/>
            <w:tcBorders>
              <w:tl2br w:val="nil"/>
              <w:tr2bl w:val="nil"/>
            </w:tcBorders>
            <w:noWrap w:val="0"/>
            <w:vAlign w:val="center"/>
          </w:tcPr>
          <w:p>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r>
              <w:rPr>
                <w:rFonts w:hint="default" w:ascii="Times New Roman" w:hAnsi="Times New Roman" w:eastAsia="宋体" w:cs="Times New Roman"/>
                <w:color w:val="auto"/>
                <w:spacing w:val="-6"/>
                <w:sz w:val="21"/>
                <w:szCs w:val="21"/>
                <w:highlight w:val="none"/>
                <w:shd w:val="clear" w:color="auto" w:fill="auto"/>
              </w:rPr>
              <w:t>所有规模</w:t>
            </w:r>
          </w:p>
        </w:tc>
        <w:tc>
          <w:tcPr>
            <w:tcW w:w="13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工业废水量</w:t>
            </w:r>
          </w:p>
        </w:tc>
        <w:tc>
          <w:tcPr>
            <w:tcW w:w="14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吨/井次-产品</w:t>
            </w:r>
          </w:p>
        </w:tc>
        <w:tc>
          <w:tcPr>
            <w:tcW w:w="908"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76.0</w:t>
            </w:r>
          </w:p>
        </w:tc>
        <w:tc>
          <w:tcPr>
            <w:tcW w:w="1095"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continue"/>
            <w:tcBorders>
              <w:tl2br w:val="nil"/>
              <w:tr2bl w:val="nil"/>
            </w:tcBorders>
            <w:noWrap w:val="0"/>
            <w:vAlign w:val="center"/>
          </w:tcPr>
          <w:p>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p>
        </w:tc>
        <w:tc>
          <w:tcPr>
            <w:tcW w:w="725" w:type="dxa"/>
            <w:vMerge w:val="continue"/>
            <w:tcBorders>
              <w:tl2br w:val="nil"/>
              <w:tr2bl w:val="nil"/>
            </w:tcBorders>
            <w:noWrap w:val="0"/>
            <w:vAlign w:val="center"/>
          </w:tcPr>
          <w:p>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p>
        </w:tc>
        <w:tc>
          <w:tcPr>
            <w:tcW w:w="13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化学需氧量</w:t>
            </w:r>
          </w:p>
        </w:tc>
        <w:tc>
          <w:tcPr>
            <w:tcW w:w="14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克/井次-产品</w:t>
            </w:r>
          </w:p>
        </w:tc>
        <w:tc>
          <w:tcPr>
            <w:tcW w:w="908"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104525</w:t>
            </w:r>
          </w:p>
        </w:tc>
        <w:tc>
          <w:tcPr>
            <w:tcW w:w="1095"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continue"/>
            <w:tcBorders>
              <w:tl2br w:val="nil"/>
              <w:tr2bl w:val="nil"/>
            </w:tcBorders>
            <w:noWrap w:val="0"/>
            <w:vAlign w:val="center"/>
          </w:tcPr>
          <w:p>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p>
        </w:tc>
        <w:tc>
          <w:tcPr>
            <w:tcW w:w="725" w:type="dxa"/>
            <w:vMerge w:val="continue"/>
            <w:tcBorders>
              <w:tl2br w:val="nil"/>
              <w:tr2bl w:val="nil"/>
            </w:tcBorders>
            <w:noWrap w:val="0"/>
            <w:vAlign w:val="center"/>
          </w:tcPr>
          <w:p>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p>
        </w:tc>
        <w:tc>
          <w:tcPr>
            <w:tcW w:w="13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石油类</w:t>
            </w:r>
          </w:p>
        </w:tc>
        <w:tc>
          <w:tcPr>
            <w:tcW w:w="14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克/井次-产品</w:t>
            </w:r>
          </w:p>
        </w:tc>
        <w:tc>
          <w:tcPr>
            <w:tcW w:w="908"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17645</w:t>
            </w:r>
          </w:p>
        </w:tc>
        <w:tc>
          <w:tcPr>
            <w:tcW w:w="1095"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restart"/>
            <w:tcBorders>
              <w:tl2br w:val="nil"/>
              <w:tr2bl w:val="nil"/>
            </w:tcBorders>
            <w:noWrap w:val="0"/>
            <w:vAlign w:val="center"/>
          </w:tcPr>
          <w:p>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r>
              <w:rPr>
                <w:rFonts w:hint="default" w:ascii="Times New Roman" w:hAnsi="Times New Roman" w:eastAsia="宋体" w:cs="Times New Roman"/>
                <w:color w:val="auto"/>
                <w:spacing w:val="-6"/>
                <w:sz w:val="21"/>
                <w:szCs w:val="21"/>
                <w:highlight w:val="none"/>
                <w:shd w:val="clear" w:color="auto" w:fill="auto"/>
              </w:rPr>
              <w:t>低渗透油井洗井作业</w:t>
            </w:r>
          </w:p>
        </w:tc>
        <w:tc>
          <w:tcPr>
            <w:tcW w:w="725" w:type="dxa"/>
            <w:vMerge w:val="restart"/>
            <w:tcBorders>
              <w:tl2br w:val="nil"/>
              <w:tr2bl w:val="nil"/>
            </w:tcBorders>
            <w:noWrap w:val="0"/>
            <w:vAlign w:val="center"/>
          </w:tcPr>
          <w:p>
            <w:pPr>
              <w:spacing w:line="280" w:lineRule="exact"/>
              <w:jc w:val="center"/>
              <w:rPr>
                <w:rFonts w:hint="default" w:ascii="Times New Roman" w:hAnsi="Times New Roman" w:eastAsia="宋体" w:cs="Times New Roman"/>
                <w:color w:val="auto"/>
                <w:spacing w:val="-6"/>
                <w:sz w:val="21"/>
                <w:szCs w:val="21"/>
                <w:highlight w:val="none"/>
                <w:shd w:val="clear" w:color="auto" w:fill="auto"/>
              </w:rPr>
            </w:pPr>
            <w:r>
              <w:rPr>
                <w:rFonts w:hint="default" w:ascii="Times New Roman" w:hAnsi="Times New Roman" w:eastAsia="宋体" w:cs="Times New Roman"/>
                <w:color w:val="auto"/>
                <w:spacing w:val="-6"/>
                <w:sz w:val="21"/>
                <w:szCs w:val="21"/>
                <w:highlight w:val="none"/>
                <w:shd w:val="clear" w:color="auto" w:fill="auto"/>
              </w:rPr>
              <w:t>所有规模</w:t>
            </w:r>
          </w:p>
        </w:tc>
        <w:tc>
          <w:tcPr>
            <w:tcW w:w="13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工业废水量</w:t>
            </w:r>
          </w:p>
        </w:tc>
        <w:tc>
          <w:tcPr>
            <w:tcW w:w="14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吨/井次-产品</w:t>
            </w:r>
          </w:p>
        </w:tc>
        <w:tc>
          <w:tcPr>
            <w:tcW w:w="908"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27.13</w:t>
            </w:r>
          </w:p>
        </w:tc>
        <w:tc>
          <w:tcPr>
            <w:tcW w:w="1095"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25"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3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化学需氧量</w:t>
            </w:r>
          </w:p>
        </w:tc>
        <w:tc>
          <w:tcPr>
            <w:tcW w:w="14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克/井次-产品</w:t>
            </w:r>
          </w:p>
        </w:tc>
        <w:tc>
          <w:tcPr>
            <w:tcW w:w="908"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34679</w:t>
            </w:r>
          </w:p>
        </w:tc>
        <w:tc>
          <w:tcPr>
            <w:tcW w:w="1095"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7"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13"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025"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725" w:type="dxa"/>
            <w:vMerge w:val="continue"/>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p>
        </w:tc>
        <w:tc>
          <w:tcPr>
            <w:tcW w:w="13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石油类</w:t>
            </w:r>
          </w:p>
        </w:tc>
        <w:tc>
          <w:tcPr>
            <w:tcW w:w="140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克/井次-产品</w:t>
            </w:r>
          </w:p>
        </w:tc>
        <w:tc>
          <w:tcPr>
            <w:tcW w:w="908"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6122</w:t>
            </w:r>
          </w:p>
        </w:tc>
        <w:tc>
          <w:tcPr>
            <w:tcW w:w="1095"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回收回注</w:t>
            </w:r>
          </w:p>
        </w:tc>
        <w:tc>
          <w:tcPr>
            <w:tcW w:w="660" w:type="dxa"/>
            <w:tcBorders>
              <w:tl2br w:val="nil"/>
              <w:tr2bl w:val="nil"/>
            </w:tcBorders>
            <w:noWrap w:val="0"/>
            <w:vAlign w:val="center"/>
          </w:tcPr>
          <w:p>
            <w:pPr>
              <w:spacing w:line="280" w:lineRule="exact"/>
              <w:jc w:val="center"/>
              <w:rPr>
                <w:rFonts w:hint="default" w:ascii="Times New Roman" w:hAnsi="Times New Roman" w:cs="Times New Roman"/>
                <w:color w:val="auto"/>
                <w:spacing w:val="-6"/>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0</w:t>
            </w:r>
          </w:p>
        </w:tc>
      </w:tr>
    </w:tbl>
    <w:p>
      <w:pPr>
        <w:pStyle w:val="88"/>
        <w:keepNext w:val="0"/>
        <w:keepLines w:val="0"/>
        <w:pageBreakBefore w:val="0"/>
        <w:widowControl/>
        <w:kinsoku/>
        <w:wordWrap/>
        <w:overflowPunct/>
        <w:topLinePunct w:val="0"/>
        <w:autoSpaceDE/>
        <w:autoSpaceDN/>
        <w:bidi w:val="0"/>
        <w:adjustRightInd/>
        <w:snapToGrid/>
        <w:spacing w:before="156" w:beforeLines="50" w:line="480" w:lineRule="exact"/>
        <w:ind w:firstLine="480"/>
        <w:jc w:val="both"/>
        <w:textAlignment w:val="auto"/>
        <w:rPr>
          <w:rFonts w:hint="eastAsia" w:ascii="Times New Roman" w:hAnsi="Times New Roman" w:eastAsia="宋体" w:cs="Times New Roman"/>
          <w:snapToGrid w:val="0"/>
          <w:color w:val="auto"/>
          <w:sz w:val="24"/>
          <w:highlight w:val="none"/>
          <w:shd w:val="clear" w:color="auto" w:fill="auto"/>
          <w:lang w:val="en-US" w:eastAsia="zh-CN"/>
        </w:rPr>
      </w:pPr>
      <w:r>
        <w:rPr>
          <w:rFonts w:hint="default" w:ascii="Times New Roman" w:hAnsi="Times New Roman" w:cs="Times New Roman"/>
          <w:bCs/>
          <w:color w:val="auto"/>
          <w:highlight w:val="none"/>
          <w:shd w:val="clear" w:color="auto" w:fill="auto"/>
          <w:lang w:eastAsia="zh-CN"/>
        </w:rPr>
        <w:t>本工程</w:t>
      </w:r>
      <w:r>
        <w:rPr>
          <w:rFonts w:hint="default" w:ascii="Times New Roman" w:hAnsi="Times New Roman" w:cs="Times New Roman"/>
          <w:bCs/>
          <w:color w:val="auto"/>
          <w:highlight w:val="none"/>
          <w:shd w:val="clear" w:color="auto" w:fill="auto"/>
          <w:lang w:val="en-US" w:eastAsia="zh-CN"/>
        </w:rPr>
        <w:t>部署</w:t>
      </w:r>
      <w:r>
        <w:rPr>
          <w:rFonts w:hint="eastAsia" w:ascii="Times New Roman" w:hAnsi="Times New Roman" w:cs="Times New Roman"/>
          <w:bCs/>
          <w:color w:val="auto"/>
          <w:highlight w:val="none"/>
          <w:shd w:val="clear" w:color="auto" w:fill="auto"/>
          <w:lang w:val="en-US" w:eastAsia="zh-CN"/>
        </w:rPr>
        <w:t>18口采油</w:t>
      </w:r>
      <w:r>
        <w:rPr>
          <w:rFonts w:hint="default" w:ascii="Times New Roman" w:hAnsi="Times New Roman" w:cs="Times New Roman"/>
          <w:bCs/>
          <w:color w:val="auto"/>
          <w:highlight w:val="none"/>
          <w:shd w:val="clear" w:color="auto" w:fill="auto"/>
          <w:lang w:val="en-US" w:eastAsia="zh-CN"/>
        </w:rPr>
        <w:t>井，</w:t>
      </w:r>
      <w:r>
        <w:rPr>
          <w:rFonts w:hint="eastAsia" w:ascii="Times New Roman" w:hAnsi="Times New Roman" w:cs="Times New Roman"/>
          <w:bCs/>
          <w:color w:val="auto"/>
          <w:highlight w:val="none"/>
          <w:shd w:val="clear" w:color="auto" w:fill="auto"/>
          <w:lang w:val="en-US" w:eastAsia="zh-CN"/>
        </w:rPr>
        <w:t>丰探1井区为低渗透油藏，</w:t>
      </w:r>
      <w:r>
        <w:rPr>
          <w:rFonts w:hint="default" w:ascii="Times New Roman" w:hAnsi="Times New Roman" w:cs="Times New Roman"/>
          <w:bCs/>
          <w:color w:val="auto"/>
          <w:highlight w:val="none"/>
          <w:shd w:val="clear" w:color="auto" w:fill="auto"/>
          <w:lang w:eastAsia="zh-CN"/>
        </w:rPr>
        <w:t>根据上表计算井下作业废水产生量为</w:t>
      </w:r>
      <w:r>
        <w:rPr>
          <w:rFonts w:hint="eastAsia" w:ascii="Times New Roman" w:hAnsi="Times New Roman" w:cs="Times New Roman"/>
          <w:bCs/>
          <w:color w:val="auto"/>
          <w:highlight w:val="none"/>
          <w:shd w:val="clear" w:color="auto" w:fill="auto"/>
          <w:lang w:val="en-US" w:eastAsia="zh-CN"/>
        </w:rPr>
        <w:t>27.13</w:t>
      </w:r>
      <w:r>
        <w:rPr>
          <w:rFonts w:hint="default" w:ascii="Times New Roman" w:hAnsi="Times New Roman" w:cs="Times New Roman"/>
          <w:bCs/>
          <w:color w:val="auto"/>
          <w:highlight w:val="none"/>
          <w:shd w:val="clear" w:color="auto" w:fill="auto"/>
          <w:lang w:eastAsia="zh-CN"/>
        </w:rPr>
        <w:t>t/井次，化学需氧量产生量为</w:t>
      </w:r>
      <w:r>
        <w:rPr>
          <w:rFonts w:hint="eastAsia" w:ascii="Times New Roman" w:hAnsi="Times New Roman" w:cs="Times New Roman"/>
          <w:bCs/>
          <w:color w:val="auto"/>
          <w:highlight w:val="none"/>
          <w:shd w:val="clear" w:color="auto" w:fill="auto"/>
          <w:lang w:val="en-US" w:eastAsia="zh-CN"/>
        </w:rPr>
        <w:t>34679</w:t>
      </w:r>
      <w:r>
        <w:rPr>
          <w:rFonts w:hint="default" w:ascii="Times New Roman" w:hAnsi="Times New Roman" w:cs="Times New Roman"/>
          <w:bCs/>
          <w:color w:val="auto"/>
          <w:highlight w:val="none"/>
          <w:shd w:val="clear" w:color="auto" w:fill="auto"/>
          <w:lang w:eastAsia="zh-CN"/>
        </w:rPr>
        <w:t>g/井次，石油类产生量为</w:t>
      </w:r>
      <w:r>
        <w:rPr>
          <w:rFonts w:hint="eastAsia" w:ascii="Times New Roman" w:hAnsi="Times New Roman" w:cs="Times New Roman"/>
          <w:bCs/>
          <w:color w:val="auto"/>
          <w:highlight w:val="none"/>
          <w:shd w:val="clear" w:color="auto" w:fill="auto"/>
          <w:lang w:val="en-US" w:eastAsia="zh-CN"/>
        </w:rPr>
        <w:t>6122</w:t>
      </w:r>
      <w:r>
        <w:rPr>
          <w:rFonts w:hint="default" w:ascii="Times New Roman" w:hAnsi="Times New Roman" w:cs="Times New Roman"/>
          <w:bCs/>
          <w:color w:val="auto"/>
          <w:highlight w:val="none"/>
          <w:shd w:val="clear" w:color="auto" w:fill="auto"/>
          <w:lang w:eastAsia="zh-CN"/>
        </w:rPr>
        <w:t>g/井次。按井下作业每2年1次计算，则单井每年产生井下作业废水</w:t>
      </w:r>
      <w:r>
        <w:rPr>
          <w:rFonts w:hint="eastAsia" w:ascii="Times New Roman" w:hAnsi="Times New Roman" w:cs="Times New Roman"/>
          <w:bCs/>
          <w:color w:val="auto"/>
          <w:highlight w:val="none"/>
          <w:shd w:val="clear" w:color="auto" w:fill="auto"/>
          <w:lang w:val="en-US" w:eastAsia="zh-CN"/>
        </w:rPr>
        <w:t>13.6</w:t>
      </w:r>
      <w:r>
        <w:rPr>
          <w:rFonts w:hint="default" w:ascii="Times New Roman" w:hAnsi="Times New Roman" w:cs="Times New Roman"/>
          <w:bCs/>
          <w:color w:val="auto"/>
          <w:highlight w:val="none"/>
          <w:shd w:val="clear" w:color="auto" w:fill="auto"/>
          <w:lang w:eastAsia="zh-CN"/>
        </w:rPr>
        <w:t>t、化学需氧量</w:t>
      </w:r>
      <w:r>
        <w:rPr>
          <w:rFonts w:hint="eastAsia" w:ascii="Times New Roman" w:hAnsi="Times New Roman"/>
          <w:color w:val="auto"/>
          <w:highlight w:val="none"/>
          <w:shd w:val="clear" w:color="auto" w:fill="auto"/>
          <w:lang w:val="en-US" w:eastAsia="zh-CN"/>
        </w:rPr>
        <w:t>17339.5</w:t>
      </w:r>
      <w:r>
        <w:rPr>
          <w:rFonts w:ascii="Times New Roman" w:hAnsi="Times New Roman"/>
          <w:color w:val="auto"/>
          <w:highlight w:val="none"/>
          <w:shd w:val="clear" w:color="auto" w:fill="auto"/>
        </w:rPr>
        <w:t>g</w:t>
      </w:r>
      <w:r>
        <w:rPr>
          <w:rFonts w:hint="default" w:ascii="Times New Roman" w:hAnsi="Times New Roman" w:cs="Times New Roman"/>
          <w:bCs/>
          <w:color w:val="auto"/>
          <w:highlight w:val="none"/>
          <w:shd w:val="clear" w:color="auto" w:fill="auto"/>
          <w:lang w:eastAsia="zh-CN"/>
        </w:rPr>
        <w:t>、石油类</w:t>
      </w:r>
      <w:r>
        <w:rPr>
          <w:rFonts w:hint="eastAsia" w:ascii="Times New Roman" w:hAnsi="Times New Roman"/>
          <w:color w:val="auto"/>
          <w:highlight w:val="none"/>
          <w:shd w:val="clear" w:color="auto" w:fill="auto"/>
          <w:lang w:val="en-US" w:eastAsia="zh-CN"/>
        </w:rPr>
        <w:t>3061</w:t>
      </w:r>
      <w:r>
        <w:rPr>
          <w:rFonts w:ascii="Times New Roman" w:hAnsi="Times New Roman"/>
          <w:color w:val="auto"/>
          <w:highlight w:val="none"/>
          <w:shd w:val="clear" w:color="auto" w:fill="auto"/>
        </w:rPr>
        <w:t>g</w:t>
      </w:r>
      <w:r>
        <w:rPr>
          <w:rFonts w:hint="default" w:ascii="Times New Roman" w:hAnsi="Times New Roman" w:cs="Times New Roman"/>
          <w:bCs/>
          <w:color w:val="auto"/>
          <w:highlight w:val="none"/>
          <w:shd w:val="clear" w:color="auto" w:fill="auto"/>
          <w:lang w:eastAsia="zh-CN"/>
        </w:rPr>
        <w:t>，则本工程井下作业工程产生的井下作业废水量为</w:t>
      </w:r>
      <w:r>
        <w:rPr>
          <w:rFonts w:hint="eastAsia" w:ascii="Times New Roman" w:hAnsi="Times New Roman" w:cs="Times New Roman"/>
          <w:bCs/>
          <w:color w:val="auto"/>
          <w:highlight w:val="none"/>
          <w:shd w:val="clear" w:color="auto" w:fill="auto"/>
          <w:lang w:val="en-US" w:eastAsia="zh-CN"/>
        </w:rPr>
        <w:t>244.8</w:t>
      </w:r>
      <w:r>
        <w:rPr>
          <w:rFonts w:hint="default" w:ascii="Times New Roman" w:hAnsi="Times New Roman" w:cs="Times New Roman"/>
          <w:bCs/>
          <w:color w:val="auto"/>
          <w:highlight w:val="none"/>
          <w:shd w:val="clear" w:color="auto" w:fill="auto"/>
          <w:lang w:eastAsia="zh-CN"/>
        </w:rPr>
        <w:t>t/a，其中污染物化学需氧量、石油类为</w:t>
      </w:r>
      <w:r>
        <w:rPr>
          <w:rFonts w:hint="eastAsia" w:ascii="Times New Roman" w:hAnsi="Times New Roman" w:cs="Times New Roman"/>
          <w:bCs/>
          <w:color w:val="auto"/>
          <w:highlight w:val="none"/>
          <w:shd w:val="clear" w:color="auto" w:fill="auto"/>
          <w:lang w:val="en-US" w:eastAsia="zh-CN"/>
        </w:rPr>
        <w:t>0.31</w:t>
      </w:r>
      <w:r>
        <w:rPr>
          <w:rFonts w:hint="default" w:ascii="Times New Roman" w:hAnsi="Times New Roman" w:cs="Times New Roman"/>
          <w:bCs/>
          <w:color w:val="auto"/>
          <w:highlight w:val="none"/>
          <w:shd w:val="clear" w:color="auto" w:fill="auto"/>
          <w:lang w:eastAsia="zh-CN"/>
        </w:rPr>
        <w:t>t/a、</w:t>
      </w:r>
      <w:r>
        <w:rPr>
          <w:rFonts w:hint="eastAsia" w:ascii="Times New Roman" w:hAnsi="Times New Roman" w:cs="Times New Roman"/>
          <w:bCs/>
          <w:color w:val="auto"/>
          <w:highlight w:val="none"/>
          <w:shd w:val="clear" w:color="auto" w:fill="auto"/>
          <w:lang w:val="en-US" w:eastAsia="zh-CN"/>
        </w:rPr>
        <w:t>0.055</w:t>
      </w:r>
      <w:r>
        <w:rPr>
          <w:rFonts w:hint="default" w:ascii="Times New Roman" w:hAnsi="Times New Roman" w:cs="Times New Roman"/>
          <w:bCs/>
          <w:color w:val="auto"/>
          <w:highlight w:val="none"/>
          <w:shd w:val="clear" w:color="auto" w:fill="auto"/>
          <w:lang w:eastAsia="zh-CN"/>
        </w:rPr>
        <w:t>t/a。井下作业</w:t>
      </w:r>
      <w:r>
        <w:rPr>
          <w:rFonts w:hint="eastAsia" w:ascii="Times New Roman" w:hAnsi="Times New Roman" w:cs="Times New Roman"/>
          <w:bCs/>
          <w:color w:val="auto"/>
          <w:highlight w:val="none"/>
          <w:shd w:val="clear" w:color="auto" w:fill="auto"/>
          <w:lang w:val="en-US" w:eastAsia="zh-CN"/>
        </w:rPr>
        <w:t>时</w:t>
      </w:r>
      <w:r>
        <w:rPr>
          <w:rFonts w:hint="default" w:ascii="Times New Roman" w:hAnsi="Times New Roman" w:cs="Times New Roman"/>
          <w:bCs/>
          <w:color w:val="auto"/>
          <w:highlight w:val="none"/>
          <w:shd w:val="clear" w:color="auto" w:fill="auto"/>
          <w:lang w:eastAsia="zh-CN"/>
        </w:rPr>
        <w:t>带</w:t>
      </w:r>
      <w:r>
        <w:rPr>
          <w:rFonts w:hint="eastAsia" w:ascii="Times New Roman" w:hAnsi="Times New Roman" w:cs="Times New Roman"/>
          <w:bCs/>
          <w:color w:val="auto"/>
          <w:highlight w:val="none"/>
          <w:shd w:val="clear" w:color="auto" w:fill="auto"/>
          <w:lang w:val="en-US" w:eastAsia="zh-CN"/>
        </w:rPr>
        <w:t>专用</w:t>
      </w:r>
      <w:r>
        <w:rPr>
          <w:rFonts w:hint="default" w:ascii="Times New Roman" w:hAnsi="Times New Roman" w:cs="Times New Roman"/>
          <w:bCs/>
          <w:color w:val="auto"/>
          <w:highlight w:val="none"/>
          <w:shd w:val="clear" w:color="auto" w:fill="auto"/>
          <w:lang w:eastAsia="zh-CN"/>
        </w:rPr>
        <w:t>回收罐回收作业废水，拉运至</w:t>
      </w:r>
      <w:r>
        <w:rPr>
          <w:rFonts w:hint="eastAsia"/>
          <w:color w:val="auto"/>
          <w:highlight w:val="none"/>
          <w:lang w:eastAsia="zh-CN"/>
        </w:rPr>
        <w:t>风城二号稠油处理站</w:t>
      </w:r>
      <w:r>
        <w:rPr>
          <w:rFonts w:hint="default" w:ascii="Times New Roman" w:hAnsi="Times New Roman" w:cs="Times New Roman"/>
          <w:bCs/>
          <w:color w:val="auto"/>
          <w:highlight w:val="none"/>
          <w:shd w:val="clear" w:color="auto" w:fill="auto"/>
          <w:lang w:eastAsia="zh-CN"/>
        </w:rPr>
        <w:t>处理达到《碎屑岩油藏注水水质指标技术要求及分析方法》（SY/T5329-2022）</w:t>
      </w:r>
      <w:r>
        <w:rPr>
          <w:rFonts w:hint="eastAsia" w:ascii="Times New Roman" w:hAnsi="Times New Roman" w:cs="Times New Roman"/>
          <w:bCs/>
          <w:color w:val="auto"/>
          <w:highlight w:val="none"/>
          <w:shd w:val="clear" w:color="auto" w:fill="auto"/>
          <w:lang w:val="en-US" w:eastAsia="zh-CN"/>
        </w:rPr>
        <w:t>和《陆上油气田采出水地下注入环境保护技术规范》（SY/T7784-2024）</w:t>
      </w:r>
      <w:r>
        <w:rPr>
          <w:rFonts w:hint="default" w:ascii="Times New Roman" w:hAnsi="Times New Roman" w:cs="Times New Roman"/>
          <w:bCs/>
          <w:color w:val="auto"/>
          <w:highlight w:val="none"/>
          <w:shd w:val="clear" w:color="auto" w:fill="auto"/>
          <w:lang w:eastAsia="zh-CN"/>
        </w:rPr>
        <w:t>中的有关标准后回注</w:t>
      </w:r>
      <w:r>
        <w:rPr>
          <w:rFonts w:hint="eastAsia" w:ascii="Times New Roman" w:hAnsi="Times New Roman" w:cs="Times New Roman"/>
          <w:bCs/>
          <w:color w:val="auto"/>
          <w:highlight w:val="none"/>
          <w:shd w:val="clear" w:color="auto" w:fill="auto"/>
          <w:lang w:val="en-US" w:eastAsia="zh-CN"/>
        </w:rPr>
        <w:t>油藏</w:t>
      </w:r>
      <w:r>
        <w:rPr>
          <w:rFonts w:hint="default" w:ascii="Times New Roman" w:hAnsi="Times New Roman" w:cs="Times New Roman"/>
          <w:color w:val="auto"/>
          <w:szCs w:val="22"/>
          <w:highlight w:val="none"/>
          <w:shd w:val="clear" w:color="auto" w:fill="auto"/>
        </w:rPr>
        <w:t>，不外排</w:t>
      </w:r>
      <w:r>
        <w:rPr>
          <w:rFonts w:hint="default" w:ascii="Times New Roman" w:hAnsi="Times New Roman" w:cs="Times New Roman"/>
          <w:bCs/>
          <w:color w:val="auto"/>
          <w:highlight w:val="none"/>
          <w:shd w:val="clear" w:color="auto" w:fill="auto"/>
          <w:lang w:eastAsia="zh-CN"/>
        </w:rPr>
        <w:t>。</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szCs w:val="22"/>
          <w:highlight w:val="none"/>
        </w:rPr>
        <w:t>（3）</w:t>
      </w:r>
      <w:r>
        <w:rPr>
          <w:color w:val="auto"/>
          <w:highlight w:val="none"/>
        </w:rPr>
        <w:t>生活污水</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运营期不新增劳动定员，均依托现有工作人员，井场无人值守。故运营</w:t>
      </w:r>
      <w:r>
        <w:rPr>
          <w:rFonts w:hint="eastAsia"/>
          <w:color w:val="auto"/>
          <w:highlight w:val="none"/>
          <w:lang w:eastAsia="zh-CN"/>
        </w:rPr>
        <w:t>期间</w:t>
      </w:r>
      <w:r>
        <w:rPr>
          <w:color w:val="auto"/>
          <w:highlight w:val="none"/>
        </w:rPr>
        <w:t>不新增生活污水。</w:t>
      </w:r>
    </w:p>
    <w:p>
      <w:pPr>
        <w:pStyle w:val="5"/>
        <w:pageBreakBefore w:val="0"/>
        <w:widowControl/>
        <w:kinsoku/>
        <w:wordWrap/>
        <w:overflowPunct/>
        <w:topLinePunct w:val="0"/>
        <w:autoSpaceDE/>
        <w:autoSpaceDN/>
        <w:bidi w:val="0"/>
        <w:spacing w:line="480" w:lineRule="exact"/>
        <w:textAlignment w:val="auto"/>
        <w:rPr>
          <w:color w:val="auto"/>
          <w:highlight w:val="none"/>
        </w:rPr>
      </w:pPr>
      <w:bookmarkStart w:id="332" w:name="_Hlk68945341"/>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.2废气污染源</w:t>
      </w:r>
    </w:p>
    <w:bookmarkEnd w:id="332"/>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本工程运营期废气主要为井场、站场无组织废气。根据区块油气藏流体性质，天然气中不含硫化氢，在油气集输环节产生的挥发性有机物（</w:t>
      </w:r>
      <w:r>
        <w:rPr>
          <w:color w:val="auto"/>
          <w:sz w:val="24"/>
          <w:szCs w:val="24"/>
          <w:highlight w:val="none"/>
        </w:rPr>
        <w:t>VOCs</w:t>
      </w:r>
      <w:r>
        <w:rPr>
          <w:rFonts w:hint="eastAsia"/>
          <w:color w:val="auto"/>
          <w:sz w:val="24"/>
          <w:szCs w:val="24"/>
          <w:highlight w:val="none"/>
        </w:rPr>
        <w:t>）主要包括非甲烷总烃。非甲烷总烃排放源包括两个，一个为储罐大小呼吸过程以及装卸过程的无组织排放，一个为阀门、法兰等位置的无组织排放。</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outlineLvl w:val="4"/>
        <w:rPr>
          <w:rFonts w:hint="eastAsia"/>
          <w:color w:val="auto"/>
          <w:sz w:val="24"/>
          <w:szCs w:val="24"/>
          <w:lang w:eastAsia="zh-CN"/>
        </w:rPr>
      </w:pPr>
      <w:r>
        <w:rPr>
          <w:rFonts w:hint="eastAsia"/>
          <w:color w:val="auto"/>
          <w:sz w:val="24"/>
          <w:szCs w:val="24"/>
          <w:lang w:eastAsia="zh-CN"/>
        </w:rPr>
        <w:t>（</w:t>
      </w:r>
      <w:r>
        <w:rPr>
          <w:rFonts w:hint="eastAsia"/>
          <w:color w:val="auto"/>
          <w:sz w:val="24"/>
          <w:szCs w:val="24"/>
          <w:lang w:val="en-US" w:eastAsia="zh-CN"/>
        </w:rPr>
        <w:t>1</w:t>
      </w:r>
      <w:r>
        <w:rPr>
          <w:rFonts w:hint="eastAsia"/>
          <w:color w:val="auto"/>
          <w:sz w:val="24"/>
          <w:szCs w:val="24"/>
          <w:lang w:eastAsia="zh-CN"/>
        </w:rPr>
        <w:t>）</w:t>
      </w:r>
      <w:r>
        <w:rPr>
          <w:rFonts w:hint="eastAsia"/>
          <w:color w:val="auto"/>
          <w:sz w:val="24"/>
          <w:szCs w:val="24"/>
        </w:rPr>
        <w:t>储罐无组织挥发非甲烷总烃</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color w:val="auto"/>
          <w:sz w:val="24"/>
          <w:szCs w:val="24"/>
          <w:lang w:val="en-US" w:eastAsia="zh-CN"/>
        </w:rPr>
      </w:pPr>
      <w:r>
        <w:rPr>
          <w:rFonts w:hint="default"/>
          <w:color w:val="auto"/>
          <w:sz w:val="24"/>
          <w:szCs w:val="24"/>
          <w:lang w:val="en-US" w:eastAsia="zh-CN"/>
        </w:rPr>
        <w:t>①</w:t>
      </w:r>
      <w:r>
        <w:rPr>
          <w:rFonts w:hint="eastAsia"/>
          <w:color w:val="auto"/>
          <w:sz w:val="24"/>
          <w:szCs w:val="24"/>
          <w:lang w:val="en-US" w:eastAsia="zh-CN"/>
        </w:rPr>
        <w:t>拉油罐无组织挥发</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color w:val="auto"/>
          <w:sz w:val="24"/>
          <w:szCs w:val="24"/>
        </w:rPr>
        <w:t>本</w:t>
      </w:r>
      <w:r>
        <w:rPr>
          <w:rFonts w:hint="eastAsia"/>
          <w:color w:val="auto"/>
          <w:sz w:val="24"/>
          <w:szCs w:val="24"/>
        </w:rPr>
        <w:t>工程</w:t>
      </w:r>
      <w:r>
        <w:rPr>
          <w:color w:val="auto"/>
          <w:sz w:val="24"/>
          <w:szCs w:val="24"/>
        </w:rPr>
        <w:t>储罐</w:t>
      </w:r>
      <w:r>
        <w:rPr>
          <w:rFonts w:hint="eastAsia"/>
          <w:color w:val="auto"/>
          <w:sz w:val="24"/>
          <w:szCs w:val="24"/>
        </w:rPr>
        <w:t>均</w:t>
      </w:r>
      <w:r>
        <w:rPr>
          <w:color w:val="auto"/>
          <w:sz w:val="24"/>
          <w:szCs w:val="24"/>
        </w:rPr>
        <w:t>采用固定顶罐，</w:t>
      </w:r>
      <w:r>
        <w:rPr>
          <w:rFonts w:hint="eastAsia"/>
          <w:color w:val="auto"/>
          <w:sz w:val="24"/>
          <w:szCs w:val="24"/>
        </w:rPr>
        <w:t>罐体</w:t>
      </w:r>
      <w:r>
        <w:rPr>
          <w:color w:val="auto"/>
          <w:sz w:val="24"/>
          <w:szCs w:val="24"/>
        </w:rPr>
        <w:t>因大小呼吸作用排放无组织非甲烷总烃，小呼吸排放是由于温度和大气压力的变化引起蒸气的膨胀和收缩而产生的蒸气排出，它出现在罐内液面无任何变化的情况，是非人为干扰的自然排放方式；大呼吸排放是由于人为的装料与卸料而产生的损失。因装料时罐内压力超过释放压力，蒸气从罐内压出，而卸料损失发生于液面排出，空气被抽入罐体内，因空气变成有机蒸气饱和的气体而膨胀，因而超过蒸气空间容纳的能力。</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color w:val="auto"/>
          <w:sz w:val="24"/>
          <w:szCs w:val="24"/>
        </w:rPr>
        <w:t>本</w:t>
      </w:r>
      <w:r>
        <w:rPr>
          <w:rFonts w:hint="eastAsia"/>
          <w:color w:val="auto"/>
          <w:sz w:val="24"/>
          <w:szCs w:val="24"/>
        </w:rPr>
        <w:t>工程</w:t>
      </w:r>
      <w:r>
        <w:rPr>
          <w:color w:val="auto"/>
          <w:sz w:val="24"/>
          <w:szCs w:val="24"/>
        </w:rPr>
        <w:t>固定顶罐的呼吸损耗采用公式法进行核算。</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color w:val="auto"/>
          <w:sz w:val="24"/>
          <w:szCs w:val="24"/>
        </w:rPr>
        <w:t>计算公式为：</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lang w:val="en-US" w:eastAsia="zh-CN"/>
        </w:rPr>
      </w:pPr>
      <w:r>
        <w:rPr>
          <w:rFonts w:hint="eastAsia"/>
          <w:color w:val="auto"/>
          <w:sz w:val="24"/>
          <w:szCs w:val="24"/>
          <w:lang w:val="en-US" w:eastAsia="zh-CN"/>
        </w:rPr>
        <w:t>小呼吸：L</w:t>
      </w:r>
      <w:r>
        <w:rPr>
          <w:rFonts w:hint="eastAsia"/>
          <w:color w:val="auto"/>
          <w:sz w:val="24"/>
          <w:szCs w:val="24"/>
          <w:vertAlign w:val="subscript"/>
          <w:lang w:val="en-US" w:eastAsia="zh-CN"/>
        </w:rPr>
        <w:t>B</w:t>
      </w:r>
      <w:r>
        <w:rPr>
          <w:rFonts w:hint="eastAsia"/>
          <w:color w:val="auto"/>
          <w:sz w:val="24"/>
          <w:szCs w:val="24"/>
          <w:lang w:val="en-US" w:eastAsia="zh-CN"/>
        </w:rPr>
        <w:t>=0.191×M(P/(100910-P))</w:t>
      </w:r>
      <w:r>
        <w:rPr>
          <w:rFonts w:hint="eastAsia"/>
          <w:color w:val="auto"/>
          <w:sz w:val="24"/>
          <w:szCs w:val="24"/>
          <w:vertAlign w:val="superscript"/>
          <w:lang w:val="en-US" w:eastAsia="zh-CN"/>
        </w:rPr>
        <w:t>0.68</w:t>
      </w:r>
      <w:r>
        <w:rPr>
          <w:rFonts w:hint="eastAsia"/>
          <w:color w:val="auto"/>
          <w:sz w:val="24"/>
          <w:szCs w:val="24"/>
          <w:lang w:val="en-US" w:eastAsia="zh-CN"/>
        </w:rPr>
        <w:t>×D</w:t>
      </w:r>
      <w:r>
        <w:rPr>
          <w:rFonts w:hint="eastAsia"/>
          <w:color w:val="auto"/>
          <w:sz w:val="24"/>
          <w:szCs w:val="24"/>
          <w:vertAlign w:val="superscript"/>
          <w:lang w:val="en-US" w:eastAsia="zh-CN"/>
        </w:rPr>
        <w:t>1.73</w:t>
      </w:r>
      <w:r>
        <w:rPr>
          <w:rFonts w:hint="eastAsia"/>
          <w:color w:val="auto"/>
          <w:sz w:val="24"/>
          <w:szCs w:val="24"/>
          <w:lang w:val="en-US" w:eastAsia="zh-CN"/>
        </w:rPr>
        <w:t>×H</w:t>
      </w:r>
      <w:r>
        <w:rPr>
          <w:rFonts w:hint="eastAsia"/>
          <w:color w:val="auto"/>
          <w:sz w:val="24"/>
          <w:szCs w:val="24"/>
          <w:vertAlign w:val="superscript"/>
          <w:lang w:val="en-US" w:eastAsia="zh-CN"/>
        </w:rPr>
        <w:t>0.51</w:t>
      </w:r>
      <w:r>
        <w:rPr>
          <w:rFonts w:hint="eastAsia"/>
          <w:color w:val="auto"/>
          <w:sz w:val="24"/>
          <w:szCs w:val="24"/>
          <w:lang w:val="en-US" w:eastAsia="zh-CN"/>
        </w:rPr>
        <w:t>×ΔT</w:t>
      </w:r>
      <w:r>
        <w:rPr>
          <w:rFonts w:hint="eastAsia"/>
          <w:color w:val="auto"/>
          <w:sz w:val="24"/>
          <w:szCs w:val="24"/>
          <w:vertAlign w:val="superscript"/>
          <w:lang w:val="en-US" w:eastAsia="zh-CN"/>
        </w:rPr>
        <w:t>0.45</w:t>
      </w:r>
      <w:r>
        <w:rPr>
          <w:rFonts w:hint="eastAsia"/>
          <w:color w:val="auto"/>
          <w:sz w:val="24"/>
          <w:szCs w:val="24"/>
          <w:lang w:val="en-US" w:eastAsia="zh-CN"/>
        </w:rPr>
        <w:t>×F</w:t>
      </w:r>
      <w:r>
        <w:rPr>
          <w:rFonts w:hint="eastAsia"/>
          <w:color w:val="auto"/>
          <w:sz w:val="24"/>
          <w:szCs w:val="24"/>
          <w:vertAlign w:val="subscript"/>
          <w:lang w:val="en-US" w:eastAsia="zh-CN"/>
        </w:rPr>
        <w:t>P</w:t>
      </w:r>
      <w:r>
        <w:rPr>
          <w:rFonts w:hint="eastAsia"/>
          <w:color w:val="auto"/>
          <w:sz w:val="24"/>
          <w:szCs w:val="24"/>
          <w:lang w:val="en-US" w:eastAsia="zh-CN"/>
        </w:rPr>
        <w:t>×C×K</w:t>
      </w:r>
      <w:r>
        <w:rPr>
          <w:rFonts w:hint="eastAsia"/>
          <w:color w:val="auto"/>
          <w:sz w:val="24"/>
          <w:szCs w:val="24"/>
          <w:vertAlign w:val="subscript"/>
          <w:lang w:val="en-US" w:eastAsia="zh-CN"/>
        </w:rPr>
        <w:t>c</w:t>
      </w:r>
      <w:r>
        <w:rPr>
          <w:rFonts w:hint="eastAsia"/>
          <w:color w:val="auto"/>
          <w:sz w:val="24"/>
          <w:szCs w:val="24"/>
          <w:lang w:val="en-US" w:eastAsia="zh-CN"/>
        </w:rPr>
        <w:t>×</w:t>
      </w:r>
      <w:r>
        <w:rPr>
          <w:rFonts w:hint="eastAsia"/>
          <w:color w:val="auto"/>
          <w:sz w:val="24"/>
          <w:szCs w:val="24"/>
        </w:rPr>
        <w:t>η</w:t>
      </w:r>
      <w:r>
        <w:rPr>
          <w:rFonts w:hint="eastAsia"/>
          <w:color w:val="auto"/>
          <w:sz w:val="24"/>
          <w:szCs w:val="24"/>
          <w:vertAlign w:val="subscript"/>
        </w:rPr>
        <w:t>1</w:t>
      </w:r>
      <w:r>
        <w:rPr>
          <w:rFonts w:hint="eastAsia"/>
          <w:color w:val="auto"/>
          <w:sz w:val="24"/>
          <w:szCs w:val="24"/>
          <w:lang w:val="en-US" w:eastAsia="zh-CN"/>
        </w:rPr>
        <w:t>×</w:t>
      </w:r>
      <w:r>
        <w:rPr>
          <w:rFonts w:hint="eastAsia"/>
          <w:color w:val="auto"/>
          <w:sz w:val="24"/>
          <w:szCs w:val="24"/>
        </w:rPr>
        <w:t>η</w:t>
      </w:r>
      <w:r>
        <w:rPr>
          <w:rFonts w:hint="eastAsia"/>
          <w:color w:val="auto"/>
          <w:sz w:val="24"/>
          <w:szCs w:val="24"/>
          <w:vertAlign w:val="subscript"/>
          <w:lang w:val="en-US" w:eastAsia="zh-CN"/>
        </w:rPr>
        <w:t>2</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大呼吸：L</w:t>
      </w:r>
      <w:r>
        <w:rPr>
          <w:rFonts w:hint="eastAsia"/>
          <w:color w:val="auto"/>
          <w:sz w:val="24"/>
          <w:szCs w:val="24"/>
          <w:vertAlign w:val="subscript"/>
          <w:lang w:val="en-US" w:eastAsia="zh-CN"/>
        </w:rPr>
        <w:t>W</w:t>
      </w:r>
      <w:r>
        <w:rPr>
          <w:rFonts w:hint="eastAsia"/>
          <w:color w:val="auto"/>
          <w:sz w:val="24"/>
          <w:szCs w:val="24"/>
          <w:lang w:val="en-US" w:eastAsia="zh-CN"/>
        </w:rPr>
        <w:t>=4.188×10</w:t>
      </w:r>
      <w:r>
        <w:rPr>
          <w:rFonts w:hint="eastAsia"/>
          <w:color w:val="auto"/>
          <w:sz w:val="24"/>
          <w:szCs w:val="24"/>
          <w:vertAlign w:val="superscript"/>
          <w:lang w:val="en-US" w:eastAsia="zh-CN"/>
        </w:rPr>
        <w:t>-7</w:t>
      </w:r>
      <w:r>
        <w:rPr>
          <w:rFonts w:hint="eastAsia"/>
          <w:color w:val="auto"/>
          <w:sz w:val="24"/>
          <w:szCs w:val="24"/>
          <w:lang w:val="en-US" w:eastAsia="zh-CN"/>
        </w:rPr>
        <w:t>×M×P×K</w:t>
      </w:r>
      <w:r>
        <w:rPr>
          <w:rFonts w:hint="eastAsia"/>
          <w:color w:val="auto"/>
          <w:sz w:val="24"/>
          <w:szCs w:val="24"/>
          <w:vertAlign w:val="subscript"/>
          <w:lang w:val="en-US" w:eastAsia="zh-CN"/>
        </w:rPr>
        <w:t>N</w:t>
      </w:r>
      <w:r>
        <w:rPr>
          <w:rFonts w:hint="eastAsia"/>
          <w:color w:val="auto"/>
          <w:sz w:val="24"/>
          <w:szCs w:val="24"/>
          <w:lang w:val="en-US" w:eastAsia="zh-CN"/>
        </w:rPr>
        <w:t>×K</w:t>
      </w:r>
      <w:r>
        <w:rPr>
          <w:rFonts w:hint="eastAsia"/>
          <w:color w:val="auto"/>
          <w:sz w:val="24"/>
          <w:szCs w:val="24"/>
          <w:vertAlign w:val="subscript"/>
          <w:lang w:val="en-US" w:eastAsia="zh-CN"/>
        </w:rPr>
        <w:t>c</w:t>
      </w:r>
      <w:r>
        <w:rPr>
          <w:rFonts w:hint="eastAsia"/>
          <w:color w:val="auto"/>
          <w:sz w:val="24"/>
          <w:szCs w:val="24"/>
          <w:lang w:val="en-US" w:eastAsia="zh-CN"/>
        </w:rPr>
        <w:t>×</w:t>
      </w:r>
      <w:r>
        <w:rPr>
          <w:rFonts w:hint="eastAsia"/>
          <w:color w:val="auto"/>
          <w:sz w:val="24"/>
          <w:szCs w:val="24"/>
        </w:rPr>
        <w:t>η</w:t>
      </w:r>
      <w:r>
        <w:rPr>
          <w:rFonts w:hint="eastAsia"/>
          <w:color w:val="auto"/>
          <w:sz w:val="24"/>
          <w:szCs w:val="24"/>
          <w:vertAlign w:val="subscript"/>
        </w:rPr>
        <w:t>1</w:t>
      </w:r>
      <w:r>
        <w:rPr>
          <w:rFonts w:hint="eastAsia"/>
          <w:color w:val="auto"/>
          <w:sz w:val="24"/>
          <w:szCs w:val="24"/>
          <w:lang w:val="en-US" w:eastAsia="zh-CN"/>
        </w:rPr>
        <w:t>×</w:t>
      </w:r>
      <w:r>
        <w:rPr>
          <w:rFonts w:hint="eastAsia"/>
          <w:color w:val="auto"/>
          <w:sz w:val="24"/>
          <w:szCs w:val="24"/>
        </w:rPr>
        <w:t>η</w:t>
      </w:r>
      <w:r>
        <w:rPr>
          <w:rFonts w:hint="eastAsia"/>
          <w:color w:val="auto"/>
          <w:sz w:val="24"/>
          <w:szCs w:val="24"/>
          <w:vertAlign w:val="subscript"/>
          <w:lang w:val="en-US" w:eastAsia="zh-CN"/>
        </w:rPr>
        <w:t>2</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lang w:val="en-US" w:eastAsia="zh-CN"/>
        </w:rPr>
      </w:pPr>
      <w:r>
        <w:rPr>
          <w:color w:val="auto"/>
          <w:sz w:val="24"/>
          <w:szCs w:val="24"/>
        </w:rPr>
        <w:t>式中：</w:t>
      </w:r>
      <w:r>
        <w:rPr>
          <w:rFonts w:hint="eastAsia"/>
          <w:color w:val="auto"/>
          <w:sz w:val="24"/>
          <w:szCs w:val="24"/>
          <w:lang w:val="en-US" w:eastAsia="zh-CN"/>
        </w:rPr>
        <w:t>L</w:t>
      </w:r>
      <w:r>
        <w:rPr>
          <w:rFonts w:hint="eastAsia"/>
          <w:color w:val="auto"/>
          <w:sz w:val="24"/>
          <w:szCs w:val="24"/>
          <w:vertAlign w:val="subscript"/>
          <w:lang w:val="en-US" w:eastAsia="zh-CN"/>
        </w:rPr>
        <w:t>B</w:t>
      </w:r>
      <w:r>
        <w:rPr>
          <w:rFonts w:hint="eastAsia"/>
          <w:color w:val="auto"/>
          <w:sz w:val="24"/>
          <w:szCs w:val="24"/>
          <w:lang w:val="en-US" w:eastAsia="zh-CN"/>
        </w:rPr>
        <w:t>——储罐的呼吸排放量(kg/a)；</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lang w:val="en-US" w:eastAsia="zh-CN"/>
        </w:rPr>
      </w:pPr>
      <w:r>
        <w:rPr>
          <w:rFonts w:hint="eastAsia"/>
          <w:color w:val="auto"/>
          <w:sz w:val="24"/>
          <w:szCs w:val="24"/>
        </w:rPr>
        <w:t>L</w:t>
      </w:r>
      <w:r>
        <w:rPr>
          <w:rFonts w:hint="eastAsia"/>
          <w:color w:val="auto"/>
          <w:sz w:val="24"/>
          <w:szCs w:val="24"/>
          <w:vertAlign w:val="subscript"/>
        </w:rPr>
        <w:t>W</w:t>
      </w:r>
      <w:r>
        <w:rPr>
          <w:rFonts w:hint="eastAsia"/>
          <w:color w:val="auto"/>
          <w:sz w:val="24"/>
          <w:szCs w:val="24"/>
        </w:rPr>
        <w:t>——固定顶罐的工作损失(kg/m</w:t>
      </w:r>
      <w:r>
        <w:rPr>
          <w:rFonts w:hint="eastAsia"/>
          <w:color w:val="auto"/>
          <w:sz w:val="24"/>
          <w:szCs w:val="24"/>
          <w:vertAlign w:val="superscript"/>
        </w:rPr>
        <w:t>3</w:t>
      </w:r>
      <w:r>
        <w:rPr>
          <w:rFonts w:hint="eastAsia"/>
          <w:color w:val="auto"/>
          <w:sz w:val="24"/>
          <w:szCs w:val="24"/>
        </w:rPr>
        <w:t>投入量)；</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M——储罐内蒸汽的分子量；</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P——在大量液体状态下，真实的蒸汽压力(Pa)；</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D——罐的直径(m)；</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H——平均蒸汽空间高度(m)；</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ΔT——一天之内的平均温差(℃)；</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F</w:t>
      </w:r>
      <w:r>
        <w:rPr>
          <w:rFonts w:hint="eastAsia"/>
          <w:color w:val="auto"/>
          <w:sz w:val="24"/>
          <w:szCs w:val="24"/>
          <w:vertAlign w:val="subscript"/>
          <w:lang w:val="en-US" w:eastAsia="zh-CN"/>
        </w:rPr>
        <w:t>P</w:t>
      </w:r>
      <w:r>
        <w:rPr>
          <w:rFonts w:hint="eastAsia"/>
          <w:color w:val="auto"/>
          <w:sz w:val="24"/>
          <w:szCs w:val="24"/>
          <w:lang w:val="en-US" w:eastAsia="zh-CN"/>
        </w:rPr>
        <w:t>——涂层因子(无量纲)，根据油气状况取值在1～1.5之间，取1.2；</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C——用于小直径罐的调节因子(无量纲)，直径在0～9m之间的罐体，C=1-0.0123(D-9)</w:t>
      </w:r>
      <w:r>
        <w:rPr>
          <w:rFonts w:hint="eastAsia"/>
          <w:color w:val="auto"/>
          <w:sz w:val="24"/>
          <w:szCs w:val="24"/>
          <w:vertAlign w:val="superscript"/>
          <w:lang w:val="en-US" w:eastAsia="zh-CN"/>
        </w:rPr>
        <w:t>2</w:t>
      </w:r>
      <w:r>
        <w:rPr>
          <w:rFonts w:hint="eastAsia"/>
          <w:color w:val="auto"/>
          <w:sz w:val="24"/>
          <w:szCs w:val="24"/>
          <w:lang w:val="en-US" w:eastAsia="zh-CN"/>
        </w:rPr>
        <w:t>，罐径大于9m的C=1；</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rPr>
      </w:pPr>
      <w:r>
        <w:rPr>
          <w:rFonts w:hint="eastAsia"/>
          <w:color w:val="auto"/>
          <w:sz w:val="24"/>
          <w:szCs w:val="24"/>
        </w:rPr>
        <w:t>K</w:t>
      </w:r>
      <w:r>
        <w:rPr>
          <w:rFonts w:hint="eastAsia"/>
          <w:color w:val="auto"/>
          <w:sz w:val="24"/>
          <w:szCs w:val="24"/>
          <w:vertAlign w:val="subscript"/>
        </w:rPr>
        <w:t>c</w:t>
      </w:r>
      <w:r>
        <w:rPr>
          <w:rFonts w:hint="eastAsia"/>
          <w:color w:val="auto"/>
          <w:sz w:val="24"/>
          <w:szCs w:val="24"/>
        </w:rPr>
        <w:t>——产品因子(石油原油取0.65)。</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——周转因子(无量纲)，取值按年周转次数(K，次)确定：K≤36，KN=1，36＜K≤220，K</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=11.467×K</w:t>
      </w:r>
      <w:r>
        <w:rPr>
          <w:rFonts w:hint="default" w:ascii="Times New Roman" w:hAnsi="Times New Roman" w:cs="Times New Roman"/>
          <w:color w:val="auto"/>
          <w:sz w:val="24"/>
          <w:szCs w:val="24"/>
          <w:vertAlign w:val="superscript"/>
        </w:rPr>
        <w:t>-0.7026</w:t>
      </w:r>
      <w:r>
        <w:rPr>
          <w:rFonts w:hint="default" w:ascii="Times New Roman" w:hAnsi="Times New Roman" w:cs="Times New Roman"/>
          <w:color w:val="auto"/>
          <w:sz w:val="24"/>
          <w:szCs w:val="24"/>
        </w:rPr>
        <w:t>，K＞220，KN=0.26；</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——内浮顶储罐取0.05，拱顶罐1</w:t>
      </w:r>
      <w:r>
        <w:rPr>
          <w:rFonts w:hint="default" w:ascii="Times New Roman" w:hAnsi="Times New Roman"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η</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一设置呼吸阀取0.7，不设呼吸阀取1。</w:t>
      </w:r>
    </w:p>
    <w:p>
      <w:pPr>
        <w:pStyle w:val="98"/>
        <w:bidi w:val="0"/>
        <w:spacing w:line="240" w:lineRule="auto"/>
        <w:rPr>
          <w:rFonts w:hint="eastAsia"/>
          <w:color w:val="auto"/>
          <w:lang w:val="en-US" w:eastAsia="zh-CN"/>
        </w:rPr>
      </w:pPr>
      <w:r>
        <w:rPr>
          <w:rFonts w:hint="eastAsia"/>
          <w:color w:val="auto"/>
          <w:lang w:val="en-US" w:eastAsia="zh-CN"/>
        </w:rPr>
        <w:t>3.3-5  各参数取值一览表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0"/>
        <w:gridCol w:w="585"/>
        <w:gridCol w:w="1092"/>
        <w:gridCol w:w="730"/>
        <w:gridCol w:w="805"/>
        <w:gridCol w:w="970"/>
        <w:gridCol w:w="624"/>
        <w:gridCol w:w="624"/>
        <w:gridCol w:w="624"/>
        <w:gridCol w:w="624"/>
        <w:gridCol w:w="580"/>
        <w:gridCol w:w="5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7" w:type="dxa"/>
            <w:tcBorders>
              <w:tl2br w:val="nil"/>
              <w:tr2bl w:val="nil"/>
            </w:tcBorders>
            <w:vAlign w:val="top"/>
          </w:tcPr>
          <w:p>
            <w:pPr>
              <w:pStyle w:val="41"/>
              <w:widowControl w:val="0"/>
              <w:bidi w:val="0"/>
              <w:jc w:val="both"/>
              <w:rPr>
                <w:rFonts w:hint="default"/>
                <w:color w:val="auto"/>
                <w:lang w:val="en-US" w:eastAsia="zh-CN"/>
              </w:rPr>
            </w:pPr>
            <w:r>
              <w:rPr>
                <w:rFonts w:hint="eastAsia"/>
                <w:color w:val="auto"/>
                <w:lang w:val="en-US" w:eastAsia="zh-CN"/>
              </w:rPr>
              <w:t>类别</w:t>
            </w:r>
          </w:p>
        </w:tc>
        <w:tc>
          <w:tcPr>
            <w:tcW w:w="634"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M</w:t>
            </w:r>
          </w:p>
        </w:tc>
        <w:tc>
          <w:tcPr>
            <w:tcW w:w="1119"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P（Pa）</w:t>
            </w:r>
          </w:p>
        </w:tc>
        <w:tc>
          <w:tcPr>
            <w:tcW w:w="774"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D/m</w:t>
            </w:r>
          </w:p>
        </w:tc>
        <w:tc>
          <w:tcPr>
            <w:tcW w:w="807"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H（m）</w:t>
            </w:r>
          </w:p>
        </w:tc>
        <w:tc>
          <w:tcPr>
            <w:tcW w:w="1009"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ΔT（℃）</w:t>
            </w:r>
          </w:p>
        </w:tc>
        <w:tc>
          <w:tcPr>
            <w:tcW w:w="636"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F</w:t>
            </w:r>
            <w:r>
              <w:rPr>
                <w:rFonts w:hint="eastAsia"/>
                <w:color w:val="auto"/>
                <w:vertAlign w:val="subscript"/>
                <w:lang w:val="en-US" w:eastAsia="zh-CN"/>
              </w:rPr>
              <w:t>P</w:t>
            </w:r>
          </w:p>
        </w:tc>
        <w:tc>
          <w:tcPr>
            <w:tcW w:w="636"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C</w:t>
            </w:r>
          </w:p>
        </w:tc>
        <w:tc>
          <w:tcPr>
            <w:tcW w:w="636"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K</w:t>
            </w:r>
            <w:r>
              <w:rPr>
                <w:rFonts w:hint="eastAsia"/>
                <w:color w:val="auto"/>
                <w:vertAlign w:val="subscript"/>
                <w:lang w:val="en-US" w:eastAsia="zh-CN"/>
              </w:rPr>
              <w:t>c</w:t>
            </w:r>
          </w:p>
        </w:tc>
        <w:tc>
          <w:tcPr>
            <w:tcW w:w="636"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K</w:t>
            </w:r>
            <w:r>
              <w:rPr>
                <w:rFonts w:hint="eastAsia"/>
                <w:color w:val="auto"/>
                <w:vertAlign w:val="subscript"/>
                <w:lang w:val="en-US" w:eastAsia="zh-CN"/>
              </w:rPr>
              <w:t>N</w:t>
            </w:r>
          </w:p>
        </w:tc>
        <w:tc>
          <w:tcPr>
            <w:tcW w:w="626" w:type="dxa"/>
            <w:tcBorders>
              <w:tl2br w:val="nil"/>
              <w:tr2bl w:val="nil"/>
            </w:tcBorders>
            <w:vAlign w:val="top"/>
          </w:tcPr>
          <w:p>
            <w:pPr>
              <w:pStyle w:val="41"/>
              <w:widowControl w:val="0"/>
              <w:bidi w:val="0"/>
              <w:rPr>
                <w:rFonts w:hint="default"/>
                <w:color w:val="auto"/>
                <w:lang w:val="en-US" w:eastAsia="zh-CN"/>
              </w:rPr>
            </w:pPr>
            <w:r>
              <w:rPr>
                <w:rFonts w:hint="default"/>
                <w:color w:val="auto"/>
                <w:lang w:val="en-US" w:eastAsia="zh-CN"/>
              </w:rPr>
              <w:t>η1</w:t>
            </w:r>
          </w:p>
        </w:tc>
        <w:tc>
          <w:tcPr>
            <w:tcW w:w="630" w:type="dxa"/>
            <w:tcBorders>
              <w:tl2br w:val="nil"/>
              <w:tr2bl w:val="nil"/>
            </w:tcBorders>
            <w:vAlign w:val="top"/>
          </w:tcPr>
          <w:p>
            <w:pPr>
              <w:pStyle w:val="41"/>
              <w:widowControl w:val="0"/>
              <w:bidi w:val="0"/>
              <w:rPr>
                <w:rFonts w:hint="default"/>
                <w:color w:val="auto"/>
                <w:lang w:val="en-US" w:eastAsia="zh-CN"/>
              </w:rPr>
            </w:pPr>
            <w:r>
              <w:rPr>
                <w:rFonts w:hint="default"/>
                <w:color w:val="auto"/>
                <w:lang w:val="en-US" w:eastAsia="zh-CN"/>
              </w:rPr>
              <w:t>η</w:t>
            </w:r>
            <w:r>
              <w:rPr>
                <w:rFonts w:hint="eastAsia"/>
                <w:color w:val="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7"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拉油站</w:t>
            </w:r>
          </w:p>
        </w:tc>
        <w:tc>
          <w:tcPr>
            <w:tcW w:w="634"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50</w:t>
            </w:r>
          </w:p>
        </w:tc>
        <w:tc>
          <w:tcPr>
            <w:tcW w:w="1119"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33976.75</w:t>
            </w:r>
          </w:p>
        </w:tc>
        <w:tc>
          <w:tcPr>
            <w:tcW w:w="774"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11.3</w:t>
            </w:r>
          </w:p>
        </w:tc>
        <w:tc>
          <w:tcPr>
            <w:tcW w:w="807"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4</w:t>
            </w:r>
          </w:p>
        </w:tc>
        <w:tc>
          <w:tcPr>
            <w:tcW w:w="1009"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11</w:t>
            </w:r>
          </w:p>
        </w:tc>
        <w:tc>
          <w:tcPr>
            <w:tcW w:w="636"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1.20</w:t>
            </w:r>
          </w:p>
        </w:tc>
        <w:tc>
          <w:tcPr>
            <w:tcW w:w="636"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1</w:t>
            </w:r>
          </w:p>
        </w:tc>
        <w:tc>
          <w:tcPr>
            <w:tcW w:w="636"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0.65</w:t>
            </w:r>
          </w:p>
        </w:tc>
        <w:tc>
          <w:tcPr>
            <w:tcW w:w="636"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0.92</w:t>
            </w:r>
          </w:p>
        </w:tc>
        <w:tc>
          <w:tcPr>
            <w:tcW w:w="626"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1</w:t>
            </w:r>
          </w:p>
        </w:tc>
        <w:tc>
          <w:tcPr>
            <w:tcW w:w="630" w:type="dxa"/>
            <w:tcBorders>
              <w:tl2br w:val="nil"/>
              <w:tr2bl w:val="nil"/>
            </w:tcBorders>
            <w:vAlign w:val="center"/>
          </w:tcPr>
          <w:p>
            <w:pPr>
              <w:pStyle w:val="41"/>
              <w:widowControl w:val="0"/>
              <w:bidi w:val="0"/>
              <w:jc w:val="center"/>
              <w:rPr>
                <w:rFonts w:hint="default"/>
                <w:color w:val="auto"/>
                <w:lang w:val="en-US" w:eastAsia="zh-CN"/>
              </w:rPr>
            </w:pPr>
            <w:r>
              <w:rPr>
                <w:rFonts w:hint="eastAsia"/>
                <w:color w:val="auto"/>
                <w:lang w:val="en-US" w:eastAsia="zh-CN"/>
              </w:rPr>
              <w:t>0.7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47"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拉油井场</w:t>
            </w:r>
          </w:p>
        </w:tc>
        <w:tc>
          <w:tcPr>
            <w:tcW w:w="634"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50</w:t>
            </w:r>
          </w:p>
        </w:tc>
        <w:tc>
          <w:tcPr>
            <w:tcW w:w="1119"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33976.75</w:t>
            </w:r>
          </w:p>
        </w:tc>
        <w:tc>
          <w:tcPr>
            <w:tcW w:w="774"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2.9</w:t>
            </w:r>
          </w:p>
        </w:tc>
        <w:tc>
          <w:tcPr>
            <w:tcW w:w="807"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2</w:t>
            </w:r>
          </w:p>
        </w:tc>
        <w:tc>
          <w:tcPr>
            <w:tcW w:w="1009"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11</w:t>
            </w:r>
          </w:p>
        </w:tc>
        <w:tc>
          <w:tcPr>
            <w:tcW w:w="636"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1.20</w:t>
            </w:r>
          </w:p>
        </w:tc>
        <w:tc>
          <w:tcPr>
            <w:tcW w:w="636"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0.54</w:t>
            </w:r>
          </w:p>
        </w:tc>
        <w:tc>
          <w:tcPr>
            <w:tcW w:w="636"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0.65</w:t>
            </w:r>
          </w:p>
        </w:tc>
        <w:tc>
          <w:tcPr>
            <w:tcW w:w="636"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1</w:t>
            </w:r>
          </w:p>
        </w:tc>
        <w:tc>
          <w:tcPr>
            <w:tcW w:w="626"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1</w:t>
            </w:r>
          </w:p>
        </w:tc>
        <w:tc>
          <w:tcPr>
            <w:tcW w:w="630" w:type="dxa"/>
            <w:tcBorders>
              <w:tl2br w:val="nil"/>
              <w:tr2bl w:val="nil"/>
            </w:tcBorders>
            <w:shd w:val="clear" w:color="auto" w:fill="auto"/>
            <w:vAlign w:val="center"/>
          </w:tcPr>
          <w:p>
            <w:pPr>
              <w:pStyle w:val="41"/>
              <w:widowControl w:val="0"/>
              <w:bidi w:val="0"/>
              <w:ind w:firstLine="0" w:firstLineChars="0"/>
              <w:jc w:val="center"/>
              <w:rPr>
                <w:rFonts w:hint="eastAsia" w:ascii="Times New Roman" w:hAnsi="Times New Roman" w:eastAsia="宋体" w:cs="Times New Roman"/>
                <w:color w:val="auto"/>
                <w:sz w:val="21"/>
                <w:lang w:val="en-US" w:eastAsia="zh-CN"/>
              </w:rPr>
            </w:pPr>
            <w:r>
              <w:rPr>
                <w:rFonts w:hint="eastAsia"/>
                <w:color w:val="auto"/>
                <w:lang w:val="en-US" w:eastAsia="zh-CN"/>
              </w:rPr>
              <w:t>0.7</w:t>
            </w:r>
          </w:p>
        </w:tc>
      </w:tr>
    </w:tbl>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color w:val="auto"/>
          <w:sz w:val="24"/>
          <w:szCs w:val="24"/>
          <w:lang w:val="en-US" w:eastAsia="zh-CN"/>
        </w:rPr>
      </w:pPr>
      <w:r>
        <w:rPr>
          <w:rFonts w:hint="eastAsia"/>
          <w:color w:val="auto"/>
          <w:sz w:val="24"/>
          <w:szCs w:val="24"/>
          <w:lang w:val="en-US" w:eastAsia="zh-CN"/>
        </w:rPr>
        <w:t>通过上述公式计算可知，单座井场2</w:t>
      </w:r>
      <w:r>
        <w:rPr>
          <w:color w:val="auto"/>
          <w:sz w:val="24"/>
          <w:szCs w:val="24"/>
        </w:rPr>
        <w:t>座</w:t>
      </w:r>
      <w:r>
        <w:rPr>
          <w:rFonts w:hint="eastAsia"/>
          <w:color w:val="auto"/>
          <w:sz w:val="24"/>
          <w:szCs w:val="24"/>
          <w:lang w:val="en-US" w:eastAsia="zh-CN"/>
        </w:rPr>
        <w:t>60</w:t>
      </w:r>
      <w:r>
        <w:rPr>
          <w:rFonts w:hint="eastAsia"/>
          <w:color w:val="auto"/>
          <w:sz w:val="24"/>
          <w:szCs w:val="24"/>
        </w:rPr>
        <w:t>m</w:t>
      </w:r>
      <w:r>
        <w:rPr>
          <w:rFonts w:hint="eastAsia"/>
          <w:color w:val="auto"/>
          <w:sz w:val="24"/>
          <w:szCs w:val="24"/>
          <w:vertAlign w:val="superscript"/>
        </w:rPr>
        <w:t>3</w:t>
      </w:r>
      <w:r>
        <w:rPr>
          <w:rFonts w:hint="eastAsia"/>
          <w:color w:val="auto"/>
          <w:sz w:val="24"/>
          <w:szCs w:val="24"/>
          <w:vertAlign w:val="baseline"/>
          <w:lang w:val="en-US" w:eastAsia="zh-CN"/>
        </w:rPr>
        <w:t>高架</w:t>
      </w:r>
      <w:r>
        <w:rPr>
          <w:rFonts w:hint="eastAsia"/>
          <w:color w:val="auto"/>
          <w:sz w:val="24"/>
          <w:szCs w:val="24"/>
          <w:lang w:val="en-US" w:eastAsia="zh-CN"/>
        </w:rPr>
        <w:t>罐</w:t>
      </w:r>
      <w:r>
        <w:rPr>
          <w:rFonts w:hint="eastAsia"/>
          <w:color w:val="auto"/>
          <w:sz w:val="24"/>
          <w:szCs w:val="24"/>
        </w:rPr>
        <w:t>静置损失</w:t>
      </w:r>
      <w:r>
        <w:rPr>
          <w:rFonts w:hint="eastAsia"/>
          <w:color w:val="auto"/>
          <w:sz w:val="24"/>
          <w:szCs w:val="24"/>
          <w:lang w:val="en-US" w:eastAsia="zh-CN"/>
        </w:rPr>
        <w:t>0.10</w:t>
      </w:r>
      <w:r>
        <w:rPr>
          <w:rFonts w:hint="eastAsia"/>
          <w:color w:val="auto"/>
          <w:sz w:val="24"/>
          <w:szCs w:val="24"/>
        </w:rPr>
        <w:t>t/a，工作损失</w:t>
      </w:r>
      <w:r>
        <w:rPr>
          <w:rFonts w:hint="eastAsia"/>
          <w:color w:val="auto"/>
          <w:sz w:val="24"/>
          <w:szCs w:val="24"/>
          <w:lang w:val="en-US" w:eastAsia="zh-CN"/>
        </w:rPr>
        <w:t>2.37</w:t>
      </w:r>
      <w:r>
        <w:rPr>
          <w:rFonts w:hint="eastAsia"/>
          <w:color w:val="auto"/>
          <w:sz w:val="24"/>
          <w:szCs w:val="24"/>
        </w:rPr>
        <w:t>t/a，则本工程</w:t>
      </w:r>
      <w:r>
        <w:rPr>
          <w:rFonts w:hint="eastAsia"/>
          <w:color w:val="auto"/>
          <w:sz w:val="24"/>
          <w:szCs w:val="24"/>
          <w:lang w:val="en-US" w:eastAsia="zh-CN"/>
        </w:rPr>
        <w:t>单座井场2</w:t>
      </w:r>
      <w:r>
        <w:rPr>
          <w:color w:val="auto"/>
          <w:sz w:val="24"/>
          <w:szCs w:val="24"/>
        </w:rPr>
        <w:t>座</w:t>
      </w:r>
      <w:r>
        <w:rPr>
          <w:rFonts w:hint="eastAsia"/>
          <w:color w:val="auto"/>
          <w:sz w:val="24"/>
          <w:szCs w:val="24"/>
          <w:lang w:val="en-US" w:eastAsia="zh-CN"/>
        </w:rPr>
        <w:t>60</w:t>
      </w:r>
      <w:r>
        <w:rPr>
          <w:rFonts w:hint="eastAsia"/>
          <w:color w:val="auto"/>
          <w:sz w:val="24"/>
          <w:szCs w:val="24"/>
        </w:rPr>
        <w:t>m</w:t>
      </w:r>
      <w:r>
        <w:rPr>
          <w:rFonts w:hint="eastAsia"/>
          <w:color w:val="auto"/>
          <w:sz w:val="24"/>
          <w:szCs w:val="24"/>
          <w:vertAlign w:val="superscript"/>
        </w:rPr>
        <w:t>3</w:t>
      </w:r>
      <w:r>
        <w:rPr>
          <w:rFonts w:hint="eastAsia"/>
          <w:color w:val="auto"/>
          <w:sz w:val="24"/>
          <w:szCs w:val="24"/>
          <w:vertAlign w:val="baseline"/>
          <w:lang w:val="en-US" w:eastAsia="zh-CN"/>
        </w:rPr>
        <w:t>高架</w:t>
      </w:r>
      <w:r>
        <w:rPr>
          <w:rFonts w:hint="eastAsia"/>
          <w:color w:val="auto"/>
          <w:sz w:val="24"/>
          <w:szCs w:val="24"/>
          <w:lang w:val="en-US" w:eastAsia="zh-CN"/>
        </w:rPr>
        <w:t>罐大小</w:t>
      </w:r>
      <w:r>
        <w:rPr>
          <w:rFonts w:hint="eastAsia"/>
          <w:color w:val="auto"/>
          <w:sz w:val="24"/>
          <w:szCs w:val="24"/>
        </w:rPr>
        <w:t>呼吸非甲烷总烃</w:t>
      </w:r>
      <w:r>
        <w:rPr>
          <w:color w:val="auto"/>
          <w:sz w:val="24"/>
          <w:szCs w:val="24"/>
        </w:rPr>
        <w:t>排放量为</w:t>
      </w:r>
      <w:r>
        <w:rPr>
          <w:rFonts w:hint="eastAsia"/>
          <w:color w:val="auto"/>
          <w:sz w:val="24"/>
          <w:szCs w:val="24"/>
          <w:lang w:val="en-US" w:eastAsia="zh-CN"/>
        </w:rPr>
        <w:t>2.47</w:t>
      </w:r>
      <w:r>
        <w:rPr>
          <w:color w:val="auto"/>
          <w:sz w:val="24"/>
          <w:szCs w:val="24"/>
        </w:rPr>
        <w:t>t/a</w:t>
      </w:r>
      <w:r>
        <w:rPr>
          <w:rFonts w:hint="eastAsia"/>
          <w:color w:val="auto"/>
          <w:sz w:val="24"/>
          <w:szCs w:val="24"/>
          <w:lang w:eastAsia="zh-CN"/>
        </w:rPr>
        <w:t>；</w:t>
      </w:r>
      <w:r>
        <w:rPr>
          <w:rFonts w:hint="eastAsia"/>
          <w:color w:val="auto"/>
          <w:sz w:val="24"/>
          <w:szCs w:val="24"/>
          <w:lang w:val="en-US" w:eastAsia="zh-CN"/>
        </w:rPr>
        <w:t>集中拉油站2</w:t>
      </w:r>
      <w:r>
        <w:rPr>
          <w:color w:val="auto"/>
          <w:sz w:val="24"/>
          <w:szCs w:val="24"/>
        </w:rPr>
        <w:t>座</w:t>
      </w:r>
      <w:r>
        <w:rPr>
          <w:rFonts w:hint="eastAsia"/>
          <w:color w:val="auto"/>
          <w:sz w:val="24"/>
          <w:szCs w:val="24"/>
          <w:lang w:val="en-US" w:eastAsia="zh-CN"/>
        </w:rPr>
        <w:t>1000</w:t>
      </w:r>
      <w:r>
        <w:rPr>
          <w:rFonts w:hint="eastAsia"/>
          <w:color w:val="auto"/>
          <w:sz w:val="24"/>
          <w:szCs w:val="24"/>
        </w:rPr>
        <w:t>m</w:t>
      </w:r>
      <w:r>
        <w:rPr>
          <w:rFonts w:hint="eastAsia"/>
          <w:color w:val="auto"/>
          <w:sz w:val="24"/>
          <w:szCs w:val="24"/>
          <w:vertAlign w:val="superscript"/>
        </w:rPr>
        <w:t>3</w:t>
      </w:r>
      <w:r>
        <w:rPr>
          <w:rFonts w:hint="eastAsia"/>
          <w:color w:val="auto"/>
          <w:sz w:val="24"/>
          <w:szCs w:val="24"/>
          <w:lang w:val="en-US" w:eastAsia="zh-CN"/>
        </w:rPr>
        <w:t>罐</w:t>
      </w:r>
      <w:r>
        <w:rPr>
          <w:rFonts w:hint="eastAsia"/>
          <w:color w:val="auto"/>
          <w:sz w:val="24"/>
          <w:szCs w:val="24"/>
        </w:rPr>
        <w:t>静置损失</w:t>
      </w:r>
      <w:r>
        <w:rPr>
          <w:rFonts w:hint="eastAsia"/>
          <w:color w:val="auto"/>
          <w:sz w:val="24"/>
          <w:szCs w:val="24"/>
          <w:lang w:val="en-US" w:eastAsia="zh-CN"/>
        </w:rPr>
        <w:t>1.8</w:t>
      </w:r>
      <w:r>
        <w:rPr>
          <w:rFonts w:hint="eastAsia"/>
          <w:color w:val="auto"/>
          <w:sz w:val="24"/>
          <w:szCs w:val="24"/>
        </w:rPr>
        <w:t>t/a，工作损失</w:t>
      </w:r>
      <w:r>
        <w:rPr>
          <w:rFonts w:hint="eastAsia"/>
          <w:color w:val="auto"/>
          <w:sz w:val="24"/>
          <w:szCs w:val="24"/>
          <w:lang w:val="en-US" w:eastAsia="zh-CN"/>
        </w:rPr>
        <w:t>11.6</w:t>
      </w:r>
      <w:r>
        <w:rPr>
          <w:rFonts w:hint="eastAsia"/>
          <w:color w:val="auto"/>
          <w:sz w:val="24"/>
          <w:szCs w:val="24"/>
        </w:rPr>
        <w:t>t/a，则本工程</w:t>
      </w:r>
      <w:r>
        <w:rPr>
          <w:rFonts w:hint="eastAsia"/>
          <w:color w:val="auto"/>
          <w:sz w:val="24"/>
          <w:szCs w:val="24"/>
          <w:lang w:val="en-US" w:eastAsia="zh-CN"/>
        </w:rPr>
        <w:t>拉油站2</w:t>
      </w:r>
      <w:r>
        <w:rPr>
          <w:color w:val="auto"/>
          <w:sz w:val="24"/>
          <w:szCs w:val="24"/>
        </w:rPr>
        <w:t>座</w:t>
      </w:r>
      <w:r>
        <w:rPr>
          <w:rFonts w:hint="eastAsia"/>
          <w:color w:val="auto"/>
          <w:sz w:val="24"/>
          <w:szCs w:val="24"/>
          <w:lang w:val="en-US" w:eastAsia="zh-CN"/>
        </w:rPr>
        <w:t>1000</w:t>
      </w:r>
      <w:r>
        <w:rPr>
          <w:rFonts w:hint="eastAsia"/>
          <w:color w:val="auto"/>
          <w:sz w:val="24"/>
          <w:szCs w:val="24"/>
        </w:rPr>
        <w:t>m</w:t>
      </w:r>
      <w:r>
        <w:rPr>
          <w:rFonts w:hint="eastAsia"/>
          <w:color w:val="auto"/>
          <w:sz w:val="24"/>
          <w:szCs w:val="24"/>
          <w:vertAlign w:val="superscript"/>
        </w:rPr>
        <w:t>3</w:t>
      </w:r>
      <w:r>
        <w:rPr>
          <w:rFonts w:hint="eastAsia"/>
          <w:color w:val="auto"/>
          <w:sz w:val="24"/>
          <w:szCs w:val="24"/>
          <w:lang w:val="en-US" w:eastAsia="zh-CN"/>
        </w:rPr>
        <w:t>罐大小</w:t>
      </w:r>
      <w:r>
        <w:rPr>
          <w:rFonts w:hint="eastAsia"/>
          <w:color w:val="auto"/>
          <w:sz w:val="24"/>
          <w:szCs w:val="24"/>
        </w:rPr>
        <w:t>呼吸非甲烷总烃</w:t>
      </w:r>
      <w:r>
        <w:rPr>
          <w:color w:val="auto"/>
          <w:sz w:val="24"/>
          <w:szCs w:val="24"/>
        </w:rPr>
        <w:t>排放量为</w:t>
      </w:r>
      <w:r>
        <w:rPr>
          <w:rFonts w:hint="eastAsia"/>
          <w:color w:val="auto"/>
          <w:sz w:val="24"/>
          <w:szCs w:val="24"/>
          <w:lang w:val="en-US" w:eastAsia="zh-CN"/>
        </w:rPr>
        <w:t>13.41</w:t>
      </w:r>
      <w:r>
        <w:rPr>
          <w:color w:val="auto"/>
          <w:sz w:val="24"/>
          <w:szCs w:val="24"/>
        </w:rPr>
        <w:t>t/a</w:t>
      </w:r>
      <w:r>
        <w:rPr>
          <w:rFonts w:hint="eastAsia"/>
          <w:color w:val="auto"/>
          <w:sz w:val="24"/>
          <w:szCs w:val="24"/>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default" w:ascii="宋体" w:hAnsi="宋体" w:eastAsia="宋体" w:cs="宋体"/>
          <w:color w:val="auto"/>
          <w:kern w:val="0"/>
          <w:sz w:val="24"/>
          <w:szCs w:val="24"/>
          <w:lang w:val="en-US" w:eastAsia="zh-CN" w:bidi="ar"/>
        </w:rPr>
        <w:t>②</w:t>
      </w:r>
      <w:r>
        <w:rPr>
          <w:rFonts w:hint="eastAsia" w:ascii="宋体" w:hAnsi="宋体" w:eastAsia="宋体" w:cs="宋体"/>
          <w:color w:val="auto"/>
          <w:kern w:val="0"/>
          <w:sz w:val="24"/>
          <w:szCs w:val="24"/>
          <w:lang w:val="en-US" w:eastAsia="zh-CN" w:bidi="ar"/>
        </w:rPr>
        <w:t>采出液装卸过程中无组织挥发性有机物</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ascii="宋体" w:hAnsi="宋体" w:eastAsia="宋体" w:cs="宋体"/>
          <w:color w:val="auto"/>
          <w:kern w:val="0"/>
          <w:sz w:val="24"/>
          <w:szCs w:val="24"/>
          <w:lang w:val="en-US" w:eastAsia="zh-CN" w:bidi="ar"/>
        </w:rPr>
        <w:t xml:space="preserve">采出液装车时产生的无组织挥发性有机物无相应的污染源强核算技术指南，其产生量参考《污染源源强核算技术指南 石油炼制》（HJ982-2018）中挥发性有机液体装载过程挥发性有机物的产生量计算，计算公式如下： </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lang w:val="en-US" w:eastAsia="zh-CN"/>
        </w:rPr>
      </w:pPr>
      <w:r>
        <w:rPr>
          <w:rFonts w:hint="eastAsia"/>
          <w:color w:val="auto"/>
          <w:sz w:val="24"/>
          <w:szCs w:val="24"/>
          <w:lang w:val="en-US" w:eastAsia="zh-CN"/>
        </w:rPr>
        <w:t>D</w:t>
      </w:r>
      <w:r>
        <w:rPr>
          <w:rFonts w:hint="eastAsia"/>
          <w:color w:val="auto"/>
          <w:sz w:val="24"/>
          <w:szCs w:val="24"/>
          <w:vertAlign w:val="subscript"/>
          <w:lang w:val="en-US" w:eastAsia="zh-CN"/>
        </w:rPr>
        <w:t>产生量</w:t>
      </w:r>
      <w:r>
        <w:rPr>
          <w:rFonts w:hint="eastAsia"/>
          <w:color w:val="auto"/>
          <w:sz w:val="24"/>
          <w:szCs w:val="24"/>
          <w:lang w:val="en-US" w:eastAsia="zh-CN"/>
        </w:rPr>
        <w:t>=L</w:t>
      </w:r>
      <w:r>
        <w:rPr>
          <w:rFonts w:hint="eastAsia"/>
          <w:color w:val="auto"/>
          <w:sz w:val="24"/>
          <w:szCs w:val="24"/>
          <w:vertAlign w:val="subscript"/>
          <w:lang w:val="en-US" w:eastAsia="zh-CN"/>
        </w:rPr>
        <w:t>L</w:t>
      </w:r>
      <w:r>
        <w:rPr>
          <w:rFonts w:hint="eastAsia"/>
          <w:color w:val="auto"/>
          <w:sz w:val="24"/>
          <w:szCs w:val="24"/>
          <w:lang w:val="en-US" w:eastAsia="zh-CN"/>
        </w:rPr>
        <w:t>×Q/1000</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式中：D</w:t>
      </w:r>
      <w:r>
        <w:rPr>
          <w:rFonts w:hint="eastAsia"/>
          <w:color w:val="auto"/>
          <w:sz w:val="24"/>
          <w:szCs w:val="24"/>
          <w:vertAlign w:val="subscript"/>
          <w:lang w:val="en-US" w:eastAsia="zh-CN"/>
        </w:rPr>
        <w:t>产生量</w:t>
      </w:r>
      <w:r>
        <w:rPr>
          <w:rFonts w:hint="eastAsia"/>
          <w:color w:val="auto"/>
          <w:sz w:val="24"/>
          <w:szCs w:val="24"/>
          <w:lang w:val="en-US" w:eastAsia="zh-CN"/>
        </w:rPr>
        <w:t>——核算时段内挥发性有机液体装载过程挥发性有机物的产生量，t/a；</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Q-核算时段内物料装载量，m</w:t>
      </w:r>
      <w:r>
        <w:rPr>
          <w:rFonts w:hint="eastAsia"/>
          <w:color w:val="auto"/>
          <w:sz w:val="24"/>
          <w:szCs w:val="24"/>
          <w:vertAlign w:val="superscript"/>
          <w:lang w:val="en-US" w:eastAsia="zh-CN"/>
        </w:rPr>
        <w:t>3</w:t>
      </w:r>
      <w:r>
        <w:rPr>
          <w:rFonts w:hint="eastAsia"/>
          <w:color w:val="auto"/>
          <w:sz w:val="24"/>
          <w:szCs w:val="24"/>
          <w:lang w:val="en-US" w:eastAsia="zh-CN"/>
        </w:rPr>
        <w:t>/a；</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rFonts w:hint="eastAsia"/>
          <w:color w:val="auto"/>
          <w:sz w:val="24"/>
          <w:szCs w:val="24"/>
          <w:lang w:val="en-US" w:eastAsia="zh-CN"/>
        </w:rPr>
        <w:t>L</w:t>
      </w:r>
      <w:r>
        <w:rPr>
          <w:rFonts w:hint="eastAsia"/>
          <w:color w:val="auto"/>
          <w:sz w:val="24"/>
          <w:szCs w:val="24"/>
          <w:vertAlign w:val="subscript"/>
          <w:lang w:val="en-US" w:eastAsia="zh-CN"/>
        </w:rPr>
        <w:t>L</w:t>
      </w:r>
      <w:r>
        <w:rPr>
          <w:rFonts w:hint="eastAsia"/>
          <w:color w:val="auto"/>
          <w:sz w:val="24"/>
          <w:szCs w:val="24"/>
          <w:lang w:val="en-US" w:eastAsia="zh-CN"/>
        </w:rPr>
        <w:t>-挥发性有机液体装载过程的排放系数，kg/m</w:t>
      </w:r>
      <w:r>
        <w:rPr>
          <w:rFonts w:hint="eastAsia"/>
          <w:color w:val="auto"/>
          <w:sz w:val="24"/>
          <w:szCs w:val="24"/>
          <w:vertAlign w:val="superscript"/>
          <w:lang w:val="en-US" w:eastAsia="zh-CN"/>
        </w:rPr>
        <w:t>3</w:t>
      </w:r>
      <w:r>
        <w:rPr>
          <w:rFonts w:hint="eastAsia"/>
          <w:color w:val="auto"/>
          <w:sz w:val="24"/>
          <w:szCs w:val="24"/>
          <w:lang w:val="en-US" w:eastAsia="zh-CN"/>
        </w:rPr>
        <w:t xml:space="preserve">，计算公式如下： </w:t>
      </w:r>
    </w:p>
    <w:p>
      <w:pPr>
        <w:pStyle w:val="41"/>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p>
    <w:p>
      <w:pPr>
        <w:pStyle w:val="41"/>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rPr>
      </w:pPr>
      <w:r>
        <w:rPr>
          <w:color w:val="auto"/>
          <w:sz w:val="24"/>
          <w:szCs w:val="24"/>
        </w:rPr>
        <w:drawing>
          <wp:anchor distT="0" distB="0" distL="114300" distR="114300" simplePos="0" relativeHeight="251703296" behindDoc="0" locked="0" layoutInCell="1" allowOverlap="1">
            <wp:simplePos x="0" y="0"/>
            <wp:positionH relativeFrom="column">
              <wp:posOffset>266700</wp:posOffset>
            </wp:positionH>
            <wp:positionV relativeFrom="paragraph">
              <wp:posOffset>-137160</wp:posOffset>
            </wp:positionV>
            <wp:extent cx="2063115" cy="381000"/>
            <wp:effectExtent l="0" t="0" r="6985" b="0"/>
            <wp:wrapNone/>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6"/>
                    <a:stretch>
                      <a:fillRect/>
                    </a:stretch>
                  </pic:blipFill>
                  <pic:spPr>
                    <a:xfrm>
                      <a:off x="0" y="0"/>
                      <a:ext cx="2063115" cy="381000"/>
                    </a:xfrm>
                    <a:prstGeom prst="rect">
                      <a:avLst/>
                    </a:prstGeom>
                    <a:noFill/>
                    <a:ln>
                      <a:noFill/>
                    </a:ln>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式中：S——饱和系数，无量纲，一般取0.6。</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P</w:t>
      </w:r>
      <w:r>
        <w:rPr>
          <w:rFonts w:hint="default" w:ascii="Times New Roman" w:hAnsi="Times New Roman" w:cs="Times New Roman"/>
          <w:color w:val="auto"/>
          <w:sz w:val="24"/>
          <w:szCs w:val="24"/>
          <w:vertAlign w:val="subscript"/>
          <w:lang w:val="en-US" w:eastAsia="zh-CN"/>
        </w:rPr>
        <w:t>T</w:t>
      </w:r>
      <w:r>
        <w:rPr>
          <w:rFonts w:hint="default" w:ascii="Times New Roman" w:hAnsi="Times New Roman" w:cs="Times New Roman"/>
          <w:color w:val="auto"/>
          <w:sz w:val="24"/>
          <w:szCs w:val="24"/>
          <w:lang w:val="en-US" w:eastAsia="zh-CN"/>
        </w:rPr>
        <w:t xml:space="preserve">——温度T时装载物料的真实蒸气压，Pa；本次取33.98kPa。 </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Mvap——油气分子量，g/mol；本次取50g/mol。</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T——物料装载温度，℃；本次取25℃。</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eastAsia="宋体" w:cs="Times New Roman"/>
          <w:color w:val="auto"/>
          <w:kern w:val="0"/>
          <w:sz w:val="24"/>
          <w:szCs w:val="24"/>
          <w:lang w:val="en-US" w:eastAsia="zh-CN" w:bidi="ar"/>
        </w:rPr>
        <w:t>根据LL 计算公式计算出LL为0.41，本工程单座拉油井场采出液装车时产生的无组织挥发性有机物2.65</w:t>
      </w:r>
      <w:r>
        <w:rPr>
          <w:rFonts w:hint="default" w:ascii="Times New Roman" w:hAnsi="Times New Roman" w:cs="Times New Roman"/>
          <w:color w:val="auto"/>
          <w:sz w:val="24"/>
          <w:szCs w:val="24"/>
        </w:rPr>
        <w:t>t/a</w:t>
      </w:r>
      <w:r>
        <w:rPr>
          <w:rFonts w:hint="default" w:ascii="Times New Roman" w:hAnsi="Times New Roman" w:eastAsia="宋体" w:cs="Times New Roman"/>
          <w:color w:val="auto"/>
          <w:kern w:val="0"/>
          <w:sz w:val="24"/>
          <w:szCs w:val="24"/>
          <w:lang w:val="en-US" w:eastAsia="zh-CN" w:bidi="ar"/>
        </w:rPr>
        <w:t>，</w:t>
      </w:r>
      <w:r>
        <w:rPr>
          <w:rFonts w:hint="default" w:ascii="Times New Roman" w:hAnsi="Times New Roman" w:cs="Times New Roman"/>
          <w:color w:val="auto"/>
          <w:sz w:val="24"/>
          <w:szCs w:val="24"/>
          <w:lang w:val="en-US" w:eastAsia="zh-CN"/>
        </w:rPr>
        <w:t>拉油站</w:t>
      </w:r>
      <w:r>
        <w:rPr>
          <w:rFonts w:hint="default" w:ascii="Times New Roman" w:hAnsi="Times New Roman" w:eastAsia="宋体" w:cs="Times New Roman"/>
          <w:color w:val="auto"/>
          <w:kern w:val="0"/>
          <w:sz w:val="24"/>
          <w:szCs w:val="24"/>
          <w:lang w:val="en-US" w:eastAsia="zh-CN" w:bidi="ar"/>
        </w:rPr>
        <w:t>采出液装车时产生的无组织挥发性有机物</w:t>
      </w:r>
      <w:r>
        <w:rPr>
          <w:rFonts w:hint="default" w:ascii="Times New Roman" w:hAnsi="Times New Roman" w:cs="Times New Roman"/>
          <w:color w:val="auto"/>
          <w:kern w:val="0"/>
          <w:sz w:val="24"/>
          <w:szCs w:val="24"/>
          <w:lang w:val="en-US" w:eastAsia="zh-CN" w:bidi="ar"/>
        </w:rPr>
        <w:t>14.72</w:t>
      </w:r>
      <w:r>
        <w:rPr>
          <w:rFonts w:hint="default" w:ascii="Times New Roman" w:hAnsi="Times New Roman" w:cs="Times New Roman"/>
          <w:color w:val="auto"/>
          <w:sz w:val="24"/>
          <w:szCs w:val="24"/>
        </w:rPr>
        <w:t>t/a</w:t>
      </w:r>
      <w:r>
        <w:rPr>
          <w:rFonts w:hint="default" w:ascii="Times New Roman" w:hAnsi="Times New Roman" w:cs="Times New Roman"/>
          <w:color w:val="auto"/>
          <w:sz w:val="24"/>
          <w:szCs w:val="24"/>
          <w:lang w:eastAsia="zh-CN"/>
        </w:rPr>
        <w:t>。</w:t>
      </w:r>
    </w:p>
    <w:p>
      <w:pPr>
        <w:keepNext w:val="0"/>
        <w:keepLines w:val="0"/>
        <w:pageBreakBefore w:val="0"/>
        <w:widowControl/>
        <w:suppressLineNumbers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val="en-US"/>
        </w:rPr>
      </w:pPr>
      <w:r>
        <w:rPr>
          <w:rFonts w:hint="default" w:ascii="Times New Roman" w:hAnsi="Times New Roman" w:eastAsia="宋体" w:cs="Times New Roman"/>
          <w:color w:val="auto"/>
          <w:kern w:val="0"/>
          <w:sz w:val="24"/>
          <w:szCs w:val="24"/>
          <w:lang w:val="en-US" w:eastAsia="zh-CN" w:bidi="ar"/>
        </w:rPr>
        <w:t>拉运装车过程中对拉油罐、罐车采用气相平衡系统，使拉油罐、罐车储罐形成闭路循环，减少拉油罐及装车时产生的无组织废气；根据《利用气相平衡管原理控制有机污染物的无组织排放》（齐刚）研究可知，采用气相平衡系统之后无组织废气排放量可减少90%以上，则井场及拉油站的拉油罐及装车过程无组织废气排放量见表3.3-5。</w:t>
      </w:r>
    </w:p>
    <w:p>
      <w:pPr>
        <w:pStyle w:val="98"/>
        <w:bidi w:val="0"/>
        <w:spacing w:line="240" w:lineRule="auto"/>
        <w:rPr>
          <w:rFonts w:hint="eastAsia"/>
          <w:color w:val="auto"/>
          <w:lang w:eastAsia="zh-CN"/>
        </w:rPr>
      </w:pPr>
      <w:r>
        <w:rPr>
          <w:rFonts w:hint="eastAsia"/>
          <w:color w:val="auto"/>
          <w:lang w:val="en-US" w:eastAsia="zh-CN"/>
        </w:rPr>
        <w:t>3.3-5  各参数取值一览表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65"/>
        <w:gridCol w:w="1127"/>
        <w:gridCol w:w="1369"/>
        <w:gridCol w:w="1923"/>
        <w:gridCol w:w="2004"/>
        <w:gridCol w:w="855"/>
        <w:gridCol w:w="7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dxa"/>
            <w:tcBorders>
              <w:tl2br w:val="nil"/>
              <w:tr2bl w:val="nil"/>
            </w:tcBorders>
            <w:vAlign w:val="center"/>
          </w:tcPr>
          <w:p>
            <w:pPr>
              <w:pStyle w:val="41"/>
              <w:widowControl w:val="0"/>
              <w:bidi w:val="0"/>
              <w:rPr>
                <w:rFonts w:hint="default"/>
                <w:color w:val="auto"/>
                <w:lang w:val="en-US" w:eastAsia="zh-CN"/>
              </w:rPr>
            </w:pPr>
            <w:r>
              <w:rPr>
                <w:rFonts w:hint="eastAsia"/>
                <w:color w:val="auto"/>
                <w:lang w:val="en-US" w:eastAsia="zh-CN"/>
              </w:rPr>
              <w:t>类别</w:t>
            </w:r>
          </w:p>
        </w:tc>
        <w:tc>
          <w:tcPr>
            <w:tcW w:w="1127" w:type="dxa"/>
            <w:tcBorders>
              <w:tl2br w:val="nil"/>
              <w:tr2bl w:val="nil"/>
            </w:tcBorders>
            <w:vAlign w:val="center"/>
          </w:tcPr>
          <w:p>
            <w:pPr>
              <w:pStyle w:val="41"/>
              <w:widowControl w:val="0"/>
              <w:bidi w:val="0"/>
              <w:rPr>
                <w:rFonts w:hint="default"/>
                <w:color w:val="auto"/>
                <w:lang w:val="en-US" w:eastAsia="zh-CN"/>
              </w:rPr>
            </w:pPr>
            <w:r>
              <w:rPr>
                <w:rFonts w:hint="eastAsia"/>
                <w:color w:val="auto"/>
                <w:lang w:val="en-US" w:eastAsia="zh-CN"/>
              </w:rPr>
              <w:t>大呼吸损耗（t/a）</w:t>
            </w:r>
          </w:p>
        </w:tc>
        <w:tc>
          <w:tcPr>
            <w:tcW w:w="1369" w:type="dxa"/>
            <w:tcBorders>
              <w:tl2br w:val="nil"/>
              <w:tr2bl w:val="nil"/>
            </w:tcBorders>
            <w:vAlign w:val="center"/>
          </w:tcPr>
          <w:p>
            <w:pPr>
              <w:pStyle w:val="41"/>
              <w:widowControl w:val="0"/>
              <w:bidi w:val="0"/>
              <w:rPr>
                <w:rFonts w:hint="default"/>
                <w:color w:val="auto"/>
                <w:lang w:val="en-US" w:eastAsia="zh-CN"/>
              </w:rPr>
            </w:pPr>
            <w:r>
              <w:rPr>
                <w:rFonts w:hint="eastAsia"/>
                <w:color w:val="auto"/>
                <w:lang w:val="en-US" w:eastAsia="zh-CN"/>
              </w:rPr>
              <w:t>装车无组织废气（t/a）</w:t>
            </w:r>
          </w:p>
        </w:tc>
        <w:tc>
          <w:tcPr>
            <w:tcW w:w="1923"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大呼吸和装车废气合计产生量（t/a）</w:t>
            </w:r>
          </w:p>
        </w:tc>
        <w:tc>
          <w:tcPr>
            <w:tcW w:w="2004"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采用气相平衡后大呼吸和装车废气合计排放量（t/a）</w:t>
            </w:r>
          </w:p>
        </w:tc>
        <w:tc>
          <w:tcPr>
            <w:tcW w:w="855" w:type="dxa"/>
            <w:tcBorders>
              <w:tl2br w:val="nil"/>
              <w:tr2bl w:val="nil"/>
            </w:tcBorders>
            <w:vAlign w:val="center"/>
          </w:tcPr>
          <w:p>
            <w:pPr>
              <w:pStyle w:val="41"/>
              <w:widowControl w:val="0"/>
              <w:bidi w:val="0"/>
              <w:rPr>
                <w:color w:val="auto"/>
              </w:rPr>
            </w:pPr>
            <w:r>
              <w:rPr>
                <w:rFonts w:hint="eastAsia"/>
                <w:color w:val="auto"/>
                <w:lang w:val="en-US" w:eastAsia="zh-CN"/>
              </w:rPr>
              <w:t>小呼吸损耗量（t/a）</w:t>
            </w:r>
          </w:p>
          <w:p>
            <w:pPr>
              <w:pStyle w:val="41"/>
              <w:widowControl w:val="0"/>
              <w:bidi w:val="0"/>
              <w:rPr>
                <w:rFonts w:hint="eastAsia"/>
                <w:color w:val="auto"/>
                <w:lang w:eastAsia="zh-CN"/>
              </w:rPr>
            </w:pPr>
          </w:p>
        </w:tc>
        <w:tc>
          <w:tcPr>
            <w:tcW w:w="747" w:type="dxa"/>
            <w:tcBorders>
              <w:tl2br w:val="nil"/>
              <w:tr2bl w:val="nil"/>
            </w:tcBorders>
            <w:vAlign w:val="center"/>
          </w:tcPr>
          <w:p>
            <w:pPr>
              <w:pStyle w:val="41"/>
              <w:widowControl w:val="0"/>
              <w:bidi w:val="0"/>
              <w:rPr>
                <w:rFonts w:hint="default"/>
                <w:color w:val="auto"/>
                <w:lang w:val="en-US" w:eastAsia="zh-CN"/>
              </w:rPr>
            </w:pPr>
            <w:r>
              <w:rPr>
                <w:rFonts w:hint="eastAsia"/>
                <w:color w:val="auto"/>
                <w:lang w:val="en-US" w:eastAsia="zh-CN"/>
              </w:rPr>
              <w:t>总计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拉油站</w:t>
            </w:r>
          </w:p>
        </w:tc>
        <w:tc>
          <w:tcPr>
            <w:tcW w:w="1127" w:type="dxa"/>
            <w:tcBorders>
              <w:tl2br w:val="nil"/>
              <w:tr2bl w:val="nil"/>
            </w:tcBorders>
            <w:vAlign w:val="center"/>
          </w:tcPr>
          <w:p>
            <w:pPr>
              <w:pStyle w:val="41"/>
              <w:widowControl w:val="0"/>
              <w:bidi w:val="0"/>
              <w:rPr>
                <w:rFonts w:hint="default"/>
                <w:color w:val="auto"/>
                <w:lang w:val="en-US" w:eastAsia="zh-CN"/>
              </w:rPr>
            </w:pPr>
            <w:r>
              <w:rPr>
                <w:rFonts w:hint="default"/>
                <w:color w:val="auto"/>
                <w:lang w:val="en-US" w:eastAsia="zh-CN"/>
              </w:rPr>
              <w:t>11.6</w:t>
            </w:r>
          </w:p>
        </w:tc>
        <w:tc>
          <w:tcPr>
            <w:tcW w:w="1369" w:type="dxa"/>
            <w:tcBorders>
              <w:tl2br w:val="nil"/>
              <w:tr2bl w:val="nil"/>
            </w:tcBorders>
            <w:vAlign w:val="center"/>
          </w:tcPr>
          <w:p>
            <w:pPr>
              <w:pStyle w:val="41"/>
              <w:widowControl w:val="0"/>
              <w:bidi w:val="0"/>
              <w:rPr>
                <w:rFonts w:hint="default"/>
                <w:color w:val="auto"/>
                <w:lang w:val="en-US" w:eastAsia="zh-CN"/>
              </w:rPr>
            </w:pPr>
            <w:r>
              <w:rPr>
                <w:rFonts w:hint="default"/>
                <w:color w:val="auto"/>
                <w:lang w:val="en-US" w:eastAsia="zh-CN"/>
              </w:rPr>
              <w:t>14.72</w:t>
            </w:r>
          </w:p>
        </w:tc>
        <w:tc>
          <w:tcPr>
            <w:tcW w:w="1923"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26.32</w:t>
            </w:r>
          </w:p>
        </w:tc>
        <w:tc>
          <w:tcPr>
            <w:tcW w:w="2004"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2.632</w:t>
            </w:r>
          </w:p>
        </w:tc>
        <w:tc>
          <w:tcPr>
            <w:tcW w:w="855" w:type="dxa"/>
            <w:tcBorders>
              <w:tl2br w:val="nil"/>
              <w:tr2bl w:val="nil"/>
            </w:tcBorders>
            <w:vAlign w:val="center"/>
          </w:tcPr>
          <w:p>
            <w:pPr>
              <w:pStyle w:val="41"/>
              <w:widowControl w:val="0"/>
              <w:bidi w:val="0"/>
              <w:rPr>
                <w:rFonts w:hint="default"/>
                <w:color w:val="auto"/>
                <w:lang w:val="en-US" w:eastAsia="zh-CN"/>
              </w:rPr>
            </w:pPr>
            <w:r>
              <w:rPr>
                <w:rFonts w:hint="default"/>
                <w:color w:val="auto"/>
                <w:lang w:val="en-US" w:eastAsia="zh-CN"/>
              </w:rPr>
              <w:t>1.8</w:t>
            </w:r>
          </w:p>
        </w:tc>
        <w:tc>
          <w:tcPr>
            <w:tcW w:w="747"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4.432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65"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拉油井场</w:t>
            </w:r>
          </w:p>
        </w:tc>
        <w:tc>
          <w:tcPr>
            <w:tcW w:w="1127" w:type="dxa"/>
            <w:tcBorders>
              <w:tl2br w:val="nil"/>
              <w:tr2bl w:val="nil"/>
            </w:tcBorders>
            <w:vAlign w:val="center"/>
          </w:tcPr>
          <w:p>
            <w:pPr>
              <w:pStyle w:val="41"/>
              <w:widowControl w:val="0"/>
              <w:bidi w:val="0"/>
              <w:rPr>
                <w:rFonts w:hint="default"/>
                <w:color w:val="auto"/>
                <w:lang w:val="en-US" w:eastAsia="zh-CN"/>
              </w:rPr>
            </w:pPr>
            <w:r>
              <w:rPr>
                <w:rFonts w:hint="default"/>
                <w:color w:val="auto"/>
                <w:lang w:val="en-US" w:eastAsia="zh-CN"/>
              </w:rPr>
              <w:t>2.37</w:t>
            </w:r>
          </w:p>
        </w:tc>
        <w:tc>
          <w:tcPr>
            <w:tcW w:w="1369" w:type="dxa"/>
            <w:tcBorders>
              <w:tl2br w:val="nil"/>
              <w:tr2bl w:val="nil"/>
            </w:tcBorders>
            <w:vAlign w:val="center"/>
          </w:tcPr>
          <w:p>
            <w:pPr>
              <w:pStyle w:val="41"/>
              <w:widowControl w:val="0"/>
              <w:bidi w:val="0"/>
              <w:rPr>
                <w:rFonts w:hint="default"/>
                <w:color w:val="auto"/>
                <w:lang w:val="en-US" w:eastAsia="zh-CN"/>
              </w:rPr>
            </w:pPr>
            <w:r>
              <w:rPr>
                <w:rFonts w:hint="default"/>
                <w:color w:val="auto"/>
                <w:lang w:val="en-US" w:eastAsia="zh-CN"/>
              </w:rPr>
              <w:t>2.65</w:t>
            </w:r>
          </w:p>
        </w:tc>
        <w:tc>
          <w:tcPr>
            <w:tcW w:w="1923"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5.02</w:t>
            </w:r>
          </w:p>
        </w:tc>
        <w:tc>
          <w:tcPr>
            <w:tcW w:w="2004"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0.502</w:t>
            </w:r>
          </w:p>
        </w:tc>
        <w:tc>
          <w:tcPr>
            <w:tcW w:w="855" w:type="dxa"/>
            <w:tcBorders>
              <w:tl2br w:val="nil"/>
              <w:tr2bl w:val="nil"/>
            </w:tcBorders>
            <w:vAlign w:val="center"/>
          </w:tcPr>
          <w:p>
            <w:pPr>
              <w:pStyle w:val="41"/>
              <w:widowControl w:val="0"/>
              <w:bidi w:val="0"/>
              <w:rPr>
                <w:rFonts w:hint="default"/>
                <w:color w:val="auto"/>
                <w:lang w:val="en-US" w:eastAsia="zh-CN"/>
              </w:rPr>
            </w:pPr>
            <w:r>
              <w:rPr>
                <w:rFonts w:hint="default"/>
                <w:color w:val="auto"/>
                <w:lang w:val="en-US" w:eastAsia="zh-CN"/>
              </w:rPr>
              <w:t>0.1</w:t>
            </w:r>
          </w:p>
        </w:tc>
        <w:tc>
          <w:tcPr>
            <w:tcW w:w="747" w:type="dxa"/>
            <w:tcBorders>
              <w:tl2br w:val="nil"/>
              <w:tr2bl w:val="nil"/>
            </w:tcBorders>
            <w:vAlign w:val="center"/>
          </w:tcPr>
          <w:p>
            <w:pPr>
              <w:pStyle w:val="41"/>
              <w:widowControl w:val="0"/>
              <w:bidi w:val="0"/>
              <w:rPr>
                <w:rFonts w:hint="eastAsia"/>
                <w:color w:val="auto"/>
                <w:lang w:eastAsia="zh-CN"/>
              </w:rPr>
            </w:pPr>
            <w:r>
              <w:rPr>
                <w:rFonts w:hint="eastAsia"/>
                <w:color w:val="auto"/>
                <w:lang w:val="en-US" w:eastAsia="zh-CN"/>
              </w:rPr>
              <w:t>0.602</w:t>
            </w:r>
          </w:p>
        </w:tc>
      </w:tr>
    </w:tbl>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lang w:val="en-US" w:eastAsia="zh-CN"/>
        </w:rPr>
      </w:pPr>
      <w:r>
        <w:rPr>
          <w:rFonts w:hint="eastAsia" w:cs="Times New Roman"/>
          <w:color w:val="auto"/>
          <w:lang w:val="en-US" w:eastAsia="zh-CN"/>
        </w:rPr>
        <w:t>③</w:t>
      </w:r>
      <w:r>
        <w:rPr>
          <w:rFonts w:hint="eastAsia" w:ascii="Times New Roman" w:hAnsi="Times New Roman" w:eastAsia="宋体" w:cs="Times New Roman"/>
          <w:color w:val="auto"/>
          <w:lang w:val="en-US" w:eastAsia="zh-CN"/>
        </w:rPr>
        <w:t>单井拉油井场</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本工程新建标准化采油井场18座，其中单井拉油井场8座，每座拉油井场内设置2座60m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lang w:val="en-US" w:eastAsia="zh-CN"/>
        </w:rPr>
        <w:t>高架罐，储罐均采用固定顶罐，罐体因大小呼吸作用排放无组织非甲烷总烃，小呼吸排放是由于温度和大气压力的变化引起蒸气的膨胀和收缩而产生的蒸气排出，它出现在罐内液面无任何变化的情况，是非人为干扰的自然排放方式；大呼吸排放是由于人为的装料与卸料而产生的损失。因装料时罐内压力超过释放压力，蒸气从罐内压出，而卸料损失发生于液面排出，空气被抽入罐体内，因空气变成有机蒸气饱和的气体而膨胀，因而超过蒸气空间容纳的能力。</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本工程储罐均采用固定顶罐，固定顶罐的呼吸损耗采用公式法进行核算。</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计算公式为：</w:t>
      </w:r>
    </w:p>
    <w:p>
      <w:pPr>
        <w:keepNext w:val="0"/>
        <w:keepLines w:val="0"/>
        <w:pageBreakBefore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小呼吸：L</w:t>
      </w:r>
      <w:r>
        <w:rPr>
          <w:rFonts w:hint="default" w:ascii="Times New Roman" w:hAnsi="Times New Roman" w:cs="Times New Roman"/>
          <w:color w:val="auto"/>
          <w:sz w:val="24"/>
          <w:szCs w:val="24"/>
          <w:vertAlign w:val="subscript"/>
          <w:lang w:val="en-US" w:eastAsia="zh-CN"/>
        </w:rPr>
        <w:t>B</w:t>
      </w:r>
      <w:r>
        <w:rPr>
          <w:rFonts w:hint="default" w:ascii="Times New Roman" w:hAnsi="Times New Roman" w:cs="Times New Roman"/>
          <w:color w:val="auto"/>
          <w:sz w:val="24"/>
          <w:szCs w:val="24"/>
          <w:lang w:val="en-US" w:eastAsia="zh-CN"/>
        </w:rPr>
        <w:t>=0.191×M(P/(100910-P))</w:t>
      </w:r>
      <w:r>
        <w:rPr>
          <w:rFonts w:hint="default" w:ascii="Times New Roman" w:hAnsi="Times New Roman" w:cs="Times New Roman"/>
          <w:color w:val="auto"/>
          <w:sz w:val="24"/>
          <w:szCs w:val="24"/>
          <w:vertAlign w:val="superscript"/>
          <w:lang w:val="en-US" w:eastAsia="zh-CN"/>
        </w:rPr>
        <w:t>0.68</w:t>
      </w:r>
      <w:r>
        <w:rPr>
          <w:rFonts w:hint="default" w:ascii="Times New Roman" w:hAnsi="Times New Roman" w:cs="Times New Roman"/>
          <w:color w:val="auto"/>
          <w:sz w:val="24"/>
          <w:szCs w:val="24"/>
          <w:lang w:val="en-US" w:eastAsia="zh-CN"/>
        </w:rPr>
        <w:t>×D</w:t>
      </w:r>
      <w:r>
        <w:rPr>
          <w:rFonts w:hint="default" w:ascii="Times New Roman" w:hAnsi="Times New Roman" w:cs="Times New Roman"/>
          <w:color w:val="auto"/>
          <w:sz w:val="24"/>
          <w:szCs w:val="24"/>
          <w:vertAlign w:val="superscript"/>
          <w:lang w:val="en-US" w:eastAsia="zh-CN"/>
        </w:rPr>
        <w:t>1.73</w:t>
      </w:r>
      <w:r>
        <w:rPr>
          <w:rFonts w:hint="default" w:ascii="Times New Roman" w:hAnsi="Times New Roman" w:cs="Times New Roman"/>
          <w:color w:val="auto"/>
          <w:sz w:val="24"/>
          <w:szCs w:val="24"/>
          <w:lang w:val="en-US" w:eastAsia="zh-CN"/>
        </w:rPr>
        <w:t>×H</w:t>
      </w:r>
      <w:r>
        <w:rPr>
          <w:rFonts w:hint="default" w:ascii="Times New Roman" w:hAnsi="Times New Roman" w:cs="Times New Roman"/>
          <w:color w:val="auto"/>
          <w:sz w:val="24"/>
          <w:szCs w:val="24"/>
          <w:vertAlign w:val="superscript"/>
          <w:lang w:val="en-US" w:eastAsia="zh-CN"/>
        </w:rPr>
        <w:t>0.51</w:t>
      </w:r>
      <w:r>
        <w:rPr>
          <w:rFonts w:hint="default" w:ascii="Times New Roman" w:hAnsi="Times New Roman" w:cs="Times New Roman"/>
          <w:color w:val="auto"/>
          <w:sz w:val="24"/>
          <w:szCs w:val="24"/>
          <w:lang w:val="en-US" w:eastAsia="zh-CN"/>
        </w:rPr>
        <w:t>×ΔT</w:t>
      </w:r>
      <w:r>
        <w:rPr>
          <w:rFonts w:hint="default" w:ascii="Times New Roman" w:hAnsi="Times New Roman" w:cs="Times New Roman"/>
          <w:color w:val="auto"/>
          <w:sz w:val="24"/>
          <w:szCs w:val="24"/>
          <w:vertAlign w:val="superscript"/>
          <w:lang w:val="en-US" w:eastAsia="zh-CN"/>
        </w:rPr>
        <w:t>0.45</w:t>
      </w:r>
      <w:r>
        <w:rPr>
          <w:rFonts w:hint="default" w:ascii="Times New Roman" w:hAnsi="Times New Roman" w:cs="Times New Roman"/>
          <w:color w:val="auto"/>
          <w:sz w:val="24"/>
          <w:szCs w:val="24"/>
          <w:lang w:val="en-US" w:eastAsia="zh-CN"/>
        </w:rPr>
        <w:t>×F</w:t>
      </w:r>
      <w:r>
        <w:rPr>
          <w:rFonts w:hint="default" w:ascii="Times New Roman" w:hAnsi="Times New Roman" w:cs="Times New Roman"/>
          <w:color w:val="auto"/>
          <w:sz w:val="24"/>
          <w:szCs w:val="24"/>
          <w:vertAlign w:val="subscript"/>
          <w:lang w:val="en-US" w:eastAsia="zh-CN"/>
        </w:rPr>
        <w:t>P</w:t>
      </w:r>
      <w:r>
        <w:rPr>
          <w:rFonts w:hint="default" w:ascii="Times New Roman" w:hAnsi="Times New Roman" w:cs="Times New Roman"/>
          <w:color w:val="auto"/>
          <w:sz w:val="24"/>
          <w:szCs w:val="24"/>
          <w:lang w:val="en-US" w:eastAsia="zh-CN"/>
        </w:rPr>
        <w:t>×C×K</w:t>
      </w:r>
      <w:r>
        <w:rPr>
          <w:rFonts w:hint="default" w:ascii="Times New Roman" w:hAnsi="Times New Roman" w:cs="Times New Roman"/>
          <w:color w:val="auto"/>
          <w:sz w:val="24"/>
          <w:szCs w:val="24"/>
          <w:vertAlign w:val="subscript"/>
          <w:lang w:val="en-US" w:eastAsia="zh-CN"/>
        </w:rPr>
        <w:t>c</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lang w:val="en-US" w:eastAsia="zh-CN"/>
        </w:rPr>
        <w:t>2</w:t>
      </w:r>
    </w:p>
    <w:p>
      <w:pPr>
        <w:keepNext w:val="0"/>
        <w:keepLines w:val="0"/>
        <w:pageBreakBefore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大呼吸：L</w:t>
      </w:r>
      <w:r>
        <w:rPr>
          <w:rFonts w:hint="default" w:ascii="Times New Roman" w:hAnsi="Times New Roman" w:cs="Times New Roman"/>
          <w:color w:val="auto"/>
          <w:sz w:val="24"/>
          <w:szCs w:val="24"/>
          <w:vertAlign w:val="subscript"/>
          <w:lang w:val="en-US" w:eastAsia="zh-CN"/>
        </w:rPr>
        <w:t>W</w:t>
      </w:r>
      <w:r>
        <w:rPr>
          <w:rFonts w:hint="default" w:ascii="Times New Roman" w:hAnsi="Times New Roman" w:cs="Times New Roman"/>
          <w:color w:val="auto"/>
          <w:sz w:val="24"/>
          <w:szCs w:val="24"/>
          <w:lang w:val="en-US" w:eastAsia="zh-CN"/>
        </w:rPr>
        <w:t>=4.188×10</w:t>
      </w:r>
      <w:r>
        <w:rPr>
          <w:rFonts w:hint="default" w:ascii="Times New Roman" w:hAnsi="Times New Roman" w:cs="Times New Roman"/>
          <w:color w:val="auto"/>
          <w:sz w:val="24"/>
          <w:szCs w:val="24"/>
          <w:vertAlign w:val="superscript"/>
          <w:lang w:val="en-US" w:eastAsia="zh-CN"/>
        </w:rPr>
        <w:t>-7</w:t>
      </w:r>
      <w:r>
        <w:rPr>
          <w:rFonts w:hint="default" w:ascii="Times New Roman" w:hAnsi="Times New Roman" w:cs="Times New Roman"/>
          <w:color w:val="auto"/>
          <w:sz w:val="24"/>
          <w:szCs w:val="24"/>
          <w:lang w:val="en-US" w:eastAsia="zh-CN"/>
        </w:rPr>
        <w:t>×M×P×K</w:t>
      </w:r>
      <w:r>
        <w:rPr>
          <w:rFonts w:hint="default" w:ascii="Times New Roman" w:hAnsi="Times New Roman" w:cs="Times New Roman"/>
          <w:color w:val="auto"/>
          <w:sz w:val="24"/>
          <w:szCs w:val="24"/>
          <w:vertAlign w:val="subscript"/>
          <w:lang w:val="en-US" w:eastAsia="zh-CN"/>
        </w:rPr>
        <w:t>N</w:t>
      </w:r>
      <w:r>
        <w:rPr>
          <w:rFonts w:hint="default" w:ascii="Times New Roman" w:hAnsi="Times New Roman" w:cs="Times New Roman"/>
          <w:color w:val="auto"/>
          <w:sz w:val="24"/>
          <w:szCs w:val="24"/>
          <w:lang w:val="en-US" w:eastAsia="zh-CN"/>
        </w:rPr>
        <w:t>×K</w:t>
      </w:r>
      <w:r>
        <w:rPr>
          <w:rFonts w:hint="default" w:ascii="Times New Roman" w:hAnsi="Times New Roman" w:cs="Times New Roman"/>
          <w:color w:val="auto"/>
          <w:sz w:val="24"/>
          <w:szCs w:val="24"/>
          <w:vertAlign w:val="subscript"/>
          <w:lang w:val="en-US" w:eastAsia="zh-CN"/>
        </w:rPr>
        <w:t>c</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lang w:val="en-US" w:eastAsia="zh-CN"/>
        </w:rPr>
        <w:t>2</w:t>
      </w:r>
    </w:p>
    <w:p>
      <w:pPr>
        <w:keepNext w:val="0"/>
        <w:keepLines w:val="0"/>
        <w:pageBreakBefore w:val="0"/>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式中：</w:t>
      </w:r>
      <w:r>
        <w:rPr>
          <w:rFonts w:hint="default" w:ascii="Times New Roman" w:hAnsi="Times New Roman" w:cs="Times New Roman"/>
          <w:color w:val="auto"/>
          <w:sz w:val="24"/>
          <w:szCs w:val="24"/>
          <w:lang w:val="en-US" w:eastAsia="zh-CN"/>
        </w:rPr>
        <w:t>L</w:t>
      </w:r>
      <w:r>
        <w:rPr>
          <w:rFonts w:hint="default" w:ascii="Times New Roman" w:hAnsi="Times New Roman" w:cs="Times New Roman"/>
          <w:color w:val="auto"/>
          <w:sz w:val="24"/>
          <w:szCs w:val="24"/>
          <w:vertAlign w:val="subscript"/>
          <w:lang w:val="en-US" w:eastAsia="zh-CN"/>
        </w:rPr>
        <w:t>B</w:t>
      </w:r>
      <w:r>
        <w:rPr>
          <w:rFonts w:hint="default" w:ascii="Times New Roman" w:hAnsi="Times New Roman" w:cs="Times New Roman"/>
          <w:color w:val="auto"/>
          <w:sz w:val="24"/>
          <w:szCs w:val="24"/>
          <w:lang w:val="en-US" w:eastAsia="zh-CN"/>
        </w:rPr>
        <w:t>——储罐的呼吸排放量(kg/a)；</w:t>
      </w:r>
    </w:p>
    <w:p>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L</w:t>
      </w:r>
      <w:r>
        <w:rPr>
          <w:rFonts w:hint="default" w:ascii="Times New Roman" w:hAnsi="Times New Roman" w:cs="Times New Roman"/>
          <w:color w:val="auto"/>
          <w:sz w:val="24"/>
          <w:szCs w:val="24"/>
          <w:vertAlign w:val="subscript"/>
        </w:rPr>
        <w:t>W</w:t>
      </w:r>
      <w:r>
        <w:rPr>
          <w:rFonts w:hint="default" w:ascii="Times New Roman" w:hAnsi="Times New Roman" w:cs="Times New Roman"/>
          <w:color w:val="auto"/>
          <w:sz w:val="24"/>
          <w:szCs w:val="24"/>
        </w:rPr>
        <w:t>——固定顶罐的工作损失(kg/m</w:t>
      </w:r>
      <w:r>
        <w:rPr>
          <w:rFonts w:hint="default" w:ascii="Times New Roman" w:hAnsi="Times New Roman" w:cs="Times New Roman"/>
          <w:color w:val="auto"/>
          <w:sz w:val="24"/>
          <w:szCs w:val="24"/>
          <w:vertAlign w:val="superscript"/>
        </w:rPr>
        <w:t>3</w:t>
      </w:r>
      <w:r>
        <w:rPr>
          <w:rFonts w:hint="default" w:ascii="Times New Roman" w:hAnsi="Times New Roman" w:cs="Times New Roman"/>
          <w:color w:val="auto"/>
          <w:sz w:val="24"/>
          <w:szCs w:val="24"/>
        </w:rPr>
        <w:t>投入量)；</w:t>
      </w:r>
    </w:p>
    <w:p>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M——储罐内蒸汽的分子量；</w:t>
      </w:r>
    </w:p>
    <w:p>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P——在大量液体状态下，真实的蒸汽压力(Pa)；</w:t>
      </w:r>
    </w:p>
    <w:p>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D——罐的直径(m)；</w:t>
      </w:r>
    </w:p>
    <w:p>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H——平均蒸汽空间高度(m)；</w:t>
      </w:r>
    </w:p>
    <w:p>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ΔT——一天之内的平均温差(℃)；</w:t>
      </w:r>
    </w:p>
    <w:p>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F</w:t>
      </w:r>
      <w:r>
        <w:rPr>
          <w:rFonts w:hint="default" w:ascii="Times New Roman" w:hAnsi="Times New Roman" w:cs="Times New Roman"/>
          <w:color w:val="auto"/>
          <w:sz w:val="24"/>
          <w:szCs w:val="24"/>
          <w:vertAlign w:val="subscript"/>
          <w:lang w:val="en-US" w:eastAsia="zh-CN"/>
        </w:rPr>
        <w:t>P</w:t>
      </w:r>
      <w:r>
        <w:rPr>
          <w:rFonts w:hint="default" w:ascii="Times New Roman" w:hAnsi="Times New Roman" w:cs="Times New Roman"/>
          <w:color w:val="auto"/>
          <w:sz w:val="24"/>
          <w:szCs w:val="24"/>
          <w:lang w:val="en-US" w:eastAsia="zh-CN"/>
        </w:rPr>
        <w:t>——涂层因子(无量纲)，根据油气状况取值在1～1.5之间，取1.25；</w:t>
      </w:r>
    </w:p>
    <w:p>
      <w:pPr>
        <w:keepNext w:val="0"/>
        <w:keepLines w:val="0"/>
        <w:pageBreakBefore w:val="0"/>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C——用于小直径罐的调节因子(无量纲)，直径在0～9m之间的罐体，C=1-0.0123(D-9)</w:t>
      </w:r>
      <w:r>
        <w:rPr>
          <w:rFonts w:hint="default" w:ascii="Times New Roman" w:hAnsi="Times New Roman" w:cs="Times New Roman"/>
          <w:color w:val="auto"/>
          <w:sz w:val="24"/>
          <w:szCs w:val="24"/>
          <w:vertAlign w:val="superscript"/>
          <w:lang w:val="en-US" w:eastAsia="zh-CN"/>
        </w:rPr>
        <w:t>2</w:t>
      </w:r>
      <w:r>
        <w:rPr>
          <w:rFonts w:hint="default" w:ascii="Times New Roman" w:hAnsi="Times New Roman" w:cs="Times New Roman"/>
          <w:color w:val="auto"/>
          <w:sz w:val="24"/>
          <w:szCs w:val="24"/>
          <w:lang w:val="en-US" w:eastAsia="zh-CN"/>
        </w:rPr>
        <w:t>，罐径大于9m的C=1；</w:t>
      </w:r>
    </w:p>
    <w:p>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vertAlign w:val="subscript"/>
        </w:rPr>
        <w:t>c</w:t>
      </w:r>
      <w:r>
        <w:rPr>
          <w:rFonts w:hint="default" w:ascii="Times New Roman" w:hAnsi="Times New Roman" w:cs="Times New Roman"/>
          <w:color w:val="auto"/>
          <w:sz w:val="24"/>
          <w:szCs w:val="24"/>
        </w:rPr>
        <w:t>——产品因子(石油原油取0.65)。</w:t>
      </w:r>
    </w:p>
    <w:p>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K</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——周转因子(无量纲)，取值按年周转次数(K，次)确定：K≤36，KN=1，36＜K≤220，K</w:t>
      </w:r>
      <w:r>
        <w:rPr>
          <w:rFonts w:hint="default" w:ascii="Times New Roman" w:hAnsi="Times New Roman" w:cs="Times New Roman"/>
          <w:color w:val="auto"/>
          <w:sz w:val="24"/>
          <w:szCs w:val="24"/>
          <w:vertAlign w:val="subscript"/>
        </w:rPr>
        <w:t>N</w:t>
      </w:r>
      <w:r>
        <w:rPr>
          <w:rFonts w:hint="default" w:ascii="Times New Roman" w:hAnsi="Times New Roman" w:cs="Times New Roman"/>
          <w:color w:val="auto"/>
          <w:sz w:val="24"/>
          <w:szCs w:val="24"/>
        </w:rPr>
        <w:t>=11.467×K</w:t>
      </w:r>
      <w:r>
        <w:rPr>
          <w:rFonts w:hint="default" w:ascii="Times New Roman" w:hAnsi="Times New Roman" w:cs="Times New Roman"/>
          <w:color w:val="auto"/>
          <w:sz w:val="24"/>
          <w:szCs w:val="24"/>
          <w:vertAlign w:val="superscript"/>
        </w:rPr>
        <w:t>-0.7026</w:t>
      </w:r>
      <w:r>
        <w:rPr>
          <w:rFonts w:hint="default" w:ascii="Times New Roman" w:hAnsi="Times New Roman" w:cs="Times New Roman"/>
          <w:color w:val="auto"/>
          <w:sz w:val="24"/>
          <w:szCs w:val="24"/>
        </w:rPr>
        <w:t>，K＞220，KN=0.26；</w:t>
      </w:r>
    </w:p>
    <w:p>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η</w:t>
      </w:r>
      <w:r>
        <w:rPr>
          <w:rFonts w:hint="default" w:ascii="Times New Roman" w:hAnsi="Times New Roman" w:cs="Times New Roman"/>
          <w:color w:val="auto"/>
          <w:sz w:val="24"/>
          <w:szCs w:val="24"/>
          <w:vertAlign w:val="subscript"/>
        </w:rPr>
        <w:t>1</w:t>
      </w:r>
      <w:r>
        <w:rPr>
          <w:rFonts w:hint="default" w:ascii="Times New Roman" w:hAnsi="Times New Roman" w:cs="Times New Roman"/>
          <w:color w:val="auto"/>
          <w:sz w:val="24"/>
          <w:szCs w:val="24"/>
        </w:rPr>
        <w:t>——内浮顶储罐取0.05，拱顶罐1</w:t>
      </w:r>
      <w:r>
        <w:rPr>
          <w:rFonts w:hint="default" w:ascii="Times New Roman" w:hAnsi="Times New Roman" w:cs="Times New Roman"/>
          <w:color w:val="auto"/>
          <w:sz w:val="24"/>
          <w:szCs w:val="24"/>
          <w:lang w:eastAsia="zh-CN"/>
        </w:rPr>
        <w:t>；</w:t>
      </w:r>
    </w:p>
    <w:p>
      <w:pPr>
        <w:keepNext w:val="0"/>
        <w:keepLines w:val="0"/>
        <w:pageBreakBefore w:val="0"/>
        <w:widowControl/>
        <w:kinsoku/>
        <w:wordWrap/>
        <w:overflowPunct/>
        <w:topLinePunct w:val="0"/>
        <w:autoSpaceDE/>
        <w:autoSpaceDN/>
        <w:bidi w:val="0"/>
        <w:adjustRightInd w:val="0"/>
        <w:snapToGrid w:val="0"/>
        <w:spacing w:line="480" w:lineRule="exact"/>
        <w:ind w:firstLine="1135" w:firstLineChars="473"/>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lang w:eastAsia="zh-CN"/>
        </w:rPr>
        <w:t>η</w:t>
      </w:r>
      <w:r>
        <w:rPr>
          <w:rFonts w:hint="default" w:ascii="Times New Roman" w:hAnsi="Times New Roman" w:cs="Times New Roman"/>
          <w:color w:val="auto"/>
          <w:sz w:val="24"/>
          <w:szCs w:val="24"/>
          <w:vertAlign w:val="subscript"/>
          <w:lang w:eastAsia="zh-CN"/>
        </w:rPr>
        <w:t>2</w:t>
      </w:r>
      <w:r>
        <w:rPr>
          <w:rFonts w:hint="default" w:ascii="Times New Roman" w:hAnsi="Times New Roman" w:cs="Times New Roman"/>
          <w:color w:val="auto"/>
          <w:sz w:val="24"/>
          <w:szCs w:val="24"/>
          <w:lang w:eastAsia="zh-CN"/>
        </w:rPr>
        <w:t>一设置呼吸阀取0.7，不设呼吸阀取1。</w:t>
      </w:r>
    </w:p>
    <w:p>
      <w:pPr>
        <w:pStyle w:val="54"/>
        <w:keepNext w:val="0"/>
        <w:keepLines w:val="0"/>
        <w:pageBreakBefore w:val="0"/>
        <w:widowControl w:val="0"/>
        <w:kinsoku/>
        <w:wordWrap/>
        <w:overflowPunct/>
        <w:topLinePunct w:val="0"/>
        <w:autoSpaceDE/>
        <w:autoSpaceDN/>
        <w:bidi w:val="0"/>
        <w:adjustRightInd/>
        <w:snapToGrid/>
        <w:spacing w:line="480" w:lineRule="exact"/>
        <w:jc w:val="center"/>
        <w:textAlignment w:val="baseline"/>
        <w:rPr>
          <w:rFonts w:hint="eastAsia" w:cs="Times New Roman"/>
          <w:color w:val="auto"/>
          <w:highlight w:val="none"/>
          <w:lang w:val="en-US" w:eastAsia="zh-CN"/>
        </w:rPr>
      </w:pPr>
      <w:r>
        <w:rPr>
          <w:rFonts w:hint="eastAsia" w:cs="Times New Roman"/>
          <w:color w:val="auto"/>
          <w:highlight w:val="none"/>
          <w:lang w:val="en-US" w:eastAsia="zh-CN"/>
        </w:rPr>
        <w:t>3.3-9  各参数取值一览表</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695"/>
        <w:gridCol w:w="899"/>
        <w:gridCol w:w="743"/>
        <w:gridCol w:w="805"/>
        <w:gridCol w:w="982"/>
        <w:gridCol w:w="627"/>
        <w:gridCol w:w="627"/>
        <w:gridCol w:w="627"/>
        <w:gridCol w:w="627"/>
        <w:gridCol w:w="592"/>
        <w:gridCol w:w="6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序号</w:t>
            </w:r>
          </w:p>
        </w:tc>
        <w:tc>
          <w:tcPr>
            <w:tcW w:w="775"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M</w:t>
            </w:r>
          </w:p>
        </w:tc>
        <w:tc>
          <w:tcPr>
            <w:tcW w:w="899"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P（Pa）</w:t>
            </w:r>
          </w:p>
        </w:tc>
        <w:tc>
          <w:tcPr>
            <w:tcW w:w="789"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D/m</w:t>
            </w:r>
          </w:p>
        </w:tc>
        <w:tc>
          <w:tcPr>
            <w:tcW w:w="807"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H（m）</w:t>
            </w:r>
          </w:p>
        </w:tc>
        <w:tc>
          <w:tcPr>
            <w:tcW w:w="1022"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ΔT（℃）</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FP</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C</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K</w:t>
            </w:r>
            <w:r>
              <w:rPr>
                <w:rFonts w:hint="eastAsia"/>
                <w:color w:val="auto"/>
                <w:vertAlign w:val="subscript"/>
                <w:lang w:val="en-US" w:eastAsia="zh-CN"/>
              </w:rPr>
              <w:t>c</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K</w:t>
            </w:r>
            <w:r>
              <w:rPr>
                <w:rFonts w:hint="eastAsia"/>
                <w:color w:val="auto"/>
                <w:vertAlign w:val="subscript"/>
                <w:lang w:val="en-US" w:eastAsia="zh-CN"/>
              </w:rPr>
              <w:t>N</w:t>
            </w:r>
          </w:p>
        </w:tc>
        <w:tc>
          <w:tcPr>
            <w:tcW w:w="640" w:type="dxa"/>
            <w:tcBorders>
              <w:tl2br w:val="nil"/>
              <w:tr2bl w:val="nil"/>
            </w:tcBorders>
            <w:vAlign w:val="top"/>
          </w:tcPr>
          <w:p>
            <w:pPr>
              <w:pStyle w:val="41"/>
              <w:widowControl w:val="0"/>
              <w:bidi w:val="0"/>
              <w:rPr>
                <w:rFonts w:hint="default"/>
                <w:color w:val="auto"/>
                <w:lang w:val="en-US" w:eastAsia="zh-CN"/>
              </w:rPr>
            </w:pPr>
            <w:r>
              <w:rPr>
                <w:rFonts w:hint="default"/>
                <w:color w:val="auto"/>
                <w:lang w:val="en-US" w:eastAsia="zh-CN"/>
              </w:rPr>
              <w:t>η1</w:t>
            </w:r>
          </w:p>
        </w:tc>
        <w:tc>
          <w:tcPr>
            <w:tcW w:w="640" w:type="dxa"/>
            <w:tcBorders>
              <w:tl2br w:val="nil"/>
              <w:tr2bl w:val="nil"/>
            </w:tcBorders>
            <w:vAlign w:val="top"/>
          </w:tcPr>
          <w:p>
            <w:pPr>
              <w:pStyle w:val="41"/>
              <w:widowControl w:val="0"/>
              <w:bidi w:val="0"/>
              <w:rPr>
                <w:rFonts w:hint="default"/>
                <w:color w:val="auto"/>
                <w:lang w:val="en-US" w:eastAsia="zh-CN"/>
              </w:rPr>
            </w:pPr>
            <w:r>
              <w:rPr>
                <w:rFonts w:hint="default"/>
                <w:color w:val="auto"/>
                <w:lang w:val="en-US" w:eastAsia="zh-CN"/>
              </w:rPr>
              <w:t>η</w:t>
            </w:r>
            <w:r>
              <w:rPr>
                <w:rFonts w:hint="eastAsia"/>
                <w:color w:val="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3"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1</w:t>
            </w:r>
          </w:p>
        </w:tc>
        <w:tc>
          <w:tcPr>
            <w:tcW w:w="775"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50</w:t>
            </w:r>
          </w:p>
        </w:tc>
        <w:tc>
          <w:tcPr>
            <w:tcW w:w="899"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23548.5</w:t>
            </w:r>
          </w:p>
        </w:tc>
        <w:tc>
          <w:tcPr>
            <w:tcW w:w="789"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10</w:t>
            </w:r>
          </w:p>
        </w:tc>
        <w:tc>
          <w:tcPr>
            <w:tcW w:w="807"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4</w:t>
            </w:r>
          </w:p>
        </w:tc>
        <w:tc>
          <w:tcPr>
            <w:tcW w:w="1022"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11</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1.20</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0.54</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0.65</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0.92</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1</w:t>
            </w:r>
          </w:p>
        </w:tc>
        <w:tc>
          <w:tcPr>
            <w:tcW w:w="640" w:type="dxa"/>
            <w:tcBorders>
              <w:tl2br w:val="nil"/>
              <w:tr2bl w:val="nil"/>
            </w:tcBorders>
            <w:vAlign w:val="top"/>
          </w:tcPr>
          <w:p>
            <w:pPr>
              <w:pStyle w:val="41"/>
              <w:widowControl w:val="0"/>
              <w:bidi w:val="0"/>
              <w:rPr>
                <w:rFonts w:hint="default"/>
                <w:color w:val="auto"/>
                <w:lang w:val="en-US" w:eastAsia="zh-CN"/>
              </w:rPr>
            </w:pPr>
            <w:r>
              <w:rPr>
                <w:rFonts w:hint="eastAsia"/>
                <w:color w:val="auto"/>
                <w:lang w:val="en-US" w:eastAsia="zh-CN"/>
              </w:rPr>
              <w:t>0.7</w:t>
            </w:r>
          </w:p>
        </w:tc>
      </w:tr>
    </w:tbl>
    <w:p>
      <w:pPr>
        <w:pStyle w:val="57"/>
        <w:rPr>
          <w:color w:val="auto"/>
          <w:highlight w:val="none"/>
        </w:rPr>
      </w:pPr>
      <w:r>
        <w:rPr>
          <w:rFonts w:hint="eastAsia"/>
          <w:color w:val="auto"/>
          <w:lang w:val="en-US" w:eastAsia="zh-CN"/>
        </w:rPr>
        <w:t>通过上述公式计算可知，单座井场2</w:t>
      </w:r>
      <w:r>
        <w:rPr>
          <w:color w:val="auto"/>
        </w:rPr>
        <w:t>座</w:t>
      </w:r>
      <w:r>
        <w:rPr>
          <w:rFonts w:hint="eastAsia"/>
          <w:color w:val="auto"/>
          <w:lang w:val="en-US" w:eastAsia="zh-CN"/>
        </w:rPr>
        <w:t>60</w:t>
      </w:r>
      <w:r>
        <w:rPr>
          <w:rFonts w:hint="eastAsia"/>
          <w:color w:val="auto"/>
        </w:rPr>
        <w:t>m</w:t>
      </w:r>
      <w:r>
        <w:rPr>
          <w:rFonts w:hint="eastAsia"/>
          <w:color w:val="auto"/>
          <w:vertAlign w:val="superscript"/>
        </w:rPr>
        <w:t>3</w:t>
      </w:r>
      <w:r>
        <w:rPr>
          <w:rFonts w:hint="eastAsia"/>
          <w:color w:val="auto"/>
          <w:vertAlign w:val="baseline"/>
          <w:lang w:val="en-US" w:eastAsia="zh-CN"/>
        </w:rPr>
        <w:t>高架</w:t>
      </w:r>
      <w:r>
        <w:rPr>
          <w:rFonts w:hint="eastAsia"/>
          <w:color w:val="auto"/>
          <w:lang w:val="en-US" w:eastAsia="zh-CN"/>
        </w:rPr>
        <w:t>罐</w:t>
      </w:r>
      <w:r>
        <w:rPr>
          <w:rFonts w:hint="eastAsia"/>
          <w:color w:val="auto"/>
        </w:rPr>
        <w:t>静置损失</w:t>
      </w:r>
      <w:r>
        <w:rPr>
          <w:rFonts w:hint="eastAsia"/>
          <w:color w:val="auto"/>
          <w:lang w:val="en-US" w:eastAsia="zh-CN"/>
        </w:rPr>
        <w:t>0.10</w:t>
      </w:r>
      <w:r>
        <w:rPr>
          <w:rFonts w:hint="eastAsia"/>
          <w:color w:val="auto"/>
        </w:rPr>
        <w:t>t/a，工作损失</w:t>
      </w:r>
      <w:r>
        <w:rPr>
          <w:rFonts w:hint="eastAsia"/>
          <w:color w:val="auto"/>
          <w:lang w:val="en-US" w:eastAsia="zh-CN"/>
        </w:rPr>
        <w:t>1.64</w:t>
      </w:r>
      <w:r>
        <w:rPr>
          <w:rFonts w:hint="eastAsia"/>
          <w:color w:val="auto"/>
        </w:rPr>
        <w:t>t/a，则本工程</w:t>
      </w:r>
      <w:r>
        <w:rPr>
          <w:rFonts w:hint="eastAsia"/>
          <w:color w:val="auto"/>
          <w:lang w:val="en-US" w:eastAsia="zh-CN"/>
        </w:rPr>
        <w:t>单座井场2</w:t>
      </w:r>
      <w:r>
        <w:rPr>
          <w:color w:val="auto"/>
        </w:rPr>
        <w:t>座</w:t>
      </w:r>
      <w:r>
        <w:rPr>
          <w:rFonts w:hint="eastAsia"/>
          <w:color w:val="auto"/>
          <w:lang w:val="en-US" w:eastAsia="zh-CN"/>
        </w:rPr>
        <w:t>60</w:t>
      </w:r>
      <w:r>
        <w:rPr>
          <w:rFonts w:hint="eastAsia"/>
          <w:color w:val="auto"/>
        </w:rPr>
        <w:t>m</w:t>
      </w:r>
      <w:r>
        <w:rPr>
          <w:rFonts w:hint="eastAsia"/>
          <w:color w:val="auto"/>
          <w:vertAlign w:val="superscript"/>
        </w:rPr>
        <w:t>3</w:t>
      </w:r>
      <w:r>
        <w:rPr>
          <w:rFonts w:hint="eastAsia"/>
          <w:color w:val="auto"/>
          <w:vertAlign w:val="baseline"/>
          <w:lang w:val="en-US" w:eastAsia="zh-CN"/>
        </w:rPr>
        <w:t>高架</w:t>
      </w:r>
      <w:r>
        <w:rPr>
          <w:rFonts w:hint="eastAsia"/>
          <w:color w:val="auto"/>
          <w:lang w:val="en-US" w:eastAsia="zh-CN"/>
        </w:rPr>
        <w:t>罐大小</w:t>
      </w:r>
      <w:r>
        <w:rPr>
          <w:rFonts w:hint="eastAsia"/>
          <w:color w:val="auto"/>
        </w:rPr>
        <w:t>呼吸非甲烷总烃</w:t>
      </w:r>
      <w:r>
        <w:rPr>
          <w:color w:val="auto"/>
        </w:rPr>
        <w:t>排放量为</w:t>
      </w:r>
      <w:r>
        <w:rPr>
          <w:rFonts w:hint="eastAsia"/>
          <w:color w:val="auto"/>
          <w:lang w:val="en-US" w:eastAsia="zh-CN"/>
        </w:rPr>
        <w:t>1.74</w:t>
      </w:r>
      <w:r>
        <w:rPr>
          <w:color w:val="auto"/>
        </w:rPr>
        <w:t>t/a</w:t>
      </w:r>
    </w:p>
    <w:p>
      <w:pPr>
        <w:pStyle w:val="57"/>
        <w:rPr>
          <w:color w:val="auto"/>
          <w:highlight w:val="none"/>
        </w:rPr>
      </w:pPr>
      <w:r>
        <w:rPr>
          <w:color w:val="auto"/>
          <w:highlight w:val="none"/>
        </w:rPr>
        <w:t>（</w:t>
      </w:r>
      <w:r>
        <w:rPr>
          <w:rFonts w:hint="eastAsia"/>
          <w:color w:val="auto"/>
          <w:highlight w:val="none"/>
          <w:lang w:val="en-US" w:eastAsia="zh-CN"/>
        </w:rPr>
        <w:t>2</w:t>
      </w:r>
      <w:r>
        <w:rPr>
          <w:color w:val="auto"/>
          <w:highlight w:val="none"/>
        </w:rPr>
        <w:t>）油气集输过程中非甲烷总烃（NMHC）</w:t>
      </w:r>
    </w:p>
    <w:p>
      <w:pPr>
        <w:pStyle w:val="57"/>
        <w:rPr>
          <w:color w:val="auto"/>
          <w:highlight w:val="none"/>
        </w:rPr>
      </w:pPr>
      <w:r>
        <w:rPr>
          <w:color w:val="auto"/>
          <w:highlight w:val="none"/>
        </w:rPr>
        <w:t>在油气集输环节产生的挥发性有机物（VOCs）主要包括非甲烷总烃（烷烃、烯烃、芳香烃、炔烃等）、含氧有机化合物（醛、酮、醇、醚、酯、酚等）、卤代烃，含氮有机化合物，含硫有机化合物等，对</w:t>
      </w:r>
      <w:r>
        <w:rPr>
          <w:rFonts w:hint="eastAsia"/>
          <w:color w:val="auto"/>
          <w:highlight w:val="none"/>
        </w:rPr>
        <w:t>本工程</w:t>
      </w:r>
      <w:r>
        <w:rPr>
          <w:color w:val="auto"/>
          <w:highlight w:val="none"/>
        </w:rPr>
        <w:t>而言，VOCs主要为非甲烷总烃。</w:t>
      </w:r>
    </w:p>
    <w:p>
      <w:pPr>
        <w:pStyle w:val="57"/>
        <w:rPr>
          <w:color w:val="auto"/>
          <w:highlight w:val="none"/>
        </w:rPr>
      </w:pPr>
      <w:r>
        <w:rPr>
          <w:rFonts w:hint="eastAsia"/>
          <w:color w:val="auto"/>
          <w:highlight w:val="none"/>
        </w:rPr>
        <w:t>本工程运营过程中井场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和阀组无组织废气主要污染物为从阀门等部分逸散无组织非甲烷总烃，参照《排污许可证申请与核发技术规范 石化工业》</w:t>
      </w:r>
      <w:r>
        <w:rPr>
          <w:rFonts w:hint="default" w:ascii="Times New Roman" w:hAnsi="Times New Roman" w:cs="Times New Roman"/>
          <w:snapToGrid w:val="0"/>
          <w:color w:val="auto"/>
          <w:sz w:val="24"/>
          <w:szCs w:val="24"/>
          <w:highlight w:val="none"/>
          <w:shd w:val="clear" w:color="auto" w:fill="auto"/>
          <w:lang w:eastAsia="zh-CN"/>
        </w:rPr>
        <w:t>（</w:t>
      </w:r>
      <w:r>
        <w:rPr>
          <w:rFonts w:hint="default" w:ascii="Times New Roman" w:hAnsi="Times New Roman" w:cs="Times New Roman"/>
          <w:snapToGrid w:val="0"/>
          <w:color w:val="auto"/>
          <w:sz w:val="24"/>
          <w:szCs w:val="24"/>
          <w:highlight w:val="none"/>
          <w:shd w:val="clear" w:color="auto" w:fill="auto"/>
        </w:rPr>
        <w:t>HJ853-2017</w:t>
      </w:r>
      <w:r>
        <w:rPr>
          <w:rFonts w:hint="default" w:ascii="Times New Roman" w:hAnsi="Times New Roman" w:cs="Times New Roman"/>
          <w:snapToGrid w:val="0"/>
          <w:color w:val="auto"/>
          <w:sz w:val="24"/>
          <w:szCs w:val="24"/>
          <w:highlight w:val="none"/>
          <w:shd w:val="clear" w:color="auto" w:fill="auto"/>
          <w:lang w:eastAsia="zh-CN"/>
        </w:rPr>
        <w:t>）</w:t>
      </w:r>
      <w:r>
        <w:rPr>
          <w:rFonts w:hint="default" w:ascii="Times New Roman" w:hAnsi="Times New Roman" w:cs="Times New Roman"/>
          <w:snapToGrid w:val="0"/>
          <w:color w:val="auto"/>
          <w:sz w:val="24"/>
          <w:szCs w:val="24"/>
          <w:highlight w:val="none"/>
          <w:shd w:val="clear" w:color="auto" w:fill="auto"/>
        </w:rPr>
        <w:t>中设备与管线组件密封点泄漏挥发性有机物的计算公式对源强进行核算</w:t>
      </w:r>
      <w:r>
        <w:rPr>
          <w:rFonts w:hint="eastAsia" w:ascii="Times New Roman" w:hAnsi="Times New Roman" w:cs="Times New Roman"/>
          <w:snapToGrid w:val="0"/>
          <w:color w:val="auto"/>
          <w:sz w:val="24"/>
          <w:szCs w:val="24"/>
          <w:highlight w:val="none"/>
          <w:shd w:val="clear" w:color="auto" w:fill="auto"/>
          <w:lang w:eastAsia="zh-CN"/>
        </w:rPr>
        <w:t>，</w:t>
      </w:r>
      <w:r>
        <w:rPr>
          <w:rFonts w:hint="eastAsia"/>
          <w:color w:val="auto"/>
          <w:highlight w:val="none"/>
        </w:rPr>
        <w:t>本工程无组织</w:t>
      </w:r>
      <w:r>
        <w:rPr>
          <w:color w:val="auto"/>
          <w:szCs w:val="28"/>
          <w:highlight w:val="none"/>
        </w:rPr>
        <w:t>挥发</w:t>
      </w:r>
      <w:r>
        <w:rPr>
          <w:rFonts w:hint="eastAsia"/>
          <w:color w:val="auto"/>
          <w:szCs w:val="28"/>
          <w:highlight w:val="none"/>
        </w:rPr>
        <w:t>的非甲烷总烃</w:t>
      </w:r>
      <w:r>
        <w:rPr>
          <w:rFonts w:hint="eastAsia"/>
          <w:color w:val="auto"/>
          <w:highlight w:val="none"/>
        </w:rPr>
        <w:t>核算过程如下：</w:t>
      </w:r>
    </w:p>
    <w:p>
      <w:pPr>
        <w:pStyle w:val="57"/>
        <w:rPr>
          <w:color w:val="auto"/>
          <w:highlight w:val="none"/>
          <w:lang w:val="zh-CN"/>
        </w:rPr>
      </w:pPr>
      <w:r>
        <w:rPr>
          <w:rFonts w:hint="eastAsia"/>
          <w:color w:val="auto"/>
          <w:highlight w:val="none"/>
        </w:rPr>
        <w:t>公式如下：</w:t>
      </w:r>
    </w:p>
    <w:p>
      <w:pPr>
        <w:pStyle w:val="57"/>
        <w:rPr>
          <w:rFonts w:hint="default"/>
          <w:color w:val="auto"/>
          <w:highlight w:val="none"/>
          <w:lang w:val="en-US"/>
        </w:rPr>
      </w:pPr>
      <w:r>
        <w:rPr>
          <w:color w:val="auto"/>
          <w:highlight w:val="none"/>
        </w:rPr>
        <w:drawing>
          <wp:anchor distT="0" distB="0" distL="0" distR="0" simplePos="0" relativeHeight="251682816" behindDoc="0" locked="0" layoutInCell="1" allowOverlap="1">
            <wp:simplePos x="0" y="0"/>
            <wp:positionH relativeFrom="column">
              <wp:posOffset>1511935</wp:posOffset>
            </wp:positionH>
            <wp:positionV relativeFrom="paragraph">
              <wp:posOffset>-85090</wp:posOffset>
            </wp:positionV>
            <wp:extent cx="2228215" cy="410845"/>
            <wp:effectExtent l="0" t="0" r="635" b="8255"/>
            <wp:wrapNone/>
            <wp:docPr id="2075" name="图片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 name="图片 207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228215" cy="410845"/>
                    </a:xfrm>
                    <a:prstGeom prst="rect">
                      <a:avLst/>
                    </a:prstGeom>
                    <a:noFill/>
                    <a:ln>
                      <a:noFill/>
                    </a:ln>
                    <a:effectLst/>
                  </pic:spPr>
                </pic:pic>
              </a:graphicData>
            </a:graphic>
          </wp:anchor>
        </w:drawing>
      </w:r>
    </w:p>
    <w:p>
      <w:pPr>
        <w:pStyle w:val="57"/>
        <w:rPr>
          <w:color w:val="auto"/>
          <w:highlight w:val="none"/>
          <w:lang w:val="zh-CN"/>
        </w:rPr>
      </w:pPr>
      <w:r>
        <w:rPr>
          <w:rFonts w:hint="eastAsia"/>
          <w:color w:val="auto"/>
          <w:highlight w:val="none"/>
        </w:rPr>
        <w:t>E</w:t>
      </w:r>
      <w:r>
        <w:rPr>
          <w:rFonts w:hint="eastAsia"/>
          <w:color w:val="auto"/>
          <w:highlight w:val="none"/>
          <w:vertAlign w:val="subscript"/>
          <w:lang w:val="zh-CN"/>
        </w:rPr>
        <w:t>设备</w:t>
      </w:r>
      <w:r>
        <w:rPr>
          <w:rFonts w:hint="eastAsia"/>
          <w:color w:val="auto"/>
          <w:highlight w:val="none"/>
          <w:lang w:val="zh-CN"/>
        </w:rPr>
        <w:t>——设备与管线组件密封点泄漏的挥发性有机物年许可排放量，</w:t>
      </w:r>
      <w:r>
        <w:rPr>
          <w:rFonts w:hint="eastAsia"/>
          <w:color w:val="auto"/>
          <w:highlight w:val="none"/>
        </w:rPr>
        <w:t>kg/a</w:t>
      </w:r>
      <w:r>
        <w:rPr>
          <w:rFonts w:hint="eastAsia"/>
          <w:color w:val="auto"/>
          <w:highlight w:val="none"/>
          <w:lang w:val="zh-CN"/>
        </w:rPr>
        <w:t>；</w:t>
      </w:r>
    </w:p>
    <w:p>
      <w:pPr>
        <w:pStyle w:val="57"/>
        <w:rPr>
          <w:color w:val="auto"/>
          <w:highlight w:val="none"/>
          <w:lang w:val="zh-CN"/>
        </w:rPr>
      </w:pPr>
      <w:r>
        <w:rPr>
          <w:rFonts w:hint="eastAsia"/>
          <w:color w:val="auto"/>
          <w:highlight w:val="none"/>
        </w:rPr>
        <w:t>t</w:t>
      </w:r>
      <w:r>
        <w:rPr>
          <w:rFonts w:hint="eastAsia"/>
          <w:color w:val="auto"/>
          <w:highlight w:val="none"/>
          <w:vertAlign w:val="subscript"/>
          <w:lang w:val="zh-CN"/>
        </w:rPr>
        <w:t>i</w:t>
      </w:r>
      <w:r>
        <w:rPr>
          <w:rFonts w:hint="eastAsia"/>
          <w:color w:val="auto"/>
          <w:highlight w:val="none"/>
          <w:lang w:val="zh-CN"/>
        </w:rPr>
        <w:t>——密封点i的年运行时间，</w:t>
      </w:r>
      <w:r>
        <w:rPr>
          <w:rFonts w:hint="eastAsia"/>
          <w:color w:val="auto"/>
          <w:highlight w:val="none"/>
        </w:rPr>
        <w:t>h</w:t>
      </w:r>
      <w:r>
        <w:rPr>
          <w:rFonts w:hint="eastAsia"/>
          <w:color w:val="auto"/>
          <w:highlight w:val="none"/>
          <w:lang w:val="zh-CN"/>
        </w:rPr>
        <w:t>/</w:t>
      </w:r>
      <w:r>
        <w:rPr>
          <w:rFonts w:hint="eastAsia"/>
          <w:color w:val="auto"/>
          <w:highlight w:val="none"/>
        </w:rPr>
        <w:t>a</w:t>
      </w:r>
      <w:r>
        <w:rPr>
          <w:rFonts w:hint="eastAsia"/>
          <w:color w:val="auto"/>
          <w:highlight w:val="none"/>
          <w:lang w:val="zh-CN"/>
        </w:rPr>
        <w:t>；</w:t>
      </w:r>
    </w:p>
    <w:p>
      <w:pPr>
        <w:pStyle w:val="57"/>
        <w:rPr>
          <w:color w:val="auto"/>
          <w:highlight w:val="none"/>
          <w:lang w:val="zh-CN"/>
        </w:rPr>
      </w:pPr>
      <w:r>
        <w:rPr>
          <w:rFonts w:hint="eastAsia"/>
          <w:color w:val="auto"/>
          <w:highlight w:val="none"/>
        </w:rPr>
        <w:t>e</w:t>
      </w:r>
      <w:r>
        <w:rPr>
          <w:rFonts w:hint="eastAsia"/>
          <w:color w:val="auto"/>
          <w:highlight w:val="none"/>
          <w:vertAlign w:val="subscript"/>
        </w:rPr>
        <w:t>TOC，</w:t>
      </w:r>
      <w:r>
        <w:rPr>
          <w:rFonts w:hint="eastAsia"/>
          <w:color w:val="auto"/>
          <w:highlight w:val="none"/>
          <w:vertAlign w:val="subscript"/>
          <w:lang w:val="zh-CN"/>
        </w:rPr>
        <w:t>i</w:t>
      </w:r>
      <w:r>
        <w:rPr>
          <w:rFonts w:hint="eastAsia"/>
          <w:color w:val="auto"/>
          <w:highlight w:val="none"/>
          <w:lang w:val="zh-CN"/>
        </w:rPr>
        <w:t>——密封点</w:t>
      </w:r>
      <w:r>
        <w:rPr>
          <w:rFonts w:hint="eastAsia"/>
          <w:color w:val="auto"/>
          <w:highlight w:val="none"/>
        </w:rPr>
        <w:t>i的总有机碳（TOC）排放速率</w:t>
      </w:r>
      <w:r>
        <w:rPr>
          <w:rFonts w:hint="eastAsia"/>
          <w:color w:val="auto"/>
          <w:highlight w:val="none"/>
          <w:lang w:val="zh-CN"/>
        </w:rPr>
        <w:t>，</w:t>
      </w:r>
      <w:r>
        <w:rPr>
          <w:rFonts w:hint="eastAsia"/>
          <w:color w:val="auto"/>
          <w:highlight w:val="none"/>
        </w:rPr>
        <w:t>kg</w:t>
      </w:r>
      <w:r>
        <w:rPr>
          <w:rFonts w:hint="eastAsia"/>
          <w:color w:val="auto"/>
          <w:highlight w:val="none"/>
          <w:lang w:val="zh-CN"/>
        </w:rPr>
        <w:t>/</w:t>
      </w:r>
      <w:r>
        <w:rPr>
          <w:rFonts w:hint="eastAsia"/>
          <w:color w:val="auto"/>
          <w:highlight w:val="none"/>
        </w:rPr>
        <w:t>h；</w:t>
      </w:r>
    </w:p>
    <w:p>
      <w:pPr>
        <w:pStyle w:val="57"/>
        <w:rPr>
          <w:color w:val="auto"/>
          <w:highlight w:val="none"/>
        </w:rPr>
      </w:pPr>
      <w:r>
        <w:rPr>
          <w:rFonts w:hint="eastAsia"/>
          <w:color w:val="auto"/>
          <w:highlight w:val="none"/>
        </w:rPr>
        <w:t>WF</w:t>
      </w:r>
      <w:r>
        <w:rPr>
          <w:rFonts w:hint="eastAsia"/>
          <w:color w:val="auto"/>
          <w:highlight w:val="none"/>
          <w:vertAlign w:val="subscript"/>
        </w:rPr>
        <w:t>VOCs，</w:t>
      </w:r>
      <w:r>
        <w:rPr>
          <w:rFonts w:hint="eastAsia"/>
          <w:color w:val="auto"/>
          <w:highlight w:val="none"/>
          <w:vertAlign w:val="subscript"/>
          <w:lang w:val="zh-CN"/>
        </w:rPr>
        <w:t>i</w:t>
      </w:r>
      <w:r>
        <w:rPr>
          <w:rFonts w:hint="eastAsia"/>
          <w:color w:val="auto"/>
          <w:highlight w:val="none"/>
          <w:lang w:val="zh-CN"/>
        </w:rPr>
        <w:t>——流经密封点</w:t>
      </w:r>
      <w:r>
        <w:rPr>
          <w:rFonts w:hint="eastAsia"/>
          <w:color w:val="auto"/>
          <w:highlight w:val="none"/>
        </w:rPr>
        <w:t>i的物料中挥发性有机物平均质量分数，根据设计文件取值；</w:t>
      </w:r>
    </w:p>
    <w:p>
      <w:pPr>
        <w:pStyle w:val="57"/>
        <w:rPr>
          <w:color w:val="auto"/>
          <w:highlight w:val="none"/>
        </w:rPr>
      </w:pPr>
      <w:r>
        <w:rPr>
          <w:rFonts w:hint="eastAsia"/>
          <w:color w:val="auto"/>
          <w:highlight w:val="none"/>
        </w:rPr>
        <w:t>WF</w:t>
      </w:r>
      <w:r>
        <w:rPr>
          <w:rFonts w:hint="eastAsia"/>
          <w:color w:val="auto"/>
          <w:highlight w:val="none"/>
          <w:vertAlign w:val="subscript"/>
        </w:rPr>
        <w:t>TOC，</w:t>
      </w:r>
      <w:r>
        <w:rPr>
          <w:rFonts w:hint="eastAsia"/>
          <w:color w:val="auto"/>
          <w:highlight w:val="none"/>
          <w:vertAlign w:val="subscript"/>
          <w:lang w:val="zh-CN"/>
        </w:rPr>
        <w:t>i</w:t>
      </w:r>
      <w:r>
        <w:rPr>
          <w:rFonts w:hint="eastAsia"/>
          <w:color w:val="auto"/>
          <w:highlight w:val="none"/>
          <w:lang w:val="zh-CN"/>
        </w:rPr>
        <w:t>——流经密封点</w:t>
      </w:r>
      <w:r>
        <w:rPr>
          <w:rFonts w:hint="eastAsia"/>
          <w:color w:val="auto"/>
          <w:highlight w:val="none"/>
        </w:rPr>
        <w:t>i的物料中总有机碳（TOC）平均质量分数，根据设计文件取值；</w:t>
      </w:r>
    </w:p>
    <w:p>
      <w:pPr>
        <w:pStyle w:val="57"/>
        <w:rPr>
          <w:color w:val="auto"/>
          <w:highlight w:val="none"/>
        </w:rPr>
      </w:pPr>
      <w:r>
        <w:rPr>
          <w:rFonts w:hint="eastAsia"/>
          <w:color w:val="auto"/>
          <w:highlight w:val="none"/>
        </w:rPr>
        <w:t>n</w:t>
      </w:r>
      <w:r>
        <w:rPr>
          <w:rFonts w:hint="eastAsia"/>
          <w:color w:val="auto"/>
          <w:highlight w:val="none"/>
          <w:lang w:val="zh-CN"/>
        </w:rPr>
        <w:t>——挥发性有机物流经的设备与管线组件密封点数。</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olor w:val="auto"/>
          <w:highlight w:val="none"/>
          <w:lang w:val="zh-CN"/>
        </w:rPr>
      </w:pPr>
      <w:r>
        <w:rPr>
          <w:rFonts w:hint="eastAsia" w:hAnsi="宋体"/>
          <w:color w:val="auto"/>
          <w:highlight w:val="none"/>
        </w:rPr>
        <w:t>表3.</w:t>
      </w:r>
      <w:r>
        <w:rPr>
          <w:rFonts w:hint="eastAsia" w:hAnsi="宋体"/>
          <w:color w:val="auto"/>
          <w:highlight w:val="none"/>
          <w:lang w:val="en-US" w:eastAsia="zh-CN"/>
        </w:rPr>
        <w:t>3</w:t>
      </w:r>
      <w:r>
        <w:rPr>
          <w:rFonts w:hAnsi="宋体"/>
          <w:color w:val="auto"/>
          <w:highlight w:val="none"/>
        </w:rPr>
        <w:t>-</w:t>
      </w:r>
      <w:r>
        <w:rPr>
          <w:rFonts w:hint="eastAsia" w:hAnsi="宋体"/>
          <w:color w:val="auto"/>
          <w:highlight w:val="none"/>
          <w:lang w:val="en-US" w:eastAsia="zh-CN"/>
        </w:rPr>
        <w:t>9</w:t>
      </w:r>
      <w:r>
        <w:rPr>
          <w:rFonts w:hint="eastAsia"/>
          <w:color w:val="auto"/>
          <w:highlight w:val="none"/>
        </w:rPr>
        <w:t xml:space="preserve">    </w:t>
      </w:r>
      <w:r>
        <w:rPr>
          <w:rFonts w:hint="eastAsia"/>
          <w:color w:val="auto"/>
          <w:highlight w:val="none"/>
          <w:lang w:val="zh-CN"/>
        </w:rPr>
        <w:t>设备与管线组件e</w:t>
      </w:r>
      <w:r>
        <w:rPr>
          <w:rFonts w:hint="eastAsia"/>
          <w:color w:val="auto"/>
          <w:highlight w:val="none"/>
          <w:vertAlign w:val="subscript"/>
          <w:lang w:val="zh-CN"/>
        </w:rPr>
        <w:t>TOC，i</w:t>
      </w:r>
      <w:r>
        <w:rPr>
          <w:rFonts w:hint="eastAsia"/>
          <w:color w:val="auto"/>
          <w:highlight w:val="none"/>
          <w:lang w:val="zh-CN"/>
        </w:rPr>
        <w:t>取值参数表</w:t>
      </w:r>
    </w:p>
    <w:tbl>
      <w:tblPr>
        <w:tblStyle w:val="34"/>
        <w:tblW w:w="859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359"/>
        <w:gridCol w:w="3858"/>
        <w:gridCol w:w="33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类型</w:t>
            </w:r>
          </w:p>
        </w:tc>
        <w:tc>
          <w:tcPr>
            <w:tcW w:w="3858"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设备类型</w:t>
            </w:r>
          </w:p>
        </w:tc>
        <w:tc>
          <w:tcPr>
            <w:tcW w:w="3377"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排放速率e</w:t>
            </w:r>
            <w:r>
              <w:rPr>
                <w:rFonts w:hint="default" w:ascii="Times New Roman" w:hAnsi="Times New Roman" w:cs="Times New Roman"/>
                <w:color w:val="auto"/>
                <w:spacing w:val="-10"/>
                <w:kern w:val="2"/>
                <w:sz w:val="21"/>
                <w:szCs w:val="23"/>
                <w:highlight w:val="none"/>
                <w:shd w:val="clear" w:color="auto" w:fill="auto"/>
                <w:vertAlign w:val="subscript"/>
              </w:rPr>
              <w:t>TOC，i</w:t>
            </w:r>
            <w:r>
              <w:rPr>
                <w:rFonts w:hint="default" w:ascii="Times New Roman" w:hAnsi="Times New Roman" w:cs="Times New Roman"/>
                <w:color w:val="auto"/>
                <w:spacing w:val="-10"/>
                <w:kern w:val="2"/>
                <w:sz w:val="21"/>
                <w:szCs w:val="23"/>
                <w:highlight w:val="none"/>
                <w:shd w:val="clear" w:color="auto" w:fill="auto"/>
              </w:rPr>
              <w:t>/</w:t>
            </w:r>
            <w:r>
              <w:rPr>
                <w:rFonts w:hint="default" w:ascii="Times New Roman" w:hAnsi="Times New Roman" w:cs="Times New Roman"/>
                <w:color w:val="auto"/>
                <w:spacing w:val="-10"/>
                <w:kern w:val="2"/>
                <w:sz w:val="21"/>
                <w:szCs w:val="23"/>
                <w:highlight w:val="none"/>
                <w:shd w:val="clear" w:color="auto" w:fill="auto"/>
                <w:lang w:eastAsia="zh-CN"/>
              </w:rPr>
              <w:t>（</w:t>
            </w:r>
            <w:r>
              <w:rPr>
                <w:rFonts w:hint="default" w:ascii="Times New Roman" w:hAnsi="Times New Roman" w:cs="Times New Roman"/>
                <w:color w:val="auto"/>
                <w:spacing w:val="-10"/>
                <w:kern w:val="2"/>
                <w:sz w:val="21"/>
                <w:szCs w:val="23"/>
                <w:highlight w:val="none"/>
                <w:shd w:val="clear" w:color="auto" w:fill="auto"/>
              </w:rPr>
              <w:t>kg/h排放源</w:t>
            </w:r>
            <w:r>
              <w:rPr>
                <w:rFonts w:hint="default" w:ascii="Times New Roman" w:hAnsi="Times New Roman" w:cs="Times New Roman"/>
                <w:color w:val="auto"/>
                <w:spacing w:val="-10"/>
                <w:kern w:val="2"/>
                <w:sz w:val="21"/>
                <w:szCs w:val="23"/>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restart"/>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石油</w:t>
            </w:r>
            <w:r>
              <w:rPr>
                <w:rFonts w:hint="default" w:ascii="Times New Roman" w:hAnsi="Times New Roman" w:cs="Times New Roman"/>
                <w:color w:val="auto"/>
                <w:spacing w:val="-10"/>
                <w:kern w:val="2"/>
                <w:sz w:val="21"/>
                <w:szCs w:val="23"/>
                <w:highlight w:val="none"/>
                <w:shd w:val="clear" w:color="auto" w:fill="auto"/>
                <w:lang w:val="en-US" w:eastAsia="zh-CN"/>
              </w:rPr>
              <w:t>炼制</w:t>
            </w:r>
            <w:r>
              <w:rPr>
                <w:rFonts w:hint="default" w:ascii="Times New Roman" w:hAnsi="Times New Roman" w:cs="Times New Roman"/>
                <w:color w:val="auto"/>
                <w:spacing w:val="-10"/>
                <w:kern w:val="2"/>
                <w:sz w:val="21"/>
                <w:szCs w:val="23"/>
                <w:highlight w:val="none"/>
                <w:shd w:val="clear" w:color="auto" w:fill="auto"/>
              </w:rPr>
              <w:t>工业</w:t>
            </w:r>
          </w:p>
        </w:tc>
        <w:tc>
          <w:tcPr>
            <w:tcW w:w="3858"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阀门</w:t>
            </w:r>
          </w:p>
        </w:tc>
        <w:tc>
          <w:tcPr>
            <w:tcW w:w="3377" w:type="dxa"/>
            <w:tcBorders>
              <w:tl2br w:val="nil"/>
              <w:tr2bl w:val="nil"/>
            </w:tcBorders>
            <w:noWrap w:val="0"/>
            <w:vAlign w:val="center"/>
          </w:tcPr>
          <w:p>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val="en-US" w:eastAsia="zh-CN"/>
              </w:rPr>
            </w:pPr>
            <w:r>
              <w:rPr>
                <w:rFonts w:hint="default" w:ascii="Times New Roman" w:hAnsi="Times New Roman" w:cs="Times New Roman"/>
                <w:color w:val="auto"/>
                <w:spacing w:val="-10"/>
                <w:kern w:val="2"/>
                <w:sz w:val="21"/>
                <w:szCs w:val="23"/>
                <w:highlight w:val="none"/>
                <w:shd w:val="clear" w:color="auto" w:fill="auto"/>
                <w:lang w:val="en-US" w:eastAsia="zh-CN"/>
              </w:rPr>
              <w:t>0.064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continue"/>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p>
        </w:tc>
        <w:tc>
          <w:tcPr>
            <w:tcW w:w="3858" w:type="dxa"/>
            <w:tcBorders>
              <w:tl2br w:val="nil"/>
              <w:tr2bl w:val="nil"/>
            </w:tcBorders>
            <w:noWrap w:val="0"/>
            <w:vAlign w:val="center"/>
          </w:tcPr>
          <w:p>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eastAsia="zh-CN"/>
              </w:rPr>
            </w:pPr>
            <w:r>
              <w:rPr>
                <w:rFonts w:hint="default" w:ascii="Times New Roman" w:hAnsi="Times New Roman" w:cs="Times New Roman"/>
                <w:color w:val="auto"/>
                <w:spacing w:val="-10"/>
                <w:kern w:val="2"/>
                <w:sz w:val="21"/>
                <w:szCs w:val="23"/>
                <w:highlight w:val="none"/>
                <w:shd w:val="clear" w:color="auto" w:fill="auto"/>
                <w:lang w:val="en-US" w:eastAsia="zh-CN"/>
              </w:rPr>
              <w:t>泵</w:t>
            </w:r>
          </w:p>
        </w:tc>
        <w:tc>
          <w:tcPr>
            <w:tcW w:w="3377" w:type="dxa"/>
            <w:tcBorders>
              <w:tl2br w:val="nil"/>
              <w:tr2bl w:val="nil"/>
            </w:tcBorders>
            <w:noWrap w:val="0"/>
            <w:vAlign w:val="center"/>
          </w:tcPr>
          <w:p>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val="en-US" w:eastAsia="zh-CN"/>
              </w:rPr>
            </w:pPr>
            <w:r>
              <w:rPr>
                <w:rFonts w:hint="default" w:ascii="Times New Roman" w:hAnsi="Times New Roman" w:cs="Times New Roman"/>
                <w:color w:val="auto"/>
                <w:spacing w:val="-10"/>
                <w:kern w:val="2"/>
                <w:sz w:val="21"/>
                <w:szCs w:val="23"/>
                <w:highlight w:val="none"/>
                <w:shd w:val="clear" w:color="auto" w:fill="auto"/>
                <w:lang w:val="en-US" w:eastAsia="zh-CN"/>
              </w:rPr>
              <w:t>0.074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continue"/>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p>
        </w:tc>
        <w:tc>
          <w:tcPr>
            <w:tcW w:w="3858" w:type="dxa"/>
            <w:tcBorders>
              <w:tl2br w:val="nil"/>
              <w:tr2bl w:val="nil"/>
            </w:tcBorders>
            <w:noWrap w:val="0"/>
            <w:vAlign w:val="center"/>
          </w:tcPr>
          <w:p>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eastAsia="zh-CN"/>
              </w:rPr>
            </w:pPr>
            <w:r>
              <w:rPr>
                <w:rFonts w:hint="default" w:ascii="Times New Roman" w:hAnsi="Times New Roman" w:cs="Times New Roman"/>
                <w:color w:val="auto"/>
                <w:spacing w:val="-10"/>
                <w:kern w:val="2"/>
                <w:sz w:val="21"/>
                <w:szCs w:val="23"/>
                <w:highlight w:val="none"/>
                <w:shd w:val="clear" w:color="auto" w:fill="auto"/>
                <w:lang w:val="en-US" w:eastAsia="zh-CN"/>
              </w:rPr>
              <w:t>法兰</w:t>
            </w:r>
          </w:p>
        </w:tc>
        <w:tc>
          <w:tcPr>
            <w:tcW w:w="3377" w:type="dxa"/>
            <w:tcBorders>
              <w:tl2br w:val="nil"/>
              <w:tr2bl w:val="nil"/>
            </w:tcBorders>
            <w:noWrap w:val="0"/>
            <w:vAlign w:val="center"/>
          </w:tcPr>
          <w:p>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val="en-US" w:eastAsia="zh-CN"/>
              </w:rPr>
            </w:pPr>
            <w:r>
              <w:rPr>
                <w:rFonts w:hint="default" w:ascii="Times New Roman" w:hAnsi="Times New Roman" w:cs="Times New Roman"/>
                <w:color w:val="auto"/>
                <w:spacing w:val="-10"/>
                <w:kern w:val="2"/>
                <w:sz w:val="21"/>
                <w:szCs w:val="23"/>
                <w:highlight w:val="none"/>
                <w:shd w:val="clear" w:color="auto" w:fill="auto"/>
                <w:lang w:val="en-US" w:eastAsia="zh-CN"/>
              </w:rPr>
              <w:t>0.085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continue"/>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p>
        </w:tc>
        <w:tc>
          <w:tcPr>
            <w:tcW w:w="3858"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压缩机、搅拌器、</w:t>
            </w:r>
            <w:r>
              <w:rPr>
                <w:rFonts w:hint="default" w:ascii="Times New Roman" w:hAnsi="Times New Roman" w:cs="Times New Roman"/>
                <w:color w:val="auto"/>
                <w:spacing w:val="-10"/>
                <w:kern w:val="2"/>
                <w:sz w:val="21"/>
                <w:szCs w:val="23"/>
                <w:highlight w:val="none"/>
                <w:shd w:val="clear" w:color="auto" w:fill="auto"/>
                <w:lang w:val="en-US" w:eastAsia="zh-CN"/>
              </w:rPr>
              <w:t>液压</w:t>
            </w:r>
            <w:r>
              <w:rPr>
                <w:rFonts w:hint="default" w:ascii="Times New Roman" w:hAnsi="Times New Roman" w:cs="Times New Roman"/>
                <w:color w:val="auto"/>
                <w:spacing w:val="-10"/>
                <w:kern w:val="2"/>
                <w:sz w:val="21"/>
                <w:szCs w:val="23"/>
                <w:highlight w:val="none"/>
                <w:shd w:val="clear" w:color="auto" w:fill="auto"/>
              </w:rPr>
              <w:t>设备</w:t>
            </w:r>
          </w:p>
        </w:tc>
        <w:tc>
          <w:tcPr>
            <w:tcW w:w="3377" w:type="dxa"/>
            <w:tcBorders>
              <w:tl2br w:val="nil"/>
              <w:tr2bl w:val="nil"/>
            </w:tcBorders>
            <w:noWrap w:val="0"/>
            <w:vAlign w:val="center"/>
          </w:tcPr>
          <w:p>
            <w:pPr>
              <w:widowControl w:val="0"/>
              <w:spacing w:line="0" w:lineRule="atLeast"/>
              <w:jc w:val="center"/>
              <w:rPr>
                <w:rFonts w:hint="default" w:ascii="Times New Roman" w:hAnsi="Times New Roman" w:eastAsia="宋体" w:cs="Times New Roman"/>
                <w:color w:val="auto"/>
                <w:spacing w:val="-10"/>
                <w:kern w:val="2"/>
                <w:sz w:val="21"/>
                <w:szCs w:val="23"/>
                <w:highlight w:val="none"/>
                <w:shd w:val="clear" w:color="auto" w:fill="auto"/>
                <w:lang w:val="en-US" w:eastAsia="zh-CN"/>
              </w:rPr>
            </w:pPr>
            <w:r>
              <w:rPr>
                <w:rFonts w:hint="default" w:ascii="Times New Roman" w:hAnsi="Times New Roman" w:cs="Times New Roman"/>
                <w:color w:val="auto"/>
                <w:spacing w:val="-10"/>
                <w:kern w:val="2"/>
                <w:sz w:val="21"/>
                <w:szCs w:val="23"/>
                <w:highlight w:val="none"/>
                <w:shd w:val="clear" w:color="auto" w:fill="auto"/>
                <w:lang w:val="en-US" w:eastAsia="zh-CN"/>
              </w:rPr>
              <w:t>0.073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359" w:type="dxa"/>
            <w:vMerge w:val="continue"/>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p>
        </w:tc>
        <w:tc>
          <w:tcPr>
            <w:tcW w:w="3858"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其他</w:t>
            </w:r>
          </w:p>
        </w:tc>
        <w:tc>
          <w:tcPr>
            <w:tcW w:w="3377"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spacing w:val="-10"/>
                <w:kern w:val="2"/>
                <w:sz w:val="21"/>
                <w:szCs w:val="23"/>
                <w:highlight w:val="none"/>
                <w:shd w:val="clear" w:color="auto" w:fill="auto"/>
              </w:rPr>
            </w:pPr>
            <w:r>
              <w:rPr>
                <w:rFonts w:hint="default" w:ascii="Times New Roman" w:hAnsi="Times New Roman" w:cs="Times New Roman"/>
                <w:color w:val="auto"/>
                <w:spacing w:val="-10"/>
                <w:kern w:val="2"/>
                <w:sz w:val="21"/>
                <w:szCs w:val="23"/>
                <w:highlight w:val="none"/>
                <w:shd w:val="clear" w:color="auto" w:fill="auto"/>
              </w:rPr>
              <w:t>0.073</w:t>
            </w:r>
          </w:p>
        </w:tc>
      </w:tr>
    </w:tbl>
    <w:p>
      <w:pPr>
        <w:pStyle w:val="57"/>
        <w:ind w:left="0" w:leftChars="0" w:firstLine="480" w:firstLineChars="200"/>
        <w:rPr>
          <w:rFonts w:hint="eastAsia" w:hAnsi="宋体"/>
          <w:color w:val="auto"/>
          <w:highlight w:val="none"/>
        </w:rPr>
      </w:pPr>
      <w:r>
        <w:rPr>
          <w:rFonts w:hint="eastAsia"/>
          <w:color w:val="auto"/>
          <w:szCs w:val="28"/>
          <w:highlight w:val="none"/>
        </w:rPr>
        <w:t>参照《石化行业</w:t>
      </w:r>
      <w:r>
        <w:rPr>
          <w:color w:val="auto"/>
          <w:szCs w:val="28"/>
          <w:highlight w:val="none"/>
        </w:rPr>
        <w:t>VOCs污染源排查工作指南</w:t>
      </w:r>
      <w:r>
        <w:rPr>
          <w:rFonts w:hint="eastAsia"/>
          <w:color w:val="auto"/>
          <w:szCs w:val="28"/>
          <w:highlight w:val="none"/>
        </w:rPr>
        <w:t>》，若未提供</w:t>
      </w:r>
      <w:r>
        <w:rPr>
          <w:color w:val="auto"/>
          <w:szCs w:val="28"/>
          <w:highlight w:val="none"/>
        </w:rPr>
        <w:t>TOC中 VOCs的质量分数，则取1进行核算</w:t>
      </w:r>
      <w:r>
        <w:rPr>
          <w:rFonts w:hint="eastAsia"/>
          <w:color w:val="auto"/>
          <w:szCs w:val="28"/>
          <w:highlight w:val="none"/>
        </w:rPr>
        <w:t>，则本工程采出液中</w:t>
      </w:r>
      <w:r>
        <w:rPr>
          <w:rFonts w:hint="eastAsia" w:cs="宋体"/>
          <w:i/>
          <w:color w:val="auto"/>
          <w:highlight w:val="none"/>
        </w:rPr>
        <w:t>WF</w:t>
      </w:r>
      <w:r>
        <w:rPr>
          <w:rFonts w:hint="eastAsia" w:cs="宋体"/>
          <w:i/>
          <w:color w:val="auto"/>
          <w:highlight w:val="none"/>
          <w:vertAlign w:val="subscript"/>
        </w:rPr>
        <w:t>VOCs，i</w:t>
      </w:r>
      <w:r>
        <w:rPr>
          <w:rFonts w:hint="eastAsia" w:cs="宋体"/>
          <w:color w:val="auto"/>
          <w:highlight w:val="none"/>
          <w:lang w:val="zh-CN"/>
        </w:rPr>
        <w:t>和</w:t>
      </w:r>
      <w:r>
        <w:rPr>
          <w:rFonts w:hint="eastAsia" w:cs="宋体"/>
          <w:i/>
          <w:color w:val="auto"/>
          <w:highlight w:val="none"/>
        </w:rPr>
        <w:t>WF</w:t>
      </w:r>
      <w:r>
        <w:rPr>
          <w:rFonts w:hint="eastAsia" w:cs="宋体"/>
          <w:i/>
          <w:color w:val="auto"/>
          <w:highlight w:val="none"/>
          <w:vertAlign w:val="subscript"/>
        </w:rPr>
        <w:t>TOC，i</w:t>
      </w:r>
      <w:r>
        <w:rPr>
          <w:rFonts w:hint="eastAsia" w:cs="宋体"/>
          <w:color w:val="auto"/>
          <w:highlight w:val="none"/>
          <w:lang w:val="zh-CN"/>
        </w:rPr>
        <w:t>比值取1；</w:t>
      </w:r>
      <w:r>
        <w:rPr>
          <w:rFonts w:hint="eastAsia" w:cs="宋体"/>
          <w:color w:val="auto"/>
          <w:highlight w:val="none"/>
        </w:rPr>
        <w:t>根据设计单位提供的数据，项目</w:t>
      </w:r>
      <w:r>
        <w:rPr>
          <w:rFonts w:hint="eastAsia"/>
          <w:color w:val="auto"/>
          <w:highlight w:val="none"/>
        </w:rPr>
        <w:t>涉及的阀门、法兰数量以及无组织废气核算见表3.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10</w:t>
      </w:r>
      <w:r>
        <w:rPr>
          <w:rFonts w:hint="eastAsia"/>
          <w:color w:val="auto"/>
          <w:highlight w:val="none"/>
        </w:rPr>
        <w:t>所示。</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hAnsi="宋体"/>
          <w:color w:val="auto"/>
          <w:highlight w:val="none"/>
        </w:rPr>
        <w:t>表</w:t>
      </w:r>
      <w:r>
        <w:rPr>
          <w:color w:val="auto"/>
          <w:highlight w:val="none"/>
        </w:rPr>
        <w:t>3.</w:t>
      </w:r>
      <w:r>
        <w:rPr>
          <w:rFonts w:hint="eastAsia"/>
          <w:color w:val="auto"/>
          <w:highlight w:val="none"/>
          <w:lang w:val="en-US" w:eastAsia="zh-CN"/>
        </w:rPr>
        <w:t>3-10</w:t>
      </w:r>
      <w:r>
        <w:rPr>
          <w:color w:val="auto"/>
          <w:highlight w:val="none"/>
        </w:rPr>
        <w:t xml:space="preserve">   </w:t>
      </w:r>
      <w:r>
        <w:rPr>
          <w:rFonts w:hint="eastAsia"/>
          <w:color w:val="auto"/>
          <w:highlight w:val="none"/>
        </w:rPr>
        <w:t>本工程非甲烷总烃</w:t>
      </w:r>
      <w:r>
        <w:rPr>
          <w:color w:val="auto"/>
          <w:highlight w:val="none"/>
        </w:rPr>
        <w:t>无组织废气核算一览表</w:t>
      </w:r>
    </w:p>
    <w:tbl>
      <w:tblPr>
        <w:tblStyle w:val="34"/>
        <w:tblW w:w="500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82"/>
        <w:gridCol w:w="847"/>
        <w:gridCol w:w="759"/>
        <w:gridCol w:w="1235"/>
        <w:gridCol w:w="2106"/>
        <w:gridCol w:w="1086"/>
        <w:gridCol w:w="947"/>
        <w:gridCol w:w="91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序号</w:t>
            </w:r>
          </w:p>
        </w:tc>
        <w:tc>
          <w:tcPr>
            <w:tcW w:w="959" w:type="pct"/>
            <w:gridSpan w:val="2"/>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设备名称</w:t>
            </w:r>
          </w:p>
        </w:tc>
        <w:tc>
          <w:tcPr>
            <w:tcW w:w="735"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设备数量</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个</w:t>
            </w:r>
            <w:r>
              <w:rPr>
                <w:rFonts w:hint="default" w:ascii="Times New Roman" w:hAnsi="Times New Roman" w:cs="Times New Roman"/>
                <w:color w:val="auto"/>
                <w:sz w:val="21"/>
                <w:szCs w:val="21"/>
                <w:highlight w:val="none"/>
                <w:shd w:val="clear" w:color="auto" w:fill="auto"/>
                <w:lang w:eastAsia="zh-CN"/>
              </w:rPr>
              <w:t>）</w:t>
            </w:r>
          </w:p>
        </w:tc>
        <w:tc>
          <w:tcPr>
            <w:tcW w:w="1257" w:type="pct"/>
            <w:vMerge w:val="restart"/>
            <w:tcBorders>
              <w:tl2br w:val="nil"/>
              <w:tr2bl w:val="nil"/>
            </w:tcBorders>
            <w:noWrap w:val="0"/>
            <w:vAlign w:val="center"/>
          </w:tcPr>
          <w:p>
            <w:pPr>
              <w:pStyle w:val="94"/>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单个设备</w:t>
            </w:r>
            <w:r>
              <w:rPr>
                <w:rFonts w:hint="default" w:ascii="Times New Roman" w:hAnsi="Times New Roman" w:cs="Times New Roman"/>
                <w:color w:val="auto"/>
                <w:sz w:val="21"/>
                <w:szCs w:val="21"/>
                <w:highlight w:val="none"/>
                <w:shd w:val="clear" w:color="auto" w:fill="auto"/>
              </w:rPr>
              <w:t>排放</w:t>
            </w:r>
            <w:r>
              <w:rPr>
                <w:rFonts w:hint="default" w:ascii="Times New Roman" w:hAnsi="Times New Roman" w:cs="Times New Roman"/>
                <w:color w:val="auto"/>
                <w:sz w:val="21"/>
                <w:szCs w:val="21"/>
                <w:highlight w:val="none"/>
                <w:shd w:val="clear" w:color="auto" w:fill="auto"/>
                <w:lang w:val="en-US" w:eastAsia="zh-CN"/>
              </w:rPr>
              <w:t>速率</w:t>
            </w:r>
            <w:r>
              <w:rPr>
                <w:rFonts w:hint="default" w:ascii="Times New Roman" w:hAnsi="Times New Roman" w:eastAsia="黑体" w:cs="Times New Roman"/>
                <w:b w:val="0"/>
                <w:color w:val="auto"/>
                <w:kern w:val="2"/>
                <w:sz w:val="21"/>
                <w:szCs w:val="21"/>
                <w:highlight w:val="none"/>
                <w:shd w:val="clear" w:color="auto" w:fill="auto"/>
                <w:lang w:val="zh-CN" w:eastAsia="zh-CN" w:bidi="ar-SA"/>
              </w:rPr>
              <w:t>eTOC</w:t>
            </w:r>
            <w:r>
              <w:rPr>
                <w:rFonts w:hint="default" w:ascii="Times New Roman" w:hAnsi="Times New Roman" w:cs="Times New Roman"/>
                <w:color w:val="auto"/>
                <w:sz w:val="21"/>
                <w:szCs w:val="21"/>
                <w:highlight w:val="none"/>
                <w:shd w:val="clear" w:color="auto" w:fill="auto"/>
              </w:rPr>
              <w:t>(kg/h)</w:t>
            </w:r>
          </w:p>
        </w:tc>
        <w:tc>
          <w:tcPr>
            <w:tcW w:w="648"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年运行时间</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h</w:t>
            </w:r>
            <w:r>
              <w:rPr>
                <w:rFonts w:hint="default" w:ascii="Times New Roman" w:hAnsi="Times New Roman" w:cs="Times New Roman"/>
                <w:color w:val="auto"/>
                <w:sz w:val="21"/>
                <w:szCs w:val="21"/>
                <w:highlight w:val="none"/>
                <w:shd w:val="clear" w:color="auto" w:fill="auto"/>
                <w:lang w:eastAsia="zh-CN"/>
              </w:rPr>
              <w:t>）</w:t>
            </w:r>
          </w:p>
        </w:tc>
        <w:tc>
          <w:tcPr>
            <w:tcW w:w="1110" w:type="pct"/>
            <w:gridSpan w:val="2"/>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959" w:type="pct"/>
            <w:gridSpan w:val="2"/>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735"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1257"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648"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565"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kg/h</w:t>
            </w:r>
          </w:p>
        </w:tc>
        <w:tc>
          <w:tcPr>
            <w:tcW w:w="545"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p>
        </w:tc>
        <w:tc>
          <w:tcPr>
            <w:tcW w:w="506"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单座</w:t>
            </w:r>
            <w:r>
              <w:rPr>
                <w:rFonts w:hint="eastAsia" w:ascii="Times New Roman" w:hAnsi="Times New Roman" w:cs="Times New Roman"/>
                <w:color w:val="auto"/>
                <w:sz w:val="21"/>
                <w:szCs w:val="21"/>
                <w:highlight w:val="none"/>
                <w:shd w:val="clear" w:color="auto" w:fill="auto"/>
                <w:lang w:eastAsia="zh-CN"/>
              </w:rPr>
              <w:t>采油</w:t>
            </w:r>
            <w:r>
              <w:rPr>
                <w:rFonts w:hint="default" w:ascii="Times New Roman" w:hAnsi="Times New Roman" w:cs="Times New Roman"/>
                <w:color w:val="auto"/>
                <w:sz w:val="21"/>
                <w:szCs w:val="21"/>
                <w:highlight w:val="none"/>
                <w:shd w:val="clear" w:color="auto" w:fill="auto"/>
              </w:rPr>
              <w:t>井场</w:t>
            </w:r>
          </w:p>
        </w:tc>
        <w:tc>
          <w:tcPr>
            <w:tcW w:w="452"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阀</w:t>
            </w:r>
          </w:p>
        </w:tc>
        <w:tc>
          <w:tcPr>
            <w:tcW w:w="735" w:type="pct"/>
            <w:tcBorders>
              <w:tl2br w:val="nil"/>
              <w:tr2bl w:val="nil"/>
            </w:tcBorders>
            <w:noWrap w:val="0"/>
            <w:vAlign w:val="center"/>
          </w:tcPr>
          <w:p>
            <w:pPr>
              <w:pStyle w:val="94"/>
              <w:keepNext w:val="0"/>
              <w:pageBreakBefore w:val="0"/>
              <w:kinsoku/>
              <w:wordWrap/>
              <w:overflowPunct/>
              <w:topLinePunct w:val="0"/>
              <w:bidi w:val="0"/>
              <w:spacing w:line="240" w:lineRule="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10</w:t>
            </w:r>
          </w:p>
        </w:tc>
        <w:tc>
          <w:tcPr>
            <w:tcW w:w="1257"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0.064</w:t>
            </w:r>
          </w:p>
        </w:tc>
        <w:tc>
          <w:tcPr>
            <w:tcW w:w="648"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7920</w:t>
            </w:r>
          </w:p>
        </w:tc>
        <w:tc>
          <w:tcPr>
            <w:tcW w:w="56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0.00</w:t>
            </w:r>
            <w:r>
              <w:rPr>
                <w:rFonts w:hint="eastAsia" w:ascii="Times New Roman" w:hAnsi="Times New Roman" w:eastAsia="宋体" w:cs="Times New Roman"/>
                <w:color w:val="auto"/>
                <w:sz w:val="21"/>
                <w:szCs w:val="21"/>
                <w:highlight w:val="none"/>
                <w:shd w:val="clear" w:color="auto" w:fill="auto"/>
                <w:lang w:val="en-US" w:eastAsia="zh-CN"/>
              </w:rPr>
              <w:t>2</w:t>
            </w:r>
          </w:p>
        </w:tc>
        <w:tc>
          <w:tcPr>
            <w:tcW w:w="54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0.0</w:t>
            </w:r>
            <w:r>
              <w:rPr>
                <w:rFonts w:hint="eastAsia" w:ascii="Times New Roman" w:hAnsi="Times New Roman" w:cs="Times New Roman"/>
                <w:color w:val="auto"/>
                <w:sz w:val="21"/>
                <w:szCs w:val="21"/>
                <w:highlight w:val="none"/>
                <w:shd w:val="clear" w:color="auto" w:fill="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p>
        </w:tc>
        <w:tc>
          <w:tcPr>
            <w:tcW w:w="506"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452"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法兰</w:t>
            </w:r>
          </w:p>
        </w:tc>
        <w:tc>
          <w:tcPr>
            <w:tcW w:w="735" w:type="pct"/>
            <w:tcBorders>
              <w:tl2br w:val="nil"/>
              <w:tr2bl w:val="nil"/>
            </w:tcBorders>
            <w:noWrap w:val="0"/>
            <w:vAlign w:val="center"/>
          </w:tcPr>
          <w:p>
            <w:pPr>
              <w:pStyle w:val="94"/>
              <w:keepNext w:val="0"/>
              <w:pageBreakBefore w:val="0"/>
              <w:kinsoku/>
              <w:wordWrap/>
              <w:overflowPunct/>
              <w:topLinePunct w:val="0"/>
              <w:bidi w:val="0"/>
              <w:spacing w:line="240" w:lineRule="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20</w:t>
            </w:r>
          </w:p>
        </w:tc>
        <w:tc>
          <w:tcPr>
            <w:tcW w:w="1257"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0.085</w:t>
            </w:r>
          </w:p>
        </w:tc>
        <w:tc>
          <w:tcPr>
            <w:tcW w:w="648" w:type="pct"/>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7920</w:t>
            </w:r>
          </w:p>
        </w:tc>
        <w:tc>
          <w:tcPr>
            <w:tcW w:w="56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w:t>
            </w:r>
            <w:r>
              <w:rPr>
                <w:rFonts w:hint="eastAsia" w:ascii="Times New Roman" w:hAnsi="Times New Roman" w:eastAsia="宋体" w:cs="Times New Roman"/>
                <w:color w:val="auto"/>
                <w:sz w:val="21"/>
                <w:szCs w:val="21"/>
                <w:highlight w:val="none"/>
                <w:shd w:val="clear" w:color="auto" w:fill="auto"/>
                <w:lang w:val="en-US" w:eastAsia="zh-CN"/>
              </w:rPr>
              <w:t>05</w:t>
            </w:r>
          </w:p>
        </w:tc>
        <w:tc>
          <w:tcPr>
            <w:tcW w:w="54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0.0</w:t>
            </w:r>
            <w:r>
              <w:rPr>
                <w:rFonts w:hint="eastAsia" w:ascii="Times New Roman" w:hAnsi="Times New Roman" w:cs="Times New Roman"/>
                <w:color w:val="auto"/>
                <w:sz w:val="21"/>
                <w:szCs w:val="21"/>
                <w:highlight w:val="none"/>
                <w:shd w:val="clear" w:color="auto" w:fill="auto"/>
                <w:lang w:val="en-US" w:eastAsia="zh-CN"/>
              </w:rPr>
              <w:t>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983" w:type="pct"/>
            <w:gridSpan w:val="4"/>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合计</w:t>
            </w:r>
          </w:p>
        </w:tc>
        <w:tc>
          <w:tcPr>
            <w:tcW w:w="1257" w:type="pc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648"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56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0.007</w:t>
            </w:r>
          </w:p>
        </w:tc>
        <w:tc>
          <w:tcPr>
            <w:tcW w:w="545" w:type="pct"/>
            <w:tcBorders>
              <w:tl2br w:val="nil"/>
              <w:tr2bl w:val="nil"/>
            </w:tcBorders>
            <w:noWrap w:val="0"/>
            <w:vAlign w:val="center"/>
          </w:tcPr>
          <w:p>
            <w:pPr>
              <w:pStyle w:val="97"/>
              <w:ind w:left="0" w:leftChars="0"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3323" w:type="dxa"/>
            <w:gridSpan w:val="4"/>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18口</w:t>
            </w:r>
            <w:r>
              <w:rPr>
                <w:rFonts w:hint="default"/>
                <w:color w:val="auto"/>
                <w:lang w:val="en-US" w:eastAsia="zh-CN"/>
              </w:rPr>
              <w:t>井合计</w:t>
            </w:r>
          </w:p>
        </w:tc>
        <w:tc>
          <w:tcPr>
            <w:tcW w:w="2106"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lang w:val="en-US" w:eastAsia="zh-CN"/>
              </w:rPr>
            </w:pPr>
            <w:r>
              <w:rPr>
                <w:rFonts w:hint="default"/>
                <w:color w:val="auto"/>
                <w:lang w:val="en-US" w:eastAsia="zh-CN"/>
              </w:rPr>
              <w:t>-</w:t>
            </w:r>
          </w:p>
        </w:tc>
        <w:tc>
          <w:tcPr>
            <w:tcW w:w="1086"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default"/>
                <w:color w:val="auto"/>
                <w:lang w:val="en-US" w:eastAsia="zh-CN"/>
              </w:rPr>
              <w:t>-</w:t>
            </w:r>
          </w:p>
        </w:tc>
        <w:tc>
          <w:tcPr>
            <w:tcW w:w="947"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lang w:val="en-US" w:eastAsia="zh-CN"/>
              </w:rPr>
            </w:pPr>
            <w:r>
              <w:rPr>
                <w:rFonts w:hint="default"/>
                <w:color w:val="auto"/>
                <w:lang w:val="en-US" w:eastAsia="zh-CN"/>
              </w:rPr>
              <w:t>-</w:t>
            </w:r>
          </w:p>
        </w:tc>
        <w:tc>
          <w:tcPr>
            <w:tcW w:w="913"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lang w:val="en-US" w:eastAsia="zh-CN"/>
              </w:rPr>
            </w:pPr>
            <w:r>
              <w:rPr>
                <w:rFonts w:hint="eastAsia"/>
                <w:color w:val="auto"/>
                <w:lang w:val="en-US" w:eastAsia="zh-CN"/>
              </w:rPr>
              <w:t>0.990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序号</w:t>
            </w:r>
          </w:p>
        </w:tc>
        <w:tc>
          <w:tcPr>
            <w:tcW w:w="959" w:type="pct"/>
            <w:gridSpan w:val="2"/>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设备名称</w:t>
            </w:r>
          </w:p>
        </w:tc>
        <w:tc>
          <w:tcPr>
            <w:tcW w:w="735"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设备数量</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个</w:t>
            </w:r>
            <w:r>
              <w:rPr>
                <w:rFonts w:hint="default" w:ascii="Times New Roman" w:hAnsi="Times New Roman" w:cs="Times New Roman"/>
                <w:color w:val="auto"/>
                <w:sz w:val="21"/>
                <w:szCs w:val="21"/>
                <w:highlight w:val="none"/>
                <w:shd w:val="clear" w:color="auto" w:fill="auto"/>
                <w:lang w:eastAsia="zh-CN"/>
              </w:rPr>
              <w:t>）</w:t>
            </w:r>
          </w:p>
        </w:tc>
        <w:tc>
          <w:tcPr>
            <w:tcW w:w="1257" w:type="pct"/>
            <w:vMerge w:val="restart"/>
            <w:tcBorders>
              <w:tl2br w:val="nil"/>
              <w:tr2bl w:val="nil"/>
            </w:tcBorders>
            <w:noWrap w:val="0"/>
            <w:vAlign w:val="center"/>
          </w:tcPr>
          <w:p>
            <w:pPr>
              <w:pStyle w:val="94"/>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单个设备</w:t>
            </w:r>
            <w:r>
              <w:rPr>
                <w:rFonts w:hint="default" w:ascii="Times New Roman" w:hAnsi="Times New Roman" w:cs="Times New Roman"/>
                <w:color w:val="auto"/>
                <w:sz w:val="21"/>
                <w:szCs w:val="21"/>
                <w:highlight w:val="none"/>
                <w:shd w:val="clear" w:color="auto" w:fill="auto"/>
              </w:rPr>
              <w:t>排放</w:t>
            </w:r>
            <w:r>
              <w:rPr>
                <w:rFonts w:hint="default" w:ascii="Times New Roman" w:hAnsi="Times New Roman" w:cs="Times New Roman"/>
                <w:color w:val="auto"/>
                <w:sz w:val="21"/>
                <w:szCs w:val="21"/>
                <w:highlight w:val="none"/>
                <w:shd w:val="clear" w:color="auto" w:fill="auto"/>
                <w:lang w:val="en-US" w:eastAsia="zh-CN"/>
              </w:rPr>
              <w:t>速率</w:t>
            </w:r>
            <w:r>
              <w:rPr>
                <w:rFonts w:hint="default" w:ascii="Times New Roman" w:hAnsi="Times New Roman" w:eastAsia="黑体" w:cs="Times New Roman"/>
                <w:b w:val="0"/>
                <w:color w:val="auto"/>
                <w:kern w:val="2"/>
                <w:sz w:val="21"/>
                <w:szCs w:val="21"/>
                <w:highlight w:val="none"/>
                <w:shd w:val="clear" w:color="auto" w:fill="auto"/>
                <w:lang w:val="zh-CN" w:eastAsia="zh-CN" w:bidi="ar-SA"/>
              </w:rPr>
              <w:t>eTOC</w:t>
            </w:r>
            <w:r>
              <w:rPr>
                <w:rFonts w:hint="default" w:ascii="Times New Roman" w:hAnsi="Times New Roman" w:cs="Times New Roman"/>
                <w:color w:val="auto"/>
                <w:sz w:val="21"/>
                <w:szCs w:val="21"/>
                <w:highlight w:val="none"/>
                <w:shd w:val="clear" w:color="auto" w:fill="auto"/>
              </w:rPr>
              <w:t>(kg/h)</w:t>
            </w:r>
          </w:p>
        </w:tc>
        <w:tc>
          <w:tcPr>
            <w:tcW w:w="648"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年运行时间</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h</w:t>
            </w:r>
            <w:r>
              <w:rPr>
                <w:rFonts w:hint="default" w:ascii="Times New Roman" w:hAnsi="Times New Roman" w:cs="Times New Roman"/>
                <w:color w:val="auto"/>
                <w:sz w:val="21"/>
                <w:szCs w:val="21"/>
                <w:highlight w:val="none"/>
                <w:shd w:val="clear" w:color="auto" w:fill="auto"/>
                <w:lang w:eastAsia="zh-CN"/>
              </w:rPr>
              <w:t>）</w:t>
            </w:r>
          </w:p>
        </w:tc>
        <w:tc>
          <w:tcPr>
            <w:tcW w:w="1110" w:type="pct"/>
            <w:gridSpan w:val="2"/>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959" w:type="pct"/>
            <w:gridSpan w:val="2"/>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735"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1257"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648"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565"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kg/h</w:t>
            </w:r>
          </w:p>
        </w:tc>
        <w:tc>
          <w:tcPr>
            <w:tcW w:w="545"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p>
        </w:tc>
        <w:tc>
          <w:tcPr>
            <w:tcW w:w="506" w:type="pct"/>
            <w:vMerge w:val="restar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计量站</w:t>
            </w:r>
          </w:p>
        </w:tc>
        <w:tc>
          <w:tcPr>
            <w:tcW w:w="452"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阀</w:t>
            </w:r>
          </w:p>
        </w:tc>
        <w:tc>
          <w:tcPr>
            <w:tcW w:w="735" w:type="pct"/>
            <w:tcBorders>
              <w:tl2br w:val="nil"/>
              <w:tr2bl w:val="nil"/>
            </w:tcBorders>
            <w:noWrap w:val="0"/>
            <w:vAlign w:val="center"/>
          </w:tcPr>
          <w:p>
            <w:pPr>
              <w:pStyle w:val="94"/>
              <w:keepNext w:val="0"/>
              <w:pageBreakBefore w:val="0"/>
              <w:kinsoku/>
              <w:wordWrap/>
              <w:overflowPunct/>
              <w:topLinePunct w:val="0"/>
              <w:bidi w:val="0"/>
              <w:spacing w:line="240" w:lineRule="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35</w:t>
            </w:r>
          </w:p>
        </w:tc>
        <w:tc>
          <w:tcPr>
            <w:tcW w:w="1257"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0.064</w:t>
            </w:r>
          </w:p>
        </w:tc>
        <w:tc>
          <w:tcPr>
            <w:tcW w:w="648"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7920</w:t>
            </w:r>
          </w:p>
        </w:tc>
        <w:tc>
          <w:tcPr>
            <w:tcW w:w="56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0.007</w:t>
            </w:r>
          </w:p>
        </w:tc>
        <w:tc>
          <w:tcPr>
            <w:tcW w:w="54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0.053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p>
        </w:tc>
        <w:tc>
          <w:tcPr>
            <w:tcW w:w="506"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452"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法兰</w:t>
            </w:r>
          </w:p>
        </w:tc>
        <w:tc>
          <w:tcPr>
            <w:tcW w:w="735" w:type="pct"/>
            <w:tcBorders>
              <w:tl2br w:val="nil"/>
              <w:tr2bl w:val="nil"/>
            </w:tcBorders>
            <w:noWrap w:val="0"/>
            <w:vAlign w:val="center"/>
          </w:tcPr>
          <w:p>
            <w:pPr>
              <w:pStyle w:val="94"/>
              <w:keepNext w:val="0"/>
              <w:pageBreakBefore w:val="0"/>
              <w:kinsoku/>
              <w:wordWrap/>
              <w:overflowPunct/>
              <w:topLinePunct w:val="0"/>
              <w:bidi w:val="0"/>
              <w:spacing w:line="240" w:lineRule="auto"/>
              <w:rPr>
                <w:rFonts w:hint="default" w:ascii="Times New Roman" w:hAnsi="Times New Roman" w:cs="Times New Roman"/>
                <w:color w:val="auto"/>
                <w:kern w:val="2"/>
                <w:sz w:val="21"/>
                <w:szCs w:val="21"/>
                <w:highlight w:val="none"/>
                <w:shd w:val="clear" w:color="auto" w:fill="auto"/>
                <w:lang w:val="en-US" w:eastAsia="zh-CN" w:bidi="ar-SA"/>
              </w:rPr>
            </w:pPr>
            <w:r>
              <w:rPr>
                <w:rFonts w:hint="eastAsia"/>
                <w:color w:val="auto"/>
                <w:sz w:val="21"/>
                <w:szCs w:val="21"/>
                <w:highlight w:val="none"/>
                <w:shd w:val="clear" w:color="auto" w:fill="auto"/>
                <w:lang w:val="en-US" w:eastAsia="zh-CN"/>
              </w:rPr>
              <w:t>70</w:t>
            </w:r>
          </w:p>
        </w:tc>
        <w:tc>
          <w:tcPr>
            <w:tcW w:w="1257"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0.085</w:t>
            </w:r>
          </w:p>
        </w:tc>
        <w:tc>
          <w:tcPr>
            <w:tcW w:w="648" w:type="pct"/>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7920</w:t>
            </w:r>
          </w:p>
        </w:tc>
        <w:tc>
          <w:tcPr>
            <w:tcW w:w="56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0.018</w:t>
            </w:r>
          </w:p>
        </w:tc>
        <w:tc>
          <w:tcPr>
            <w:tcW w:w="54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983" w:type="pct"/>
            <w:gridSpan w:val="4"/>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合计</w:t>
            </w:r>
          </w:p>
        </w:tc>
        <w:tc>
          <w:tcPr>
            <w:tcW w:w="1257" w:type="pc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0.149</w:t>
            </w:r>
          </w:p>
        </w:tc>
        <w:tc>
          <w:tcPr>
            <w:tcW w:w="648"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565"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0.025</w:t>
            </w:r>
          </w:p>
        </w:tc>
        <w:tc>
          <w:tcPr>
            <w:tcW w:w="545" w:type="pct"/>
            <w:tcBorders>
              <w:tl2br w:val="nil"/>
              <w:tr2bl w:val="nil"/>
            </w:tcBorders>
            <w:noWrap w:val="0"/>
            <w:vAlign w:val="center"/>
          </w:tcPr>
          <w:p>
            <w:pPr>
              <w:pStyle w:val="97"/>
              <w:ind w:left="0" w:leftChars="0" w:firstLine="0" w:firstLineChars="0"/>
              <w:jc w:val="center"/>
              <w:rPr>
                <w:rFonts w:hint="default" w:ascii="Times New Roman" w:hAnsi="Times New Roman"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序号</w:t>
            </w:r>
          </w:p>
        </w:tc>
        <w:tc>
          <w:tcPr>
            <w:tcW w:w="959" w:type="pct"/>
            <w:gridSpan w:val="2"/>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设备名称</w:t>
            </w:r>
          </w:p>
        </w:tc>
        <w:tc>
          <w:tcPr>
            <w:tcW w:w="735"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设备数量</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个</w:t>
            </w:r>
            <w:r>
              <w:rPr>
                <w:rFonts w:hint="default" w:ascii="Times New Roman" w:hAnsi="Times New Roman" w:cs="Times New Roman"/>
                <w:color w:val="auto"/>
                <w:sz w:val="21"/>
                <w:szCs w:val="21"/>
                <w:highlight w:val="none"/>
                <w:shd w:val="clear" w:color="auto" w:fill="auto"/>
                <w:lang w:eastAsia="zh-CN"/>
              </w:rPr>
              <w:t>）</w:t>
            </w:r>
          </w:p>
        </w:tc>
        <w:tc>
          <w:tcPr>
            <w:tcW w:w="1257" w:type="pct"/>
            <w:vMerge w:val="restart"/>
            <w:tcBorders>
              <w:tl2br w:val="nil"/>
              <w:tr2bl w:val="nil"/>
            </w:tcBorders>
            <w:noWrap w:val="0"/>
            <w:vAlign w:val="center"/>
          </w:tcPr>
          <w:p>
            <w:pPr>
              <w:pStyle w:val="94"/>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lang w:val="en-US" w:eastAsia="zh-CN"/>
              </w:rPr>
              <w:t>单个设备</w:t>
            </w:r>
            <w:r>
              <w:rPr>
                <w:rFonts w:hint="default" w:ascii="Times New Roman" w:hAnsi="Times New Roman" w:cs="Times New Roman"/>
                <w:color w:val="auto"/>
                <w:sz w:val="21"/>
                <w:szCs w:val="21"/>
                <w:highlight w:val="none"/>
                <w:shd w:val="clear" w:color="auto" w:fill="auto"/>
              </w:rPr>
              <w:t>排放</w:t>
            </w:r>
            <w:r>
              <w:rPr>
                <w:rFonts w:hint="default" w:ascii="Times New Roman" w:hAnsi="Times New Roman" w:cs="Times New Roman"/>
                <w:color w:val="auto"/>
                <w:sz w:val="21"/>
                <w:szCs w:val="21"/>
                <w:highlight w:val="none"/>
                <w:shd w:val="clear" w:color="auto" w:fill="auto"/>
                <w:lang w:val="en-US" w:eastAsia="zh-CN"/>
              </w:rPr>
              <w:t>速率</w:t>
            </w:r>
            <w:r>
              <w:rPr>
                <w:rFonts w:hint="default" w:ascii="Times New Roman" w:hAnsi="Times New Roman" w:eastAsia="黑体" w:cs="Times New Roman"/>
                <w:b w:val="0"/>
                <w:color w:val="auto"/>
                <w:kern w:val="2"/>
                <w:sz w:val="21"/>
                <w:szCs w:val="21"/>
                <w:highlight w:val="none"/>
                <w:shd w:val="clear" w:color="auto" w:fill="auto"/>
                <w:lang w:val="zh-CN" w:eastAsia="zh-CN" w:bidi="ar-SA"/>
              </w:rPr>
              <w:t>eTOC</w:t>
            </w:r>
            <w:r>
              <w:rPr>
                <w:rFonts w:hint="default" w:ascii="Times New Roman" w:hAnsi="Times New Roman" w:cs="Times New Roman"/>
                <w:color w:val="auto"/>
                <w:sz w:val="21"/>
                <w:szCs w:val="21"/>
                <w:highlight w:val="none"/>
                <w:shd w:val="clear" w:color="auto" w:fill="auto"/>
              </w:rPr>
              <w:t>(kg/h)</w:t>
            </w:r>
          </w:p>
        </w:tc>
        <w:tc>
          <w:tcPr>
            <w:tcW w:w="648" w:type="pct"/>
            <w:vMerge w:val="restar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年运行时间</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h</w:t>
            </w:r>
            <w:r>
              <w:rPr>
                <w:rFonts w:hint="default" w:ascii="Times New Roman" w:hAnsi="Times New Roman" w:cs="Times New Roman"/>
                <w:color w:val="auto"/>
                <w:sz w:val="21"/>
                <w:szCs w:val="21"/>
                <w:highlight w:val="none"/>
                <w:shd w:val="clear" w:color="auto" w:fill="auto"/>
                <w:lang w:eastAsia="zh-CN"/>
              </w:rPr>
              <w:t>）</w:t>
            </w:r>
          </w:p>
        </w:tc>
        <w:tc>
          <w:tcPr>
            <w:tcW w:w="1110" w:type="pct"/>
            <w:gridSpan w:val="2"/>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959" w:type="pct"/>
            <w:gridSpan w:val="2"/>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735"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1257"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648"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565"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kg/h</w:t>
            </w:r>
          </w:p>
        </w:tc>
        <w:tc>
          <w:tcPr>
            <w:tcW w:w="545"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p>
        </w:tc>
        <w:tc>
          <w:tcPr>
            <w:tcW w:w="506" w:type="pct"/>
            <w:vMerge w:val="restar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eastAsia" w:eastAsia="宋体" w:cs="Times New Roman"/>
                <w:color w:val="auto"/>
                <w:sz w:val="21"/>
                <w:szCs w:val="21"/>
                <w:highlight w:val="none"/>
                <w:shd w:val="clear" w:color="auto" w:fill="auto"/>
                <w:lang w:val="en-US" w:eastAsia="zh-CN"/>
              </w:rPr>
              <w:t>集中拉油站</w:t>
            </w:r>
          </w:p>
        </w:tc>
        <w:tc>
          <w:tcPr>
            <w:tcW w:w="452" w:type="pct"/>
            <w:tcBorders>
              <w:tl2br w:val="nil"/>
              <w:tr2bl w:val="nil"/>
            </w:tcBorders>
            <w:noWrap w:val="0"/>
            <w:vAlign w:val="center"/>
          </w:tcPr>
          <w:p>
            <w:pPr>
              <w:pStyle w:val="94"/>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阀</w:t>
            </w:r>
          </w:p>
        </w:tc>
        <w:tc>
          <w:tcPr>
            <w:tcW w:w="1235"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olor w:val="auto"/>
                <w:highlight w:val="none"/>
                <w:lang w:val="en-US" w:eastAsia="zh-CN"/>
              </w:rPr>
              <w:t>40</w:t>
            </w:r>
          </w:p>
        </w:tc>
        <w:tc>
          <w:tcPr>
            <w:tcW w:w="2106"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default"/>
                <w:color w:val="auto"/>
                <w:highlight w:val="none"/>
                <w:lang w:val="en-US" w:eastAsia="zh-CN"/>
              </w:rPr>
              <w:t>0.064</w:t>
            </w:r>
          </w:p>
        </w:tc>
        <w:tc>
          <w:tcPr>
            <w:tcW w:w="1086"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default"/>
                <w:color w:val="auto"/>
                <w:highlight w:val="none"/>
                <w:lang w:val="en-US" w:eastAsia="zh-CN"/>
              </w:rPr>
              <w:t>7920</w:t>
            </w:r>
          </w:p>
        </w:tc>
        <w:tc>
          <w:tcPr>
            <w:tcW w:w="947"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0.007</w:t>
            </w:r>
          </w:p>
        </w:tc>
        <w:tc>
          <w:tcPr>
            <w:tcW w:w="913"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0.061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288"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p>
        </w:tc>
        <w:tc>
          <w:tcPr>
            <w:tcW w:w="506" w:type="pct"/>
            <w:vMerge w:val="continue"/>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p>
        </w:tc>
        <w:tc>
          <w:tcPr>
            <w:tcW w:w="452" w:type="pct"/>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法兰</w:t>
            </w:r>
          </w:p>
        </w:tc>
        <w:tc>
          <w:tcPr>
            <w:tcW w:w="1235" w:type="dxa"/>
            <w:tcBorders>
              <w:tl2br w:val="nil"/>
              <w:tr2bl w:val="nil"/>
            </w:tcBorders>
            <w:noWrap w:val="0"/>
            <w:vAlign w:val="center"/>
          </w:tcPr>
          <w:p>
            <w:pPr>
              <w:pStyle w:val="41"/>
              <w:bidi w:val="0"/>
              <w:ind w:firstLine="0" w:firstLineChars="0"/>
              <w:rPr>
                <w:rFonts w:hint="default" w:ascii="Times New Roman" w:hAnsi="Times New Roman" w:cs="Times New Roman"/>
                <w:color w:val="auto"/>
                <w:kern w:val="2"/>
                <w:sz w:val="21"/>
                <w:szCs w:val="21"/>
                <w:highlight w:val="none"/>
                <w:shd w:val="clear" w:color="auto" w:fill="auto"/>
                <w:lang w:val="en-US" w:eastAsia="zh-CN" w:bidi="ar-SA"/>
              </w:rPr>
            </w:pPr>
            <w:r>
              <w:rPr>
                <w:rFonts w:hint="eastAsia"/>
                <w:color w:val="auto"/>
                <w:highlight w:val="none"/>
                <w:lang w:val="en-US" w:eastAsia="zh-CN"/>
              </w:rPr>
              <w:t>80</w:t>
            </w:r>
          </w:p>
        </w:tc>
        <w:tc>
          <w:tcPr>
            <w:tcW w:w="2106"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default"/>
                <w:color w:val="auto"/>
                <w:highlight w:val="none"/>
                <w:lang w:val="en-US" w:eastAsia="zh-CN"/>
              </w:rPr>
              <w:t>0.085</w:t>
            </w:r>
          </w:p>
        </w:tc>
        <w:tc>
          <w:tcPr>
            <w:tcW w:w="1086"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default"/>
                <w:color w:val="auto"/>
                <w:highlight w:val="none"/>
                <w:lang w:val="en-US" w:eastAsia="zh-CN"/>
              </w:rPr>
              <w:t>7920</w:t>
            </w:r>
          </w:p>
        </w:tc>
        <w:tc>
          <w:tcPr>
            <w:tcW w:w="947"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0.02</w:t>
            </w:r>
          </w:p>
        </w:tc>
        <w:tc>
          <w:tcPr>
            <w:tcW w:w="913"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0.162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1983" w:type="pct"/>
            <w:gridSpan w:val="4"/>
            <w:tcBorders>
              <w:tl2br w:val="nil"/>
              <w:tr2bl w:val="nil"/>
            </w:tcBorders>
            <w:noWrap w:val="0"/>
            <w:vAlign w:val="center"/>
          </w:tcPr>
          <w:p>
            <w:pPr>
              <w:pStyle w:val="94"/>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合计</w:t>
            </w:r>
          </w:p>
        </w:tc>
        <w:tc>
          <w:tcPr>
            <w:tcW w:w="1257" w:type="pct"/>
            <w:tcBorders>
              <w:tl2br w:val="nil"/>
              <w:tr2bl w:val="nil"/>
            </w:tcBorders>
            <w:noWrap w:val="0"/>
            <w:vAlign w:val="center"/>
          </w:tcPr>
          <w:p>
            <w:pPr>
              <w:jc w:val="center"/>
              <w:textAlignment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648" w:type="pct"/>
            <w:tcBorders>
              <w:tl2br w:val="nil"/>
              <w:tr2bl w:val="nil"/>
            </w:tcBorders>
            <w:noWrap w:val="0"/>
            <w:vAlign w:val="center"/>
          </w:tcPr>
          <w:p>
            <w:pPr>
              <w:pStyle w:val="97"/>
              <w:ind w:left="0" w:lef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w:t>
            </w:r>
          </w:p>
        </w:tc>
        <w:tc>
          <w:tcPr>
            <w:tcW w:w="947"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0.027</w:t>
            </w:r>
          </w:p>
        </w:tc>
        <w:tc>
          <w:tcPr>
            <w:tcW w:w="913"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lang w:val="en-US" w:eastAsia="zh-CN"/>
              </w:rPr>
            </w:pPr>
            <w:r>
              <w:rPr>
                <w:rFonts w:hint="eastAsia"/>
                <w:color w:val="auto"/>
                <w:highlight w:val="none"/>
                <w:lang w:val="en-US" w:eastAsia="zh-CN"/>
              </w:rPr>
              <w:t>0.222</w:t>
            </w:r>
          </w:p>
        </w:tc>
      </w:tr>
    </w:tbl>
    <w:p>
      <w:pPr>
        <w:pStyle w:val="57"/>
        <w:bidi w:val="0"/>
        <w:rPr>
          <w:rFonts w:hint="eastAsia" w:ascii="Times New Roman" w:hAnsi="Times New Roman" w:eastAsia="宋体" w:cs="Times New Roman"/>
          <w:color w:val="auto"/>
          <w:highlight w:val="none"/>
          <w:lang w:eastAsia="zh-CN"/>
        </w:rPr>
      </w:pPr>
      <w:r>
        <w:rPr>
          <w:rFonts w:hint="eastAsia"/>
          <w:color w:val="auto"/>
          <w:highlight w:val="none"/>
          <w:lang w:val="en-US" w:eastAsia="zh-CN"/>
        </w:rPr>
        <w:t>由上表可知</w:t>
      </w:r>
      <w:r>
        <w:rPr>
          <w:rFonts w:hint="eastAsia"/>
          <w:color w:val="auto"/>
          <w:highlight w:val="none"/>
        </w:rPr>
        <w:t>，单座井场</w:t>
      </w:r>
      <w:r>
        <w:rPr>
          <w:rFonts w:hint="eastAsia"/>
          <w:color w:val="auto"/>
          <w:highlight w:val="none"/>
          <w:lang w:val="en-US" w:eastAsia="zh-CN"/>
        </w:rPr>
        <w:t>油气集输过程中</w:t>
      </w:r>
      <w:r>
        <w:rPr>
          <w:rFonts w:hint="eastAsia"/>
          <w:color w:val="auto"/>
          <w:highlight w:val="none"/>
        </w:rPr>
        <w:t>无组织排放废气中非甲烷总烃排放速率为</w:t>
      </w:r>
      <w:r>
        <w:rPr>
          <w:rFonts w:hint="eastAsia"/>
          <w:color w:val="auto"/>
          <w:highlight w:val="none"/>
          <w:lang w:val="en-US" w:eastAsia="zh-CN"/>
        </w:rPr>
        <w:t>0.007</w:t>
      </w:r>
      <w:r>
        <w:rPr>
          <w:rFonts w:hint="eastAsia"/>
          <w:color w:val="auto"/>
          <w:highlight w:val="none"/>
        </w:rPr>
        <w:t>kg/h，按</w:t>
      </w:r>
      <w:r>
        <w:rPr>
          <w:rFonts w:hint="default"/>
          <w:color w:val="auto"/>
          <w:highlight w:val="none"/>
        </w:rPr>
        <w:t>年有效工作时间</w:t>
      </w:r>
      <w:r>
        <w:rPr>
          <w:rFonts w:hint="default"/>
          <w:color w:val="auto"/>
          <w:highlight w:val="none"/>
          <w:lang w:val="en-US" w:eastAsia="zh-CN"/>
        </w:rPr>
        <w:t>7920</w:t>
      </w:r>
      <w:r>
        <w:rPr>
          <w:rFonts w:hint="default"/>
          <w:color w:val="auto"/>
          <w:highlight w:val="none"/>
        </w:rPr>
        <w:t>h计算，单座井场非甲烷总烃年排放量为</w:t>
      </w:r>
      <w:r>
        <w:rPr>
          <w:rFonts w:hint="default"/>
          <w:color w:val="auto"/>
          <w:highlight w:val="none"/>
          <w:lang w:val="en-US" w:eastAsia="zh-CN"/>
        </w:rPr>
        <w:t>0.</w:t>
      </w:r>
      <w:r>
        <w:rPr>
          <w:rFonts w:hint="eastAsia"/>
          <w:color w:val="auto"/>
          <w:highlight w:val="none"/>
          <w:lang w:val="en-US" w:eastAsia="zh-CN"/>
        </w:rPr>
        <w:t>055</w:t>
      </w:r>
      <w:r>
        <w:rPr>
          <w:rFonts w:hint="default"/>
          <w:color w:val="auto"/>
          <w:highlight w:val="none"/>
        </w:rPr>
        <w:t>t/a</w:t>
      </w:r>
      <w:r>
        <w:rPr>
          <w:rFonts w:hint="default"/>
          <w:color w:val="auto"/>
          <w:highlight w:val="none"/>
          <w:lang w:eastAsia="zh-CN"/>
        </w:rPr>
        <w:t>，</w:t>
      </w:r>
      <w:r>
        <w:rPr>
          <w:rFonts w:hint="default"/>
          <w:color w:val="auto"/>
          <w:highlight w:val="none"/>
        </w:rPr>
        <w:t>本</w:t>
      </w:r>
      <w:r>
        <w:rPr>
          <w:rFonts w:hint="default"/>
          <w:color w:val="auto"/>
          <w:highlight w:val="none"/>
          <w:lang w:val="en-US" w:eastAsia="zh-CN"/>
        </w:rPr>
        <w:t>工程部署</w:t>
      </w:r>
      <w:r>
        <w:rPr>
          <w:rFonts w:hint="eastAsia"/>
          <w:color w:val="auto"/>
          <w:highlight w:val="none"/>
          <w:lang w:val="en-US" w:eastAsia="zh-CN"/>
        </w:rPr>
        <w:t>18</w:t>
      </w:r>
      <w:r>
        <w:rPr>
          <w:rFonts w:hint="default"/>
          <w:color w:val="auto"/>
          <w:highlight w:val="none"/>
          <w:lang w:val="en-US" w:eastAsia="zh-CN"/>
        </w:rPr>
        <w:t>口采油井</w:t>
      </w:r>
      <w:r>
        <w:rPr>
          <w:rFonts w:hint="eastAsia"/>
          <w:color w:val="auto"/>
          <w:highlight w:val="none"/>
          <w:lang w:val="en-US" w:eastAsia="zh-CN"/>
        </w:rPr>
        <w:t>油气集输过程中</w:t>
      </w:r>
      <w:r>
        <w:rPr>
          <w:rFonts w:hint="default"/>
          <w:color w:val="auto"/>
          <w:highlight w:val="none"/>
        </w:rPr>
        <w:t>非甲烷总烃年排放量为</w:t>
      </w:r>
      <w:r>
        <w:rPr>
          <w:rFonts w:hint="eastAsia"/>
          <w:color w:val="auto"/>
          <w:highlight w:val="none"/>
          <w:lang w:val="en-US" w:eastAsia="zh-CN"/>
        </w:rPr>
        <w:t>0.990</w:t>
      </w:r>
      <w:r>
        <w:rPr>
          <w:rFonts w:hint="default"/>
          <w:color w:val="auto"/>
          <w:highlight w:val="none"/>
        </w:rPr>
        <w:t>t/a</w:t>
      </w:r>
      <w:r>
        <w:rPr>
          <w:rFonts w:hint="default"/>
          <w:color w:val="auto"/>
          <w:highlight w:val="none"/>
          <w:lang w:eastAsia="zh-CN"/>
        </w:rPr>
        <w:t>；</w:t>
      </w:r>
      <w:r>
        <w:rPr>
          <w:rFonts w:hint="default"/>
          <w:color w:val="auto"/>
          <w:highlight w:val="none"/>
        </w:rPr>
        <w:t>单座</w:t>
      </w:r>
      <w:r>
        <w:rPr>
          <w:rFonts w:hint="eastAsia"/>
          <w:color w:val="auto"/>
          <w:highlight w:val="none"/>
          <w:lang w:val="en-US" w:eastAsia="zh-CN"/>
        </w:rPr>
        <w:t>计量站</w:t>
      </w:r>
      <w:r>
        <w:rPr>
          <w:rFonts w:hint="default"/>
          <w:color w:val="auto"/>
          <w:highlight w:val="none"/>
        </w:rPr>
        <w:t>非甲烷总烃年排放量为</w:t>
      </w:r>
      <w:r>
        <w:rPr>
          <w:rFonts w:hint="default"/>
          <w:color w:val="auto"/>
          <w:highlight w:val="none"/>
          <w:lang w:val="en-US" w:eastAsia="zh-CN"/>
        </w:rPr>
        <w:t>0.</w:t>
      </w:r>
      <w:r>
        <w:rPr>
          <w:rFonts w:hint="eastAsia"/>
          <w:color w:val="auto"/>
          <w:highlight w:val="none"/>
          <w:lang w:val="en-US" w:eastAsia="zh-CN"/>
        </w:rPr>
        <w:t>194</w:t>
      </w:r>
      <w:r>
        <w:rPr>
          <w:rFonts w:hint="default"/>
          <w:color w:val="auto"/>
          <w:highlight w:val="none"/>
        </w:rPr>
        <w:t>t/a</w:t>
      </w:r>
      <w:r>
        <w:rPr>
          <w:rFonts w:hint="eastAsia"/>
          <w:color w:val="auto"/>
          <w:highlight w:val="none"/>
          <w:lang w:eastAsia="zh-CN"/>
        </w:rPr>
        <w:t>；</w:t>
      </w:r>
      <w:r>
        <w:rPr>
          <w:rFonts w:hint="default"/>
          <w:color w:val="auto"/>
          <w:highlight w:val="none"/>
        </w:rPr>
        <w:t>单座</w:t>
      </w:r>
      <w:r>
        <w:rPr>
          <w:rFonts w:hint="eastAsia"/>
          <w:color w:val="auto"/>
          <w:highlight w:val="none"/>
          <w:lang w:val="en-US" w:eastAsia="zh-CN"/>
        </w:rPr>
        <w:t>计量站</w:t>
      </w:r>
      <w:r>
        <w:rPr>
          <w:rFonts w:hint="default"/>
          <w:color w:val="auto"/>
          <w:highlight w:val="none"/>
        </w:rPr>
        <w:t>非甲烷总烃年排放量为</w:t>
      </w:r>
      <w:r>
        <w:rPr>
          <w:rFonts w:hint="default"/>
          <w:color w:val="auto"/>
          <w:highlight w:val="none"/>
          <w:lang w:val="en-US" w:eastAsia="zh-CN"/>
        </w:rPr>
        <w:t>0.</w:t>
      </w:r>
      <w:r>
        <w:rPr>
          <w:rFonts w:hint="eastAsia"/>
          <w:color w:val="auto"/>
          <w:highlight w:val="none"/>
          <w:lang w:val="en-US" w:eastAsia="zh-CN"/>
        </w:rPr>
        <w:t>222</w:t>
      </w:r>
      <w:r>
        <w:rPr>
          <w:rFonts w:hint="default"/>
          <w:color w:val="auto"/>
          <w:highlight w:val="none"/>
        </w:rPr>
        <w:t>t/a</w:t>
      </w:r>
      <w:r>
        <w:rPr>
          <w:rFonts w:hint="eastAsia"/>
          <w:color w:val="auto"/>
          <w:highlight w:val="none"/>
          <w:lang w:eastAsia="zh-CN"/>
        </w:rPr>
        <w:t>。</w:t>
      </w:r>
      <w:r>
        <w:rPr>
          <w:rFonts w:hint="default"/>
          <w:color w:val="auto"/>
          <w:highlight w:val="none"/>
          <w:lang w:val="en-US" w:eastAsia="zh-CN"/>
        </w:rPr>
        <w:t>因此本工程</w:t>
      </w:r>
      <w:r>
        <w:rPr>
          <w:rFonts w:hint="eastAsia"/>
          <w:color w:val="auto"/>
          <w:highlight w:val="none"/>
          <w:lang w:val="en-US" w:eastAsia="zh-CN"/>
        </w:rPr>
        <w:t>油气集输过程中</w:t>
      </w:r>
      <w:r>
        <w:rPr>
          <w:rFonts w:hint="default"/>
          <w:color w:val="auto"/>
          <w:highlight w:val="none"/>
          <w:lang w:val="en-US" w:eastAsia="zh-CN"/>
        </w:rPr>
        <w:t>非甲烷总烃排放量为</w:t>
      </w:r>
      <w:r>
        <w:rPr>
          <w:rFonts w:hint="eastAsia"/>
          <w:color w:val="auto"/>
          <w:highlight w:val="none"/>
          <w:lang w:val="en-US" w:eastAsia="zh-CN"/>
        </w:rPr>
        <w:t>1.406</w:t>
      </w:r>
      <w:r>
        <w:rPr>
          <w:rFonts w:hint="default"/>
          <w:color w:val="auto"/>
          <w:highlight w:val="none"/>
          <w:lang w:val="en-US" w:eastAsia="zh-CN"/>
        </w:rPr>
        <w:t>t/a</w:t>
      </w:r>
      <w:r>
        <w:rPr>
          <w:rFonts w:hint="eastAsia" w:cs="Times New Roman"/>
          <w:color w:val="auto"/>
          <w:highlight w:val="none"/>
          <w:lang w:eastAsia="zh-CN"/>
        </w:rPr>
        <w:t>。</w:t>
      </w:r>
    </w:p>
    <w:p>
      <w:pPr>
        <w:pStyle w:val="57"/>
        <w:bidi w:val="0"/>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）无组织排放H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w:t>
      </w:r>
    </w:p>
    <w:p>
      <w:pPr>
        <w:pStyle w:val="57"/>
        <w:bidi w:val="0"/>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夏子街油田</w:t>
      </w:r>
      <w:r>
        <w:rPr>
          <w:rFonts w:hint="eastAsia"/>
          <w:color w:val="auto"/>
          <w:highlight w:val="none"/>
        </w:rPr>
        <w:t>丰探1井区风二段天然气相对密度平均为0.774，甲烷平均含量73.24%，乙烷平均含量13.26%，丙烷平均含量6.54%，氮平均含量1.76%</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不含硫化氢</w:t>
      </w:r>
      <w:r>
        <w:rPr>
          <w:rFonts w:hint="default" w:ascii="Times New Roman" w:hAnsi="Times New Roman" w:eastAsia="宋体" w:cs="Times New Roman"/>
          <w:color w:val="auto"/>
          <w:highlight w:val="none"/>
        </w:rPr>
        <w:t>。故本次评价不对无组织排放H</w:t>
      </w:r>
      <w:r>
        <w:rPr>
          <w:rFonts w:hint="default" w:ascii="Times New Roman" w:hAnsi="Times New Roman" w:eastAsia="宋体" w:cs="Times New Roman"/>
          <w:color w:val="auto"/>
          <w:highlight w:val="none"/>
          <w:vertAlign w:val="subscript"/>
        </w:rPr>
        <w:t>2</w:t>
      </w:r>
      <w:r>
        <w:rPr>
          <w:rFonts w:hint="default" w:ascii="Times New Roman" w:hAnsi="Times New Roman" w:eastAsia="宋体" w:cs="Times New Roman"/>
          <w:color w:val="auto"/>
          <w:highlight w:val="none"/>
        </w:rPr>
        <w:t>S核算。</w:t>
      </w:r>
    </w:p>
    <w:p>
      <w:pPr>
        <w:pStyle w:val="5"/>
        <w:pageBreakBefore w:val="0"/>
        <w:widowControl/>
        <w:kinsoku/>
        <w:wordWrap/>
        <w:overflowPunct/>
        <w:topLinePunct w:val="0"/>
        <w:autoSpaceDE/>
        <w:autoSpaceDN/>
        <w:bidi w:val="0"/>
        <w:adjustRightInd w:val="0"/>
        <w:snapToGrid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.3固体废物污染源</w:t>
      </w:r>
    </w:p>
    <w:p>
      <w:pPr>
        <w:pStyle w:val="86"/>
        <w:keepNext w:val="0"/>
        <w:keepLines w:val="0"/>
        <w:pageBreakBefore w:val="0"/>
        <w:widowControl/>
        <w:kinsoku/>
        <w:wordWrap/>
        <w:overflowPunct/>
        <w:topLinePunct w:val="0"/>
        <w:autoSpaceDE/>
        <w:autoSpaceDN/>
        <w:bidi w:val="0"/>
        <w:adjustRightInd w:val="0"/>
        <w:snapToGrid w:val="0"/>
        <w:spacing w:line="480" w:lineRule="exact"/>
        <w:ind w:firstLine="482" w:firstLineChars="200"/>
        <w:jc w:val="left"/>
        <w:textAlignment w:val="auto"/>
        <w:outlineLvl w:val="9"/>
        <w:rPr>
          <w:rFonts w:hint="default" w:ascii="Times New Roman" w:hAnsi="Times New Roman" w:cs="Times New Roman"/>
          <w:b/>
          <w:bCs/>
          <w:color w:val="auto"/>
          <w:sz w:val="24"/>
          <w:szCs w:val="24"/>
          <w:highlight w:val="none"/>
          <w:shd w:val="clear" w:color="auto" w:fill="auto"/>
        </w:rPr>
      </w:pPr>
      <w:bookmarkStart w:id="333" w:name="_Toc20969"/>
      <w:bookmarkStart w:id="334" w:name="OLE_LINK144"/>
      <w:r>
        <w:rPr>
          <w:rFonts w:hint="default" w:ascii="Times New Roman" w:hAnsi="Times New Roman" w:cs="Times New Roman"/>
          <w:b/>
          <w:bCs/>
          <w:color w:val="auto"/>
          <w:sz w:val="24"/>
          <w:szCs w:val="24"/>
          <w:highlight w:val="none"/>
          <w:shd w:val="clear" w:color="auto" w:fill="auto"/>
        </w:rPr>
        <w:t>（1）油泥（砂）</w:t>
      </w:r>
      <w:bookmarkEnd w:id="333"/>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油泥砂主要为处理厂的</w:t>
      </w:r>
      <w:r>
        <w:rPr>
          <w:rFonts w:hint="eastAsia" w:ascii="Times New Roman" w:hAnsi="Times New Roman" w:cs="Times New Roman"/>
          <w:color w:val="auto"/>
          <w:sz w:val="24"/>
          <w:szCs w:val="24"/>
          <w:highlight w:val="none"/>
          <w:shd w:val="clear" w:color="auto" w:fill="auto"/>
          <w:lang w:eastAsia="zh-CN"/>
        </w:rPr>
        <w:t>采出水处理系统</w:t>
      </w:r>
      <w:r>
        <w:rPr>
          <w:rFonts w:hint="default" w:ascii="Times New Roman" w:hAnsi="Times New Roman" w:cs="Times New Roman"/>
          <w:color w:val="auto"/>
          <w:sz w:val="24"/>
          <w:szCs w:val="24"/>
          <w:highlight w:val="none"/>
          <w:shd w:val="clear" w:color="auto" w:fill="auto"/>
        </w:rPr>
        <w:t>或沉降油罐产生的沉淀物，部分为原油，部分为泥土等杂质，属于危险废物（HW08）</w:t>
      </w:r>
      <w:r>
        <w:rPr>
          <w:rFonts w:hint="default" w:ascii="Times New Roman" w:hAnsi="Times New Roman" w:cs="Times New Roman"/>
          <w:snapToGrid w:val="0"/>
          <w:color w:val="auto"/>
          <w:spacing w:val="4"/>
          <w:sz w:val="24"/>
          <w:szCs w:val="24"/>
          <w:highlight w:val="none"/>
          <w:shd w:val="clear" w:color="auto" w:fill="auto"/>
        </w:rPr>
        <w:t>（071-001-08）</w:t>
      </w:r>
      <w:r>
        <w:rPr>
          <w:rFonts w:hint="default" w:ascii="Times New Roman" w:hAnsi="Times New Roman" w:cs="Times New Roman"/>
          <w:color w:val="auto"/>
          <w:sz w:val="24"/>
          <w:szCs w:val="24"/>
          <w:highlight w:val="none"/>
          <w:shd w:val="clear" w:color="auto" w:fill="auto"/>
        </w:rPr>
        <w:t>。本工程运营</w:t>
      </w:r>
      <w:r>
        <w:rPr>
          <w:rFonts w:hint="eastAsia" w:ascii="Times New Roman" w:hAnsi="Times New Roman" w:cs="Times New Roman"/>
          <w:color w:val="auto"/>
          <w:sz w:val="24"/>
          <w:szCs w:val="24"/>
          <w:highlight w:val="none"/>
          <w:shd w:val="clear" w:color="auto" w:fill="auto"/>
          <w:lang w:val="en-US" w:eastAsia="zh-CN"/>
        </w:rPr>
        <w:t>期原油</w:t>
      </w:r>
      <w:r>
        <w:rPr>
          <w:rFonts w:hint="eastAsia"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采出水依托</w:t>
      </w:r>
      <w:r>
        <w:rPr>
          <w:rFonts w:hint="eastAsia" w:ascii="Times New Roman" w:hAnsi="Times New Roman" w:cs="Times New Roman"/>
          <w:color w:val="auto"/>
          <w:sz w:val="24"/>
          <w:szCs w:val="24"/>
          <w:highlight w:val="none"/>
          <w:shd w:val="clear" w:color="auto" w:fill="auto"/>
          <w:lang w:eastAsia="zh-CN"/>
        </w:rPr>
        <w:t>风城二号稠油联合站</w:t>
      </w:r>
      <w:r>
        <w:rPr>
          <w:rFonts w:hint="default" w:ascii="Times New Roman" w:hAnsi="Times New Roman" w:cs="Times New Roman"/>
          <w:color w:val="auto"/>
          <w:sz w:val="24"/>
          <w:szCs w:val="24"/>
          <w:highlight w:val="none"/>
          <w:shd w:val="clear" w:color="auto" w:fill="auto"/>
        </w:rPr>
        <w:t>进行处理，故</w:t>
      </w:r>
      <w:r>
        <w:rPr>
          <w:rFonts w:hint="eastAsia" w:ascii="Times New Roman" w:hAnsi="Times New Roman" w:cs="Times New Roman"/>
          <w:color w:val="auto"/>
          <w:sz w:val="24"/>
          <w:szCs w:val="24"/>
          <w:highlight w:val="none"/>
          <w:shd w:val="clear" w:color="auto" w:fill="auto"/>
          <w:lang w:eastAsia="zh-CN"/>
        </w:rPr>
        <w:t>风城二号稠油联合站</w:t>
      </w:r>
      <w:r>
        <w:rPr>
          <w:rFonts w:hint="default" w:ascii="Times New Roman" w:hAnsi="Times New Roman" w:cs="Times New Roman"/>
          <w:color w:val="auto"/>
          <w:sz w:val="24"/>
          <w:szCs w:val="24"/>
          <w:highlight w:val="none"/>
          <w:shd w:val="clear" w:color="auto" w:fill="auto"/>
        </w:rPr>
        <w:t>油气处理及</w:t>
      </w:r>
      <w:r>
        <w:rPr>
          <w:rFonts w:hint="eastAsia" w:ascii="Times New Roman" w:hAnsi="Times New Roman" w:cs="Times New Roman"/>
          <w:color w:val="auto"/>
          <w:sz w:val="24"/>
          <w:szCs w:val="24"/>
          <w:highlight w:val="none"/>
          <w:shd w:val="clear" w:color="auto" w:fill="auto"/>
          <w:lang w:eastAsia="zh-CN"/>
        </w:rPr>
        <w:t>采出水处理系统</w:t>
      </w:r>
      <w:r>
        <w:rPr>
          <w:rFonts w:hint="default" w:ascii="Times New Roman" w:hAnsi="Times New Roman" w:cs="Times New Roman"/>
          <w:color w:val="auto"/>
          <w:sz w:val="24"/>
          <w:szCs w:val="24"/>
          <w:highlight w:val="none"/>
          <w:shd w:val="clear" w:color="auto" w:fill="auto"/>
        </w:rPr>
        <w:t>装置均会增加产生一定量的油泥砂。</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黑体" w:cs="Times New Roman"/>
          <w:b/>
          <w:bCs/>
          <w:color w:val="auto"/>
          <w:sz w:val="24"/>
          <w:szCs w:val="24"/>
          <w:highlight w:val="none"/>
          <w:shd w:val="clear" w:color="auto" w:fill="auto"/>
          <w:lang w:eastAsia="zh-CN"/>
        </w:rPr>
      </w:pPr>
      <w:r>
        <w:rPr>
          <w:rFonts w:hint="default" w:ascii="Times New Roman" w:hAnsi="Times New Roman" w:cs="Times New Roman"/>
          <w:color w:val="auto"/>
          <w:sz w:val="24"/>
          <w:szCs w:val="24"/>
          <w:highlight w:val="none"/>
          <w:shd w:val="clear" w:color="auto" w:fill="auto"/>
        </w:rPr>
        <w:t>油泥（砂）产生量与</w:t>
      </w:r>
      <w:r>
        <w:rPr>
          <w:rFonts w:hint="eastAsia" w:ascii="Times New Roman" w:hAnsi="Times New Roman" w:cs="Times New Roman"/>
          <w:color w:val="auto"/>
          <w:sz w:val="24"/>
          <w:szCs w:val="24"/>
          <w:highlight w:val="none"/>
          <w:shd w:val="clear" w:color="auto" w:fill="auto"/>
          <w:lang w:val="en-US" w:eastAsia="zh-CN"/>
        </w:rPr>
        <w:t>油井</w:t>
      </w:r>
      <w:r>
        <w:rPr>
          <w:rFonts w:hint="default" w:ascii="Times New Roman" w:hAnsi="Times New Roman" w:cs="Times New Roman"/>
          <w:color w:val="auto"/>
          <w:sz w:val="24"/>
          <w:szCs w:val="24"/>
          <w:highlight w:val="none"/>
          <w:shd w:val="clear" w:color="auto" w:fill="auto"/>
        </w:rPr>
        <w:t>的出砂情况有关，根据《排放源统计调查产排污核算方法和系数手册》（2021年）中07石油和天然气开采业行业系数手册（续35）中产污系数核算含油污泥产生量详见表3.</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val="en-US" w:eastAsia="zh-CN"/>
        </w:rPr>
        <w:t>11</w:t>
      </w:r>
      <w:r>
        <w:rPr>
          <w:rFonts w:hint="default" w:ascii="Times New Roman" w:hAnsi="Times New Roman" w:cs="Times New Roman"/>
          <w:color w:val="auto"/>
          <w:sz w:val="24"/>
          <w:szCs w:val="24"/>
          <w:highlight w:val="none"/>
          <w:shd w:val="clear" w:color="auto" w:fill="auto"/>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hAnsi="宋体" w:cs="Times New Roman"/>
          <w:color w:val="auto"/>
          <w:highlight w:val="none"/>
          <w:lang w:eastAsia="zh-CN"/>
        </w:rPr>
      </w:pPr>
      <w:r>
        <w:rPr>
          <w:rFonts w:hint="default" w:hAnsi="宋体" w:cs="Times New Roman"/>
          <w:color w:val="auto"/>
          <w:highlight w:val="none"/>
          <w:lang w:eastAsia="zh-CN"/>
        </w:rPr>
        <w:t>表3.</w:t>
      </w:r>
      <w:r>
        <w:rPr>
          <w:rFonts w:hint="eastAsia" w:hAnsi="宋体" w:cs="Times New Roman"/>
          <w:color w:val="auto"/>
          <w:highlight w:val="none"/>
          <w:lang w:val="en-US" w:eastAsia="zh-CN"/>
        </w:rPr>
        <w:t>3</w:t>
      </w:r>
      <w:r>
        <w:rPr>
          <w:rFonts w:hint="default" w:hAnsi="宋体" w:cs="Times New Roman"/>
          <w:color w:val="auto"/>
          <w:highlight w:val="none"/>
          <w:lang w:eastAsia="zh-CN"/>
        </w:rPr>
        <w:t>-</w:t>
      </w:r>
      <w:r>
        <w:rPr>
          <w:rFonts w:hint="eastAsia" w:hAnsi="宋体" w:cs="Times New Roman"/>
          <w:color w:val="auto"/>
          <w:highlight w:val="none"/>
          <w:lang w:val="en-US" w:eastAsia="zh-CN"/>
        </w:rPr>
        <w:t>11</w:t>
      </w:r>
      <w:r>
        <w:rPr>
          <w:rFonts w:hint="default" w:hAnsi="宋体" w:cs="Times New Roman"/>
          <w:color w:val="auto"/>
          <w:highlight w:val="none"/>
          <w:lang w:eastAsia="zh-CN"/>
        </w:rPr>
        <w:t xml:space="preserve">  石油和天然气开采行业专业及辅助性活动行业系数表</w:t>
      </w:r>
    </w:p>
    <w:tbl>
      <w:tblPr>
        <w:tblStyle w:val="34"/>
        <w:tblW w:w="845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33"/>
        <w:gridCol w:w="633"/>
        <w:gridCol w:w="2541"/>
        <w:gridCol w:w="633"/>
        <w:gridCol w:w="755"/>
        <w:gridCol w:w="793"/>
        <w:gridCol w:w="529"/>
        <w:gridCol w:w="1306"/>
        <w:gridCol w:w="6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noWrap w:val="0"/>
            <w:vAlign w:val="center"/>
          </w:tcPr>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产品名称</w:t>
            </w:r>
          </w:p>
        </w:tc>
        <w:tc>
          <w:tcPr>
            <w:tcW w:w="0" w:type="auto"/>
            <w:tcBorders>
              <w:tl2br w:val="nil"/>
              <w:tr2bl w:val="nil"/>
            </w:tcBorders>
            <w:noWrap w:val="0"/>
            <w:vAlign w:val="center"/>
          </w:tcPr>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原料名称</w:t>
            </w:r>
          </w:p>
        </w:tc>
        <w:tc>
          <w:tcPr>
            <w:tcW w:w="0" w:type="auto"/>
            <w:tcBorders>
              <w:tl2br w:val="nil"/>
              <w:tr2bl w:val="nil"/>
            </w:tcBorders>
            <w:noWrap w:val="0"/>
            <w:vAlign w:val="center"/>
          </w:tcPr>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工艺名称</w:t>
            </w:r>
          </w:p>
        </w:tc>
        <w:tc>
          <w:tcPr>
            <w:tcW w:w="0" w:type="auto"/>
            <w:tcBorders>
              <w:tl2br w:val="nil"/>
              <w:tr2bl w:val="nil"/>
            </w:tcBorders>
            <w:noWrap w:val="0"/>
            <w:vAlign w:val="center"/>
          </w:tcPr>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规模等级</w:t>
            </w:r>
          </w:p>
        </w:tc>
        <w:tc>
          <w:tcPr>
            <w:tcW w:w="0" w:type="auto"/>
            <w:tcBorders>
              <w:tl2br w:val="nil"/>
              <w:tr2bl w:val="nil"/>
            </w:tcBorders>
            <w:noWrap w:val="0"/>
            <w:vAlign w:val="center"/>
          </w:tcPr>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污染物类别</w:t>
            </w:r>
          </w:p>
        </w:tc>
        <w:tc>
          <w:tcPr>
            <w:tcW w:w="0" w:type="auto"/>
            <w:tcBorders>
              <w:tl2br w:val="nil"/>
              <w:tr2bl w:val="nil"/>
            </w:tcBorders>
            <w:noWrap w:val="0"/>
            <w:vAlign w:val="center"/>
          </w:tcPr>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单位</w:t>
            </w:r>
          </w:p>
        </w:tc>
        <w:tc>
          <w:tcPr>
            <w:tcW w:w="0" w:type="auto"/>
            <w:tcBorders>
              <w:tl2br w:val="nil"/>
              <w:tr2bl w:val="nil"/>
            </w:tcBorders>
            <w:noWrap w:val="0"/>
            <w:vAlign w:val="center"/>
          </w:tcPr>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产污</w:t>
            </w:r>
          </w:p>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系数</w:t>
            </w:r>
          </w:p>
        </w:tc>
        <w:tc>
          <w:tcPr>
            <w:tcW w:w="0" w:type="auto"/>
            <w:tcBorders>
              <w:tl2br w:val="nil"/>
              <w:tr2bl w:val="nil"/>
            </w:tcBorders>
            <w:noWrap w:val="0"/>
            <w:vAlign w:val="center"/>
          </w:tcPr>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末端治理技术名称</w:t>
            </w:r>
          </w:p>
        </w:tc>
        <w:tc>
          <w:tcPr>
            <w:tcW w:w="0" w:type="auto"/>
            <w:tcBorders>
              <w:tl2br w:val="nil"/>
              <w:tr2bl w:val="nil"/>
            </w:tcBorders>
            <w:noWrap w:val="0"/>
            <w:vAlign w:val="center"/>
          </w:tcPr>
          <w:p>
            <w:pPr>
              <w:widowControl/>
              <w:snapToGrid w:val="0"/>
              <w:jc w:val="center"/>
              <w:rPr>
                <w:rFonts w:hint="default" w:ascii="Times New Roman" w:hAnsi="Times New Roman" w:cs="Times New Roman"/>
                <w:b/>
                <w:color w:val="auto"/>
                <w:kern w:val="0"/>
                <w:sz w:val="21"/>
                <w:szCs w:val="21"/>
                <w:highlight w:val="none"/>
                <w:shd w:val="clear" w:color="auto" w:fill="auto"/>
              </w:rPr>
            </w:pPr>
            <w:r>
              <w:rPr>
                <w:rFonts w:hint="default" w:ascii="Times New Roman" w:hAnsi="Times New Roman" w:cs="Times New Roman"/>
                <w:b/>
                <w:color w:val="auto"/>
                <w:kern w:val="0"/>
                <w:sz w:val="21"/>
                <w:szCs w:val="21"/>
                <w:highlight w:val="none"/>
                <w:shd w:val="clear" w:color="auto" w:fill="auto"/>
              </w:rPr>
              <w:t>排污系数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tcBorders>
              <w:tl2br w:val="nil"/>
              <w:tr2bl w:val="nil"/>
            </w:tcBorders>
            <w:noWrap w:val="0"/>
            <w:vAlign w:val="center"/>
          </w:tcPr>
          <w:p>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非稠油</w:t>
            </w:r>
          </w:p>
        </w:tc>
        <w:tc>
          <w:tcPr>
            <w:tcW w:w="0" w:type="auto"/>
            <w:tcBorders>
              <w:tl2br w:val="nil"/>
              <w:tr2bl w:val="nil"/>
            </w:tcBorders>
            <w:noWrap w:val="0"/>
            <w:vAlign w:val="center"/>
          </w:tcPr>
          <w:p>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非稠油</w:t>
            </w:r>
          </w:p>
        </w:tc>
        <w:tc>
          <w:tcPr>
            <w:tcW w:w="0" w:type="auto"/>
            <w:tcBorders>
              <w:tl2br w:val="nil"/>
              <w:tr2bl w:val="nil"/>
            </w:tcBorders>
            <w:noWrap w:val="0"/>
            <w:vAlign w:val="center"/>
          </w:tcPr>
          <w:p>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检修清罐、</w:t>
            </w:r>
            <w:r>
              <w:rPr>
                <w:rFonts w:hint="default" w:ascii="Times New Roman" w:hAnsi="Times New Roman" w:cs="Times New Roman"/>
                <w:color w:val="auto"/>
                <w:kern w:val="0"/>
                <w:sz w:val="21"/>
                <w:szCs w:val="21"/>
                <w:highlight w:val="none"/>
                <w:shd w:val="clear" w:color="auto" w:fill="auto"/>
                <w:lang w:val="en-US" w:eastAsia="zh-CN"/>
              </w:rPr>
              <w:t>管线刺漏</w:t>
            </w:r>
            <w:r>
              <w:rPr>
                <w:rFonts w:hint="default"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lang w:val="en-US" w:eastAsia="zh-CN"/>
              </w:rPr>
              <w:t>晒水池隔油池清淤等</w:t>
            </w:r>
          </w:p>
        </w:tc>
        <w:tc>
          <w:tcPr>
            <w:tcW w:w="0" w:type="auto"/>
            <w:tcBorders>
              <w:tl2br w:val="nil"/>
              <w:tr2bl w:val="nil"/>
            </w:tcBorders>
            <w:noWrap w:val="0"/>
            <w:vAlign w:val="center"/>
          </w:tcPr>
          <w:p>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所有规模</w:t>
            </w:r>
          </w:p>
        </w:tc>
        <w:tc>
          <w:tcPr>
            <w:tcW w:w="0" w:type="auto"/>
            <w:tcBorders>
              <w:tl2br w:val="nil"/>
              <w:tr2bl w:val="nil"/>
            </w:tcBorders>
            <w:noWrap w:val="0"/>
            <w:vAlign w:val="center"/>
          </w:tcPr>
          <w:p>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含油污泥</w:t>
            </w:r>
          </w:p>
        </w:tc>
        <w:tc>
          <w:tcPr>
            <w:tcW w:w="0" w:type="auto"/>
            <w:tcBorders>
              <w:tl2br w:val="nil"/>
              <w:tr2bl w:val="nil"/>
            </w:tcBorders>
            <w:noWrap w:val="0"/>
            <w:vAlign w:val="center"/>
          </w:tcPr>
          <w:p>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吨-万吨产品</w:t>
            </w:r>
          </w:p>
        </w:tc>
        <w:tc>
          <w:tcPr>
            <w:tcW w:w="0" w:type="auto"/>
            <w:tcBorders>
              <w:tl2br w:val="nil"/>
              <w:tr2bl w:val="nil"/>
            </w:tcBorders>
            <w:noWrap w:val="0"/>
            <w:vAlign w:val="center"/>
          </w:tcPr>
          <w:p>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90.76</w:t>
            </w:r>
          </w:p>
        </w:tc>
        <w:tc>
          <w:tcPr>
            <w:tcW w:w="0" w:type="auto"/>
            <w:tcBorders>
              <w:tl2br w:val="nil"/>
              <w:tr2bl w:val="nil"/>
            </w:tcBorders>
            <w:noWrap w:val="0"/>
            <w:vAlign w:val="center"/>
          </w:tcPr>
          <w:p>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无害化处理/处置/利用</w:t>
            </w:r>
          </w:p>
        </w:tc>
        <w:tc>
          <w:tcPr>
            <w:tcW w:w="0" w:type="auto"/>
            <w:tcBorders>
              <w:tl2br w:val="nil"/>
              <w:tr2bl w:val="nil"/>
            </w:tcBorders>
            <w:noWrap w:val="0"/>
            <w:vAlign w:val="center"/>
          </w:tcPr>
          <w:p>
            <w:pPr>
              <w:widowControl/>
              <w:snapToGrid w:val="0"/>
              <w:jc w:val="center"/>
              <w:rPr>
                <w:rFonts w:hint="default" w:ascii="Times New Roman" w:hAnsi="Times New Roman" w:cs="Times New Roman"/>
                <w:color w:val="auto"/>
                <w:kern w:val="0"/>
                <w:sz w:val="21"/>
                <w:szCs w:val="21"/>
                <w:highlight w:val="none"/>
                <w:shd w:val="clear" w:color="auto" w:fill="auto"/>
              </w:rPr>
            </w:pPr>
            <w:r>
              <w:rPr>
                <w:rFonts w:hint="default" w:ascii="Times New Roman" w:hAnsi="Times New Roman" w:cs="Times New Roman"/>
                <w:color w:val="auto"/>
                <w:kern w:val="0"/>
                <w:sz w:val="21"/>
                <w:szCs w:val="21"/>
                <w:highlight w:val="none"/>
                <w:shd w:val="clear" w:color="auto" w:fill="auto"/>
              </w:rPr>
              <w:t>0</w:t>
            </w:r>
          </w:p>
        </w:tc>
      </w:tr>
    </w:tbl>
    <w:p>
      <w:pPr>
        <w:keepNext w:val="0"/>
        <w:keepLines w:val="0"/>
        <w:pageBreakBefore w:val="0"/>
        <w:widowControl w:val="0"/>
        <w:kinsoku/>
        <w:wordWrap/>
        <w:overflowPunct/>
        <w:topLinePunct/>
        <w:autoSpaceDE w:val="0"/>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根据本</w:t>
      </w:r>
      <w:r>
        <w:rPr>
          <w:rFonts w:hint="default" w:ascii="Times New Roman" w:hAnsi="Times New Roman" w:cs="Times New Roman"/>
          <w:color w:val="auto"/>
          <w:sz w:val="24"/>
          <w:szCs w:val="24"/>
          <w:highlight w:val="none"/>
          <w:shd w:val="clear" w:color="auto" w:fill="auto"/>
          <w:lang w:val="en-US" w:eastAsia="zh-CN"/>
        </w:rPr>
        <w:t>工程</w:t>
      </w:r>
      <w:r>
        <w:rPr>
          <w:rFonts w:hint="default" w:ascii="Times New Roman" w:hAnsi="Times New Roman" w:cs="Times New Roman"/>
          <w:color w:val="auto"/>
          <w:sz w:val="24"/>
          <w:szCs w:val="24"/>
          <w:highlight w:val="none"/>
          <w:shd w:val="clear" w:color="auto" w:fill="auto"/>
        </w:rPr>
        <w:t>开发指标预测，</w:t>
      </w:r>
      <w:r>
        <w:rPr>
          <w:rFonts w:hint="default" w:ascii="Times New Roman" w:hAnsi="Times New Roman" w:cs="Times New Roman"/>
          <w:color w:val="auto"/>
          <w:sz w:val="24"/>
          <w:szCs w:val="24"/>
          <w:highlight w:val="none"/>
          <w:shd w:val="clear" w:color="auto" w:fill="auto"/>
          <w:lang w:val="en-US" w:eastAsia="zh-CN"/>
        </w:rPr>
        <w:t>本工程</w:t>
      </w:r>
      <w:r>
        <w:rPr>
          <w:rFonts w:hint="default" w:ascii="Times New Roman" w:hAnsi="Times New Roman" w:cs="Times New Roman"/>
          <w:color w:val="auto"/>
          <w:sz w:val="24"/>
          <w:szCs w:val="24"/>
          <w:highlight w:val="none"/>
          <w:shd w:val="clear" w:color="auto" w:fill="auto"/>
        </w:rPr>
        <w:t>投产后</w:t>
      </w:r>
      <w:r>
        <w:rPr>
          <w:rFonts w:hint="default" w:ascii="Times New Roman" w:hAnsi="Times New Roman" w:cs="Times New Roman"/>
          <w:color w:val="auto"/>
          <w:sz w:val="24"/>
          <w:szCs w:val="24"/>
          <w:highlight w:val="none"/>
          <w:shd w:val="clear" w:color="auto" w:fill="auto"/>
          <w:lang w:val="en-US" w:eastAsia="zh-CN"/>
        </w:rPr>
        <w:t>新建产能</w:t>
      </w:r>
      <w:r>
        <w:rPr>
          <w:rFonts w:hint="default" w:ascii="Times New Roman" w:hAnsi="Times New Roman" w:cs="Times New Roman"/>
          <w:color w:val="auto"/>
          <w:sz w:val="24"/>
          <w:szCs w:val="24"/>
          <w:highlight w:val="none"/>
          <w:shd w:val="clear" w:color="auto" w:fill="auto"/>
        </w:rPr>
        <w:t>为</w:t>
      </w:r>
      <w:r>
        <w:rPr>
          <w:rFonts w:hint="eastAsia" w:cs="Times New Roman"/>
          <w:color w:val="auto"/>
          <w:sz w:val="24"/>
          <w:szCs w:val="24"/>
          <w:highlight w:val="none"/>
          <w:shd w:val="clear" w:color="auto" w:fill="auto"/>
          <w:lang w:val="en-US" w:eastAsia="zh-CN"/>
        </w:rPr>
        <w:t>15.5</w:t>
      </w:r>
      <w:r>
        <w:rPr>
          <w:rFonts w:hint="default" w:ascii="Times New Roman" w:hAnsi="Times New Roman" w:cs="Times New Roman"/>
          <w:color w:val="auto"/>
          <w:sz w:val="24"/>
          <w:szCs w:val="24"/>
          <w:highlight w:val="none"/>
          <w:shd w:val="clear" w:color="auto" w:fill="auto"/>
        </w:rPr>
        <w:t>×10</w:t>
      </w:r>
      <w:r>
        <w:rPr>
          <w:rFonts w:hint="default" w:ascii="Times New Roman" w:hAnsi="Times New Roman" w:cs="Times New Roman"/>
          <w:color w:val="auto"/>
          <w:sz w:val="24"/>
          <w:szCs w:val="24"/>
          <w:highlight w:val="none"/>
          <w:shd w:val="clear" w:color="auto" w:fill="auto"/>
          <w:vertAlign w:val="superscript"/>
        </w:rPr>
        <w:t>4</w:t>
      </w:r>
      <w:r>
        <w:rPr>
          <w:rFonts w:hint="default" w:ascii="Times New Roman" w:hAnsi="Times New Roman" w:cs="Times New Roman"/>
          <w:color w:val="auto"/>
          <w:sz w:val="24"/>
          <w:szCs w:val="24"/>
          <w:highlight w:val="none"/>
          <w:shd w:val="clear" w:color="auto" w:fill="auto"/>
        </w:rPr>
        <w:t>t/a，计算含油污泥最大产生量为</w:t>
      </w:r>
      <w:r>
        <w:rPr>
          <w:rFonts w:hint="eastAsia" w:cs="Times New Roman"/>
          <w:color w:val="auto"/>
          <w:sz w:val="24"/>
          <w:szCs w:val="24"/>
          <w:highlight w:val="none"/>
          <w:shd w:val="clear" w:color="auto" w:fill="auto"/>
          <w:lang w:val="en-US" w:eastAsia="zh-CN"/>
        </w:rPr>
        <w:t>1406.78</w:t>
      </w:r>
      <w:r>
        <w:rPr>
          <w:rFonts w:hint="default" w:ascii="Times New Roman" w:hAnsi="Times New Roman" w:cs="Times New Roman"/>
          <w:color w:val="auto"/>
          <w:sz w:val="24"/>
          <w:szCs w:val="24"/>
          <w:highlight w:val="none"/>
          <w:shd w:val="clear" w:color="auto" w:fill="auto"/>
        </w:rPr>
        <w:t>t/a。</w:t>
      </w:r>
      <w:r>
        <w:rPr>
          <w:rFonts w:hint="default" w:ascii="Times New Roman" w:hAnsi="Times New Roman" w:cs="Times New Roman"/>
          <w:color w:val="auto"/>
          <w:sz w:val="24"/>
          <w:szCs w:val="24"/>
          <w:highlight w:val="none"/>
          <w:shd w:val="clear" w:color="auto" w:fill="auto"/>
          <w:lang w:eastAsia="zh-CN"/>
        </w:rPr>
        <w:t>本工程</w:t>
      </w:r>
      <w:r>
        <w:rPr>
          <w:rFonts w:hint="default" w:ascii="Times New Roman" w:hAnsi="Times New Roman" w:cs="Times New Roman"/>
          <w:color w:val="auto"/>
          <w:sz w:val="24"/>
          <w:szCs w:val="24"/>
          <w:highlight w:val="none"/>
          <w:shd w:val="clear" w:color="auto" w:fill="auto"/>
        </w:rPr>
        <w:t>产生的油泥（砂）</w:t>
      </w:r>
      <w:r>
        <w:rPr>
          <w:rFonts w:hint="eastAsia" w:ascii="Times New Roman" w:hAnsi="Times New Roman" w:cs="Times New Roman"/>
          <w:color w:val="auto"/>
          <w:sz w:val="24"/>
          <w:szCs w:val="24"/>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4"/>
          <w:szCs w:val="24"/>
          <w:highlight w:val="none"/>
          <w:shd w:val="clear" w:color="auto" w:fill="auto"/>
        </w:rPr>
        <w:t>。</w:t>
      </w:r>
    </w:p>
    <w:p>
      <w:pPr>
        <w:pStyle w:val="86"/>
        <w:keepNext w:val="0"/>
        <w:keepLines w:val="0"/>
        <w:pageBreakBefore w:val="0"/>
        <w:kinsoku/>
        <w:wordWrap/>
        <w:overflowPunct/>
        <w:autoSpaceDN/>
        <w:bidi w:val="0"/>
        <w:adjustRightInd/>
        <w:snapToGrid/>
        <w:spacing w:line="480" w:lineRule="exact"/>
        <w:ind w:firstLine="482" w:firstLineChars="200"/>
        <w:jc w:val="left"/>
        <w:textAlignment w:val="auto"/>
        <w:outlineLvl w:val="9"/>
        <w:rPr>
          <w:rFonts w:hint="default" w:ascii="Times New Roman" w:hAnsi="Times New Roman" w:cs="Times New Roman"/>
          <w:b/>
          <w:bCs/>
          <w:color w:val="auto"/>
          <w:sz w:val="24"/>
          <w:szCs w:val="24"/>
          <w:highlight w:val="none"/>
          <w:shd w:val="clear" w:color="auto" w:fill="auto"/>
        </w:rPr>
      </w:pPr>
      <w:bookmarkStart w:id="335" w:name="_Toc2615"/>
      <w:r>
        <w:rPr>
          <w:rFonts w:hint="default" w:ascii="Times New Roman" w:hAnsi="Times New Roman" w:cs="Times New Roman"/>
          <w:b/>
          <w:bCs/>
          <w:color w:val="auto"/>
          <w:sz w:val="24"/>
          <w:szCs w:val="24"/>
          <w:highlight w:val="none"/>
          <w:shd w:val="clear" w:color="auto" w:fill="auto"/>
        </w:rPr>
        <w:t>（2）清管废渣</w:t>
      </w:r>
      <w:bookmarkEnd w:id="335"/>
    </w:p>
    <w:p>
      <w:pPr>
        <w:pStyle w:val="86"/>
        <w:keepNext w:val="0"/>
        <w:keepLines w:val="0"/>
        <w:pageBreakBefore w:val="0"/>
        <w:kinsoku/>
        <w:wordWrap/>
        <w:overflowPunct/>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集输管线清管作业产生清管废渣，每2年清管1次。根据类别调查，一般清管废渣产生量为1.15kg/km，</w:t>
      </w:r>
      <w:r>
        <w:rPr>
          <w:rFonts w:hint="default" w:ascii="Times New Roman" w:hAnsi="Times New Roman" w:cs="Times New Roman"/>
          <w:color w:val="auto"/>
          <w:sz w:val="24"/>
          <w:szCs w:val="24"/>
          <w:highlight w:val="none"/>
          <w:shd w:val="clear" w:color="auto" w:fill="auto"/>
          <w:lang w:eastAsia="zh-CN"/>
        </w:rPr>
        <w:t>本工程</w:t>
      </w:r>
      <w:r>
        <w:rPr>
          <w:rFonts w:hint="default" w:ascii="Times New Roman" w:hAnsi="Times New Roman" w:cs="Times New Roman"/>
          <w:color w:val="auto"/>
          <w:sz w:val="24"/>
          <w:szCs w:val="24"/>
          <w:highlight w:val="none"/>
          <w:shd w:val="clear" w:color="auto" w:fill="auto"/>
        </w:rPr>
        <w:t>新建管线总长为</w:t>
      </w:r>
      <w:r>
        <w:rPr>
          <w:rFonts w:hint="eastAsia" w:cs="Times New Roman"/>
          <w:color w:val="auto"/>
          <w:sz w:val="24"/>
          <w:szCs w:val="24"/>
          <w:highlight w:val="none"/>
          <w:shd w:val="clear" w:color="auto" w:fill="auto"/>
          <w:lang w:val="en-US" w:eastAsia="zh-CN"/>
        </w:rPr>
        <w:t>34.25</w:t>
      </w:r>
      <w:r>
        <w:rPr>
          <w:rFonts w:hint="default" w:ascii="Times New Roman" w:hAnsi="Times New Roman" w:cs="Times New Roman"/>
          <w:color w:val="auto"/>
          <w:sz w:val="24"/>
          <w:szCs w:val="24"/>
          <w:highlight w:val="none"/>
          <w:shd w:val="clear" w:color="auto" w:fill="auto"/>
        </w:rPr>
        <w:t>km，每次废渣产生量约</w:t>
      </w:r>
      <w:r>
        <w:rPr>
          <w:rFonts w:hint="eastAsia" w:cs="Times New Roman"/>
          <w:color w:val="auto"/>
          <w:sz w:val="24"/>
          <w:szCs w:val="24"/>
          <w:highlight w:val="none"/>
          <w:shd w:val="clear" w:color="auto" w:fill="auto"/>
          <w:lang w:val="en-US" w:eastAsia="zh-CN"/>
        </w:rPr>
        <w:t>39.4</w:t>
      </w:r>
      <w:r>
        <w:rPr>
          <w:rFonts w:hint="default" w:ascii="Times New Roman" w:hAnsi="Times New Roman" w:cs="Times New Roman"/>
          <w:color w:val="auto"/>
          <w:sz w:val="24"/>
          <w:szCs w:val="24"/>
          <w:highlight w:val="none"/>
          <w:shd w:val="clear" w:color="auto" w:fill="auto"/>
        </w:rPr>
        <w:t>kg（</w:t>
      </w:r>
      <w:r>
        <w:rPr>
          <w:rFonts w:hint="eastAsia" w:cs="Times New Roman"/>
          <w:color w:val="auto"/>
          <w:sz w:val="24"/>
          <w:szCs w:val="24"/>
          <w:highlight w:val="none"/>
          <w:shd w:val="clear" w:color="auto" w:fill="auto"/>
          <w:lang w:val="en-US" w:eastAsia="zh-CN"/>
        </w:rPr>
        <w:t>0.02</w:t>
      </w:r>
      <w:r>
        <w:rPr>
          <w:rFonts w:hint="default" w:ascii="Times New Roman" w:hAnsi="Times New Roman" w:cs="Times New Roman"/>
          <w:color w:val="auto"/>
          <w:sz w:val="24"/>
          <w:szCs w:val="24"/>
          <w:highlight w:val="none"/>
          <w:shd w:val="clear" w:color="auto" w:fill="auto"/>
        </w:rPr>
        <w:t>t/a）。清管废渣的主要成分为SS和氧化铁等，还含有少量管道中的油，</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属于危险废物HW08</w:t>
      </w:r>
      <w:r>
        <w:rPr>
          <w:rFonts w:hint="default" w:ascii="Times New Roman" w:hAnsi="Times New Roman" w:cs="Times New Roman"/>
          <w:color w:val="auto"/>
          <w:spacing w:val="4"/>
          <w:sz w:val="24"/>
          <w:szCs w:val="24"/>
          <w:highlight w:val="none"/>
          <w:shd w:val="clear" w:color="auto" w:fill="auto"/>
        </w:rPr>
        <w:t>（废物代码：</w:t>
      </w:r>
      <w:r>
        <w:rPr>
          <w:rFonts w:hint="eastAsia" w:ascii="Times New Roman" w:hAnsi="Times New Roman" w:cs="Times New Roman"/>
          <w:color w:val="auto"/>
          <w:spacing w:val="4"/>
          <w:sz w:val="24"/>
          <w:szCs w:val="24"/>
          <w:highlight w:val="none"/>
          <w:shd w:val="clear" w:color="auto" w:fill="auto"/>
          <w:lang w:eastAsia="zh-CN"/>
        </w:rPr>
        <w:t>071-001-08</w:t>
      </w:r>
      <w:r>
        <w:rPr>
          <w:rFonts w:hint="default" w:ascii="Times New Roman" w:hAnsi="Times New Roman" w:cs="Times New Roman"/>
          <w:color w:val="auto"/>
          <w:spacing w:val="4"/>
          <w:sz w:val="24"/>
          <w:szCs w:val="24"/>
          <w:highlight w:val="none"/>
          <w:shd w:val="clear" w:color="auto" w:fill="auto"/>
        </w:rPr>
        <w:t>）</w:t>
      </w:r>
      <w:r>
        <w:rPr>
          <w:rFonts w:hint="default" w:ascii="Times New Roman" w:hAnsi="Times New Roman" w:cs="Times New Roman"/>
          <w:color w:val="auto"/>
          <w:sz w:val="24"/>
          <w:szCs w:val="24"/>
          <w:highlight w:val="none"/>
          <w:shd w:val="clear" w:color="auto" w:fill="auto"/>
        </w:rPr>
        <w:t>，严格</w:t>
      </w:r>
      <w:r>
        <w:rPr>
          <w:rFonts w:hint="eastAsia" w:ascii="Times New Roman" w:hAnsi="Times New Roman" w:cs="Times New Roman"/>
          <w:color w:val="auto"/>
          <w:sz w:val="24"/>
          <w:szCs w:val="24"/>
          <w:highlight w:val="none"/>
          <w:shd w:val="clear" w:color="auto" w:fill="auto"/>
          <w:lang w:eastAsia="zh-CN"/>
        </w:rPr>
        <w:t>按照</w:t>
      </w:r>
      <w:r>
        <w:rPr>
          <w:rFonts w:hint="default" w:ascii="Times New Roman" w:hAnsi="Times New Roman" w:cs="Times New Roman"/>
          <w:color w:val="auto"/>
          <w:sz w:val="24"/>
          <w:szCs w:val="24"/>
          <w:highlight w:val="none"/>
          <w:shd w:val="clear" w:color="auto" w:fill="auto"/>
        </w:rPr>
        <w:t>危险废物相关技术要求和管理规定进行收集与贮存，</w:t>
      </w:r>
      <w:r>
        <w:rPr>
          <w:rFonts w:hint="eastAsia" w:ascii="Times New Roman" w:hAnsi="Times New Roman" w:cs="Times New Roman"/>
          <w:color w:val="auto"/>
          <w:sz w:val="24"/>
          <w:szCs w:val="24"/>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4"/>
          <w:szCs w:val="24"/>
          <w:highlight w:val="none"/>
          <w:shd w:val="clear" w:color="auto" w:fill="auto"/>
        </w:rPr>
        <w:t>。</w:t>
      </w:r>
    </w:p>
    <w:p>
      <w:pPr>
        <w:keepNext w:val="0"/>
        <w:keepLines w:val="0"/>
        <w:pageBreakBefore w:val="0"/>
        <w:widowControl/>
        <w:kinsoku/>
        <w:wordWrap/>
        <w:overflowPunct/>
        <w:topLinePunct w:val="0"/>
        <w:autoSpaceDE/>
        <w:autoSpaceDN/>
        <w:bidi w:val="0"/>
        <w:adjustRightInd/>
        <w:snapToGrid/>
        <w:spacing w:line="480" w:lineRule="exact"/>
        <w:ind w:firstLine="482"/>
        <w:jc w:val="left"/>
        <w:textAlignment w:val="auto"/>
        <w:outlineLvl w:val="9"/>
        <w:rPr>
          <w:rFonts w:hint="default" w:ascii="Times New Roman" w:hAnsi="Times New Roman" w:cs="Times New Roman"/>
          <w:b/>
          <w:bCs/>
          <w:color w:val="auto"/>
          <w:sz w:val="24"/>
          <w:szCs w:val="24"/>
          <w:highlight w:val="none"/>
          <w:shd w:val="clear" w:color="auto" w:fill="auto"/>
        </w:rPr>
      </w:pPr>
      <w:bookmarkStart w:id="336" w:name="_Toc23723"/>
      <w:r>
        <w:rPr>
          <w:rFonts w:hint="default" w:ascii="Times New Roman" w:hAnsi="Times New Roman" w:cs="Times New Roman"/>
          <w:b/>
          <w:bCs/>
          <w:color w:val="auto"/>
          <w:sz w:val="24"/>
          <w:szCs w:val="24"/>
          <w:highlight w:val="none"/>
          <w:shd w:val="clear" w:color="auto" w:fill="auto"/>
        </w:rPr>
        <w:t>（</w:t>
      </w:r>
      <w:r>
        <w:rPr>
          <w:rFonts w:hint="eastAsia" w:ascii="Times New Roman" w:hAnsi="Times New Roman" w:cs="Times New Roman"/>
          <w:b/>
          <w:bCs/>
          <w:color w:val="auto"/>
          <w:sz w:val="24"/>
          <w:szCs w:val="24"/>
          <w:highlight w:val="none"/>
          <w:shd w:val="clear" w:color="auto" w:fill="auto"/>
          <w:lang w:val="en-US" w:eastAsia="zh-CN"/>
        </w:rPr>
        <w:t>3</w:t>
      </w:r>
      <w:r>
        <w:rPr>
          <w:rFonts w:hint="default" w:ascii="Times New Roman" w:hAnsi="Times New Roman" w:cs="Times New Roman"/>
          <w:b/>
          <w:bCs/>
          <w:color w:val="auto"/>
          <w:sz w:val="24"/>
          <w:szCs w:val="24"/>
          <w:highlight w:val="none"/>
          <w:shd w:val="clear" w:color="auto" w:fill="auto"/>
        </w:rPr>
        <w:t>）</w:t>
      </w:r>
      <w:r>
        <w:rPr>
          <w:rFonts w:hint="default" w:ascii="Times New Roman" w:hAnsi="Times New Roman" w:cs="Times New Roman"/>
          <w:b/>
          <w:color w:val="auto"/>
          <w:sz w:val="24"/>
          <w:szCs w:val="24"/>
          <w:highlight w:val="none"/>
          <w:shd w:val="clear" w:color="auto" w:fill="auto"/>
        </w:rPr>
        <w:t>落地原油</w:t>
      </w:r>
      <w:bookmarkEnd w:id="336"/>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
          <w:bCs/>
          <w:color w:val="auto"/>
          <w:sz w:val="24"/>
          <w:szCs w:val="24"/>
          <w:highlight w:val="none"/>
          <w:shd w:val="clear" w:color="auto" w:fill="auto"/>
        </w:rPr>
      </w:pP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落地原油主要产生于</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采油</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树的阀门、法兰</w:t>
      </w:r>
      <w:r>
        <w:rPr>
          <w:rFonts w:hint="eastAsia" w:cs="Times New Roman"/>
          <w:snapToGrid w:val="0"/>
          <w:color w:val="auto"/>
          <w:kern w:val="2"/>
          <w:sz w:val="24"/>
          <w:szCs w:val="24"/>
          <w:highlight w:val="none"/>
          <w:shd w:val="clear" w:color="auto" w:fill="auto"/>
          <w:lang w:val="en-US" w:eastAsia="zh-CN" w:bidi="ar-SA"/>
        </w:rPr>
        <w:t>等</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事故状态下的泄漏、管线破损以及井下作业产生的落地原油。按照单井落地原油产生量约0.1t/a计算，本工程运行后落地油总产生量约</w:t>
      </w:r>
      <w:r>
        <w:rPr>
          <w:rFonts w:hint="eastAsia" w:cs="Times New Roman"/>
          <w:snapToGrid w:val="0"/>
          <w:color w:val="auto"/>
          <w:kern w:val="2"/>
          <w:sz w:val="24"/>
          <w:szCs w:val="24"/>
          <w:highlight w:val="none"/>
          <w:shd w:val="clear" w:color="auto" w:fill="auto"/>
          <w:lang w:val="en-US" w:eastAsia="zh-CN" w:bidi="ar-SA"/>
        </w:rPr>
        <w:t>1.8</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t/a，属于危险废物HW08（废物代码：071-001-08）。根据</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中国石油新疆油田分公司</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环境保护管理制度规定，不允许产生落地油。因此，本工程井下作业时带罐作业，落地油100%回收，回收后的落地原油</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委托克拉玛依顺通环保科技有限责任公司或其他有危废处置资质单位接收处置</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w:t>
      </w:r>
    </w:p>
    <w:p>
      <w:pPr>
        <w:pStyle w:val="86"/>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outlineLvl w:val="9"/>
        <w:rPr>
          <w:rFonts w:hint="default" w:ascii="Times New Roman" w:hAnsi="Times New Roman" w:eastAsia="宋体" w:cs="Times New Roman"/>
          <w:b/>
          <w:bCs/>
          <w:color w:val="auto"/>
          <w:sz w:val="24"/>
          <w:szCs w:val="24"/>
          <w:highlight w:val="none"/>
          <w:shd w:val="clear" w:color="auto" w:fill="auto"/>
          <w:lang w:eastAsia="zh-CN"/>
        </w:rPr>
      </w:pPr>
      <w:bookmarkStart w:id="337" w:name="_Toc23015"/>
      <w:r>
        <w:rPr>
          <w:rFonts w:hint="default" w:ascii="Times New Roman" w:hAnsi="Times New Roman" w:cs="Times New Roman"/>
          <w:b/>
          <w:bCs/>
          <w:color w:val="auto"/>
          <w:sz w:val="24"/>
          <w:szCs w:val="24"/>
          <w:highlight w:val="none"/>
          <w:shd w:val="clear" w:color="auto" w:fill="auto"/>
        </w:rPr>
        <w:t>（</w:t>
      </w:r>
      <w:r>
        <w:rPr>
          <w:rFonts w:hint="eastAsia" w:ascii="Times New Roman" w:hAnsi="Times New Roman" w:cs="Times New Roman"/>
          <w:b/>
          <w:bCs/>
          <w:color w:val="auto"/>
          <w:sz w:val="24"/>
          <w:szCs w:val="24"/>
          <w:highlight w:val="none"/>
          <w:shd w:val="clear" w:color="auto" w:fill="auto"/>
          <w:lang w:val="en-US" w:eastAsia="zh-CN"/>
        </w:rPr>
        <w:t>4</w:t>
      </w:r>
      <w:r>
        <w:rPr>
          <w:rFonts w:hint="default" w:ascii="Times New Roman" w:hAnsi="Times New Roman" w:cs="Times New Roman"/>
          <w:b/>
          <w:bCs/>
          <w:color w:val="auto"/>
          <w:sz w:val="24"/>
          <w:szCs w:val="24"/>
          <w:highlight w:val="none"/>
          <w:shd w:val="clear" w:color="auto" w:fill="auto"/>
        </w:rPr>
        <w:t>）</w:t>
      </w:r>
      <w:r>
        <w:rPr>
          <w:rFonts w:hint="default" w:ascii="Times New Roman" w:hAnsi="Times New Roman" w:cs="Times New Roman"/>
          <w:b/>
          <w:bCs/>
          <w:color w:val="auto"/>
          <w:sz w:val="24"/>
          <w:szCs w:val="24"/>
          <w:highlight w:val="none"/>
          <w:shd w:val="clear" w:color="auto" w:fill="auto"/>
          <w:lang w:eastAsia="zh-CN"/>
        </w:rPr>
        <w:t>废防渗膜</w:t>
      </w:r>
      <w:bookmarkEnd w:id="337"/>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lang w:val="en-US" w:eastAsia="zh-CN"/>
        </w:rPr>
        <w:t>项目</w:t>
      </w:r>
      <w:r>
        <w:rPr>
          <w:rFonts w:hint="eastAsia" w:ascii="Times New Roman" w:hAnsi="Times New Roman" w:cs="Times New Roman"/>
          <w:color w:val="auto"/>
          <w:sz w:val="24"/>
          <w:szCs w:val="24"/>
          <w:highlight w:val="none"/>
          <w:shd w:val="clear" w:color="auto" w:fill="auto"/>
          <w:lang w:eastAsia="zh-CN"/>
        </w:rPr>
        <w:t>运营期</w:t>
      </w:r>
      <w:r>
        <w:rPr>
          <w:rFonts w:hint="default" w:ascii="Times New Roman" w:hAnsi="Times New Roman" w:cs="Times New Roman"/>
          <w:color w:val="auto"/>
          <w:sz w:val="24"/>
          <w:szCs w:val="24"/>
          <w:highlight w:val="none"/>
          <w:shd w:val="clear" w:color="auto" w:fill="auto"/>
        </w:rPr>
        <w:t>井下作</w:t>
      </w:r>
      <w:r>
        <w:rPr>
          <w:rFonts w:hint="default" w:ascii="Times New Roman" w:hAnsi="Times New Roman" w:eastAsia="宋体" w:cs="Times New Roman"/>
          <w:color w:val="auto"/>
          <w:sz w:val="24"/>
          <w:szCs w:val="24"/>
          <w:highlight w:val="none"/>
          <w:shd w:val="clear" w:color="auto" w:fill="auto"/>
        </w:rPr>
        <w:t>业时，</w:t>
      </w:r>
      <w:r>
        <w:rPr>
          <w:rFonts w:hint="eastAsia" w:ascii="Times New Roman" w:hAnsi="Times New Roman" w:eastAsia="宋体" w:cs="Times New Roman"/>
          <w:color w:val="auto"/>
          <w:sz w:val="24"/>
          <w:szCs w:val="24"/>
          <w:highlight w:val="none"/>
          <w:shd w:val="clear" w:color="auto" w:fill="auto"/>
          <w:lang w:val="en-US" w:eastAsia="zh-CN"/>
        </w:rPr>
        <w:t>油井</w:t>
      </w:r>
      <w:r>
        <w:rPr>
          <w:rFonts w:hint="default" w:ascii="Times New Roman" w:hAnsi="Times New Roman" w:eastAsia="宋体" w:cs="Times New Roman"/>
          <w:color w:val="auto"/>
          <w:sz w:val="24"/>
          <w:szCs w:val="24"/>
          <w:highlight w:val="none"/>
          <w:shd w:val="clear" w:color="auto" w:fill="auto"/>
        </w:rPr>
        <w:t>作业场地下方铺设防</w:t>
      </w:r>
      <w:r>
        <w:rPr>
          <w:rFonts w:hint="default" w:ascii="Times New Roman" w:hAnsi="Times New Roman" w:cs="Times New Roman"/>
          <w:color w:val="auto"/>
          <w:sz w:val="24"/>
          <w:szCs w:val="24"/>
          <w:highlight w:val="none"/>
          <w:shd w:val="clear" w:color="auto" w:fill="auto"/>
        </w:rPr>
        <w:t>渗布，产生的落地油直接落在防渗布上，目前</w:t>
      </w:r>
      <w:r>
        <w:rPr>
          <w:rFonts w:hint="eastAsia" w:ascii="Times New Roman" w:hAnsi="Times New Roman" w:cs="Times New Roman"/>
          <w:color w:val="auto"/>
          <w:sz w:val="24"/>
          <w:szCs w:val="24"/>
          <w:highlight w:val="none"/>
          <w:shd w:val="clear" w:color="auto" w:fill="auto"/>
          <w:lang w:eastAsia="zh-CN"/>
        </w:rPr>
        <w:t>油田</w:t>
      </w:r>
      <w:r>
        <w:rPr>
          <w:rFonts w:hint="default" w:ascii="Times New Roman" w:hAnsi="Times New Roman" w:cs="Times New Roman"/>
          <w:color w:val="auto"/>
          <w:sz w:val="24"/>
          <w:szCs w:val="24"/>
          <w:highlight w:val="none"/>
          <w:shd w:val="clear" w:color="auto" w:fill="auto"/>
        </w:rPr>
        <w:t>使用的防渗布均可重复利用，平均重复利用1-2年。单块防渗布重约250kg（12m</w:t>
      </w:r>
      <w:r>
        <w:rPr>
          <w:rFonts w:hint="default" w:ascii="Times New Roman" w:hAnsi="Times New Roman" w:cs="Times New Roman"/>
          <w:color w:val="auto"/>
          <w:sz w:val="24"/>
          <w:szCs w:val="24"/>
          <w:highlight w:val="none"/>
          <w:shd w:val="clear" w:color="auto" w:fill="auto"/>
          <w:lang w:val="en-US" w:eastAsia="zh-CN"/>
        </w:rPr>
        <w:t>×</w:t>
      </w:r>
      <w:r>
        <w:rPr>
          <w:rFonts w:hint="default" w:ascii="Times New Roman" w:hAnsi="Times New Roman" w:cs="Times New Roman"/>
          <w:color w:val="auto"/>
          <w:sz w:val="24"/>
          <w:szCs w:val="24"/>
          <w:highlight w:val="none"/>
          <w:shd w:val="clear" w:color="auto" w:fill="auto"/>
        </w:rPr>
        <w:t>12m），每口井作业用2块，则</w:t>
      </w:r>
      <w:r>
        <w:rPr>
          <w:rFonts w:hint="default" w:ascii="Times New Roman" w:hAnsi="Times New Roman" w:cs="Times New Roman"/>
          <w:color w:val="auto"/>
          <w:sz w:val="24"/>
          <w:szCs w:val="24"/>
          <w:highlight w:val="none"/>
          <w:shd w:val="clear" w:color="auto" w:fill="auto"/>
          <w:lang w:eastAsia="zh-CN"/>
        </w:rPr>
        <w:t>本工程</w:t>
      </w:r>
      <w:r>
        <w:rPr>
          <w:rFonts w:hint="eastAsia" w:cs="Times New Roman"/>
          <w:color w:val="auto"/>
          <w:sz w:val="24"/>
          <w:szCs w:val="24"/>
          <w:highlight w:val="none"/>
          <w:shd w:val="clear" w:color="auto" w:fill="auto"/>
          <w:lang w:val="en-US" w:eastAsia="zh-CN"/>
        </w:rPr>
        <w:t>18</w:t>
      </w:r>
      <w:r>
        <w:rPr>
          <w:rFonts w:hint="eastAsia" w:ascii="Times New Roman" w:hAnsi="Times New Roman" w:cs="Times New Roman"/>
          <w:color w:val="auto"/>
          <w:sz w:val="24"/>
          <w:szCs w:val="24"/>
          <w:highlight w:val="none"/>
          <w:shd w:val="clear" w:color="auto" w:fill="auto"/>
          <w:lang w:val="en-US" w:eastAsia="zh-CN"/>
        </w:rPr>
        <w:t>口</w:t>
      </w:r>
      <w:r>
        <w:rPr>
          <w:rFonts w:hint="default" w:ascii="Times New Roman" w:hAnsi="Times New Roman" w:cs="Times New Roman"/>
          <w:color w:val="auto"/>
          <w:sz w:val="24"/>
          <w:szCs w:val="24"/>
          <w:highlight w:val="none"/>
          <w:shd w:val="clear" w:color="auto" w:fill="auto"/>
        </w:rPr>
        <w:t>井作业1次共产生废弃防渗布约</w:t>
      </w:r>
      <w:r>
        <w:rPr>
          <w:rFonts w:hint="eastAsia" w:cs="Times New Roman"/>
          <w:color w:val="auto"/>
          <w:sz w:val="24"/>
          <w:szCs w:val="24"/>
          <w:highlight w:val="none"/>
          <w:shd w:val="clear" w:color="auto" w:fill="auto"/>
          <w:lang w:val="en-US" w:eastAsia="zh-CN"/>
        </w:rPr>
        <w:t>9</w:t>
      </w:r>
      <w:r>
        <w:rPr>
          <w:rFonts w:hint="default" w:ascii="Times New Roman" w:hAnsi="Times New Roman" w:cs="Times New Roman"/>
          <w:color w:val="auto"/>
          <w:sz w:val="24"/>
          <w:szCs w:val="24"/>
          <w:highlight w:val="none"/>
          <w:shd w:val="clear" w:color="auto" w:fill="auto"/>
        </w:rPr>
        <w:t>t，井下作业频次为2年/次，则工程产生废弃防渗材料最大量约</w:t>
      </w:r>
      <w:r>
        <w:rPr>
          <w:rFonts w:hint="eastAsia" w:cs="Times New Roman"/>
          <w:color w:val="auto"/>
          <w:sz w:val="24"/>
          <w:szCs w:val="24"/>
          <w:highlight w:val="none"/>
          <w:shd w:val="clear" w:color="auto" w:fill="auto"/>
          <w:lang w:val="en-US" w:eastAsia="zh-CN"/>
        </w:rPr>
        <w:t>4.5</w:t>
      </w:r>
      <w:r>
        <w:rPr>
          <w:rFonts w:hint="default" w:ascii="Times New Roman" w:hAnsi="Times New Roman" w:cs="Times New Roman"/>
          <w:color w:val="auto"/>
          <w:sz w:val="24"/>
          <w:szCs w:val="24"/>
          <w:highlight w:val="none"/>
          <w:shd w:val="clear" w:color="auto" w:fill="auto"/>
        </w:rPr>
        <w:t>t/a。</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b/>
          <w:bCs/>
          <w:color w:val="auto"/>
          <w:sz w:val="24"/>
          <w:szCs w:val="24"/>
          <w:highlight w:val="none"/>
          <w:shd w:val="clear" w:color="auto" w:fill="auto"/>
        </w:rPr>
      </w:pPr>
      <w:bookmarkStart w:id="338" w:name="_Hlk120634207"/>
      <w:r>
        <w:rPr>
          <w:rFonts w:hint="default" w:ascii="Times New Roman" w:hAnsi="Times New Roman" w:cs="Times New Roman"/>
          <w:color w:val="auto"/>
          <w:sz w:val="24"/>
          <w:szCs w:val="24"/>
          <w:highlight w:val="none"/>
          <w:shd w:val="clear" w:color="auto" w:fill="auto"/>
        </w:rPr>
        <w:t>作业过程中产生的含油</w:t>
      </w:r>
      <w:r>
        <w:rPr>
          <w:rFonts w:hint="default" w:ascii="Times New Roman" w:hAnsi="Times New Roman" w:cs="Times New Roman"/>
          <w:color w:val="auto"/>
          <w:sz w:val="24"/>
          <w:szCs w:val="24"/>
          <w:highlight w:val="none"/>
          <w:shd w:val="clear" w:color="auto" w:fill="auto"/>
          <w:lang w:eastAsia="zh-CN"/>
        </w:rPr>
        <w:t>废防渗膜</w:t>
      </w:r>
      <w:r>
        <w:rPr>
          <w:rFonts w:hint="default" w:ascii="Times New Roman" w:hAnsi="Times New Roman" w:cs="Times New Roman"/>
          <w:color w:val="auto"/>
          <w:sz w:val="24"/>
          <w:szCs w:val="24"/>
          <w:highlight w:val="none"/>
          <w:shd w:val="clear" w:color="auto" w:fill="auto"/>
        </w:rPr>
        <w:t>属于危险废物，为HW08类</w:t>
      </w:r>
      <w:r>
        <w:rPr>
          <w:rFonts w:hint="default" w:ascii="Times New Roman" w:hAnsi="Times New Roman" w:cs="Times New Roman"/>
          <w:snapToGrid w:val="0"/>
          <w:color w:val="auto"/>
          <w:spacing w:val="4"/>
          <w:sz w:val="24"/>
          <w:szCs w:val="24"/>
          <w:highlight w:val="none"/>
          <w:shd w:val="clear" w:color="auto" w:fill="auto"/>
        </w:rPr>
        <w:t>危险废物</w:t>
      </w:r>
      <w:r>
        <w:rPr>
          <w:rFonts w:hint="default" w:ascii="Times New Roman" w:hAnsi="Times New Roman" w:cs="Times New Roman"/>
          <w:color w:val="auto"/>
          <w:sz w:val="24"/>
          <w:szCs w:val="24"/>
          <w:highlight w:val="none"/>
          <w:shd w:val="clear" w:color="auto" w:fill="auto"/>
        </w:rPr>
        <w:t>（废物代码900-249-08其他生产、销售、使用过程中产生的废矿物油及沾染矿物油的废弃包装物）。作业施工结束后，由施工单位将废弃的含油防渗布集中收集，</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委托克拉玛依顺通环保科技有限责任公司或其他有危废处置资质单位接收处置</w:t>
      </w:r>
      <w:r>
        <w:rPr>
          <w:rFonts w:hint="default" w:ascii="Times New Roman" w:hAnsi="Times New Roman" w:cs="Times New Roman"/>
          <w:color w:val="auto"/>
          <w:sz w:val="24"/>
          <w:szCs w:val="24"/>
          <w:highlight w:val="none"/>
          <w:shd w:val="clear" w:color="auto" w:fill="auto"/>
        </w:rPr>
        <w:t>，</w:t>
      </w:r>
      <w:bookmarkEnd w:id="338"/>
      <w:r>
        <w:rPr>
          <w:rFonts w:hint="default" w:ascii="Times New Roman" w:hAnsi="Times New Roman" w:cs="Times New Roman"/>
          <w:color w:val="auto"/>
          <w:sz w:val="24"/>
          <w:szCs w:val="24"/>
          <w:highlight w:val="none"/>
          <w:shd w:val="clear" w:color="auto" w:fill="auto"/>
        </w:rPr>
        <w:t>拉运过程</w:t>
      </w:r>
      <w:r>
        <w:rPr>
          <w:rFonts w:hint="eastAsia" w:ascii="Times New Roman" w:hAnsi="Times New Roman" w:cs="Times New Roman"/>
          <w:color w:val="auto"/>
          <w:sz w:val="24"/>
          <w:szCs w:val="24"/>
          <w:highlight w:val="none"/>
          <w:shd w:val="clear" w:color="auto" w:fill="auto"/>
          <w:lang w:val="en-US" w:eastAsia="zh-CN"/>
        </w:rPr>
        <w:t>处置</w:t>
      </w:r>
      <w:r>
        <w:rPr>
          <w:rFonts w:hint="default" w:ascii="Times New Roman" w:hAnsi="Times New Roman" w:cs="Times New Roman"/>
          <w:color w:val="auto"/>
          <w:sz w:val="24"/>
          <w:szCs w:val="24"/>
          <w:highlight w:val="none"/>
          <w:shd w:val="clear" w:color="auto" w:fill="auto"/>
        </w:rPr>
        <w:t>单位应使用专车、按照指定的拉运路线。</w:t>
      </w:r>
      <w:bookmarkStart w:id="339" w:name="_Toc153"/>
    </w:p>
    <w:p>
      <w:pPr>
        <w:pStyle w:val="86"/>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outlineLvl w:val="9"/>
        <w:rPr>
          <w:rFonts w:hint="default" w:ascii="Times New Roman" w:hAnsi="Times New Roman" w:cs="Times New Roman"/>
          <w:b/>
          <w:bCs/>
          <w:color w:val="auto"/>
          <w:sz w:val="24"/>
          <w:szCs w:val="24"/>
          <w:highlight w:val="none"/>
          <w:shd w:val="clear" w:color="auto" w:fill="auto"/>
        </w:rPr>
      </w:pPr>
      <w:r>
        <w:rPr>
          <w:rFonts w:hint="default" w:ascii="Times New Roman" w:hAnsi="Times New Roman" w:cs="Times New Roman"/>
          <w:b/>
          <w:bCs/>
          <w:color w:val="auto"/>
          <w:sz w:val="24"/>
          <w:szCs w:val="24"/>
          <w:highlight w:val="none"/>
          <w:shd w:val="clear" w:color="auto" w:fill="auto"/>
        </w:rPr>
        <w:t>（</w:t>
      </w:r>
      <w:r>
        <w:rPr>
          <w:rFonts w:hint="eastAsia" w:ascii="Times New Roman" w:hAnsi="Times New Roman" w:cs="Times New Roman"/>
          <w:b/>
          <w:bCs/>
          <w:color w:val="auto"/>
          <w:sz w:val="24"/>
          <w:szCs w:val="24"/>
          <w:highlight w:val="none"/>
          <w:shd w:val="clear" w:color="auto" w:fill="auto"/>
          <w:lang w:val="en-US" w:eastAsia="zh-CN"/>
        </w:rPr>
        <w:t>5</w:t>
      </w:r>
      <w:r>
        <w:rPr>
          <w:rFonts w:hint="default" w:ascii="Times New Roman" w:hAnsi="Times New Roman" w:cs="Times New Roman"/>
          <w:b/>
          <w:bCs/>
          <w:color w:val="auto"/>
          <w:sz w:val="24"/>
          <w:szCs w:val="24"/>
          <w:highlight w:val="none"/>
          <w:shd w:val="clear" w:color="auto" w:fill="auto"/>
        </w:rPr>
        <w:t>）</w:t>
      </w:r>
      <w:r>
        <w:rPr>
          <w:rFonts w:hint="default" w:ascii="Times New Roman" w:hAnsi="Times New Roman" w:eastAsia="宋体" w:cs="Times New Roman"/>
          <w:b/>
          <w:bCs/>
          <w:color w:val="auto"/>
          <w:sz w:val="24"/>
          <w:szCs w:val="24"/>
          <w:highlight w:val="none"/>
          <w:shd w:val="clear" w:color="auto" w:fill="auto"/>
          <w:lang w:eastAsia="zh-CN"/>
        </w:rPr>
        <w:t>废润滑油</w:t>
      </w:r>
      <w:bookmarkEnd w:id="339"/>
    </w:p>
    <w:p>
      <w:pPr>
        <w:pStyle w:val="86"/>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b/>
          <w:bCs/>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lang w:eastAsia="zh-CN"/>
        </w:rPr>
        <w:t>本工程废润滑油主要是井下作业和</w:t>
      </w:r>
      <w:r>
        <w:rPr>
          <w:rFonts w:hint="eastAsia" w:ascii="Times New Roman" w:hAnsi="Times New Roman" w:cs="Times New Roman"/>
          <w:color w:val="auto"/>
          <w:sz w:val="24"/>
          <w:szCs w:val="24"/>
          <w:highlight w:val="none"/>
          <w:shd w:val="clear" w:color="auto" w:fill="auto"/>
          <w:lang w:eastAsia="zh-CN"/>
        </w:rPr>
        <w:t>采油</w:t>
      </w:r>
      <w:r>
        <w:rPr>
          <w:rFonts w:hint="default" w:ascii="Times New Roman" w:hAnsi="Times New Roman" w:cs="Times New Roman"/>
          <w:color w:val="auto"/>
          <w:sz w:val="24"/>
          <w:szCs w:val="24"/>
          <w:highlight w:val="none"/>
          <w:shd w:val="clear" w:color="auto" w:fill="auto"/>
          <w:lang w:eastAsia="zh-CN"/>
        </w:rPr>
        <w:t>过程中机械设备维修中产生的，每口井每次产生废润滑油约0.05t，本工程共部署</w:t>
      </w:r>
      <w:r>
        <w:rPr>
          <w:rFonts w:hint="eastAsia" w:cs="Times New Roman"/>
          <w:color w:val="auto"/>
          <w:sz w:val="24"/>
          <w:szCs w:val="24"/>
          <w:highlight w:val="none"/>
          <w:shd w:val="clear" w:color="auto" w:fill="auto"/>
          <w:lang w:val="en-US" w:eastAsia="zh-CN"/>
        </w:rPr>
        <w:t>18</w:t>
      </w:r>
      <w:r>
        <w:rPr>
          <w:rFonts w:hint="eastAsia" w:ascii="Times New Roman" w:hAnsi="Times New Roman" w:cs="Times New Roman"/>
          <w:color w:val="auto"/>
          <w:sz w:val="24"/>
          <w:szCs w:val="24"/>
          <w:highlight w:val="none"/>
          <w:shd w:val="clear" w:color="auto" w:fill="auto"/>
          <w:lang w:val="en-US" w:eastAsia="zh-CN"/>
        </w:rPr>
        <w:t>口</w:t>
      </w:r>
      <w:r>
        <w:rPr>
          <w:rFonts w:hint="default" w:ascii="Times New Roman" w:hAnsi="Times New Roman" w:cs="Times New Roman"/>
          <w:color w:val="auto"/>
          <w:sz w:val="24"/>
          <w:szCs w:val="24"/>
          <w:highlight w:val="none"/>
          <w:shd w:val="clear" w:color="auto" w:fill="auto"/>
          <w:lang w:eastAsia="zh-CN"/>
        </w:rPr>
        <w:t>井，每次产生废润滑油约</w:t>
      </w:r>
      <w:r>
        <w:rPr>
          <w:rFonts w:hint="eastAsia" w:cs="Times New Roman"/>
          <w:color w:val="auto"/>
          <w:sz w:val="24"/>
          <w:szCs w:val="24"/>
          <w:highlight w:val="none"/>
          <w:shd w:val="clear" w:color="auto" w:fill="auto"/>
          <w:lang w:val="en-US" w:eastAsia="zh-CN"/>
        </w:rPr>
        <w:t>0.9</w:t>
      </w:r>
      <w:r>
        <w:rPr>
          <w:rFonts w:hint="default" w:ascii="Times New Roman" w:hAnsi="Times New Roman" w:cs="Times New Roman"/>
          <w:color w:val="auto"/>
          <w:sz w:val="24"/>
          <w:szCs w:val="24"/>
          <w:highlight w:val="none"/>
          <w:shd w:val="clear" w:color="auto" w:fill="auto"/>
          <w:lang w:eastAsia="zh-CN"/>
        </w:rPr>
        <w:t>t，其危险废物类别为</w:t>
      </w:r>
      <w:r>
        <w:rPr>
          <w:rFonts w:hint="default" w:ascii="Times New Roman" w:hAnsi="Times New Roman" w:cs="Times New Roman"/>
          <w:color w:val="auto"/>
          <w:sz w:val="24"/>
          <w:szCs w:val="24"/>
          <w:highlight w:val="none"/>
          <w:shd w:val="clear" w:color="auto" w:fill="auto"/>
        </w:rPr>
        <w:t>HW08类</w:t>
      </w:r>
      <w:r>
        <w:rPr>
          <w:rFonts w:hint="default" w:ascii="Times New Roman" w:hAnsi="Times New Roman" w:cs="Times New Roman"/>
          <w:snapToGrid w:val="0"/>
          <w:color w:val="auto"/>
          <w:spacing w:val="4"/>
          <w:sz w:val="24"/>
          <w:szCs w:val="24"/>
          <w:highlight w:val="none"/>
          <w:shd w:val="clear" w:color="auto" w:fill="auto"/>
        </w:rPr>
        <w:t>危险废物</w:t>
      </w:r>
      <w:r>
        <w:rPr>
          <w:rFonts w:hint="default" w:ascii="Times New Roman" w:hAnsi="Times New Roman" w:cs="Times New Roman"/>
          <w:color w:val="auto"/>
          <w:sz w:val="24"/>
          <w:szCs w:val="24"/>
          <w:highlight w:val="none"/>
          <w:shd w:val="clear" w:color="auto" w:fill="auto"/>
        </w:rPr>
        <w:t>（废物代码900-2</w:t>
      </w:r>
      <w:r>
        <w:rPr>
          <w:rFonts w:hint="eastAsia" w:ascii="Times New Roman" w:hAnsi="Times New Roman" w:cs="Times New Roman"/>
          <w:color w:val="auto"/>
          <w:sz w:val="24"/>
          <w:szCs w:val="24"/>
          <w:highlight w:val="none"/>
          <w:shd w:val="clear" w:color="auto" w:fill="auto"/>
          <w:lang w:val="en-US" w:eastAsia="zh-CN"/>
        </w:rPr>
        <w:t>14</w:t>
      </w:r>
      <w:r>
        <w:rPr>
          <w:rFonts w:hint="default" w:ascii="Times New Roman" w:hAnsi="Times New Roman" w:cs="Times New Roman"/>
          <w:color w:val="auto"/>
          <w:sz w:val="24"/>
          <w:szCs w:val="24"/>
          <w:highlight w:val="none"/>
          <w:shd w:val="clear" w:color="auto" w:fill="auto"/>
        </w:rPr>
        <w:t>-08</w:t>
      </w:r>
      <w:r>
        <w:rPr>
          <w:rFonts w:hint="eastAsia" w:ascii="Times New Roman" w:hAnsi="Times New Roman" w:cs="Times New Roman"/>
          <w:color w:val="auto"/>
          <w:sz w:val="24"/>
          <w:szCs w:val="24"/>
          <w:highlight w:val="none"/>
          <w:shd w:val="clear" w:color="auto" w:fill="auto"/>
          <w:lang w:val="en-US" w:eastAsia="zh-CN"/>
        </w:rPr>
        <w:t>车辆、轮船及其它机械维修过程中产生的废发动机油、制动器油、自动变速器油、齿轮油等废润滑油</w:t>
      </w:r>
      <w:r>
        <w:rPr>
          <w:rFonts w:hint="default" w:ascii="Times New Roman" w:hAnsi="Times New Roman" w:cs="Times New Roman"/>
          <w:color w:val="auto"/>
          <w:sz w:val="24"/>
          <w:szCs w:val="24"/>
          <w:highlight w:val="none"/>
          <w:shd w:val="clear" w:color="auto" w:fill="auto"/>
        </w:rPr>
        <w:t>）</w:t>
      </w:r>
      <w:r>
        <w:rPr>
          <w:rFonts w:hint="default" w:ascii="Times New Roman" w:hAnsi="Times New Roman" w:cs="Times New Roman"/>
          <w:color w:val="auto"/>
          <w:sz w:val="24"/>
          <w:szCs w:val="24"/>
          <w:highlight w:val="none"/>
          <w:shd w:val="clear" w:color="auto" w:fill="auto"/>
          <w:lang w:eastAsia="zh-CN"/>
        </w:rPr>
        <w:t>，</w:t>
      </w:r>
      <w:r>
        <w:rPr>
          <w:rFonts w:hint="eastAsia" w:ascii="Times New Roman" w:hAnsi="Times New Roman" w:eastAsia="宋体" w:cs="Times New Roman"/>
          <w:snapToGrid w:val="0"/>
          <w:color w:val="auto"/>
          <w:kern w:val="2"/>
          <w:sz w:val="24"/>
          <w:szCs w:val="24"/>
          <w:highlight w:val="none"/>
          <w:shd w:val="clear" w:color="auto" w:fill="auto"/>
          <w:lang w:val="en-US" w:eastAsia="zh-CN" w:bidi="ar-SA"/>
        </w:rPr>
        <w:t>委托克拉玛依顺通环保科技有限责任公司或其他有危废处置资质单位接收处置</w:t>
      </w:r>
      <w:r>
        <w:rPr>
          <w:rFonts w:hint="default" w:ascii="Times New Roman" w:hAnsi="Times New Roman" w:cs="Times New Roman"/>
          <w:color w:val="auto"/>
          <w:sz w:val="24"/>
          <w:szCs w:val="24"/>
          <w:highlight w:val="none"/>
          <w:shd w:val="clear" w:color="auto" w:fill="auto"/>
        </w:rPr>
        <w:t>。</w:t>
      </w:r>
    </w:p>
    <w:p>
      <w:pPr>
        <w:pStyle w:val="86"/>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outlineLvl w:val="9"/>
        <w:rPr>
          <w:rFonts w:hint="eastAsia" w:ascii="Times New Roman" w:hAnsi="Times New Roman" w:eastAsia="宋体" w:cs="Times New Roman"/>
          <w:b/>
          <w:bCs/>
          <w:color w:val="auto"/>
          <w:sz w:val="24"/>
          <w:szCs w:val="24"/>
          <w:highlight w:val="none"/>
          <w:shd w:val="clear" w:color="auto" w:fill="auto"/>
          <w:lang w:eastAsia="zh-CN"/>
        </w:rPr>
      </w:pPr>
      <w:bookmarkStart w:id="340" w:name="_Toc8065"/>
      <w:r>
        <w:rPr>
          <w:rFonts w:hint="eastAsia" w:cs="Times New Roman"/>
          <w:b/>
          <w:bCs/>
          <w:color w:val="auto"/>
          <w:sz w:val="24"/>
          <w:szCs w:val="24"/>
          <w:highlight w:val="none"/>
          <w:shd w:val="clear" w:color="auto" w:fill="auto"/>
          <w:lang w:eastAsia="zh-CN"/>
        </w:rPr>
        <w:t>（</w:t>
      </w:r>
      <w:r>
        <w:rPr>
          <w:rFonts w:hint="eastAsia" w:cs="Times New Roman"/>
          <w:b/>
          <w:bCs/>
          <w:color w:val="auto"/>
          <w:sz w:val="24"/>
          <w:szCs w:val="24"/>
          <w:highlight w:val="none"/>
          <w:shd w:val="clear" w:color="auto" w:fill="auto"/>
          <w:lang w:val="en-US" w:eastAsia="zh-CN"/>
        </w:rPr>
        <w:t>6</w:t>
      </w:r>
      <w:r>
        <w:rPr>
          <w:rFonts w:hint="eastAsia" w:cs="Times New Roman"/>
          <w:b/>
          <w:bCs/>
          <w:color w:val="auto"/>
          <w:sz w:val="24"/>
          <w:szCs w:val="24"/>
          <w:highlight w:val="none"/>
          <w:shd w:val="clear" w:color="auto" w:fill="auto"/>
          <w:lang w:eastAsia="zh-CN"/>
        </w:rPr>
        <w:t>）清罐底泥</w:t>
      </w:r>
    </w:p>
    <w:p>
      <w:pPr>
        <w:pStyle w:val="86"/>
        <w:keepNext w:val="0"/>
        <w:keepLines w:val="0"/>
        <w:pageBreakBefore w:val="0"/>
        <w:widowControl/>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b/>
          <w:bCs/>
          <w:color w:val="auto"/>
          <w:sz w:val="24"/>
          <w:szCs w:val="24"/>
          <w:highlight w:val="none"/>
          <w:shd w:val="clear" w:color="auto" w:fill="auto"/>
        </w:rPr>
      </w:pPr>
      <w:r>
        <w:rPr>
          <w:rFonts w:hint="default" w:ascii="Times New Roman" w:hAnsi="Times New Roman" w:eastAsia="宋体" w:cs="Times New Roman"/>
          <w:color w:val="auto"/>
          <w:sz w:val="24"/>
          <w:szCs w:val="24"/>
          <w:highlight w:val="none"/>
          <w:shd w:val="clear" w:color="auto" w:fill="auto"/>
          <w:lang w:eastAsia="zh-CN"/>
        </w:rPr>
        <w:t>本工程</w:t>
      </w:r>
      <w:r>
        <w:rPr>
          <w:rFonts w:hint="eastAsia" w:cs="Times New Roman"/>
          <w:color w:val="auto"/>
          <w:sz w:val="24"/>
          <w:szCs w:val="24"/>
          <w:highlight w:val="none"/>
          <w:shd w:val="clear" w:color="auto" w:fill="auto"/>
          <w:lang w:val="en-US" w:eastAsia="zh-CN"/>
        </w:rPr>
        <w:t>8座单井拉油井场内储罐和</w:t>
      </w:r>
      <w:r>
        <w:rPr>
          <w:rFonts w:hint="eastAsia" w:ascii="Times New Roman" w:hAnsi="Times New Roman" w:eastAsia="宋体" w:cs="Times New Roman"/>
          <w:color w:val="auto"/>
          <w:sz w:val="24"/>
          <w:szCs w:val="24"/>
          <w:highlight w:val="none"/>
          <w:shd w:val="clear" w:color="auto" w:fill="auto"/>
          <w:lang w:val="en-US" w:eastAsia="zh-CN"/>
        </w:rPr>
        <w:t>集中拉油站内拉油</w:t>
      </w:r>
      <w:r>
        <w:rPr>
          <w:rFonts w:hint="default" w:ascii="Times New Roman" w:hAnsi="Times New Roman" w:eastAsia="宋体" w:cs="Times New Roman"/>
          <w:color w:val="auto"/>
          <w:sz w:val="24"/>
          <w:szCs w:val="24"/>
          <w:highlight w:val="none"/>
          <w:shd w:val="clear" w:color="auto" w:fill="auto"/>
          <w:lang w:eastAsia="zh-CN"/>
        </w:rPr>
        <w:t>罐等会定期产生一定量的油泥，预计年回收油泥0.1t。含油污泥属危险废物，收集后分类储存至作业现场危险废物贮存点后，委托有危废处置资质单位接收处置</w:t>
      </w:r>
      <w:r>
        <w:rPr>
          <w:rFonts w:hint="eastAsia" w:ascii="Times New Roman" w:hAnsi="Times New Roman" w:eastAsia="宋体" w:cs="Times New Roman"/>
          <w:color w:val="auto"/>
          <w:sz w:val="24"/>
          <w:szCs w:val="24"/>
          <w:highlight w:val="none"/>
          <w:shd w:val="clear" w:color="auto" w:fill="auto"/>
          <w:lang w:eastAsia="zh-CN"/>
        </w:rPr>
        <w:t>。</w:t>
      </w:r>
    </w:p>
    <w:bookmarkEnd w:id="334"/>
    <w:p>
      <w:pPr>
        <w:pStyle w:val="86"/>
        <w:keepNext w:val="0"/>
        <w:keepLines w:val="0"/>
        <w:pageBreakBefore w:val="0"/>
        <w:widowControl/>
        <w:kinsoku/>
        <w:wordWrap/>
        <w:overflowPunct/>
        <w:topLinePunct w:val="0"/>
        <w:autoSpaceDE/>
        <w:autoSpaceDN/>
        <w:bidi w:val="0"/>
        <w:adjustRightInd/>
        <w:snapToGrid/>
        <w:spacing w:line="480" w:lineRule="exact"/>
        <w:ind w:firstLine="482" w:firstLineChars="200"/>
        <w:jc w:val="left"/>
        <w:textAlignment w:val="auto"/>
        <w:outlineLvl w:val="9"/>
        <w:rPr>
          <w:rFonts w:hint="default" w:ascii="Times New Roman" w:hAnsi="Times New Roman" w:cs="Times New Roman"/>
          <w:b/>
          <w:bCs/>
          <w:color w:val="auto"/>
          <w:sz w:val="24"/>
          <w:szCs w:val="24"/>
          <w:highlight w:val="none"/>
          <w:shd w:val="clear" w:color="auto" w:fill="auto"/>
        </w:rPr>
      </w:pPr>
      <w:r>
        <w:rPr>
          <w:rFonts w:hint="default" w:ascii="Times New Roman" w:hAnsi="Times New Roman" w:cs="Times New Roman"/>
          <w:b/>
          <w:bCs/>
          <w:color w:val="auto"/>
          <w:sz w:val="24"/>
          <w:szCs w:val="24"/>
          <w:highlight w:val="none"/>
          <w:shd w:val="clear" w:color="auto" w:fill="auto"/>
        </w:rPr>
        <w:t>（</w:t>
      </w:r>
      <w:r>
        <w:rPr>
          <w:rFonts w:hint="eastAsia" w:cs="Times New Roman"/>
          <w:b/>
          <w:bCs/>
          <w:color w:val="auto"/>
          <w:sz w:val="24"/>
          <w:szCs w:val="24"/>
          <w:highlight w:val="none"/>
          <w:shd w:val="clear" w:color="auto" w:fill="auto"/>
          <w:lang w:val="en-US" w:eastAsia="zh-CN"/>
        </w:rPr>
        <w:t>7</w:t>
      </w:r>
      <w:r>
        <w:rPr>
          <w:rFonts w:hint="default" w:ascii="Times New Roman" w:hAnsi="Times New Roman" w:cs="Times New Roman"/>
          <w:b/>
          <w:bCs/>
          <w:color w:val="auto"/>
          <w:sz w:val="24"/>
          <w:szCs w:val="24"/>
          <w:highlight w:val="none"/>
          <w:shd w:val="clear" w:color="auto" w:fill="auto"/>
        </w:rPr>
        <w:t>）生活垃圾</w:t>
      </w:r>
      <w:bookmarkEnd w:id="340"/>
    </w:p>
    <w:p>
      <w:pPr>
        <w:pStyle w:val="86"/>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运营期工作人员由</w:t>
      </w:r>
      <w:r>
        <w:rPr>
          <w:rFonts w:hint="eastAsia" w:ascii="Times New Roman" w:hAnsi="Times New Roman" w:cs="Times New Roman"/>
          <w:color w:val="auto"/>
          <w:sz w:val="24"/>
          <w:szCs w:val="24"/>
          <w:highlight w:val="none"/>
          <w:shd w:val="clear" w:color="auto" w:fill="auto"/>
          <w:lang w:eastAsia="zh-CN"/>
        </w:rPr>
        <w:t>风城油田作业区</w:t>
      </w:r>
      <w:r>
        <w:rPr>
          <w:rFonts w:hint="default" w:ascii="Times New Roman" w:hAnsi="Times New Roman" w:cs="Times New Roman"/>
          <w:color w:val="auto"/>
          <w:sz w:val="24"/>
          <w:szCs w:val="24"/>
          <w:highlight w:val="none"/>
          <w:shd w:val="clear" w:color="auto" w:fill="auto"/>
        </w:rPr>
        <w:t>内部调剂解决，故不新增生活垃圾。</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黑体" w:cs="Times New Roman"/>
          <w:b/>
          <w:bCs/>
          <w:color w:val="auto"/>
          <w:szCs w:val="18"/>
          <w:highlight w:val="none"/>
          <w:shd w:val="clear" w:color="auto" w:fill="auto"/>
        </w:rPr>
      </w:pPr>
      <w:r>
        <w:rPr>
          <w:rFonts w:hint="default" w:ascii="Times New Roman" w:hAnsi="Times New Roman" w:eastAsia="宋体" w:cs="Times New Roman"/>
          <w:color w:val="auto"/>
          <w:sz w:val="24"/>
          <w:szCs w:val="24"/>
          <w:highlight w:val="none"/>
          <w:shd w:val="clear" w:color="auto" w:fill="auto"/>
          <w:lang w:eastAsia="zh-CN"/>
        </w:rPr>
        <w:t>本工程</w:t>
      </w:r>
      <w:r>
        <w:rPr>
          <w:rFonts w:hint="default" w:ascii="Times New Roman" w:hAnsi="Times New Roman" w:eastAsia="宋体" w:cs="Times New Roman"/>
          <w:color w:val="auto"/>
          <w:sz w:val="24"/>
          <w:szCs w:val="24"/>
          <w:highlight w:val="none"/>
          <w:shd w:val="clear" w:color="auto" w:fill="auto"/>
        </w:rPr>
        <w:t>运营期危险废物产排污统计表详见表3.</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w:t>
      </w:r>
      <w:r>
        <w:rPr>
          <w:rFonts w:hint="eastAsia" w:cs="Times New Roman"/>
          <w:color w:val="auto"/>
          <w:sz w:val="24"/>
          <w:szCs w:val="24"/>
          <w:highlight w:val="none"/>
          <w:shd w:val="clear" w:color="auto" w:fill="auto"/>
          <w:lang w:val="en-US" w:eastAsia="zh-CN"/>
        </w:rPr>
        <w:t>12</w:t>
      </w:r>
      <w:r>
        <w:rPr>
          <w:rFonts w:hint="default" w:ascii="Times New Roman" w:hAnsi="Times New Roman" w:eastAsia="宋体" w:cs="Times New Roman"/>
          <w:color w:val="auto"/>
          <w:sz w:val="24"/>
          <w:szCs w:val="24"/>
          <w:highlight w:val="none"/>
          <w:shd w:val="clear" w:color="auto" w:fill="auto"/>
        </w:rPr>
        <w:t>。</w:t>
      </w:r>
    </w:p>
    <w:p>
      <w:pPr>
        <w:pStyle w:val="92"/>
        <w:jc w:val="center"/>
        <w:rPr>
          <w:rFonts w:hint="default" w:ascii="Times New Roman" w:hAnsi="Times New Roman" w:eastAsia="黑体" w:cs="Times New Roman"/>
          <w:b/>
          <w:bCs/>
          <w:color w:val="auto"/>
          <w:szCs w:val="18"/>
          <w:highlight w:val="none"/>
          <w:shd w:val="clear" w:color="auto" w:fill="auto"/>
        </w:rPr>
      </w:pPr>
      <w:r>
        <w:rPr>
          <w:rFonts w:hint="default" w:ascii="Times New Roman" w:hAnsi="Times New Roman" w:eastAsia="黑体" w:cs="Times New Roman"/>
          <w:b/>
          <w:bCs/>
          <w:color w:val="auto"/>
          <w:szCs w:val="18"/>
          <w:highlight w:val="none"/>
          <w:shd w:val="clear" w:color="auto" w:fill="auto"/>
        </w:rPr>
        <w:t>表3.</w:t>
      </w:r>
      <w:r>
        <w:rPr>
          <w:rFonts w:hint="eastAsia" w:cs="Times New Roman"/>
          <w:b/>
          <w:bCs/>
          <w:color w:val="auto"/>
          <w:szCs w:val="18"/>
          <w:highlight w:val="none"/>
          <w:shd w:val="clear" w:color="auto" w:fill="auto"/>
          <w:lang w:val="en-US" w:eastAsia="zh-CN"/>
        </w:rPr>
        <w:t>3</w:t>
      </w:r>
      <w:r>
        <w:rPr>
          <w:rFonts w:hint="default" w:ascii="Times New Roman" w:hAnsi="Times New Roman" w:eastAsia="黑体" w:cs="Times New Roman"/>
          <w:b/>
          <w:bCs/>
          <w:color w:val="auto"/>
          <w:szCs w:val="18"/>
          <w:highlight w:val="none"/>
          <w:shd w:val="clear" w:color="auto" w:fill="auto"/>
        </w:rPr>
        <w:t>-1</w:t>
      </w:r>
      <w:r>
        <w:rPr>
          <w:rFonts w:hint="eastAsia" w:cs="Times New Roman"/>
          <w:b/>
          <w:bCs/>
          <w:color w:val="auto"/>
          <w:szCs w:val="18"/>
          <w:highlight w:val="none"/>
          <w:shd w:val="clear" w:color="auto" w:fill="auto"/>
          <w:lang w:val="en-US" w:eastAsia="zh-CN"/>
        </w:rPr>
        <w:t>2</w:t>
      </w:r>
      <w:r>
        <w:rPr>
          <w:rFonts w:hint="default" w:ascii="Times New Roman" w:hAnsi="Times New Roman" w:eastAsia="黑体" w:cs="Times New Roman"/>
          <w:b/>
          <w:bCs/>
          <w:color w:val="auto"/>
          <w:szCs w:val="18"/>
          <w:highlight w:val="none"/>
          <w:shd w:val="clear" w:color="auto" w:fill="auto"/>
        </w:rPr>
        <w:t>运营期</w:t>
      </w:r>
      <w:r>
        <w:rPr>
          <w:rFonts w:hint="default" w:ascii="Times New Roman" w:hAnsi="Times New Roman" w:cs="Times New Roman"/>
          <w:b/>
          <w:bCs/>
          <w:color w:val="auto"/>
          <w:szCs w:val="18"/>
          <w:highlight w:val="none"/>
          <w:shd w:val="clear" w:color="auto" w:fill="auto"/>
          <w:lang w:val="en-US" w:eastAsia="zh-CN"/>
        </w:rPr>
        <w:t>固体</w:t>
      </w:r>
      <w:r>
        <w:rPr>
          <w:rFonts w:hint="default" w:ascii="Times New Roman" w:hAnsi="Times New Roman" w:eastAsia="黑体" w:cs="Times New Roman"/>
          <w:b/>
          <w:bCs/>
          <w:color w:val="auto"/>
          <w:szCs w:val="18"/>
          <w:highlight w:val="none"/>
          <w:shd w:val="clear" w:color="auto" w:fill="auto"/>
        </w:rPr>
        <w:t>废物产生、处置及防治措施情况一览表</w:t>
      </w:r>
    </w:p>
    <w:tbl>
      <w:tblPr>
        <w:tblStyle w:val="34"/>
        <w:tblW w:w="915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45"/>
        <w:gridCol w:w="829"/>
        <w:gridCol w:w="696"/>
        <w:gridCol w:w="1058"/>
        <w:gridCol w:w="994"/>
        <w:gridCol w:w="1007"/>
        <w:gridCol w:w="546"/>
        <w:gridCol w:w="795"/>
        <w:gridCol w:w="624"/>
        <w:gridCol w:w="548"/>
        <w:gridCol w:w="564"/>
        <w:gridCol w:w="114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4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序号</w:t>
            </w:r>
          </w:p>
        </w:tc>
        <w:tc>
          <w:tcPr>
            <w:tcW w:w="829"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危险废物名称</w:t>
            </w:r>
          </w:p>
        </w:tc>
        <w:tc>
          <w:tcPr>
            <w:tcW w:w="69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废物</w:t>
            </w:r>
          </w:p>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类别</w:t>
            </w:r>
          </w:p>
        </w:tc>
        <w:tc>
          <w:tcPr>
            <w:tcW w:w="105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废物代码</w:t>
            </w:r>
          </w:p>
        </w:tc>
        <w:tc>
          <w:tcPr>
            <w:tcW w:w="99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产生量</w:t>
            </w:r>
          </w:p>
        </w:tc>
        <w:tc>
          <w:tcPr>
            <w:tcW w:w="1007"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产生工序及装置</w:t>
            </w:r>
          </w:p>
        </w:tc>
        <w:tc>
          <w:tcPr>
            <w:tcW w:w="54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形态</w:t>
            </w:r>
          </w:p>
        </w:tc>
        <w:tc>
          <w:tcPr>
            <w:tcW w:w="79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主要</w:t>
            </w:r>
          </w:p>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成分</w:t>
            </w:r>
          </w:p>
        </w:tc>
        <w:tc>
          <w:tcPr>
            <w:tcW w:w="62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有害</w:t>
            </w:r>
          </w:p>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成分</w:t>
            </w:r>
          </w:p>
        </w:tc>
        <w:tc>
          <w:tcPr>
            <w:tcW w:w="54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产废周期</w:t>
            </w:r>
          </w:p>
        </w:tc>
        <w:tc>
          <w:tcPr>
            <w:tcW w:w="56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危废特性</w:t>
            </w:r>
          </w:p>
        </w:tc>
        <w:tc>
          <w:tcPr>
            <w:tcW w:w="114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1</w:t>
            </w:r>
          </w:p>
        </w:tc>
        <w:tc>
          <w:tcPr>
            <w:tcW w:w="829"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油泥（砂）</w:t>
            </w:r>
          </w:p>
        </w:tc>
        <w:tc>
          <w:tcPr>
            <w:tcW w:w="69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071-001-08</w:t>
            </w:r>
          </w:p>
        </w:tc>
        <w:tc>
          <w:tcPr>
            <w:tcW w:w="99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ascii="Times New Roman" w:hAnsi="Times New Roman" w:cs="Times New Roman"/>
                <w:color w:val="auto"/>
                <w:spacing w:val="0"/>
                <w:kern w:val="2"/>
                <w:sz w:val="21"/>
                <w:szCs w:val="21"/>
                <w:highlight w:val="none"/>
                <w:shd w:val="clear" w:color="auto" w:fill="auto"/>
                <w:lang w:val="en-US" w:eastAsia="zh-CN"/>
              </w:rPr>
              <w:t>1406.78</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处理站储罐底泥</w:t>
            </w:r>
          </w:p>
        </w:tc>
        <w:tc>
          <w:tcPr>
            <w:tcW w:w="54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固态</w:t>
            </w:r>
          </w:p>
        </w:tc>
        <w:tc>
          <w:tcPr>
            <w:tcW w:w="79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油类物质、泥砂</w:t>
            </w:r>
          </w:p>
        </w:tc>
        <w:tc>
          <w:tcPr>
            <w:tcW w:w="62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w:t>
            </w:r>
          </w:p>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物质</w:t>
            </w:r>
          </w:p>
        </w:tc>
        <w:tc>
          <w:tcPr>
            <w:tcW w:w="54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restart"/>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密闭桶装收集后，</w:t>
            </w:r>
            <w:r>
              <w:rPr>
                <w:rFonts w:hint="eastAsia" w:ascii="Times New Roman" w:hAnsi="Times New Roman" w:eastAsia="宋体" w:cs="Times New Roman"/>
                <w:color w:val="auto"/>
                <w:spacing w:val="0"/>
                <w:kern w:val="2"/>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eastAsia="宋体" w:cs="Times New Roman"/>
                <w:color w:val="auto"/>
                <w:spacing w:val="0"/>
                <w:kern w:val="2"/>
                <w:sz w:val="21"/>
                <w:szCs w:val="21"/>
                <w:highlight w:val="none"/>
                <w:shd w:val="clear" w:color="auto" w:fil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2</w:t>
            </w:r>
          </w:p>
        </w:tc>
        <w:tc>
          <w:tcPr>
            <w:tcW w:w="829"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清管废渣</w:t>
            </w:r>
          </w:p>
        </w:tc>
        <w:tc>
          <w:tcPr>
            <w:tcW w:w="69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071-001-08</w:t>
            </w:r>
          </w:p>
        </w:tc>
        <w:tc>
          <w:tcPr>
            <w:tcW w:w="99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cs="Times New Roman"/>
                <w:color w:val="auto"/>
                <w:spacing w:val="0"/>
                <w:kern w:val="2"/>
                <w:sz w:val="21"/>
                <w:szCs w:val="21"/>
                <w:highlight w:val="none"/>
                <w:shd w:val="clear" w:color="auto" w:fill="auto"/>
                <w:lang w:val="en-US" w:eastAsia="zh-CN"/>
              </w:rPr>
              <w:t>0.02</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定期清管</w:t>
            </w:r>
          </w:p>
        </w:tc>
        <w:tc>
          <w:tcPr>
            <w:tcW w:w="54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固态</w:t>
            </w:r>
          </w:p>
        </w:tc>
        <w:tc>
          <w:tcPr>
            <w:tcW w:w="79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油类物质、铁锈</w:t>
            </w:r>
          </w:p>
        </w:tc>
        <w:tc>
          <w:tcPr>
            <w:tcW w:w="62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w:t>
            </w:r>
          </w:p>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物质</w:t>
            </w:r>
          </w:p>
        </w:tc>
        <w:tc>
          <w:tcPr>
            <w:tcW w:w="54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continue"/>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3</w:t>
            </w:r>
          </w:p>
        </w:tc>
        <w:tc>
          <w:tcPr>
            <w:tcW w:w="829"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废防渗膜</w:t>
            </w:r>
          </w:p>
        </w:tc>
        <w:tc>
          <w:tcPr>
            <w:tcW w:w="69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900-249-08</w:t>
            </w:r>
          </w:p>
        </w:tc>
        <w:tc>
          <w:tcPr>
            <w:tcW w:w="99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cs="Times New Roman"/>
                <w:color w:val="auto"/>
                <w:spacing w:val="0"/>
                <w:kern w:val="2"/>
                <w:sz w:val="21"/>
                <w:szCs w:val="21"/>
                <w:highlight w:val="none"/>
                <w:shd w:val="clear" w:color="auto" w:fill="auto"/>
                <w:lang w:val="en-US" w:eastAsia="zh-CN"/>
              </w:rPr>
              <w:t>4.5</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井下作业及设备维修</w:t>
            </w:r>
          </w:p>
        </w:tc>
        <w:tc>
          <w:tcPr>
            <w:tcW w:w="54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固体</w:t>
            </w:r>
          </w:p>
        </w:tc>
        <w:tc>
          <w:tcPr>
            <w:tcW w:w="79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w:t>
            </w:r>
          </w:p>
        </w:tc>
        <w:tc>
          <w:tcPr>
            <w:tcW w:w="62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石油类</w:t>
            </w:r>
          </w:p>
        </w:tc>
        <w:tc>
          <w:tcPr>
            <w:tcW w:w="54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continue"/>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4</w:t>
            </w:r>
          </w:p>
        </w:tc>
        <w:tc>
          <w:tcPr>
            <w:tcW w:w="829"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废润滑油</w:t>
            </w:r>
          </w:p>
        </w:tc>
        <w:tc>
          <w:tcPr>
            <w:tcW w:w="69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900-21</w:t>
            </w:r>
            <w:r>
              <w:rPr>
                <w:rFonts w:hint="eastAsia" w:ascii="Times New Roman" w:hAnsi="Times New Roman" w:eastAsia="宋体" w:cs="Times New Roman"/>
                <w:color w:val="auto"/>
                <w:spacing w:val="0"/>
                <w:kern w:val="2"/>
                <w:sz w:val="21"/>
                <w:szCs w:val="21"/>
                <w:highlight w:val="none"/>
                <w:shd w:val="clear" w:color="auto" w:fill="auto"/>
                <w:lang w:val="en-US" w:eastAsia="zh-CN"/>
              </w:rPr>
              <w:t>4</w:t>
            </w:r>
            <w:r>
              <w:rPr>
                <w:rFonts w:hint="default" w:ascii="Times New Roman" w:hAnsi="Times New Roman" w:eastAsia="宋体" w:cs="Times New Roman"/>
                <w:color w:val="auto"/>
                <w:spacing w:val="0"/>
                <w:kern w:val="2"/>
                <w:sz w:val="21"/>
                <w:szCs w:val="21"/>
                <w:highlight w:val="none"/>
                <w:shd w:val="clear" w:color="auto" w:fill="auto"/>
                <w:lang w:val="en-US" w:eastAsia="zh-CN"/>
              </w:rPr>
              <w:t>-08</w:t>
            </w:r>
          </w:p>
        </w:tc>
        <w:tc>
          <w:tcPr>
            <w:tcW w:w="99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cs="Times New Roman"/>
                <w:color w:val="auto"/>
                <w:spacing w:val="0"/>
                <w:kern w:val="2"/>
                <w:sz w:val="21"/>
                <w:szCs w:val="21"/>
                <w:highlight w:val="none"/>
                <w:shd w:val="clear" w:color="auto" w:fill="auto"/>
                <w:lang w:val="en-US" w:eastAsia="zh-CN"/>
              </w:rPr>
              <w:t>0.9</w:t>
            </w:r>
            <w:r>
              <w:rPr>
                <w:rFonts w:hint="default" w:ascii="Times New Roman" w:hAnsi="Times New Roman" w:eastAsia="宋体" w:cs="Times New Roman"/>
                <w:color w:val="auto"/>
                <w:spacing w:val="0"/>
                <w:kern w:val="2"/>
                <w:sz w:val="21"/>
                <w:szCs w:val="21"/>
                <w:highlight w:val="none"/>
                <w:shd w:val="clear" w:color="auto" w:fill="auto"/>
                <w:lang w:val="en-US" w:eastAsia="zh-CN"/>
              </w:rPr>
              <w:t>t</w:t>
            </w:r>
          </w:p>
        </w:tc>
        <w:tc>
          <w:tcPr>
            <w:tcW w:w="1007"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井下作业和</w:t>
            </w:r>
            <w:r>
              <w:rPr>
                <w:rFonts w:hint="eastAsia" w:ascii="Times New Roman" w:hAnsi="Times New Roman" w:eastAsia="宋体" w:cs="Times New Roman"/>
                <w:color w:val="auto"/>
                <w:spacing w:val="0"/>
                <w:kern w:val="2"/>
                <w:sz w:val="21"/>
                <w:szCs w:val="21"/>
                <w:highlight w:val="none"/>
                <w:shd w:val="clear" w:color="auto" w:fill="auto"/>
                <w:lang w:val="en-US" w:eastAsia="zh-CN"/>
              </w:rPr>
              <w:t>采油</w:t>
            </w:r>
            <w:r>
              <w:rPr>
                <w:rFonts w:hint="default" w:ascii="Times New Roman" w:hAnsi="Times New Roman" w:eastAsia="宋体" w:cs="Times New Roman"/>
                <w:color w:val="auto"/>
                <w:spacing w:val="0"/>
                <w:kern w:val="2"/>
                <w:sz w:val="21"/>
                <w:szCs w:val="21"/>
                <w:highlight w:val="none"/>
                <w:shd w:val="clear" w:color="auto" w:fill="auto"/>
                <w:lang w:val="en-US" w:eastAsia="zh-CN"/>
              </w:rPr>
              <w:t>过程中机械设备维修</w:t>
            </w:r>
          </w:p>
        </w:tc>
        <w:tc>
          <w:tcPr>
            <w:tcW w:w="546"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固态</w:t>
            </w:r>
          </w:p>
        </w:tc>
        <w:tc>
          <w:tcPr>
            <w:tcW w:w="795"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油类物质</w:t>
            </w:r>
          </w:p>
        </w:tc>
        <w:tc>
          <w:tcPr>
            <w:tcW w:w="62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油类物质</w:t>
            </w:r>
          </w:p>
        </w:tc>
        <w:tc>
          <w:tcPr>
            <w:tcW w:w="54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lang w:val="en-US" w:eastAsia="zh-CN"/>
              </w:rPr>
              <w:t>/</w:t>
            </w:r>
          </w:p>
        </w:tc>
        <w:tc>
          <w:tcPr>
            <w:tcW w:w="56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cs="Times New Roman"/>
                <w:color w:val="auto"/>
                <w:spacing w:val="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T</w:t>
            </w:r>
            <w:r>
              <w:rPr>
                <w:rFonts w:hint="eastAsia" w:cs="Times New Roman"/>
                <w:color w:val="auto"/>
                <w:spacing w:val="0"/>
                <w:sz w:val="21"/>
                <w:szCs w:val="21"/>
                <w:highlight w:val="none"/>
                <w:shd w:val="clear" w:color="auto" w:fill="auto"/>
                <w:lang w:eastAsia="zh-CN"/>
              </w:rPr>
              <w:t xml:space="preserve">, </w:t>
            </w:r>
            <w:r>
              <w:rPr>
                <w:rFonts w:hint="default" w:ascii="Times New Roman" w:hAnsi="Times New Roman" w:cs="Times New Roman"/>
                <w:color w:val="auto"/>
                <w:spacing w:val="0"/>
                <w:sz w:val="21"/>
                <w:szCs w:val="21"/>
                <w:highlight w:val="none"/>
                <w:shd w:val="clear" w:color="auto" w:fill="auto"/>
              </w:rPr>
              <w:t>I</w:t>
            </w:r>
          </w:p>
        </w:tc>
        <w:tc>
          <w:tcPr>
            <w:tcW w:w="1148" w:type="dxa"/>
            <w:vMerge w:val="continue"/>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5</w:t>
            </w:r>
          </w:p>
        </w:tc>
        <w:tc>
          <w:tcPr>
            <w:tcW w:w="829"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落地原油</w:t>
            </w:r>
          </w:p>
        </w:tc>
        <w:tc>
          <w:tcPr>
            <w:tcW w:w="69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071-001-08</w:t>
            </w:r>
          </w:p>
        </w:tc>
        <w:tc>
          <w:tcPr>
            <w:tcW w:w="99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eastAsia" w:cs="Times New Roman"/>
                <w:color w:val="auto"/>
                <w:spacing w:val="0"/>
                <w:kern w:val="2"/>
                <w:sz w:val="21"/>
                <w:szCs w:val="21"/>
                <w:highlight w:val="none"/>
                <w:shd w:val="clear" w:color="auto" w:fill="auto"/>
                <w:lang w:val="en-US" w:eastAsia="zh-CN"/>
              </w:rPr>
              <w:t>1.8</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油气开采和集输产生的油泥和油脚</w:t>
            </w:r>
          </w:p>
        </w:tc>
        <w:tc>
          <w:tcPr>
            <w:tcW w:w="54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固体、半固体</w:t>
            </w:r>
          </w:p>
        </w:tc>
        <w:tc>
          <w:tcPr>
            <w:tcW w:w="79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w:t>
            </w:r>
          </w:p>
        </w:tc>
        <w:tc>
          <w:tcPr>
            <w:tcW w:w="62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w:t>
            </w:r>
          </w:p>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物质</w:t>
            </w:r>
          </w:p>
        </w:tc>
        <w:tc>
          <w:tcPr>
            <w:tcW w:w="54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continue"/>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ascii="Times New Roman" w:hAnsi="Times New Roman" w:eastAsia="宋体" w:cs="Times New Roman"/>
                <w:color w:val="auto"/>
                <w:spacing w:val="0"/>
                <w:kern w:val="2"/>
                <w:sz w:val="21"/>
                <w:szCs w:val="21"/>
                <w:highlight w:val="none"/>
                <w:shd w:val="clear" w:color="auto" w:fill="auto"/>
                <w:lang w:val="en-US" w:eastAsia="zh-CN"/>
              </w:rPr>
              <w:t>6</w:t>
            </w:r>
          </w:p>
        </w:tc>
        <w:tc>
          <w:tcPr>
            <w:tcW w:w="829"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ascii="Times New Roman" w:hAnsi="Times New Roman" w:eastAsia="宋体" w:cs="Times New Roman"/>
                <w:color w:val="auto"/>
                <w:spacing w:val="0"/>
                <w:kern w:val="2"/>
                <w:sz w:val="21"/>
                <w:szCs w:val="21"/>
                <w:highlight w:val="none"/>
                <w:shd w:val="clear" w:color="auto" w:fill="auto"/>
                <w:lang w:val="en-US" w:eastAsia="zh-CN"/>
              </w:rPr>
              <w:t>清罐底泥</w:t>
            </w:r>
          </w:p>
        </w:tc>
        <w:tc>
          <w:tcPr>
            <w:tcW w:w="69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HW08</w:t>
            </w:r>
          </w:p>
        </w:tc>
        <w:tc>
          <w:tcPr>
            <w:tcW w:w="105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071-001-08</w:t>
            </w:r>
          </w:p>
        </w:tc>
        <w:tc>
          <w:tcPr>
            <w:tcW w:w="99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eastAsia" w:ascii="Times New Roman" w:hAnsi="Times New Roman" w:eastAsia="宋体" w:cs="Times New Roman"/>
                <w:color w:val="auto"/>
                <w:spacing w:val="0"/>
                <w:kern w:val="2"/>
                <w:sz w:val="21"/>
                <w:szCs w:val="21"/>
                <w:highlight w:val="none"/>
                <w:shd w:val="clear" w:color="auto" w:fill="auto"/>
                <w:lang w:val="en-US" w:eastAsia="zh-CN" w:bidi="ar-SA"/>
              </w:rPr>
            </w:pPr>
            <w:r>
              <w:rPr>
                <w:rFonts w:hint="eastAsia" w:ascii="Times New Roman" w:hAnsi="Times New Roman" w:cs="Times New Roman"/>
                <w:color w:val="auto"/>
                <w:spacing w:val="0"/>
                <w:kern w:val="2"/>
                <w:sz w:val="21"/>
                <w:szCs w:val="21"/>
                <w:highlight w:val="none"/>
                <w:shd w:val="clear" w:color="auto" w:fill="auto"/>
                <w:lang w:val="en-US" w:eastAsia="zh-CN"/>
              </w:rPr>
              <w:t>0.1</w:t>
            </w:r>
            <w:r>
              <w:rPr>
                <w:rFonts w:hint="default" w:ascii="Times New Roman" w:hAnsi="Times New Roman" w:eastAsia="宋体" w:cs="Times New Roman"/>
                <w:color w:val="auto"/>
                <w:spacing w:val="0"/>
                <w:kern w:val="2"/>
                <w:sz w:val="21"/>
                <w:szCs w:val="21"/>
                <w:highlight w:val="none"/>
                <w:shd w:val="clear" w:color="auto" w:fill="auto"/>
                <w:lang w:val="en-US" w:eastAsia="zh-CN"/>
              </w:rPr>
              <w:t>t/a</w:t>
            </w:r>
          </w:p>
        </w:tc>
        <w:tc>
          <w:tcPr>
            <w:tcW w:w="1007"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eastAsia" w:ascii="Times New Roman" w:hAnsi="Times New Roman" w:eastAsia="宋体" w:cs="Times New Roman"/>
                <w:color w:val="auto"/>
                <w:spacing w:val="0"/>
                <w:kern w:val="2"/>
                <w:sz w:val="21"/>
                <w:szCs w:val="21"/>
                <w:highlight w:val="none"/>
                <w:shd w:val="clear" w:color="auto" w:fill="auto"/>
                <w:lang w:val="en-US" w:eastAsia="zh-CN"/>
              </w:rPr>
              <w:t>拉油站拉油罐底泥</w:t>
            </w:r>
          </w:p>
        </w:tc>
        <w:tc>
          <w:tcPr>
            <w:tcW w:w="546"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固态</w:t>
            </w:r>
          </w:p>
        </w:tc>
        <w:tc>
          <w:tcPr>
            <w:tcW w:w="795"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油类物质、泥砂</w:t>
            </w:r>
          </w:p>
        </w:tc>
        <w:tc>
          <w:tcPr>
            <w:tcW w:w="62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r>
              <w:rPr>
                <w:rFonts w:hint="default" w:ascii="Times New Roman" w:hAnsi="Times New Roman" w:eastAsia="宋体" w:cs="Times New Roman"/>
                <w:color w:val="auto"/>
                <w:spacing w:val="0"/>
                <w:kern w:val="2"/>
                <w:sz w:val="21"/>
                <w:szCs w:val="21"/>
                <w:highlight w:val="none"/>
                <w:shd w:val="clear" w:color="auto" w:fill="auto"/>
                <w:lang w:val="en-US" w:eastAsia="zh-CN"/>
              </w:rPr>
              <w:t>油类</w:t>
            </w:r>
          </w:p>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物质</w:t>
            </w:r>
          </w:p>
        </w:tc>
        <w:tc>
          <w:tcPr>
            <w:tcW w:w="548"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间歇</w:t>
            </w:r>
          </w:p>
        </w:tc>
        <w:tc>
          <w:tcPr>
            <w:tcW w:w="564" w:type="dxa"/>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ind w:firstLine="0" w:firstLineChars="0"/>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bidi="ar-SA"/>
              </w:rPr>
            </w:pPr>
            <w:r>
              <w:rPr>
                <w:rFonts w:hint="default" w:ascii="Times New Roman" w:hAnsi="Times New Roman" w:eastAsia="宋体" w:cs="Times New Roman"/>
                <w:color w:val="auto"/>
                <w:spacing w:val="0"/>
                <w:kern w:val="2"/>
                <w:sz w:val="21"/>
                <w:szCs w:val="21"/>
                <w:highlight w:val="none"/>
                <w:shd w:val="clear" w:color="auto" w:fill="auto"/>
                <w:lang w:val="en-US" w:eastAsia="zh-CN"/>
              </w:rPr>
              <w:t>T</w:t>
            </w:r>
            <w:r>
              <w:rPr>
                <w:rFonts w:hint="eastAsia" w:cs="Times New Roman"/>
                <w:color w:val="auto"/>
                <w:spacing w:val="0"/>
                <w:kern w:val="2"/>
                <w:sz w:val="21"/>
                <w:szCs w:val="21"/>
                <w:highlight w:val="none"/>
                <w:shd w:val="clear" w:color="auto" w:fill="auto"/>
                <w:lang w:val="en-US" w:eastAsia="zh-CN"/>
              </w:rPr>
              <w:t xml:space="preserve">, </w:t>
            </w:r>
            <w:r>
              <w:rPr>
                <w:rFonts w:hint="default" w:ascii="Times New Roman" w:hAnsi="Times New Roman" w:eastAsia="宋体" w:cs="Times New Roman"/>
                <w:color w:val="auto"/>
                <w:spacing w:val="0"/>
                <w:kern w:val="2"/>
                <w:sz w:val="21"/>
                <w:szCs w:val="21"/>
                <w:highlight w:val="none"/>
                <w:shd w:val="clear" w:color="auto" w:fill="auto"/>
                <w:lang w:val="en-US" w:eastAsia="zh-CN"/>
              </w:rPr>
              <w:t>I</w:t>
            </w:r>
          </w:p>
        </w:tc>
        <w:tc>
          <w:tcPr>
            <w:tcW w:w="1148" w:type="dxa"/>
            <w:vMerge w:val="continue"/>
            <w:tcBorders>
              <w:tl2br w:val="nil"/>
              <w:tr2bl w:val="nil"/>
            </w:tcBorders>
            <w:noWrap w:val="0"/>
            <w:vAlign w:val="center"/>
          </w:tcPr>
          <w:p>
            <w:pPr>
              <w:pStyle w:val="93"/>
              <w:keepNext w:val="0"/>
              <w:keepLines w:val="0"/>
              <w:pageBreakBefore w:val="0"/>
              <w:widowControl w:val="0"/>
              <w:kinsoku/>
              <w:wordWrap/>
              <w:overflowPunct/>
              <w:topLinePunct w:val="0"/>
              <w:autoSpaceDE/>
              <w:autoSpaceDN/>
              <w:bidi w:val="0"/>
              <w:adjustRightInd w:val="0"/>
              <w:snapToGrid/>
              <w:spacing w:line="240" w:lineRule="exact"/>
              <w:jc w:val="center"/>
              <w:textAlignment w:val="baseline"/>
              <w:rPr>
                <w:rFonts w:hint="default" w:ascii="Times New Roman" w:hAnsi="Times New Roman" w:eastAsia="宋体" w:cs="Times New Roman"/>
                <w:color w:val="auto"/>
                <w:spacing w:val="0"/>
                <w:kern w:val="2"/>
                <w:sz w:val="21"/>
                <w:szCs w:val="21"/>
                <w:highlight w:val="none"/>
                <w:shd w:val="clear" w:color="auto" w:fill="auto"/>
                <w:lang w:val="en-US" w:eastAsia="zh-CN"/>
              </w:rPr>
            </w:pPr>
          </w:p>
        </w:tc>
      </w:tr>
    </w:tbl>
    <w:p>
      <w:pPr>
        <w:pStyle w:val="5"/>
        <w:pageBreakBefore w:val="0"/>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.4</w:t>
      </w:r>
      <w:r>
        <w:rPr>
          <w:rFonts w:hint="eastAsia"/>
          <w:color w:val="auto"/>
          <w:highlight w:val="none"/>
        </w:rPr>
        <w:t>运营期噪声源强</w:t>
      </w:r>
    </w:p>
    <w:p>
      <w:pPr>
        <w:keepNext w:val="0"/>
        <w:keepLines w:val="0"/>
        <w:pageBreakBefore w:val="0"/>
        <w:widowControl/>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val="en-US" w:eastAsia="zh-CN"/>
        </w:rPr>
        <w:t>运营期间的噪声源主要包括井场设备的运转噪声、井下作业噪声、拉油罐车和巡检车辆的交通噪声等，噪声级为60～120dB(A</w:t>
      </w:r>
      <w:r>
        <w:rPr>
          <w:rFonts w:hint="eastAsia"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lang w:val="en-US" w:eastAsia="zh-CN"/>
        </w:rPr>
        <w:t>，见表3.</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lang w:val="en-US" w:eastAsia="zh-CN"/>
        </w:rPr>
        <w:t>。</w:t>
      </w:r>
    </w:p>
    <w:p>
      <w:pPr>
        <w:pStyle w:val="98"/>
        <w:pageBreakBefore w:val="0"/>
        <w:kinsoku/>
        <w:wordWrap/>
        <w:overflowPunct/>
        <w:topLinePunct w:val="0"/>
        <w:autoSpaceDE/>
        <w:autoSpaceDN/>
        <w:bidi w:val="0"/>
        <w:spacing w:line="480" w:lineRule="exac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表3.</w:t>
      </w:r>
      <w:r>
        <w:rPr>
          <w:rFonts w:hint="eastAsia" w:cs="Times New Roman"/>
          <w:color w:val="auto"/>
          <w:highlight w:val="none"/>
          <w:shd w:val="clear" w:color="auto" w:fill="auto"/>
          <w:lang w:val="en-US" w:eastAsia="zh-CN"/>
        </w:rPr>
        <w:t>3</w:t>
      </w:r>
      <w:r>
        <w:rPr>
          <w:rFonts w:hint="default" w:ascii="Times New Roman" w:hAnsi="Times New Roman" w:cs="Times New Roman"/>
          <w:color w:val="auto"/>
          <w:highlight w:val="none"/>
          <w:shd w:val="clear" w:color="auto" w:fill="auto"/>
        </w:rPr>
        <w:t>-</w:t>
      </w:r>
      <w:r>
        <w:rPr>
          <w:rFonts w:hint="eastAsia" w:cs="Times New Roman"/>
          <w:color w:val="auto"/>
          <w:highlight w:val="none"/>
          <w:shd w:val="clear" w:color="auto" w:fill="auto"/>
          <w:lang w:val="en-US" w:eastAsia="zh-CN"/>
        </w:rPr>
        <w:t>13</w:t>
      </w:r>
      <w:r>
        <w:rPr>
          <w:rFonts w:hint="default" w:ascii="Times New Roman" w:hAnsi="Times New Roman" w:cs="Times New Roman"/>
          <w:color w:val="auto"/>
          <w:highlight w:val="none"/>
          <w:shd w:val="clear" w:color="auto" w:fill="auto"/>
          <w:lang w:val="en-US" w:eastAsia="zh-CN"/>
        </w:rPr>
        <w:t xml:space="preserve">        </w:t>
      </w:r>
      <w:r>
        <w:rPr>
          <w:rFonts w:hint="default" w:ascii="Times New Roman" w:hAnsi="Times New Roman" w:cs="Times New Roman"/>
          <w:color w:val="auto"/>
          <w:highlight w:val="none"/>
          <w:shd w:val="clear" w:color="auto" w:fill="auto"/>
        </w:rPr>
        <w:t>噪声源设备</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7"/>
        <w:gridCol w:w="1126"/>
        <w:gridCol w:w="1402"/>
        <w:gridCol w:w="1051"/>
        <w:gridCol w:w="813"/>
        <w:gridCol w:w="762"/>
        <w:gridCol w:w="786"/>
        <w:gridCol w:w="864"/>
        <w:gridCol w:w="8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981" w:type="pct"/>
            <w:gridSpan w:val="3"/>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噪声源名称</w:t>
            </w:r>
          </w:p>
        </w:tc>
        <w:tc>
          <w:tcPr>
            <w:tcW w:w="61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ind w:left="-42" w:leftChars="-20" w:right="-42" w:rightChars="-20"/>
              <w:textAlignment w:val="auto"/>
              <w:rPr>
                <w:rFonts w:hint="eastAsia" w:ascii="Times New Roman" w:hAnsi="Times New Roman" w:eastAsia="宋体" w:cs="Times New Roman"/>
                <w:color w:val="auto"/>
                <w:kern w:val="2"/>
                <w:highlight w:val="none"/>
                <w:shd w:val="clear" w:color="auto" w:fill="auto"/>
                <w:lang w:eastAsia="zh-CN"/>
              </w:rPr>
            </w:pPr>
            <w:r>
              <w:rPr>
                <w:rFonts w:hint="default" w:ascii="Times New Roman" w:hAnsi="Times New Roman" w:cs="Times New Roman"/>
                <w:color w:val="auto"/>
                <w:kern w:val="2"/>
                <w:highlight w:val="none"/>
                <w:shd w:val="clear" w:color="auto" w:fill="auto"/>
              </w:rPr>
              <w:t>声功率级</w:t>
            </w:r>
            <w:r>
              <w:rPr>
                <w:rFonts w:hint="eastAsia" w:ascii="Times New Roman" w:hAnsi="Times New Roman" w:cs="Times New Roman"/>
                <w:color w:val="auto"/>
                <w:kern w:val="2"/>
                <w:highlight w:val="none"/>
                <w:shd w:val="clear" w:color="auto" w:fill="auto"/>
                <w:lang w:eastAsia="zh-CN"/>
              </w:rPr>
              <w:t>〔</w:t>
            </w:r>
            <w:r>
              <w:rPr>
                <w:rFonts w:hint="default" w:ascii="Times New Roman" w:hAnsi="Times New Roman" w:cs="Times New Roman"/>
                <w:color w:val="auto"/>
                <w:kern w:val="2"/>
                <w:highlight w:val="none"/>
                <w:shd w:val="clear" w:color="auto" w:fill="auto"/>
              </w:rPr>
              <w:t>dB（A）</w:t>
            </w:r>
            <w:r>
              <w:rPr>
                <w:rFonts w:hint="eastAsia" w:ascii="Times New Roman" w:hAnsi="Times New Roman" w:cs="Times New Roman"/>
                <w:color w:val="auto"/>
                <w:kern w:val="2"/>
                <w:highlight w:val="none"/>
                <w:shd w:val="clear" w:color="auto" w:fill="auto"/>
                <w:lang w:eastAsia="zh-CN"/>
              </w:rPr>
              <w:t>〕</w:t>
            </w:r>
          </w:p>
        </w:tc>
        <w:tc>
          <w:tcPr>
            <w:tcW w:w="47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噪声特性</w:t>
            </w:r>
          </w:p>
        </w:tc>
        <w:tc>
          <w:tcPr>
            <w:tcW w:w="44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排放规律</w:t>
            </w:r>
          </w:p>
        </w:tc>
        <w:tc>
          <w:tcPr>
            <w:tcW w:w="461"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备注</w:t>
            </w:r>
          </w:p>
        </w:tc>
        <w:tc>
          <w:tcPr>
            <w:tcW w:w="50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运行时段</w:t>
            </w:r>
          </w:p>
        </w:tc>
        <w:tc>
          <w:tcPr>
            <w:tcW w:w="508"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声源控制措施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restar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正常工况</w:t>
            </w:r>
          </w:p>
        </w:tc>
        <w:tc>
          <w:tcPr>
            <w:tcW w:w="661"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单井井场</w:t>
            </w:r>
          </w:p>
        </w:tc>
        <w:tc>
          <w:tcPr>
            <w:tcW w:w="822"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机泵</w:t>
            </w:r>
          </w:p>
        </w:tc>
        <w:tc>
          <w:tcPr>
            <w:tcW w:w="61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75~80</w:t>
            </w:r>
          </w:p>
        </w:tc>
        <w:tc>
          <w:tcPr>
            <w:tcW w:w="47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机械</w:t>
            </w:r>
          </w:p>
        </w:tc>
        <w:tc>
          <w:tcPr>
            <w:tcW w:w="44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连续</w:t>
            </w:r>
          </w:p>
        </w:tc>
        <w:tc>
          <w:tcPr>
            <w:tcW w:w="461"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单台噪声</w:t>
            </w:r>
          </w:p>
        </w:tc>
        <w:tc>
          <w:tcPr>
            <w:tcW w:w="50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昼间至夜间</w:t>
            </w:r>
          </w:p>
        </w:tc>
        <w:tc>
          <w:tcPr>
            <w:tcW w:w="508"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选用低噪设备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color w:val="auto"/>
                <w:highlight w:val="none"/>
                <w:shd w:val="clear" w:color="auto" w:fill="auto"/>
              </w:rPr>
            </w:pPr>
          </w:p>
        </w:tc>
        <w:tc>
          <w:tcPr>
            <w:tcW w:w="661"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eastAsia" w:ascii="Times New Roman" w:hAnsi="Times New Roman" w:eastAsia="宋体" w:cs="Times New Roman"/>
                <w:color w:val="auto"/>
                <w:kern w:val="2"/>
                <w:highlight w:val="none"/>
                <w:shd w:val="clear" w:color="auto" w:fill="auto"/>
                <w:lang w:val="en-US" w:eastAsia="zh-CN"/>
              </w:rPr>
            </w:pPr>
            <w:r>
              <w:rPr>
                <w:rFonts w:hint="eastAsia" w:ascii="Times New Roman" w:hAnsi="Times New Roman" w:cs="Times New Roman"/>
                <w:color w:val="auto"/>
                <w:kern w:val="2"/>
                <w:highlight w:val="none"/>
                <w:shd w:val="clear" w:color="auto" w:fill="auto"/>
                <w:lang w:val="en-US" w:eastAsia="zh-CN"/>
              </w:rPr>
              <w:t>集中拉油站</w:t>
            </w:r>
          </w:p>
        </w:tc>
        <w:tc>
          <w:tcPr>
            <w:tcW w:w="822"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eastAsia"/>
                <w:color w:val="auto"/>
                <w:highlight w:val="none"/>
                <w:shd w:val="clear" w:color="auto" w:fill="auto"/>
                <w:lang w:val="en-US" w:eastAsia="zh-CN"/>
              </w:rPr>
              <w:t>装车泵</w:t>
            </w:r>
          </w:p>
        </w:tc>
        <w:tc>
          <w:tcPr>
            <w:tcW w:w="61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eastAsia="宋体" w:cs="Times New Roman"/>
                <w:color w:val="auto"/>
                <w:kern w:val="2"/>
                <w:highlight w:val="none"/>
                <w:shd w:val="clear" w:color="auto" w:fill="auto"/>
                <w:lang w:val="en-US" w:eastAsia="zh-CN"/>
              </w:rPr>
            </w:pPr>
            <w:r>
              <w:rPr>
                <w:rFonts w:hint="eastAsia" w:ascii="Times New Roman" w:hAnsi="Times New Roman" w:cs="Times New Roman"/>
                <w:color w:val="auto"/>
                <w:kern w:val="2"/>
                <w:highlight w:val="none"/>
                <w:shd w:val="clear" w:color="auto" w:fill="auto"/>
                <w:lang w:val="en-US" w:eastAsia="zh-CN"/>
              </w:rPr>
              <w:t>80</w:t>
            </w:r>
            <w:r>
              <w:rPr>
                <w:rFonts w:hint="default" w:ascii="Times New Roman" w:hAnsi="Times New Roman" w:cs="Times New Roman"/>
                <w:color w:val="auto"/>
                <w:kern w:val="2"/>
                <w:highlight w:val="none"/>
                <w:shd w:val="clear" w:color="auto" w:fill="auto"/>
              </w:rPr>
              <w:t>~</w:t>
            </w:r>
            <w:r>
              <w:rPr>
                <w:rFonts w:hint="eastAsia" w:ascii="Times New Roman" w:hAnsi="Times New Roman" w:cs="Times New Roman"/>
                <w:color w:val="auto"/>
                <w:kern w:val="2"/>
                <w:highlight w:val="none"/>
                <w:shd w:val="clear" w:color="auto" w:fill="auto"/>
                <w:lang w:val="en-US" w:eastAsia="zh-CN"/>
              </w:rPr>
              <w:t>90</w:t>
            </w:r>
          </w:p>
        </w:tc>
        <w:tc>
          <w:tcPr>
            <w:tcW w:w="47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机械</w:t>
            </w:r>
          </w:p>
        </w:tc>
        <w:tc>
          <w:tcPr>
            <w:tcW w:w="44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间歇</w:t>
            </w:r>
          </w:p>
        </w:tc>
        <w:tc>
          <w:tcPr>
            <w:tcW w:w="461"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kern w:val="2"/>
                <w:highlight w:val="none"/>
                <w:shd w:val="clear" w:color="auto" w:fill="auto"/>
              </w:rPr>
              <w:t>单台噪声</w:t>
            </w:r>
          </w:p>
        </w:tc>
        <w:tc>
          <w:tcPr>
            <w:tcW w:w="50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kern w:val="2"/>
                <w:highlight w:val="none"/>
                <w:shd w:val="clear" w:color="auto" w:fill="auto"/>
              </w:rPr>
              <w:t>昼间至夜间</w:t>
            </w:r>
          </w:p>
        </w:tc>
        <w:tc>
          <w:tcPr>
            <w:tcW w:w="508"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sz w:val="21"/>
                <w:szCs w:val="21"/>
                <w:highlight w:val="none"/>
                <w:shd w:val="clear" w:color="auto" w:fill="auto"/>
                <w:lang w:val="en-US" w:eastAsia="zh-CN" w:bidi="ar-SA"/>
              </w:rPr>
            </w:pPr>
            <w:r>
              <w:rPr>
                <w:rFonts w:hint="default" w:ascii="Times New Roman" w:hAnsi="Times New Roman" w:cs="Times New Roman"/>
                <w:color w:val="auto"/>
                <w:kern w:val="2"/>
                <w:highlight w:val="none"/>
                <w:shd w:val="clear" w:color="auto" w:fill="auto"/>
              </w:rPr>
              <w:t>选用低噪设备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vMerge w:val="continue"/>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p>
        </w:tc>
        <w:tc>
          <w:tcPr>
            <w:tcW w:w="661"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交通噪声</w:t>
            </w:r>
          </w:p>
        </w:tc>
        <w:tc>
          <w:tcPr>
            <w:tcW w:w="822"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罐车、巡检车辆</w:t>
            </w:r>
          </w:p>
        </w:tc>
        <w:tc>
          <w:tcPr>
            <w:tcW w:w="61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60</w:t>
            </w:r>
            <w:r>
              <w:rPr>
                <w:rFonts w:hint="eastAsia" w:ascii="Times New Roman" w:hAnsi="Times New Roman" w:cs="Times New Roman"/>
                <w:color w:val="auto"/>
                <w:kern w:val="2"/>
                <w:highlight w:val="none"/>
                <w:shd w:val="clear" w:color="auto" w:fill="auto"/>
                <w:lang w:eastAsia="zh-CN"/>
              </w:rPr>
              <w:t>~</w:t>
            </w:r>
            <w:r>
              <w:rPr>
                <w:rFonts w:hint="default" w:ascii="Times New Roman" w:hAnsi="Times New Roman" w:cs="Times New Roman"/>
                <w:color w:val="auto"/>
                <w:kern w:val="2"/>
                <w:highlight w:val="none"/>
                <w:shd w:val="clear" w:color="auto" w:fill="auto"/>
              </w:rPr>
              <w:t>90</w:t>
            </w:r>
          </w:p>
        </w:tc>
        <w:tc>
          <w:tcPr>
            <w:tcW w:w="47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机械</w:t>
            </w:r>
          </w:p>
        </w:tc>
        <w:tc>
          <w:tcPr>
            <w:tcW w:w="44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间歇</w:t>
            </w:r>
          </w:p>
        </w:tc>
        <w:tc>
          <w:tcPr>
            <w:tcW w:w="461"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w:t>
            </w:r>
          </w:p>
        </w:tc>
        <w:tc>
          <w:tcPr>
            <w:tcW w:w="50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昼间</w:t>
            </w:r>
          </w:p>
        </w:tc>
        <w:tc>
          <w:tcPr>
            <w:tcW w:w="508"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9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非正常工况</w:t>
            </w:r>
          </w:p>
        </w:tc>
        <w:tc>
          <w:tcPr>
            <w:tcW w:w="661"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单井井场</w:t>
            </w:r>
          </w:p>
        </w:tc>
        <w:tc>
          <w:tcPr>
            <w:tcW w:w="822"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井下作业（压裂、修井等）</w:t>
            </w:r>
          </w:p>
        </w:tc>
        <w:tc>
          <w:tcPr>
            <w:tcW w:w="61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80</w:t>
            </w:r>
            <w:r>
              <w:rPr>
                <w:rFonts w:hint="eastAsia" w:ascii="Times New Roman" w:hAnsi="Times New Roman" w:cs="Times New Roman"/>
                <w:color w:val="auto"/>
                <w:kern w:val="2"/>
                <w:highlight w:val="none"/>
                <w:shd w:val="clear" w:color="auto" w:fill="auto"/>
                <w:lang w:eastAsia="zh-CN"/>
              </w:rPr>
              <w:t>~</w:t>
            </w:r>
            <w:r>
              <w:rPr>
                <w:rFonts w:hint="default" w:ascii="Times New Roman" w:hAnsi="Times New Roman" w:cs="Times New Roman"/>
                <w:color w:val="auto"/>
                <w:kern w:val="2"/>
                <w:highlight w:val="none"/>
                <w:shd w:val="clear" w:color="auto" w:fill="auto"/>
              </w:rPr>
              <w:t>120</w:t>
            </w:r>
          </w:p>
        </w:tc>
        <w:tc>
          <w:tcPr>
            <w:tcW w:w="47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机械</w:t>
            </w:r>
          </w:p>
        </w:tc>
        <w:tc>
          <w:tcPr>
            <w:tcW w:w="44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间歇</w:t>
            </w:r>
          </w:p>
        </w:tc>
        <w:tc>
          <w:tcPr>
            <w:tcW w:w="461"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单台声源</w:t>
            </w:r>
          </w:p>
        </w:tc>
        <w:tc>
          <w:tcPr>
            <w:tcW w:w="507"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昼间至夜间</w:t>
            </w:r>
          </w:p>
        </w:tc>
        <w:tc>
          <w:tcPr>
            <w:tcW w:w="508" w:type="pct"/>
            <w:tcBorders>
              <w:tl2br w:val="nil"/>
              <w:tr2bl w:val="nil"/>
            </w:tcBorders>
            <w:noWrap w:val="0"/>
            <w:vAlign w:val="center"/>
          </w:tcPr>
          <w:p>
            <w:pPr>
              <w:pStyle w:val="77"/>
              <w:keepNext w:val="0"/>
              <w:keepLines w:val="0"/>
              <w:pageBreakBefore w:val="0"/>
              <w:widowControl w:val="0"/>
              <w:kinsoku/>
              <w:wordWrap/>
              <w:overflowPunct/>
              <w:topLinePunct w:val="0"/>
              <w:autoSpaceDE/>
              <w:autoSpaceDN/>
              <w:bidi w:val="0"/>
              <w:adjustRightInd w:val="0"/>
              <w:snapToGrid w:val="0"/>
              <w:spacing w:line="260" w:lineRule="atLeast"/>
              <w:textAlignment w:val="auto"/>
              <w:rPr>
                <w:rFonts w:hint="default" w:ascii="Times New Roman" w:hAnsi="Times New Roman" w:cs="Times New Roman"/>
                <w:color w:val="auto"/>
                <w:kern w:val="2"/>
                <w:highlight w:val="none"/>
                <w:shd w:val="clear" w:color="auto" w:fill="auto"/>
              </w:rPr>
            </w:pPr>
            <w:r>
              <w:rPr>
                <w:rFonts w:hint="default" w:ascii="Times New Roman" w:hAnsi="Times New Roman" w:cs="Times New Roman"/>
                <w:color w:val="auto"/>
                <w:kern w:val="2"/>
                <w:highlight w:val="none"/>
                <w:shd w:val="clear" w:color="auto" w:fill="auto"/>
              </w:rPr>
              <w:t>/</w:t>
            </w:r>
          </w:p>
        </w:tc>
      </w:tr>
    </w:tbl>
    <w:p>
      <w:pPr>
        <w:pStyle w:val="5"/>
        <w:pageBreakBefore w:val="0"/>
        <w:kinsoku/>
        <w:wordWrap/>
        <w:overflowPunct/>
        <w:topLinePunct w:val="0"/>
        <w:autoSpaceDE/>
        <w:autoSpaceDN/>
        <w:bidi w:val="0"/>
        <w:spacing w:line="480" w:lineRule="exact"/>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3</w:t>
      </w:r>
      <w:r>
        <w:rPr>
          <w:color w:val="auto"/>
          <w:highlight w:val="none"/>
        </w:rPr>
        <w:t>.5</w:t>
      </w:r>
      <w:r>
        <w:rPr>
          <w:rFonts w:hint="eastAsia"/>
          <w:color w:val="auto"/>
          <w:highlight w:val="none"/>
        </w:rPr>
        <w:t>运营期污染物排放情况汇总</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本工程</w:t>
      </w:r>
      <w:r>
        <w:rPr>
          <w:color w:val="auto"/>
          <w:highlight w:val="none"/>
        </w:rPr>
        <w:t>运营期三废排放状况见表3.</w:t>
      </w:r>
      <w:r>
        <w:rPr>
          <w:rFonts w:hint="eastAsia"/>
          <w:color w:val="auto"/>
          <w:highlight w:val="none"/>
          <w:lang w:val="en-US" w:eastAsia="zh-CN"/>
        </w:rPr>
        <w:t>3</w:t>
      </w:r>
      <w:r>
        <w:rPr>
          <w:color w:val="auto"/>
          <w:highlight w:val="none"/>
        </w:rPr>
        <w:t>-</w:t>
      </w:r>
      <w:r>
        <w:rPr>
          <w:rFonts w:hint="eastAsia"/>
          <w:color w:val="auto"/>
          <w:highlight w:val="none"/>
        </w:rPr>
        <w:t>1</w:t>
      </w:r>
      <w:r>
        <w:rPr>
          <w:rFonts w:hint="eastAsia"/>
          <w:color w:val="auto"/>
          <w:highlight w:val="none"/>
          <w:lang w:val="en-US" w:eastAsia="zh-CN"/>
        </w:rPr>
        <w:t>4</w:t>
      </w:r>
      <w:r>
        <w:rPr>
          <w:rFonts w:hint="eastAsia"/>
          <w:color w:val="auto"/>
          <w:highlight w:val="none"/>
        </w:rPr>
        <w:t>。</w:t>
      </w:r>
    </w:p>
    <w:p>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表3.</w:t>
      </w:r>
      <w:r>
        <w:rPr>
          <w:rFonts w:hint="eastAsia"/>
          <w:color w:val="auto"/>
          <w:highlight w:val="none"/>
          <w:lang w:val="en-US" w:eastAsia="zh-CN"/>
        </w:rPr>
        <w:t>3</w:t>
      </w:r>
      <w:r>
        <w:rPr>
          <w:color w:val="auto"/>
          <w:highlight w:val="none"/>
        </w:rPr>
        <w:t>-1</w:t>
      </w:r>
      <w:r>
        <w:rPr>
          <w:rFonts w:hint="eastAsia"/>
          <w:color w:val="auto"/>
          <w:highlight w:val="none"/>
          <w:lang w:val="en-US" w:eastAsia="zh-CN"/>
        </w:rPr>
        <w:t>4</w:t>
      </w:r>
      <w:r>
        <w:rPr>
          <w:color w:val="auto"/>
          <w:highlight w:val="none"/>
        </w:rPr>
        <w:t xml:space="preserve">  运营期污染物排放汇总</w:t>
      </w:r>
    </w:p>
    <w:tbl>
      <w:tblPr>
        <w:tblStyle w:val="34"/>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19"/>
        <w:gridCol w:w="962"/>
        <w:gridCol w:w="1031"/>
        <w:gridCol w:w="1240"/>
        <w:gridCol w:w="1182"/>
        <w:gridCol w:w="899"/>
        <w:gridCol w:w="26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类别</w:t>
            </w: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工段</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污染源</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主要污染物</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产生量</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bookmarkStart w:id="341" w:name="OLE_LINK146" w:colFirst="4" w:colLast="5"/>
            <w:r>
              <w:rPr>
                <w:rFonts w:hint="default" w:ascii="Times New Roman" w:hAnsi="Times New Roman" w:cs="Times New Roman"/>
                <w:color w:val="auto"/>
                <w:sz w:val="21"/>
                <w:szCs w:val="21"/>
                <w:highlight w:val="none"/>
                <w:shd w:val="clear" w:color="auto" w:fill="auto"/>
              </w:rPr>
              <w:t>废气</w:t>
            </w:r>
          </w:p>
        </w:tc>
        <w:tc>
          <w:tcPr>
            <w:tcW w:w="601"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储罐呼吸损耗</w:t>
            </w:r>
          </w:p>
        </w:tc>
        <w:tc>
          <w:tcPr>
            <w:tcW w:w="6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无组织排放</w:t>
            </w:r>
          </w:p>
        </w:tc>
        <w:tc>
          <w:tcPr>
            <w:tcW w:w="764"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NMHC</w:t>
            </w:r>
          </w:p>
        </w:tc>
        <w:tc>
          <w:tcPr>
            <w:tcW w:w="981"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highlight w:val="none"/>
                <w:lang w:val="en-US" w:eastAsia="zh-CN"/>
              </w:rPr>
              <w:t>5.04</w:t>
            </w:r>
            <w:r>
              <w:rPr>
                <w:rFonts w:hint="default"/>
                <w:color w:val="auto"/>
                <w:highlight w:val="none"/>
              </w:rPr>
              <w:t>t/a</w:t>
            </w:r>
          </w:p>
        </w:tc>
        <w:tc>
          <w:tcPr>
            <w:tcW w:w="794"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highlight w:val="none"/>
                <w:lang w:val="en-US" w:eastAsia="zh-CN"/>
              </w:rPr>
              <w:t>5.04</w:t>
            </w:r>
            <w:r>
              <w:rPr>
                <w:rFonts w:hint="default"/>
                <w:color w:val="auto"/>
                <w:highlight w:val="none"/>
              </w:rPr>
              <w:t>t/a</w:t>
            </w:r>
          </w:p>
        </w:tc>
        <w:tc>
          <w:tcPr>
            <w:tcW w:w="1608"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油气集输</w:t>
            </w:r>
          </w:p>
        </w:tc>
        <w:tc>
          <w:tcPr>
            <w:tcW w:w="6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981"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1.406</w:t>
            </w:r>
            <w:r>
              <w:rPr>
                <w:rFonts w:hint="default"/>
                <w:color w:val="auto"/>
                <w:highlight w:val="none"/>
              </w:rPr>
              <w:t>t/a</w:t>
            </w:r>
          </w:p>
        </w:tc>
        <w:tc>
          <w:tcPr>
            <w:tcW w:w="794"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highlight w:val="none"/>
                <w:lang w:val="en-US" w:eastAsia="zh-CN"/>
              </w:rPr>
              <w:t>1.406</w:t>
            </w:r>
            <w:r>
              <w:rPr>
                <w:rFonts w:hint="default"/>
                <w:color w:val="auto"/>
                <w:highlight w:val="none"/>
              </w:rPr>
              <w:t>t/a</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r>
      <w:bookmarkEnd w:id="34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废水</w:t>
            </w:r>
          </w:p>
        </w:tc>
        <w:tc>
          <w:tcPr>
            <w:tcW w:w="1242" w:type="pct"/>
            <w:gridSpan w:val="2"/>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采出水</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kern w:val="24"/>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SS、COD、</w:t>
            </w:r>
          </w:p>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石油类等</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kern w:val="24"/>
                <w:sz w:val="21"/>
                <w:szCs w:val="21"/>
                <w:highlight w:val="none"/>
                <w:shd w:val="clear" w:color="auto" w:fill="auto"/>
                <w:lang w:val="en-US" w:eastAsia="zh-CN"/>
              </w:rPr>
              <w:t>3.91</w:t>
            </w:r>
            <w:r>
              <w:rPr>
                <w:rFonts w:hint="default" w:ascii="Times New Roman" w:hAnsi="Times New Roman" w:cs="Times New Roman"/>
                <w:color w:val="auto"/>
                <w:kern w:val="24"/>
                <w:sz w:val="21"/>
                <w:szCs w:val="21"/>
                <w:highlight w:val="none"/>
                <w:shd w:val="clear" w:color="auto" w:fill="auto"/>
              </w:rPr>
              <w:t>×10</w:t>
            </w:r>
            <w:r>
              <w:rPr>
                <w:rFonts w:hint="default" w:ascii="Times New Roman" w:hAnsi="Times New Roman" w:cs="Times New Roman"/>
                <w:color w:val="auto"/>
                <w:kern w:val="24"/>
                <w:sz w:val="21"/>
                <w:szCs w:val="21"/>
                <w:highlight w:val="none"/>
                <w:shd w:val="clear" w:color="auto" w:fill="auto"/>
                <w:vertAlign w:val="superscript"/>
              </w:rPr>
              <w:t>4</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采出水进入</w:t>
            </w:r>
            <w:r>
              <w:rPr>
                <w:rFonts w:hint="eastAsia" w:ascii="Times New Roman" w:hAnsi="Times New Roman" w:cs="Times New Roman"/>
                <w:color w:val="auto"/>
                <w:sz w:val="21"/>
                <w:szCs w:val="21"/>
                <w:highlight w:val="none"/>
                <w:shd w:val="clear" w:color="auto" w:fill="auto"/>
                <w:lang w:eastAsia="zh-CN"/>
              </w:rPr>
              <w:t>风城二号稠油处理站</w:t>
            </w:r>
            <w:r>
              <w:rPr>
                <w:rFonts w:hint="default" w:ascii="Times New Roman" w:hAnsi="Times New Roman" w:cs="Times New Roman"/>
                <w:color w:val="auto"/>
                <w:sz w:val="21"/>
                <w:szCs w:val="21"/>
                <w:highlight w:val="none"/>
                <w:shd w:val="clear" w:color="auto" w:fill="auto"/>
              </w:rPr>
              <w:t>的</w:t>
            </w:r>
            <w:r>
              <w:rPr>
                <w:rFonts w:hint="eastAsia" w:ascii="Times New Roman" w:hAnsi="Times New Roman" w:cs="Times New Roman"/>
                <w:color w:val="auto"/>
                <w:sz w:val="21"/>
                <w:szCs w:val="21"/>
                <w:highlight w:val="none"/>
                <w:shd w:val="clear" w:color="auto" w:fill="auto"/>
                <w:lang w:val="en-US" w:eastAsia="zh-CN"/>
              </w:rPr>
              <w:t>采出水处理系统</w:t>
            </w:r>
            <w:r>
              <w:rPr>
                <w:rFonts w:hint="default" w:ascii="Times New Roman" w:hAnsi="Times New Roman" w:cs="Times New Roman"/>
                <w:color w:val="auto"/>
                <w:sz w:val="21"/>
                <w:szCs w:val="21"/>
                <w:highlight w:val="none"/>
                <w:shd w:val="clear" w:color="auto" w:fill="auto"/>
              </w:rPr>
              <w:t>处理达到《碎屑岩油藏注水水质指标技术要求及分析方法》（SY/T5329-2022）</w:t>
            </w:r>
            <w:r>
              <w:rPr>
                <w:rFonts w:hint="eastAsia" w:cs="Times New Roman"/>
                <w:color w:val="auto"/>
                <w:sz w:val="21"/>
                <w:szCs w:val="21"/>
                <w:highlight w:val="none"/>
                <w:shd w:val="clear" w:color="auto" w:fill="auto"/>
                <w:lang w:val="en-US" w:eastAsia="zh-CN"/>
              </w:rPr>
              <w:t>和《陆上油气田采出水地下注入环境保护技术规范》（SY/T7784-2024）</w:t>
            </w:r>
            <w:r>
              <w:rPr>
                <w:rFonts w:hint="default" w:ascii="Times New Roman" w:hAnsi="Times New Roman" w:cs="Times New Roman"/>
                <w:color w:val="auto"/>
                <w:sz w:val="21"/>
                <w:szCs w:val="21"/>
                <w:highlight w:val="none"/>
                <w:shd w:val="clear" w:color="auto" w:fill="auto"/>
              </w:rPr>
              <w:t>标准后回注</w:t>
            </w:r>
            <w:r>
              <w:rPr>
                <w:rFonts w:hint="eastAsia" w:ascii="Times New Roman" w:hAnsi="Times New Roman" w:cs="Times New Roman"/>
                <w:color w:val="auto"/>
                <w:sz w:val="21"/>
                <w:szCs w:val="21"/>
                <w:highlight w:val="none"/>
                <w:shd w:val="clear" w:color="auto" w:fill="auto"/>
                <w:lang w:eastAsia="zh-CN"/>
              </w:rPr>
              <w:t>油藏</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244.8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采用专用罐回收作业废水，拉运至</w:t>
            </w:r>
            <w:r>
              <w:rPr>
                <w:rFonts w:hint="eastAsia"/>
                <w:color w:val="auto"/>
                <w:highlight w:val="none"/>
                <w:lang w:eastAsia="zh-CN"/>
              </w:rPr>
              <w:t>风城二号稠油处理站</w:t>
            </w:r>
            <w:r>
              <w:rPr>
                <w:rFonts w:hint="default" w:ascii="Times New Roman" w:hAnsi="Times New Roman" w:cs="Times New Roman"/>
                <w:color w:val="auto"/>
                <w:sz w:val="21"/>
                <w:szCs w:val="21"/>
                <w:highlight w:val="none"/>
                <w:shd w:val="clear" w:color="auto" w:fill="auto"/>
              </w:rPr>
              <w:t>处理</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COD</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0.31</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pPr>
              <w:spacing w:line="240" w:lineRule="exact"/>
              <w:ind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0.055</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固体废物</w:t>
            </w: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油泥</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1406.78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eastAsia="宋体"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管线</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清管废渣</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石油类、SS和氧化铁等</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bookmarkStart w:id="342" w:name="OLE_LINK99"/>
            <w:r>
              <w:rPr>
                <w:rFonts w:hint="eastAsia"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bookmarkEnd w:id="342"/>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color w:val="auto"/>
              </w:rPr>
            </w:pPr>
          </w:p>
        </w:tc>
        <w:tc>
          <w:tcPr>
            <w:tcW w:w="601"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站场</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清罐底泥</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0.1</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eastAsia="zh-CN"/>
              </w:rPr>
              <w:t>废防渗膜</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4.5</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废润滑油</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w:t>
            </w:r>
            <w:r>
              <w:rPr>
                <w:rFonts w:hint="default" w:ascii="Times New Roman" w:hAnsi="Times New Roman" w:eastAsia="宋体" w:cs="Times New Roman"/>
                <w:color w:val="auto"/>
                <w:sz w:val="21"/>
                <w:szCs w:val="21"/>
                <w:highlight w:val="none"/>
                <w:shd w:val="clear" w:color="auto" w:fill="auto"/>
                <w:lang w:val="en-US" w:eastAsia="zh-CN"/>
              </w:rPr>
              <w:t>t/次</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井场、管线及井下作业</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落地原油</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0</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落地油100%回收，</w:t>
            </w:r>
            <w:r>
              <w:rPr>
                <w:rFonts w:hint="default" w:ascii="Times New Roman" w:hAnsi="Times New Roman" w:eastAsia="宋体" w:cs="Times New Roman"/>
                <w:color w:val="auto"/>
                <w:sz w:val="21"/>
                <w:szCs w:val="21"/>
                <w:highlight w:val="none"/>
                <w:shd w:val="clear" w:color="auto" w:fill="auto"/>
              </w:rPr>
              <w:t>回收后的落地原油</w:t>
            </w: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噪声</w:t>
            </w: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站场</w:t>
            </w:r>
            <w:r>
              <w:rPr>
                <w:rFonts w:hint="default" w:ascii="Times New Roman" w:hAnsi="Times New Roman" w:eastAsia="宋体" w:cs="Times New Roman"/>
                <w:color w:val="auto"/>
                <w:sz w:val="21"/>
                <w:szCs w:val="21"/>
                <w:highlight w:val="none"/>
                <w:shd w:val="clear" w:color="auto" w:fill="auto"/>
              </w:rPr>
              <w:t>设备、</w:t>
            </w:r>
          </w:p>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机械噪声</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60</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120</w:t>
            </w:r>
            <w:r>
              <w:rPr>
                <w:rFonts w:hint="default" w:ascii="Times New Roman" w:hAnsi="Times New Roman" w:eastAsia="宋体" w:cs="Times New Roman"/>
                <w:color w:val="auto"/>
                <w:sz w:val="21"/>
                <w:szCs w:val="21"/>
                <w:highlight w:val="none"/>
                <w:shd w:val="clear" w:color="auto" w:fill="auto"/>
              </w:rPr>
              <w:t>dB(A)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厂界</w:t>
            </w:r>
          </w:p>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达标</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选用低噪声设备，采取减振、隔声、消声等降噪措施</w:t>
            </w:r>
            <w:r>
              <w:rPr>
                <w:rFonts w:hint="default" w:ascii="Times New Roman" w:hAnsi="Times New Roman" w:cs="Times New Roman"/>
                <w:color w:val="auto"/>
                <w:sz w:val="21"/>
                <w:szCs w:val="21"/>
                <w:highlight w:val="none"/>
                <w:shd w:val="clear" w:color="auto" w:fill="auto"/>
                <w:lang w:eastAsia="zh-CN"/>
              </w:rPr>
              <w:t>。</w:t>
            </w:r>
          </w:p>
        </w:tc>
      </w:tr>
    </w:tbl>
    <w:p>
      <w:pPr>
        <w:pStyle w:val="53"/>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lang w:val="en-US" w:eastAsia="zh-CN"/>
        </w:rPr>
        <w:t>3</w:t>
      </w:r>
      <w:r>
        <w:rPr>
          <w:color w:val="auto"/>
          <w:highlight w:val="none"/>
        </w:rPr>
        <w:t>.</w:t>
      </w:r>
      <w:r>
        <w:rPr>
          <w:rFonts w:hint="eastAsia"/>
          <w:color w:val="auto"/>
          <w:highlight w:val="none"/>
        </w:rPr>
        <w:t>4退役</w:t>
      </w:r>
      <w:r>
        <w:rPr>
          <w:color w:val="auto"/>
          <w:highlight w:val="none"/>
        </w:rPr>
        <w:t>期环境影响因素分析</w:t>
      </w:r>
    </w:p>
    <w:p>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.4.1 退役期环境空气保护措施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（1）退役期废气主要是施工过程中产生的扬尘，要求退役期作业时，采取洒水抑尘的降尘措施，同时要求严禁在大风天气进行作业。</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（2）运输车辆使用符合国家标准的油品。</w:t>
      </w:r>
    </w:p>
    <w:p>
      <w:pPr>
        <w:pStyle w:val="57"/>
        <w:pageBreakBefore w:val="0"/>
        <w:widowControl/>
        <w:kinsoku/>
        <w:wordWrap/>
        <w:overflowPunct/>
        <w:topLinePunct w:val="0"/>
        <w:autoSpaceDE/>
        <w:autoSpaceDN/>
        <w:bidi w:val="0"/>
        <w:spacing w:line="480" w:lineRule="exact"/>
        <w:textAlignment w:val="auto"/>
        <w:rPr>
          <w:rFonts w:hAnsi="宋体" w:cs="宋体"/>
          <w:color w:val="auto"/>
          <w:highlight w:val="none"/>
        </w:rPr>
      </w:pPr>
      <w:r>
        <w:rPr>
          <w:rFonts w:hint="eastAsia"/>
          <w:color w:val="auto"/>
          <w:highlight w:val="none"/>
        </w:rPr>
        <w:t>（3）退役期封井施工过程中，应加强施工质量管理，避免出现封井不严等非正常工况的烃类泄漏。</w:t>
      </w:r>
    </w:p>
    <w:p>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.4.2 退役期水环境污染防治措施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退役期无废水污染物产生，要求在闭井作业过程中，严格按照《废弃井封井回填技术指南</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w:t>
      </w:r>
      <w:r>
        <w:rPr>
          <w:rFonts w:hint="eastAsia"/>
          <w:color w:val="auto"/>
          <w:highlight w:val="none"/>
          <w:lang w:eastAsia="zh-CN"/>
        </w:rPr>
        <w:t>（</w:t>
      </w:r>
      <w:r>
        <w:rPr>
          <w:rFonts w:hint="eastAsia"/>
          <w:color w:val="auto"/>
          <w:highlight w:val="none"/>
        </w:rPr>
        <w:t>环办土壤函</w:t>
      </w:r>
      <w:r>
        <w:rPr>
          <w:rFonts w:hint="eastAsia"/>
          <w:color w:val="auto"/>
          <w:highlight w:val="none"/>
          <w:lang w:eastAsia="zh-CN"/>
        </w:rPr>
        <w:t>〔</w:t>
      </w:r>
      <w:r>
        <w:rPr>
          <w:rFonts w:hint="eastAsia"/>
          <w:color w:val="auto"/>
          <w:highlight w:val="none"/>
        </w:rPr>
        <w:t>2020</w:t>
      </w:r>
      <w:r>
        <w:rPr>
          <w:rFonts w:hint="eastAsia"/>
          <w:color w:val="auto"/>
          <w:highlight w:val="none"/>
          <w:lang w:eastAsia="zh-CN"/>
        </w:rPr>
        <w:t>〕</w:t>
      </w:r>
      <w:r>
        <w:rPr>
          <w:rFonts w:hint="eastAsia"/>
          <w:color w:val="auto"/>
          <w:highlight w:val="none"/>
        </w:rPr>
        <w:t>72号</w:t>
      </w:r>
      <w:r>
        <w:rPr>
          <w:rFonts w:hint="eastAsia"/>
          <w:color w:val="auto"/>
          <w:highlight w:val="none"/>
          <w:lang w:eastAsia="zh-CN"/>
        </w:rPr>
        <w:t>）</w:t>
      </w:r>
      <w:r>
        <w:rPr>
          <w:rFonts w:hint="eastAsia"/>
          <w:color w:val="auto"/>
          <w:highlight w:val="none"/>
        </w:rPr>
        <w:t>、《废弃井及长停井处置指南》</w:t>
      </w:r>
      <w:r>
        <w:rPr>
          <w:rFonts w:hint="eastAsia"/>
          <w:color w:val="auto"/>
          <w:highlight w:val="none"/>
          <w:lang w:eastAsia="zh-CN"/>
        </w:rPr>
        <w:t>（</w:t>
      </w:r>
      <w:r>
        <w:rPr>
          <w:rFonts w:hint="eastAsia"/>
          <w:color w:val="auto"/>
          <w:highlight w:val="none"/>
        </w:rPr>
        <w:t>SY/T6646-2017</w:t>
      </w:r>
      <w:r>
        <w:rPr>
          <w:rFonts w:hint="eastAsia"/>
          <w:color w:val="auto"/>
          <w:highlight w:val="none"/>
          <w:lang w:eastAsia="zh-CN"/>
        </w:rPr>
        <w:t>）</w:t>
      </w:r>
      <w:r>
        <w:rPr>
          <w:rFonts w:hint="eastAsia"/>
          <w:color w:val="auto"/>
          <w:highlight w:val="none"/>
        </w:rPr>
        <w:t>要求进行施工作业，首先对井场进行环境风险评估，根据评估等级分别采用不同的固井、封井方式，确保固井、封井措施的有效性，避免发生油水窜层。</w:t>
      </w:r>
    </w:p>
    <w:p>
      <w:pPr>
        <w:pStyle w:val="5"/>
        <w:pageBreakBefore w:val="0"/>
        <w:widowControl/>
        <w:kinsoku/>
        <w:wordWrap/>
        <w:overflowPunct/>
        <w:topLinePunct w:val="0"/>
        <w:autoSpaceDE/>
        <w:autoSpaceDN/>
        <w:bidi w:val="0"/>
        <w:spacing w:line="480" w:lineRule="exact"/>
        <w:textAlignment w:val="auto"/>
        <w:rPr>
          <w:rFonts w:hAnsi="宋体" w:cs="宋体"/>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.4.3 退役期噪声防治措施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hAnsi="宋体"/>
          <w:color w:val="auto"/>
          <w:szCs w:val="24"/>
          <w:highlight w:val="none"/>
        </w:rPr>
        <w:t>退役期噪声主要为运输车辆产生的噪声，主要采取以下措施：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（1）选用低噪声机械和车辆。</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（2）加强设备检查维修，保证其正常运行。</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（3）加强运输车辆管理，合理规划运输路线，禁止运输车辆随意高声鸣笛。</w:t>
      </w:r>
    </w:p>
    <w:p>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.4.4 退役期固体废物处置措施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hAnsi="宋体"/>
          <w:color w:val="auto"/>
          <w:szCs w:val="24"/>
          <w:highlight w:val="none"/>
        </w:rPr>
        <w:t>退役期固废主要为废弃管线、废建筑垃圾和废防渗材料，采取以下措施：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（1）废弃管线维持现状，避免因开挖管线对区域生态环境造成二次破坏，管线内物质应清空干净，并按要求进行吹扫，确保管线内无残留采出液，管线两端使用盲板封堵。</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（2）地面设施拆除、井场清理等工作中会产生废弃管线、建筑垃圾，应集中清理收集。建筑垃圾收集后送区域工业固废填埋场妥善处置；</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（3）对废弃井应封堵，拆除井口装置，地下截去一定深度的表层套管，最后清理场地，清除各种固体废弃物，自然植被区域自然恢复。</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（4）运输过程中，运输车辆均加盖篷布，以防止行驶过程中固体废物的散落。</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（5）退役期管线、设备拆卸过程中应防止废液泄漏污染地面；沾有油污的废弃管线和废防渗材料应作为危废管理；清理井场、管线施工区遗留的一切杂物，清除井场周边污染土</w:t>
      </w:r>
      <w:r>
        <w:rPr>
          <w:rFonts w:hint="eastAsia" w:ascii="宋体" w:hAnsi="宋体"/>
          <w:color w:val="auto"/>
          <w:szCs w:val="24"/>
          <w:highlight w:val="none"/>
        </w:rPr>
        <w:t>壤。</w:t>
      </w:r>
    </w:p>
    <w:p>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.4.5 退役期生态恢复措施</w:t>
      </w:r>
    </w:p>
    <w:p>
      <w:pPr>
        <w:pStyle w:val="57"/>
        <w:rPr>
          <w:color w:val="auto"/>
          <w:highlight w:val="none"/>
        </w:rPr>
      </w:pPr>
      <w:r>
        <w:rPr>
          <w:rFonts w:hint="eastAsia"/>
          <w:color w:val="auto"/>
          <w:highlight w:val="none"/>
        </w:rPr>
        <w:t>油气田单井进行开采后，油气储量逐渐下降，最终进入退役期。后期按照要求对井口进行封堵，并对井场生态恢复至原貌。采取的生态恢复措施如下：</w:t>
      </w:r>
    </w:p>
    <w:p>
      <w:pPr>
        <w:pStyle w:val="57"/>
        <w:rPr>
          <w:color w:val="auto"/>
          <w:highlight w:val="none"/>
        </w:rPr>
      </w:pPr>
      <w:r>
        <w:rPr>
          <w:rFonts w:hint="eastAsia"/>
          <w:color w:val="auto"/>
          <w:highlight w:val="none"/>
        </w:rPr>
        <w:t>（1）施工期间，施工车辆临时停放尽可能利用现有空地，并严格控制施工作业带，严禁人为破坏作业带以外区域植被；各种机动车辆固定线路，禁止随意开路。</w:t>
      </w:r>
    </w:p>
    <w:p>
      <w:pPr>
        <w:pStyle w:val="57"/>
        <w:rPr>
          <w:color w:val="auto"/>
          <w:highlight w:val="none"/>
        </w:rPr>
      </w:pPr>
      <w:r>
        <w:rPr>
          <w:rFonts w:hint="eastAsia"/>
          <w:color w:val="auto"/>
          <w:highlight w:val="none"/>
        </w:rPr>
        <w:t>（2）闭井后要拆除井架、井台，并对井场土地进行平整，清除地面上残留的污染物等。</w:t>
      </w:r>
    </w:p>
    <w:p>
      <w:pPr>
        <w:pStyle w:val="57"/>
        <w:rPr>
          <w:color w:val="auto"/>
          <w:highlight w:val="none"/>
        </w:rPr>
      </w:pPr>
      <w:r>
        <w:rPr>
          <w:rFonts w:hint="eastAsia"/>
          <w:color w:val="auto"/>
          <w:highlight w:val="none"/>
        </w:rPr>
        <w:t>（3）经治理井口装置及相应设施应做到不漏油、不漏气、不漏电，井场无油污、无垃圾。</w:t>
      </w:r>
    </w:p>
    <w:p>
      <w:pPr>
        <w:pStyle w:val="53"/>
        <w:pageBreakBefore w:val="0"/>
        <w:kinsoku/>
        <w:wordWrap/>
        <w:overflowPunct/>
        <w:topLinePunct w:val="0"/>
        <w:autoSpaceDE/>
        <w:autoSpaceDN/>
        <w:bidi w:val="0"/>
        <w:spacing w:line="480" w:lineRule="exact"/>
        <w:jc w:val="lef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.5非正常排放</w:t>
      </w:r>
    </w:p>
    <w:p>
      <w:pPr>
        <w:pageBreakBefore w:val="0"/>
        <w:kinsoku/>
        <w:wordWrap/>
        <w:overflowPunct/>
        <w:topLinePunct w:val="0"/>
        <w:autoSpaceDE/>
        <w:autoSpaceDN/>
        <w:bidi w:val="0"/>
        <w:spacing w:line="480" w:lineRule="exact"/>
        <w:ind w:firstLine="496" w:firstLineChars="200"/>
        <w:jc w:val="left"/>
        <w:textAlignment w:val="auto"/>
        <w:rPr>
          <w:rFonts w:hint="eastAsia" w:ascii="Times New Roman" w:hAnsi="Times New Roman" w:eastAsia="宋体" w:cs="Times New Roman"/>
          <w:color w:val="auto"/>
          <w:spacing w:val="4"/>
          <w:kern w:val="24"/>
          <w:sz w:val="24"/>
          <w:szCs w:val="24"/>
          <w:highlight w:val="none"/>
          <w:lang w:eastAsia="zh-CN"/>
        </w:rPr>
      </w:pPr>
      <w:bookmarkStart w:id="343" w:name="_Toc173941840"/>
      <w:bookmarkStart w:id="344" w:name="_Toc12513"/>
      <w:bookmarkStart w:id="345" w:name="_Toc173942678"/>
      <w:bookmarkStart w:id="346" w:name="_Toc173941724"/>
      <w:r>
        <w:rPr>
          <w:rFonts w:hint="eastAsia" w:ascii="Times New Roman" w:hAnsi="Times New Roman" w:eastAsia="宋体" w:cs="Times New Roman"/>
          <w:color w:val="auto"/>
          <w:spacing w:val="4"/>
          <w:kern w:val="24"/>
          <w:sz w:val="24"/>
          <w:szCs w:val="24"/>
          <w:highlight w:val="none"/>
        </w:rPr>
        <w:t>非正常生产排放包括开车、停车、设备检修、工艺设备运转异常等非正常工况的污染物排放，如工艺设备和环保设施不能正常运行时污染物的排放</w:t>
      </w:r>
      <w:r>
        <w:rPr>
          <w:rFonts w:hint="eastAsia" w:ascii="Times New Roman" w:hAnsi="Times New Roman" w:eastAsia="宋体" w:cs="Times New Roman"/>
          <w:color w:val="auto"/>
          <w:spacing w:val="4"/>
          <w:kern w:val="24"/>
          <w:sz w:val="24"/>
          <w:szCs w:val="24"/>
          <w:highlight w:val="none"/>
          <w:lang w:eastAsia="zh-CN"/>
        </w:rPr>
        <w:t>。</w:t>
      </w:r>
    </w:p>
    <w:p>
      <w:pPr>
        <w:pageBreakBefore w:val="0"/>
        <w:kinsoku/>
        <w:wordWrap/>
        <w:overflowPunct/>
        <w:topLinePunct w:val="0"/>
        <w:autoSpaceDE/>
        <w:autoSpaceDN/>
        <w:bidi w:val="0"/>
        <w:spacing w:line="480" w:lineRule="exact"/>
        <w:ind w:firstLine="496" w:firstLineChars="200"/>
        <w:jc w:val="left"/>
        <w:textAlignment w:val="auto"/>
        <w:rPr>
          <w:rFonts w:hint="eastAsia" w:ascii="Times New Roman" w:hAnsi="Times New Roman" w:eastAsia="宋体" w:cs="Times New Roman"/>
          <w:color w:val="auto"/>
          <w:spacing w:val="4"/>
          <w:kern w:val="24"/>
          <w:sz w:val="24"/>
          <w:szCs w:val="24"/>
          <w:highlight w:val="none"/>
        </w:rPr>
      </w:pPr>
      <w:r>
        <w:rPr>
          <w:rFonts w:hint="eastAsia" w:ascii="Times New Roman" w:hAnsi="Times New Roman" w:eastAsia="宋体" w:cs="Times New Roman"/>
          <w:color w:val="auto"/>
          <w:spacing w:val="4"/>
          <w:kern w:val="24"/>
          <w:sz w:val="24"/>
          <w:szCs w:val="24"/>
          <w:highlight w:val="none"/>
        </w:rPr>
        <w:t>本工程非正常排放为</w:t>
      </w:r>
      <w:r>
        <w:rPr>
          <w:rFonts w:hint="eastAsia" w:ascii="Times New Roman" w:hAnsi="Times New Roman" w:eastAsia="宋体" w:cs="Times New Roman"/>
          <w:color w:val="auto"/>
          <w:spacing w:val="4"/>
          <w:kern w:val="24"/>
          <w:sz w:val="24"/>
          <w:szCs w:val="24"/>
          <w:highlight w:val="none"/>
          <w:lang w:val="en-US" w:eastAsia="zh-CN"/>
        </w:rPr>
        <w:t>集中拉油站</w:t>
      </w:r>
      <w:r>
        <w:rPr>
          <w:rFonts w:hint="eastAsia" w:ascii="Times New Roman" w:hAnsi="Times New Roman" w:eastAsia="宋体" w:cs="Times New Roman"/>
          <w:color w:val="auto"/>
          <w:spacing w:val="4"/>
          <w:kern w:val="24"/>
          <w:sz w:val="24"/>
          <w:szCs w:val="24"/>
          <w:highlight w:val="none"/>
        </w:rPr>
        <w:t>新建</w:t>
      </w:r>
      <w:r>
        <w:rPr>
          <w:rFonts w:hint="default" w:ascii="Times New Roman" w:hAnsi="Times New Roman" w:eastAsia="宋体" w:cs="Times New Roman"/>
          <w:color w:val="auto"/>
          <w:sz w:val="24"/>
          <w:szCs w:val="24"/>
        </w:rPr>
        <w:t>生产分离器</w:t>
      </w:r>
      <w:r>
        <w:rPr>
          <w:rFonts w:hint="eastAsia" w:ascii="Times New Roman" w:hAnsi="Times New Roman" w:eastAsia="宋体" w:cs="Times New Roman"/>
          <w:color w:val="auto"/>
          <w:spacing w:val="4"/>
          <w:kern w:val="24"/>
          <w:sz w:val="24"/>
          <w:szCs w:val="24"/>
          <w:highlight w:val="none"/>
        </w:rPr>
        <w:t>和</w:t>
      </w:r>
      <w:r>
        <w:rPr>
          <w:rStyle w:val="67"/>
          <w:rFonts w:hint="default" w:ascii="Times New Roman" w:hAnsi="Times New Roman" w:cs="Times New Roman"/>
          <w:color w:val="auto"/>
          <w:sz w:val="24"/>
          <w:szCs w:val="24"/>
          <w:lang w:bidi="ar"/>
        </w:rPr>
        <w:t>拉油罐</w:t>
      </w:r>
      <w:r>
        <w:rPr>
          <w:rFonts w:hint="eastAsia" w:ascii="Times New Roman" w:hAnsi="Times New Roman" w:eastAsia="宋体" w:cs="Times New Roman"/>
          <w:color w:val="auto"/>
          <w:spacing w:val="4"/>
          <w:kern w:val="24"/>
          <w:sz w:val="24"/>
          <w:szCs w:val="24"/>
          <w:highlight w:val="none"/>
          <w:lang w:val="en-US" w:eastAsia="zh-CN"/>
        </w:rPr>
        <w:t>等</w:t>
      </w:r>
      <w:r>
        <w:rPr>
          <w:rFonts w:hint="eastAsia" w:ascii="Times New Roman" w:hAnsi="Times New Roman" w:eastAsia="宋体" w:cs="Times New Roman"/>
          <w:color w:val="auto"/>
          <w:spacing w:val="4"/>
          <w:kern w:val="24"/>
          <w:sz w:val="24"/>
          <w:szCs w:val="24"/>
          <w:highlight w:val="none"/>
        </w:rPr>
        <w:t>设备压力过高时，设备内气体紧急释放至火炬点燃。本次评价将站场设备压力异常情况作为非正常排放考虑。</w:t>
      </w:r>
    </w:p>
    <w:p>
      <w:pPr>
        <w:keepNext w:val="0"/>
        <w:keepLines w:val="0"/>
        <w:pageBreakBefore w:val="0"/>
        <w:shd w:val="clear" w:color="auto" w:fill="auto"/>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0"/>
          <w:sz w:val="24"/>
          <w:highlight w:val="none"/>
        </w:rPr>
      </w:pPr>
      <w:r>
        <w:rPr>
          <w:rFonts w:hint="default" w:ascii="Times New Roman" w:hAnsi="Times New Roman" w:eastAsia="宋体" w:cs="Times New Roman"/>
          <w:color w:val="auto"/>
          <w:kern w:val="0"/>
          <w:sz w:val="24"/>
          <w:highlight w:val="none"/>
        </w:rPr>
        <w:t>放空废气污染物排放量《排污许可证申请与核发技术规范 石化工业》（HJ853-2017）中公式（21）进行计算，公式如下：</w:t>
      </w:r>
    </w:p>
    <w:p>
      <w:pPr>
        <w:pageBreakBefore w:val="0"/>
        <w:shd w:val="clear" w:color="auto" w:fill="auto"/>
        <w:kinsoku/>
        <w:wordWrap/>
        <w:overflowPunct/>
        <w:topLinePunct w:val="0"/>
        <w:autoSpaceDE/>
        <w:autoSpaceDN/>
        <w:bidi w:val="0"/>
        <w:spacing w:line="480" w:lineRule="exact"/>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drawing>
          <wp:anchor distT="0" distB="0" distL="114300" distR="114300" simplePos="0" relativeHeight="251683840" behindDoc="0" locked="0" layoutInCell="1" allowOverlap="1">
            <wp:simplePos x="0" y="0"/>
            <wp:positionH relativeFrom="column">
              <wp:posOffset>480060</wp:posOffset>
            </wp:positionH>
            <wp:positionV relativeFrom="page">
              <wp:posOffset>8927465</wp:posOffset>
            </wp:positionV>
            <wp:extent cx="3281045" cy="636270"/>
            <wp:effectExtent l="0" t="0" r="14605" b="11430"/>
            <wp:wrapNone/>
            <wp:docPr id="2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17"/>
                    <pic:cNvPicPr>
                      <a:picLocks noChangeAspect="1"/>
                    </pic:cNvPicPr>
                  </pic:nvPicPr>
                  <pic:blipFill>
                    <a:blip r:embed="rId18"/>
                    <a:stretch>
                      <a:fillRect/>
                    </a:stretch>
                  </pic:blipFill>
                  <pic:spPr>
                    <a:xfrm>
                      <a:off x="0" y="0"/>
                      <a:ext cx="3281045" cy="636270"/>
                    </a:xfrm>
                    <a:prstGeom prst="rect">
                      <a:avLst/>
                    </a:prstGeom>
                    <a:noFill/>
                    <a:ln>
                      <a:noFill/>
                    </a:ln>
                  </pic:spPr>
                </pic:pic>
              </a:graphicData>
            </a:graphic>
          </wp:anchor>
        </w:drawing>
      </w:r>
    </w:p>
    <w:p>
      <w:pPr>
        <w:pageBreakBefore w:val="0"/>
        <w:shd w:val="clear" w:color="auto" w:fill="auto"/>
        <w:kinsoku/>
        <w:wordWrap/>
        <w:overflowPunct/>
        <w:topLinePunct w:val="0"/>
        <w:autoSpaceDE/>
        <w:autoSpaceDN/>
        <w:bidi w:val="0"/>
        <w:spacing w:line="480" w:lineRule="exact"/>
        <w:jc w:val="left"/>
        <w:textAlignment w:val="auto"/>
        <w:rPr>
          <w:rFonts w:hint="default" w:ascii="Times New Roman" w:hAnsi="Times New Roman" w:cs="Times New Roman"/>
          <w:color w:val="auto"/>
          <w:kern w:val="0"/>
          <w:sz w:val="24"/>
          <w:highlight w:val="none"/>
        </w:rPr>
      </w:pPr>
      <w:r>
        <w:rPr>
          <w:rFonts w:hint="eastAsia" w:ascii="Times New Roman" w:hAnsi="Times New Roman" w:cs="Times New Roman"/>
          <w:color w:val="auto"/>
          <w:kern w:val="0"/>
          <w:sz w:val="24"/>
          <w:highlight w:val="none"/>
          <w:lang w:val="en-US" w:eastAsia="zh-CN"/>
        </w:rPr>
        <w:t xml:space="preserve"> </w:t>
      </w:r>
    </w:p>
    <w:p>
      <w:pPr>
        <w:pageBreakBefore w:val="0"/>
        <w:shd w:val="clear" w:color="auto" w:fill="auto"/>
        <w:kinsoku/>
        <w:wordWrap/>
        <w:overflowPunct/>
        <w:topLinePunct w:val="0"/>
        <w:autoSpaceDE/>
        <w:autoSpaceDN/>
        <w:bidi w:val="0"/>
        <w:spacing w:line="480" w:lineRule="exact"/>
        <w:ind w:firstLine="48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式中：</w:t>
      </w:r>
      <w:r>
        <w:rPr>
          <w:rFonts w:hint="default" w:ascii="Times New Roman" w:hAnsi="Times New Roman" w:cs="Times New Roman"/>
          <w:i/>
          <w:color w:val="auto"/>
          <w:kern w:val="0"/>
          <w:sz w:val="24"/>
          <w:highlight w:val="none"/>
        </w:rPr>
        <w:t>S</w:t>
      </w:r>
      <w:r>
        <w:rPr>
          <w:rFonts w:hint="default" w:ascii="Times New Roman" w:hAnsi="Times New Roman" w:cs="Times New Roman"/>
          <w:i/>
          <w:color w:val="auto"/>
          <w:kern w:val="0"/>
          <w:sz w:val="24"/>
          <w:highlight w:val="none"/>
          <w:vertAlign w:val="subscript"/>
        </w:rPr>
        <w:t>i</w:t>
      </w:r>
      <w:r>
        <w:rPr>
          <w:rFonts w:hint="default" w:ascii="Times New Roman" w:hAnsi="Times New Roman" w:cs="Times New Roman"/>
          <w:color w:val="auto"/>
          <w:kern w:val="0"/>
          <w:sz w:val="24"/>
          <w:highlight w:val="none"/>
        </w:rPr>
        <w:t>——火炬气中的硫含量，kg/m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，本工程取</w:t>
      </w:r>
      <w:r>
        <w:rPr>
          <w:rFonts w:hint="eastAsia" w:ascii="Times New Roman" w:hAnsi="Times New Roman" w:cs="Times New Roman"/>
          <w:color w:val="auto"/>
          <w:kern w:val="0"/>
          <w:sz w:val="24"/>
          <w:highlight w:val="none"/>
          <w:lang w:val="en-US" w:eastAsia="zh-CN"/>
        </w:rPr>
        <w:t>0</w:t>
      </w:r>
      <w:r>
        <w:rPr>
          <w:rFonts w:hint="default" w:ascii="Times New Roman" w:hAnsi="Times New Roman" w:cs="Times New Roman"/>
          <w:color w:val="auto"/>
          <w:kern w:val="0"/>
          <w:sz w:val="24"/>
          <w:highlight w:val="none"/>
        </w:rPr>
        <w:t>kg/m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（夏子街油田丰探1</w:t>
      </w:r>
      <w:r>
        <w:rPr>
          <w:rFonts w:hint="default" w:ascii="Times New Roman" w:hAnsi="Times New Roman" w:eastAsia="宋体" w:cs="Times New Roman"/>
          <w:color w:val="auto"/>
          <w:kern w:val="0"/>
          <w:sz w:val="24"/>
          <w:highlight w:val="none"/>
        </w:rPr>
        <w:t>井区风二段天然气</w:t>
      </w:r>
      <w:r>
        <w:rPr>
          <w:rFonts w:hint="eastAsia" w:ascii="Times New Roman" w:hAnsi="Times New Roman" w:eastAsia="宋体" w:cs="Times New Roman"/>
          <w:color w:val="auto"/>
          <w:kern w:val="0"/>
          <w:sz w:val="24"/>
          <w:highlight w:val="none"/>
          <w:lang w:val="en-US" w:eastAsia="zh-CN"/>
        </w:rPr>
        <w:t>不含硫化氢</w:t>
      </w:r>
      <w:r>
        <w:rPr>
          <w:rFonts w:hint="default" w:ascii="Times New Roman" w:hAnsi="Times New Roman" w:cs="Times New Roman"/>
          <w:color w:val="auto"/>
          <w:kern w:val="0"/>
          <w:sz w:val="24"/>
          <w:highlight w:val="none"/>
        </w:rPr>
        <w:t>）；</w:t>
      </w:r>
    </w:p>
    <w:p>
      <w:pPr>
        <w:pageBreakBefore w:val="0"/>
        <w:shd w:val="clear" w:color="auto" w:fill="auto"/>
        <w:kinsoku/>
        <w:wordWrap/>
        <w:overflowPunct/>
        <w:topLinePunct w:val="0"/>
        <w:autoSpaceDE/>
        <w:autoSpaceDN/>
        <w:bidi w:val="0"/>
        <w:spacing w:line="480" w:lineRule="exact"/>
        <w:ind w:firstLine="48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xml:space="preserve">      </w:t>
      </w:r>
      <w:r>
        <w:rPr>
          <w:rFonts w:hint="default" w:ascii="Times New Roman" w:hAnsi="Times New Roman" w:cs="Times New Roman"/>
          <w:i/>
          <w:color w:val="auto"/>
          <w:kern w:val="0"/>
          <w:sz w:val="24"/>
          <w:highlight w:val="none"/>
        </w:rPr>
        <w:t>Q</w:t>
      </w:r>
      <w:r>
        <w:rPr>
          <w:rFonts w:hint="default" w:ascii="Times New Roman" w:hAnsi="Times New Roman" w:cs="Times New Roman"/>
          <w:i/>
          <w:color w:val="auto"/>
          <w:kern w:val="0"/>
          <w:sz w:val="24"/>
          <w:highlight w:val="none"/>
          <w:vertAlign w:val="subscript"/>
        </w:rPr>
        <w:t>i</w:t>
      </w:r>
      <w:r>
        <w:rPr>
          <w:rFonts w:hint="default" w:ascii="Times New Roman" w:hAnsi="Times New Roman" w:cs="Times New Roman"/>
          <w:color w:val="auto"/>
          <w:kern w:val="0"/>
          <w:sz w:val="24"/>
          <w:highlight w:val="none"/>
        </w:rPr>
        <w:t>——火炬气流量，m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/h；</w:t>
      </w:r>
    </w:p>
    <w:p>
      <w:pPr>
        <w:pageBreakBefore w:val="0"/>
        <w:shd w:val="clear" w:color="auto" w:fill="auto"/>
        <w:kinsoku/>
        <w:wordWrap/>
        <w:overflowPunct/>
        <w:topLinePunct w:val="0"/>
        <w:autoSpaceDE/>
        <w:autoSpaceDN/>
        <w:bidi w:val="0"/>
        <w:spacing w:line="480" w:lineRule="exact"/>
        <w:ind w:firstLine="48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xml:space="preserve">      </w:t>
      </w:r>
      <w:r>
        <w:rPr>
          <w:rFonts w:hint="default" w:ascii="Times New Roman" w:hAnsi="Times New Roman" w:cs="Times New Roman"/>
          <w:i/>
          <w:color w:val="auto"/>
          <w:kern w:val="0"/>
          <w:sz w:val="24"/>
          <w:highlight w:val="none"/>
        </w:rPr>
        <w:t>t</w:t>
      </w:r>
      <w:r>
        <w:rPr>
          <w:rFonts w:hint="default" w:ascii="Times New Roman" w:hAnsi="Times New Roman" w:cs="Times New Roman"/>
          <w:i/>
          <w:color w:val="auto"/>
          <w:kern w:val="0"/>
          <w:sz w:val="24"/>
          <w:highlight w:val="none"/>
          <w:vertAlign w:val="subscript"/>
        </w:rPr>
        <w:t>i</w:t>
      </w:r>
      <w:r>
        <w:rPr>
          <w:rFonts w:hint="default" w:ascii="Times New Roman" w:hAnsi="Times New Roman" w:cs="Times New Roman"/>
          <w:color w:val="auto"/>
          <w:kern w:val="0"/>
          <w:sz w:val="24"/>
          <w:highlight w:val="none"/>
        </w:rPr>
        <w:t>——火炬系统</w:t>
      </w:r>
      <w:r>
        <w:rPr>
          <w:rFonts w:hint="default" w:ascii="Times New Roman" w:hAnsi="Times New Roman" w:cs="Times New Roman"/>
          <w:i/>
          <w:color w:val="auto"/>
          <w:kern w:val="0"/>
          <w:sz w:val="24"/>
          <w:highlight w:val="none"/>
        </w:rPr>
        <w:t>i</w:t>
      </w:r>
      <w:r>
        <w:rPr>
          <w:rFonts w:hint="default" w:ascii="Times New Roman" w:hAnsi="Times New Roman" w:cs="Times New Roman"/>
          <w:color w:val="auto"/>
          <w:kern w:val="0"/>
          <w:sz w:val="24"/>
          <w:highlight w:val="none"/>
        </w:rPr>
        <w:t>的年运行时间，h/a；</w:t>
      </w:r>
    </w:p>
    <w:p>
      <w:pPr>
        <w:pageBreakBefore w:val="0"/>
        <w:shd w:val="clear" w:color="auto" w:fill="auto"/>
        <w:kinsoku/>
        <w:wordWrap/>
        <w:overflowPunct/>
        <w:topLinePunct w:val="0"/>
        <w:autoSpaceDE/>
        <w:autoSpaceDN/>
        <w:bidi w:val="0"/>
        <w:spacing w:line="480" w:lineRule="exact"/>
        <w:ind w:firstLine="480"/>
        <w:jc w:val="left"/>
        <w:textAlignment w:val="auto"/>
        <w:rPr>
          <w:rFonts w:hint="default" w:ascii="Times New Roman" w:hAnsi="Times New Roman" w:cs="Times New Roman"/>
          <w:color w:val="auto"/>
          <w:kern w:val="0"/>
          <w:sz w:val="24"/>
          <w:highlight w:val="none"/>
        </w:rPr>
      </w:pPr>
      <w:r>
        <w:rPr>
          <w:rFonts w:hint="default" w:ascii="Times New Roman" w:hAnsi="Times New Roman" w:cs="Times New Roman"/>
          <w:color w:val="auto"/>
          <w:kern w:val="0"/>
          <w:sz w:val="24"/>
          <w:highlight w:val="none"/>
        </w:rPr>
        <w:t xml:space="preserve">      </w:t>
      </w:r>
      <w:r>
        <w:rPr>
          <w:rFonts w:hint="default" w:ascii="Times New Roman" w:hAnsi="Times New Roman" w:cs="Times New Roman"/>
          <w:i/>
          <w:color w:val="auto"/>
          <w:kern w:val="0"/>
          <w:sz w:val="24"/>
          <w:highlight w:val="none"/>
        </w:rPr>
        <w:t>α</w:t>
      </w:r>
      <w:r>
        <w:rPr>
          <w:rFonts w:hint="default" w:ascii="Times New Roman" w:hAnsi="Times New Roman" w:cs="Times New Roman"/>
          <w:color w:val="auto"/>
          <w:kern w:val="0"/>
          <w:sz w:val="24"/>
          <w:highlight w:val="none"/>
        </w:rPr>
        <w:t>——排放系数，kg/m</w:t>
      </w:r>
      <w:r>
        <w:rPr>
          <w:rFonts w:hint="default" w:ascii="Times New Roman" w:hAnsi="Times New Roman" w:cs="Times New Roman"/>
          <w:color w:val="auto"/>
          <w:kern w:val="0"/>
          <w:sz w:val="24"/>
          <w:highlight w:val="none"/>
          <w:vertAlign w:val="superscript"/>
        </w:rPr>
        <w:t>3</w:t>
      </w:r>
      <w:r>
        <w:rPr>
          <w:rFonts w:hint="default" w:ascii="Times New Roman" w:hAnsi="Times New Roman" w:cs="Times New Roman"/>
          <w:color w:val="auto"/>
          <w:kern w:val="0"/>
          <w:sz w:val="24"/>
          <w:highlight w:val="none"/>
        </w:rPr>
        <w:t>，</w:t>
      </w:r>
      <w:r>
        <w:rPr>
          <w:rFonts w:hint="default" w:ascii="Times New Roman" w:hAnsi="Times New Roman" w:cs="Times New Roman"/>
          <w:color w:val="auto"/>
          <w:kern w:val="0"/>
          <w:sz w:val="24"/>
          <w:highlight w:val="none"/>
          <w:lang w:val="zh-CN"/>
        </w:rPr>
        <w:t>总烃取</w:t>
      </w:r>
      <w:r>
        <w:rPr>
          <w:rFonts w:hint="default" w:ascii="Times New Roman" w:hAnsi="Times New Roman" w:cs="Times New Roman"/>
          <w:color w:val="auto"/>
          <w:kern w:val="0"/>
          <w:sz w:val="24"/>
          <w:highlight w:val="none"/>
        </w:rPr>
        <w:t>0.002，NO</w:t>
      </w:r>
      <w:r>
        <w:rPr>
          <w:rFonts w:hint="default" w:ascii="Times New Roman" w:hAnsi="Times New Roman" w:cs="Times New Roman"/>
          <w:color w:val="auto"/>
          <w:kern w:val="0"/>
          <w:sz w:val="24"/>
          <w:highlight w:val="none"/>
          <w:vertAlign w:val="subscript"/>
        </w:rPr>
        <w:t>x</w:t>
      </w:r>
      <w:r>
        <w:rPr>
          <w:rFonts w:hint="default" w:ascii="Times New Roman" w:hAnsi="Times New Roman" w:cs="Times New Roman"/>
          <w:color w:val="auto"/>
          <w:kern w:val="0"/>
          <w:sz w:val="24"/>
          <w:highlight w:val="none"/>
        </w:rPr>
        <w:t>取0.054；</w:t>
      </w:r>
    </w:p>
    <w:p>
      <w:pPr>
        <w:pageBreakBefore w:val="0"/>
        <w:shd w:val="clear" w:color="auto" w:fill="auto"/>
        <w:kinsoku/>
        <w:wordWrap/>
        <w:overflowPunct/>
        <w:topLinePunct w:val="0"/>
        <w:autoSpaceDE/>
        <w:autoSpaceDN/>
        <w:bidi w:val="0"/>
        <w:spacing w:line="480" w:lineRule="exact"/>
        <w:ind w:firstLine="1200" w:firstLineChars="500"/>
        <w:jc w:val="left"/>
        <w:textAlignment w:val="auto"/>
        <w:rPr>
          <w:rFonts w:hint="eastAsia" w:ascii="Times New Roman" w:hAnsi="Times New Roman" w:cs="Times New Roman"/>
          <w:b/>
          <w:color w:val="auto"/>
          <w:highlight w:val="none"/>
        </w:rPr>
      </w:pPr>
      <w:r>
        <w:rPr>
          <w:rFonts w:hint="default" w:ascii="Times New Roman" w:hAnsi="Times New Roman" w:cs="Times New Roman"/>
          <w:i/>
          <w:color w:val="auto"/>
          <w:kern w:val="0"/>
          <w:sz w:val="24"/>
          <w:highlight w:val="none"/>
        </w:rPr>
        <w:t>n</w:t>
      </w:r>
      <w:r>
        <w:rPr>
          <w:rFonts w:hint="default" w:ascii="Times New Roman" w:hAnsi="Times New Roman" w:cs="Times New Roman"/>
          <w:color w:val="auto"/>
          <w:kern w:val="0"/>
          <w:sz w:val="24"/>
          <w:highlight w:val="none"/>
        </w:rPr>
        <w:t>——火炬个数。</w:t>
      </w:r>
    </w:p>
    <w:p>
      <w:pPr>
        <w:pageBreakBefore w:val="0"/>
        <w:shd w:val="clear" w:color="auto" w:fill="auto"/>
        <w:kinsoku/>
        <w:wordWrap/>
        <w:overflowPunct/>
        <w:topLinePunct w:val="0"/>
        <w:autoSpaceDE/>
        <w:autoSpaceDN/>
        <w:bidi w:val="0"/>
        <w:spacing w:line="480" w:lineRule="exact"/>
        <w:ind w:firstLine="480" w:firstLineChars="200"/>
        <w:jc w:val="left"/>
        <w:textAlignment w:val="auto"/>
        <w:rPr>
          <w:rFonts w:hint="eastAsia" w:ascii="Times New Roman" w:hAnsi="Times New Roman" w:cs="Times New Roman"/>
          <w:b/>
          <w:color w:val="auto"/>
          <w:highlight w:val="none"/>
        </w:rPr>
      </w:pPr>
      <w:r>
        <w:rPr>
          <w:rFonts w:hint="default" w:ascii="Times New Roman" w:hAnsi="Times New Roman" w:cs="Times New Roman"/>
          <w:color w:val="auto"/>
          <w:kern w:val="0"/>
          <w:sz w:val="24"/>
          <w:highlight w:val="none"/>
        </w:rPr>
        <w:t>计算结果详见表3.</w:t>
      </w:r>
      <w:r>
        <w:rPr>
          <w:rFonts w:hint="eastAsia" w:ascii="Times New Roman" w:hAnsi="Times New Roman" w:cs="Times New Roman"/>
          <w:color w:val="auto"/>
          <w:kern w:val="0"/>
          <w:sz w:val="24"/>
          <w:highlight w:val="none"/>
          <w:lang w:val="en-US" w:eastAsia="zh-CN"/>
        </w:rPr>
        <w:t>3</w:t>
      </w:r>
      <w:r>
        <w:rPr>
          <w:rFonts w:hint="default" w:ascii="Times New Roman" w:hAnsi="Times New Roman" w:cs="Times New Roman"/>
          <w:color w:val="auto"/>
          <w:kern w:val="0"/>
          <w:sz w:val="24"/>
          <w:highlight w:val="none"/>
        </w:rPr>
        <w:t>-</w:t>
      </w:r>
      <w:r>
        <w:rPr>
          <w:rFonts w:hint="eastAsia" w:ascii="Times New Roman" w:hAnsi="Times New Roman" w:cs="Times New Roman"/>
          <w:color w:val="auto"/>
          <w:kern w:val="0"/>
          <w:sz w:val="24"/>
          <w:highlight w:val="none"/>
          <w:lang w:val="en-US" w:eastAsia="zh-CN"/>
        </w:rPr>
        <w:t>1</w:t>
      </w:r>
      <w:r>
        <w:rPr>
          <w:rFonts w:hint="eastAsia" w:cs="Times New Roman"/>
          <w:color w:val="auto"/>
          <w:kern w:val="0"/>
          <w:sz w:val="24"/>
          <w:highlight w:val="none"/>
          <w:lang w:val="en-US" w:eastAsia="zh-CN"/>
        </w:rPr>
        <w:t>5</w:t>
      </w:r>
      <w:r>
        <w:rPr>
          <w:rFonts w:hint="default" w:ascii="Times New Roman" w:hAnsi="Times New Roman" w:cs="Times New Roman"/>
          <w:color w:val="auto"/>
          <w:kern w:val="0"/>
          <w:sz w:val="24"/>
          <w:highlight w:val="none"/>
        </w:rPr>
        <w:t>。</w:t>
      </w:r>
    </w:p>
    <w:p>
      <w:pPr>
        <w:pStyle w:val="54"/>
        <w:pageBreakBefore w:val="0"/>
        <w:kinsoku/>
        <w:wordWrap/>
        <w:overflowPunct/>
        <w:topLinePunct w:val="0"/>
        <w:autoSpaceDE/>
        <w:autoSpaceDN/>
        <w:bidi w:val="0"/>
        <w:spacing w:line="480" w:lineRule="exact"/>
        <w:ind w:firstLine="482"/>
        <w:rPr>
          <w:rFonts w:hint="eastAsia" w:cs="Times New Roman"/>
          <w:color w:val="auto"/>
          <w:highlight w:val="none"/>
        </w:rPr>
      </w:pPr>
      <w:r>
        <w:rPr>
          <w:rFonts w:hint="eastAsia" w:cs="Times New Roman"/>
          <w:color w:val="auto"/>
          <w:highlight w:val="none"/>
        </w:rPr>
        <w:t>表3.</w:t>
      </w:r>
      <w:r>
        <w:rPr>
          <w:rFonts w:hint="eastAsia" w:cs="Times New Roman"/>
          <w:color w:val="auto"/>
          <w:highlight w:val="none"/>
          <w:lang w:val="en-US" w:eastAsia="zh-CN"/>
        </w:rPr>
        <w:t>3</w:t>
      </w:r>
      <w:r>
        <w:rPr>
          <w:rFonts w:hint="eastAsia" w:cs="Times New Roman"/>
          <w:color w:val="auto"/>
          <w:highlight w:val="none"/>
        </w:rPr>
        <w:t>-1</w:t>
      </w:r>
      <w:r>
        <w:rPr>
          <w:rFonts w:hint="eastAsia" w:cs="Times New Roman"/>
          <w:color w:val="auto"/>
          <w:highlight w:val="none"/>
          <w:lang w:val="en-US" w:eastAsia="zh-CN"/>
        </w:rPr>
        <w:t>5</w:t>
      </w:r>
      <w:r>
        <w:rPr>
          <w:rFonts w:hint="eastAsia" w:cs="Times New Roman"/>
          <w:color w:val="auto"/>
          <w:highlight w:val="none"/>
        </w:rPr>
        <w:t xml:space="preserve">         非正常排放情况一览表</w:t>
      </w:r>
    </w:p>
    <w:tbl>
      <w:tblPr>
        <w:tblStyle w:val="34"/>
        <w:tblW w:w="4841"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721"/>
        <w:gridCol w:w="1382"/>
        <w:gridCol w:w="1325"/>
        <w:gridCol w:w="1238"/>
        <w:gridCol w:w="1760"/>
        <w:gridCol w:w="167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48"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项目</w:t>
            </w:r>
          </w:p>
        </w:tc>
        <w:tc>
          <w:tcPr>
            <w:tcW w:w="1434"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持续时间</w:t>
            </w:r>
            <w:r>
              <w:rPr>
                <w:rFonts w:hint="eastAsia" w:cs="Times New Roman"/>
                <w:color w:val="auto"/>
                <w:spacing w:val="0"/>
                <w:sz w:val="21"/>
                <w:szCs w:val="21"/>
                <w:highlight w:val="none"/>
                <w:lang w:eastAsia="zh-CN"/>
              </w:rPr>
              <w:t>（</w:t>
            </w:r>
            <w:r>
              <w:rPr>
                <w:rFonts w:hint="eastAsia" w:ascii="Times New Roman" w:hAnsi="Times New Roman" w:cs="Times New Roman"/>
                <w:color w:val="auto"/>
                <w:spacing w:val="0"/>
                <w:sz w:val="21"/>
                <w:szCs w:val="21"/>
                <w:highlight w:val="none"/>
                <w:lang w:val="en-US" w:eastAsia="zh-CN"/>
              </w:rPr>
              <w:t>h</w:t>
            </w:r>
            <w:r>
              <w:rPr>
                <w:rFonts w:hint="eastAsia" w:cs="Times New Roman"/>
                <w:color w:val="auto"/>
                <w:spacing w:val="0"/>
                <w:sz w:val="21"/>
                <w:szCs w:val="21"/>
                <w:highlight w:val="none"/>
                <w:lang w:val="en-US" w:eastAsia="zh-CN"/>
              </w:rPr>
              <w:t>）</w:t>
            </w:r>
          </w:p>
        </w:tc>
        <w:tc>
          <w:tcPr>
            <w:tcW w:w="1374"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火炬气流量</w:t>
            </w:r>
          </w:p>
        </w:tc>
        <w:tc>
          <w:tcPr>
            <w:tcW w:w="3110"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燃烧后产生的污染物排放速率</w:t>
            </w:r>
            <w:r>
              <w:rPr>
                <w:rFonts w:hint="eastAsia" w:cs="Times New Roman"/>
                <w:color w:val="auto"/>
                <w:spacing w:val="0"/>
                <w:sz w:val="21"/>
                <w:szCs w:val="21"/>
                <w:highlight w:val="none"/>
                <w:lang w:eastAsia="zh-CN"/>
              </w:rPr>
              <w:t>（</w:t>
            </w:r>
            <w:r>
              <w:rPr>
                <w:rFonts w:hint="default" w:ascii="Times New Roman" w:hAnsi="Times New Roman" w:cs="Times New Roman"/>
                <w:color w:val="auto"/>
                <w:spacing w:val="0"/>
                <w:sz w:val="21"/>
                <w:szCs w:val="21"/>
                <w:highlight w:val="none"/>
              </w:rPr>
              <w:t>kg/h</w:t>
            </w:r>
            <w:r>
              <w:rPr>
                <w:rFonts w:hint="eastAsia" w:cs="Times New Roman"/>
                <w:color w:val="auto"/>
                <w:spacing w:val="0"/>
                <w:sz w:val="21"/>
                <w:szCs w:val="21"/>
                <w:highlight w:val="none"/>
                <w:lang w:eastAsia="zh-CN"/>
              </w:rPr>
              <w:t>）</w:t>
            </w:r>
          </w:p>
        </w:tc>
        <w:tc>
          <w:tcPr>
            <w:tcW w:w="1732"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年总排放量（</w:t>
            </w:r>
            <w:r>
              <w:rPr>
                <w:rFonts w:hint="default" w:ascii="Times New Roman" w:hAnsi="Times New Roman" w:cs="Times New Roman"/>
                <w:color w:val="auto"/>
                <w:spacing w:val="0"/>
                <w:sz w:val="21"/>
                <w:szCs w:val="21"/>
                <w:highlight w:val="none"/>
              </w:rPr>
              <w:t>kg/</w:t>
            </w:r>
            <w:r>
              <w:rPr>
                <w:rFonts w:hint="eastAsia" w:ascii="Times New Roman" w:hAnsi="Times New Roman" w:cs="Times New Roman"/>
                <w:color w:val="auto"/>
                <w:spacing w:val="0"/>
                <w:sz w:val="21"/>
                <w:szCs w:val="21"/>
                <w:highlight w:val="none"/>
                <w:lang w:val="en-US" w:eastAsia="zh-CN"/>
              </w:rPr>
              <w:t>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48" w:type="dxa"/>
            <w:vMerge w:val="restart"/>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rPr>
            </w:pPr>
            <w:r>
              <w:rPr>
                <w:rFonts w:hint="default" w:ascii="Times New Roman" w:hAnsi="Times New Roman" w:cs="Times New Roman"/>
                <w:color w:val="auto"/>
                <w:spacing w:val="0"/>
                <w:sz w:val="21"/>
                <w:szCs w:val="21"/>
                <w:highlight w:val="none"/>
              </w:rPr>
              <w:t>火炬</w:t>
            </w:r>
          </w:p>
        </w:tc>
        <w:tc>
          <w:tcPr>
            <w:tcW w:w="1434"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0"/>
                <w:sz w:val="21"/>
                <w:szCs w:val="21"/>
                <w:highlight w:val="none"/>
                <w:lang w:val="en-US" w:eastAsia="zh-CN"/>
              </w:rPr>
            </w:pPr>
            <w:r>
              <w:rPr>
                <w:rFonts w:hint="eastAsia" w:ascii="Times New Roman" w:hAnsi="Times New Roman" w:cs="Times New Roman"/>
                <w:color w:val="auto"/>
                <w:spacing w:val="0"/>
                <w:sz w:val="21"/>
                <w:szCs w:val="21"/>
                <w:highlight w:val="none"/>
                <w:lang w:val="en-US" w:eastAsia="zh-CN"/>
              </w:rPr>
              <w:t>1</w:t>
            </w:r>
          </w:p>
        </w:tc>
        <w:tc>
          <w:tcPr>
            <w:tcW w:w="1374"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0"/>
                <w:sz w:val="21"/>
                <w:szCs w:val="21"/>
                <w:highlight w:val="none"/>
                <w:lang w:eastAsia="zh-CN"/>
              </w:rPr>
            </w:pPr>
            <w:r>
              <w:rPr>
                <w:rFonts w:hint="eastAsia" w:ascii="Times New Roman" w:hAnsi="Times New Roman" w:cs="Times New Roman"/>
                <w:color w:val="auto"/>
                <w:spacing w:val="0"/>
                <w:sz w:val="21"/>
                <w:szCs w:val="21"/>
                <w:highlight w:val="none"/>
                <w:lang w:val="en-US" w:eastAsia="zh-CN"/>
              </w:rPr>
              <w:t>150000</w:t>
            </w:r>
            <w:r>
              <w:rPr>
                <w:rFonts w:hint="default" w:ascii="Times New Roman" w:hAnsi="Times New Roman" w:cs="Times New Roman"/>
                <w:color w:val="auto"/>
                <w:spacing w:val="0"/>
                <w:sz w:val="21"/>
                <w:szCs w:val="21"/>
                <w:highlight w:val="none"/>
              </w:rPr>
              <w:t>m</w:t>
            </w:r>
            <w:r>
              <w:rPr>
                <w:rFonts w:hint="default" w:ascii="Times New Roman" w:hAnsi="Times New Roman" w:cs="Times New Roman"/>
                <w:color w:val="auto"/>
                <w:spacing w:val="0"/>
                <w:sz w:val="21"/>
                <w:szCs w:val="21"/>
                <w:highlight w:val="none"/>
                <w:vertAlign w:val="superscript"/>
              </w:rPr>
              <w:t>3</w:t>
            </w:r>
            <w:r>
              <w:rPr>
                <w:rFonts w:hint="default" w:ascii="Times New Roman" w:hAnsi="Times New Roman" w:cs="Times New Roman"/>
                <w:color w:val="auto"/>
                <w:spacing w:val="0"/>
                <w:sz w:val="21"/>
                <w:szCs w:val="21"/>
                <w:highlight w:val="none"/>
              </w:rPr>
              <w:t>/</w:t>
            </w:r>
            <w:r>
              <w:rPr>
                <w:rFonts w:hint="default" w:ascii="Times New Roman" w:hAnsi="Times New Roman" w:cs="Times New Roman"/>
                <w:color w:val="auto"/>
                <w:spacing w:val="0"/>
                <w:sz w:val="21"/>
                <w:szCs w:val="21"/>
                <w:highlight w:val="none"/>
                <w:lang w:val="en-US" w:eastAsia="zh-CN"/>
              </w:rPr>
              <w:t>d</w:t>
            </w:r>
            <w:r>
              <w:rPr>
                <w:rFonts w:hint="eastAsia" w:ascii="Times New Roman" w:hAnsi="Times New Roman" w:cs="Times New Roman"/>
                <w:color w:val="auto"/>
                <w:spacing w:val="0"/>
                <w:sz w:val="21"/>
                <w:szCs w:val="21"/>
                <w:highlight w:val="none"/>
                <w:lang w:val="en-US" w:eastAsia="zh-CN"/>
              </w:rPr>
              <w:t>（6250</w:t>
            </w:r>
            <w:r>
              <w:rPr>
                <w:rFonts w:hint="default" w:ascii="Times New Roman" w:hAnsi="Times New Roman" w:cs="Times New Roman"/>
                <w:color w:val="auto"/>
                <w:spacing w:val="0"/>
                <w:sz w:val="21"/>
                <w:szCs w:val="21"/>
                <w:highlight w:val="none"/>
              </w:rPr>
              <w:t>m</w:t>
            </w:r>
            <w:r>
              <w:rPr>
                <w:rFonts w:hint="default" w:ascii="Times New Roman" w:hAnsi="Times New Roman" w:cs="Times New Roman"/>
                <w:color w:val="auto"/>
                <w:spacing w:val="0"/>
                <w:sz w:val="21"/>
                <w:szCs w:val="21"/>
                <w:highlight w:val="none"/>
                <w:vertAlign w:val="superscript"/>
              </w:rPr>
              <w:t>3</w:t>
            </w:r>
            <w:r>
              <w:rPr>
                <w:rFonts w:hint="default" w:ascii="Times New Roman" w:hAnsi="Times New Roman" w:cs="Times New Roman"/>
                <w:color w:val="auto"/>
                <w:spacing w:val="0"/>
                <w:sz w:val="21"/>
                <w:szCs w:val="21"/>
                <w:highlight w:val="none"/>
              </w:rPr>
              <w:t>/</w:t>
            </w:r>
            <w:r>
              <w:rPr>
                <w:rFonts w:hint="eastAsia" w:ascii="Times New Roman" w:hAnsi="Times New Roman" w:cs="Times New Roman"/>
                <w:color w:val="auto"/>
                <w:spacing w:val="0"/>
                <w:sz w:val="21"/>
                <w:szCs w:val="21"/>
                <w:highlight w:val="none"/>
                <w:lang w:val="en-US" w:eastAsia="zh-CN"/>
              </w:rPr>
              <w:t>h）</w:t>
            </w:r>
          </w:p>
        </w:tc>
        <w:tc>
          <w:tcPr>
            <w:tcW w:w="1284" w:type="dxa"/>
            <w:tcBorders>
              <w:tl2br w:val="nil"/>
              <w:tr2bl w:val="nil"/>
            </w:tcBorders>
            <w:noWrap w:val="0"/>
            <w:vAlign w:val="center"/>
          </w:tcPr>
          <w:p>
            <w:pPr>
              <w:adjustRightInd w:val="0"/>
              <w:spacing w:line="0" w:lineRule="atLeast"/>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非甲烷总烃</w:t>
            </w:r>
          </w:p>
        </w:tc>
        <w:tc>
          <w:tcPr>
            <w:tcW w:w="1826" w:type="dxa"/>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12.5</w:t>
            </w:r>
          </w:p>
        </w:tc>
        <w:tc>
          <w:tcPr>
            <w:tcW w:w="1732" w:type="dxa"/>
            <w:tcBorders>
              <w:tl2br w:val="nil"/>
              <w:tr2bl w:val="nil"/>
            </w:tcBorders>
            <w:noWrap w:val="0"/>
            <w:vAlign w:val="center"/>
          </w:tcPr>
          <w:p>
            <w:pPr>
              <w:adjustRightInd w:val="0"/>
              <w:spacing w:line="0" w:lineRule="atLeast"/>
              <w:jc w:val="center"/>
              <w:rPr>
                <w:rFonts w:hint="default" w:ascii="Times New Roman" w:hAnsi="Times New Roman"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12.5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48" w:type="dxa"/>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rPr>
            </w:pPr>
          </w:p>
        </w:tc>
        <w:tc>
          <w:tcPr>
            <w:tcW w:w="1434" w:type="dxa"/>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rPr>
            </w:pPr>
          </w:p>
        </w:tc>
        <w:tc>
          <w:tcPr>
            <w:tcW w:w="1374" w:type="dxa"/>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rPr>
            </w:pPr>
          </w:p>
        </w:tc>
        <w:tc>
          <w:tcPr>
            <w:tcW w:w="1284" w:type="dxa"/>
            <w:tcBorders>
              <w:tl2br w:val="nil"/>
              <w:tr2bl w:val="nil"/>
            </w:tcBorders>
            <w:noWrap w:val="0"/>
            <w:vAlign w:val="center"/>
          </w:tcPr>
          <w:p>
            <w:pPr>
              <w:adjustRightInd w:val="0"/>
              <w:spacing w:line="0" w:lineRule="atLeast"/>
              <w:jc w:val="center"/>
              <w:rPr>
                <w:rFonts w:hint="default" w:ascii="Times New Roman" w:hAnsi="Times New Roman" w:cs="Times New Roman"/>
                <w:color w:val="auto"/>
                <w:spacing w:val="0"/>
                <w:kern w:val="0"/>
                <w:sz w:val="21"/>
                <w:szCs w:val="21"/>
                <w:highlight w:val="none"/>
              </w:rPr>
            </w:pPr>
            <w:r>
              <w:rPr>
                <w:rFonts w:hint="default" w:ascii="Times New Roman" w:hAnsi="Times New Roman" w:cs="Times New Roman"/>
                <w:color w:val="auto"/>
                <w:spacing w:val="0"/>
                <w:kern w:val="0"/>
                <w:sz w:val="21"/>
                <w:szCs w:val="21"/>
                <w:highlight w:val="none"/>
              </w:rPr>
              <w:t>氮氧化物</w:t>
            </w:r>
          </w:p>
        </w:tc>
        <w:tc>
          <w:tcPr>
            <w:tcW w:w="1826" w:type="dxa"/>
            <w:tcBorders>
              <w:tl2br w:val="nil"/>
              <w:tr2bl w:val="nil"/>
            </w:tcBorders>
            <w:noWrap w:val="0"/>
            <w:vAlign w:val="center"/>
          </w:tcPr>
          <w:p>
            <w:pPr>
              <w:adjustRightInd w:val="0"/>
              <w:spacing w:line="0" w:lineRule="atLeast"/>
              <w:jc w:val="center"/>
              <w:rPr>
                <w:rFonts w:hint="default" w:ascii="Times New Roman" w:hAnsi="Times New Roman" w:eastAsia="宋体"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337.5</w:t>
            </w:r>
          </w:p>
        </w:tc>
        <w:tc>
          <w:tcPr>
            <w:tcW w:w="1732" w:type="dxa"/>
            <w:tcBorders>
              <w:tl2br w:val="nil"/>
              <w:tr2bl w:val="nil"/>
            </w:tcBorders>
            <w:noWrap w:val="0"/>
            <w:vAlign w:val="center"/>
          </w:tcPr>
          <w:p>
            <w:pPr>
              <w:adjustRightInd w:val="0"/>
              <w:spacing w:line="0" w:lineRule="atLeast"/>
              <w:jc w:val="center"/>
              <w:rPr>
                <w:rFonts w:hint="default" w:ascii="Times New Roman" w:hAnsi="Times New Roman" w:cs="Times New Roman"/>
                <w:color w:val="auto"/>
                <w:spacing w:val="0"/>
                <w:kern w:val="0"/>
                <w:sz w:val="21"/>
                <w:szCs w:val="21"/>
                <w:highlight w:val="none"/>
                <w:lang w:val="en-US" w:eastAsia="zh-CN"/>
              </w:rPr>
            </w:pPr>
            <w:r>
              <w:rPr>
                <w:rFonts w:hint="eastAsia" w:ascii="Times New Roman" w:hAnsi="Times New Roman" w:cs="Times New Roman"/>
                <w:color w:val="auto"/>
                <w:spacing w:val="0"/>
                <w:kern w:val="0"/>
                <w:sz w:val="21"/>
                <w:szCs w:val="21"/>
                <w:highlight w:val="none"/>
                <w:lang w:val="en-US" w:eastAsia="zh-CN"/>
              </w:rPr>
              <w:t>337.5</w:t>
            </w:r>
          </w:p>
        </w:tc>
      </w:tr>
    </w:tbl>
    <w:p>
      <w:pPr>
        <w:pStyle w:val="53"/>
        <w:pageBreakBefore w:val="0"/>
        <w:widowControl/>
        <w:kinsoku/>
        <w:wordWrap/>
        <w:overflowPunct/>
        <w:topLinePunct w:val="0"/>
        <w:autoSpaceDE/>
        <w:autoSpaceDN/>
        <w:bidi w:val="0"/>
        <w:adjustRightInd w:val="0"/>
        <w:snapToGrid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.6清洁生产水平分析</w:t>
      </w:r>
      <w:bookmarkEnd w:id="343"/>
      <w:bookmarkEnd w:id="344"/>
      <w:bookmarkEnd w:id="345"/>
      <w:bookmarkEnd w:id="346"/>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highlight w:val="none"/>
          <w:shd w:val="clear" w:color="auto" w:fill="auto"/>
        </w:rPr>
      </w:pPr>
      <w:bookmarkStart w:id="347" w:name="_Toc337551513"/>
      <w:bookmarkStart w:id="348" w:name="_Toc338688783"/>
      <w:bookmarkStart w:id="349" w:name="_Toc313911433"/>
      <w:bookmarkStart w:id="350" w:name="_Toc384828487"/>
      <w:bookmarkStart w:id="351" w:name="_Toc301770506"/>
      <w:bookmarkStart w:id="352" w:name="_Toc301781783"/>
      <w:bookmarkStart w:id="353" w:name="_Toc382488776"/>
      <w:bookmarkStart w:id="354" w:name="_Toc312149115"/>
      <w:bookmarkStart w:id="355" w:name="_Toc330457907"/>
      <w:bookmarkStart w:id="356" w:name="_Toc339279599"/>
      <w:bookmarkStart w:id="357" w:name="_Toc387230373"/>
      <w:bookmarkStart w:id="358" w:name="_Toc364714329"/>
      <w:bookmarkStart w:id="359" w:name="_Toc364714576"/>
      <w:bookmarkStart w:id="360" w:name="_Toc387921944"/>
      <w:r>
        <w:rPr>
          <w:rFonts w:hint="default" w:ascii="Times New Roman" w:hAnsi="Times New Roman" w:eastAsia="宋体" w:cs="Times New Roman"/>
          <w:color w:val="auto"/>
          <w:highlight w:val="none"/>
          <w:shd w:val="clear" w:color="auto" w:fill="auto"/>
        </w:rPr>
        <w:t>所谓清洁生产是指不断采取改进设计、使用清洁的能源和原料、采用先进的工艺技术与设备、改善管理、综合利用等措施，从源头削减污染，提高资源利用效率，减少或者避免生产、服务和产品使用过程中污染物的产生和排放，以减轻或者消除对人类健康和环境的危害。</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highlight w:val="none"/>
          <w:shd w:val="clear" w:color="auto" w:fill="auto"/>
          <w:lang w:eastAsia="zh-CN"/>
        </w:rPr>
      </w:pPr>
      <w:r>
        <w:rPr>
          <w:rFonts w:hint="default" w:ascii="Times New Roman" w:hAnsi="Times New Roman" w:eastAsia="宋体" w:cs="Times New Roman"/>
          <w:color w:val="auto"/>
          <w:highlight w:val="none"/>
          <w:shd w:val="clear" w:color="auto" w:fill="auto"/>
        </w:rPr>
        <w:t>清洁生产是一种新的、创造性的思维方式，它以节能、降耗、减污、增效为目标，以技术和管理为手段，通过对生产全过程的排污审核、筛选并实施污染防治措施，以消除和减少工业生产对人类健康与生态环境的影响，达到防治污染、提高经济效益的双重目的。</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highlight w:val="none"/>
          <w:shd w:val="clear" w:color="auto" w:fill="auto"/>
        </w:rPr>
      </w:pPr>
      <w:r>
        <w:rPr>
          <w:rFonts w:hint="default" w:ascii="Times New Roman" w:hAnsi="Times New Roman" w:eastAsia="宋体" w:cs="Times New Roman"/>
          <w:color w:val="auto"/>
          <w:highlight w:val="none"/>
          <w:shd w:val="clear" w:color="auto" w:fill="auto"/>
          <w:lang w:eastAsia="zh-CN"/>
        </w:rPr>
        <w:t>本工程</w:t>
      </w:r>
      <w:r>
        <w:rPr>
          <w:rFonts w:hint="default" w:ascii="Times New Roman" w:hAnsi="Times New Roman" w:eastAsia="宋体" w:cs="Times New Roman"/>
          <w:color w:val="auto"/>
          <w:highlight w:val="none"/>
          <w:shd w:val="clear" w:color="auto" w:fill="auto"/>
        </w:rPr>
        <w:t>为</w:t>
      </w:r>
      <w:r>
        <w:rPr>
          <w:rFonts w:hint="eastAsia" w:ascii="Times New Roman" w:hAnsi="Times New Roman" w:eastAsia="宋体" w:cs="Times New Roman"/>
          <w:color w:val="auto"/>
          <w:highlight w:val="none"/>
          <w:shd w:val="clear" w:color="auto" w:fill="auto"/>
          <w:lang w:eastAsia="zh-CN"/>
        </w:rPr>
        <w:t>油田</w:t>
      </w:r>
      <w:r>
        <w:rPr>
          <w:rFonts w:hint="default" w:ascii="Times New Roman" w:hAnsi="Times New Roman" w:eastAsia="宋体" w:cs="Times New Roman"/>
          <w:color w:val="auto"/>
          <w:highlight w:val="none"/>
          <w:shd w:val="clear" w:color="auto" w:fill="auto"/>
        </w:rPr>
        <w:t>开发建设项目，生产过程主要包括</w:t>
      </w:r>
      <w:r>
        <w:rPr>
          <w:rFonts w:hint="eastAsia" w:ascii="Times New Roman" w:hAnsi="Times New Roman" w:eastAsia="宋体" w:cs="Times New Roman"/>
          <w:color w:val="auto"/>
          <w:highlight w:val="none"/>
          <w:shd w:val="clear" w:color="auto" w:fill="auto"/>
          <w:lang w:eastAsia="zh-CN"/>
        </w:rPr>
        <w:t>采油</w:t>
      </w:r>
      <w:r>
        <w:rPr>
          <w:rFonts w:hint="default" w:ascii="Times New Roman" w:hAnsi="Times New Roman" w:eastAsia="宋体" w:cs="Times New Roman"/>
          <w:color w:val="auto"/>
          <w:highlight w:val="none"/>
          <w:shd w:val="clear" w:color="auto" w:fill="auto"/>
        </w:rPr>
        <w:t>、油气集输</w:t>
      </w:r>
      <w:r>
        <w:rPr>
          <w:rFonts w:hint="default" w:ascii="Times New Roman" w:hAnsi="Times New Roman" w:eastAsia="宋体" w:cs="Times New Roman"/>
          <w:color w:val="auto"/>
          <w:highlight w:val="none"/>
          <w:shd w:val="clear" w:color="auto" w:fill="auto"/>
          <w:lang w:val="en-US" w:eastAsia="zh-CN"/>
        </w:rPr>
        <w:t>和</w:t>
      </w:r>
      <w:r>
        <w:rPr>
          <w:rFonts w:hint="default" w:ascii="Times New Roman" w:hAnsi="Times New Roman" w:eastAsia="宋体" w:cs="Times New Roman"/>
          <w:color w:val="auto"/>
          <w:highlight w:val="none"/>
          <w:shd w:val="clear" w:color="auto" w:fill="auto"/>
        </w:rPr>
        <w:t>井下作业及辅助生产等。针对项目特点，本次评价对污染防治措施先进性及集输工艺先进性进行清洁生产分析。</w:t>
      </w:r>
    </w:p>
    <w:p>
      <w:pPr>
        <w:pStyle w:val="5"/>
        <w:pageBreakBefore w:val="0"/>
        <w:widowControl/>
        <w:kinsoku/>
        <w:wordWrap/>
        <w:overflowPunct/>
        <w:topLinePunct w:val="0"/>
        <w:autoSpaceDE/>
        <w:autoSpaceDN/>
        <w:bidi w:val="0"/>
        <w:adjustRightInd w:val="0"/>
        <w:snapToGrid w:val="0"/>
        <w:spacing w:line="480" w:lineRule="exact"/>
        <w:textAlignment w:val="auto"/>
        <w:rPr>
          <w:rFonts w:hint="default" w:ascii="Times New Roman" w:hAnsi="Times New Roman" w:eastAsia="宋体"/>
          <w:color w:val="auto"/>
          <w:highlight w:val="none"/>
        </w:rPr>
      </w:pPr>
      <w:bookmarkStart w:id="361" w:name="_Toc30202"/>
      <w:bookmarkStart w:id="362" w:name="_Toc445842172"/>
      <w:bookmarkStart w:id="363" w:name="_Toc445840430"/>
      <w:bookmarkStart w:id="364" w:name="_Toc445996487"/>
      <w:r>
        <w:rPr>
          <w:rFonts w:hint="eastAsia" w:ascii="Times New Roman" w:hAnsi="Times New Roman" w:eastAsia="宋体"/>
          <w:color w:val="auto"/>
          <w:highlight w:val="none"/>
        </w:rPr>
        <w:t>3.</w:t>
      </w:r>
      <w:r>
        <w:rPr>
          <w:rFonts w:hint="eastAsia" w:ascii="Times New Roman" w:hAnsi="Times New Roman" w:eastAsia="宋体"/>
          <w:color w:val="auto"/>
          <w:highlight w:val="none"/>
          <w:lang w:val="en-US" w:eastAsia="zh-CN"/>
        </w:rPr>
        <w:t>3</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6</w:t>
      </w:r>
      <w:r>
        <w:rPr>
          <w:rFonts w:hint="eastAsia" w:ascii="Times New Roman" w:hAnsi="Times New Roman" w:eastAsia="宋体"/>
          <w:color w:val="auto"/>
          <w:highlight w:val="none"/>
        </w:rPr>
        <w:t>.</w:t>
      </w:r>
      <w:r>
        <w:rPr>
          <w:rFonts w:hint="eastAsia" w:ascii="Times New Roman" w:hAnsi="Times New Roman" w:eastAsia="宋体"/>
          <w:color w:val="auto"/>
          <w:highlight w:val="none"/>
          <w:lang w:val="en-US" w:eastAsia="zh-CN"/>
        </w:rPr>
        <w:t>1</w:t>
      </w:r>
      <w:r>
        <w:rPr>
          <w:rFonts w:hint="eastAsia" w:ascii="Times New Roman" w:hAnsi="Times New Roman" w:eastAsia="宋体"/>
          <w:color w:val="auto"/>
          <w:highlight w:val="none"/>
        </w:rPr>
        <w:t xml:space="preserve"> </w:t>
      </w:r>
      <w:r>
        <w:rPr>
          <w:rFonts w:hint="default" w:ascii="Times New Roman" w:hAnsi="Times New Roman" w:eastAsia="宋体"/>
          <w:color w:val="auto"/>
          <w:highlight w:val="none"/>
        </w:rPr>
        <w:t>清洁生产水平技术指标对比分析</w:t>
      </w:r>
      <w:bookmarkEnd w:id="361"/>
      <w:bookmarkEnd w:id="362"/>
      <w:bookmarkEnd w:id="363"/>
      <w:bookmarkEnd w:id="364"/>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石油天然气开采业建设项目清洁生产分析指标主要包括生产工艺与装备要求、资源能源利用指标、污染物产生指标、废物回收利用指标和环境管理要求等。根据国家发展改革委、工业和信息化部2009年联合发布的《石油天然气开采行业清洁生产评价指标体系</w:t>
      </w:r>
      <w:r>
        <w:rPr>
          <w:rFonts w:hint="eastAsia" w:ascii="Times New Roman" w:hAnsi="Times New Roman" w:cs="Times New Roman"/>
          <w:color w:val="auto"/>
          <w:highlight w:val="none"/>
          <w:shd w:val="clear" w:color="auto" w:fill="auto"/>
          <w:lang w:eastAsia="zh-CN"/>
        </w:rPr>
        <w:t>（试行）》</w:t>
      </w:r>
      <w:r>
        <w:rPr>
          <w:rFonts w:hint="default" w:ascii="Times New Roman" w:hAnsi="Times New Roman" w:cs="Times New Roman"/>
          <w:color w:val="auto"/>
          <w:highlight w:val="none"/>
          <w:shd w:val="clear" w:color="auto" w:fill="auto"/>
        </w:rPr>
        <w:t>对</w:t>
      </w:r>
      <w:r>
        <w:rPr>
          <w:rFonts w:hint="default" w:ascii="Times New Roman" w:hAnsi="Times New Roman" w:cs="Times New Roman"/>
          <w:color w:val="auto"/>
          <w:highlight w:val="none"/>
          <w:shd w:val="clear" w:color="auto" w:fill="auto"/>
          <w:lang w:eastAsia="zh-CN"/>
        </w:rPr>
        <w:t>本工程</w:t>
      </w:r>
      <w:r>
        <w:rPr>
          <w:rFonts w:hint="default" w:ascii="Times New Roman" w:hAnsi="Times New Roman" w:cs="Times New Roman"/>
          <w:color w:val="auto"/>
          <w:highlight w:val="none"/>
          <w:shd w:val="clear" w:color="auto" w:fill="auto"/>
        </w:rPr>
        <w:t>的清洁生产水平进行评价。</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highlight w:val="none"/>
          <w:shd w:val="clear" w:color="auto" w:fill="auto"/>
        </w:rPr>
      </w:pPr>
      <w:bookmarkStart w:id="365" w:name="_Toc445842173"/>
      <w:bookmarkStart w:id="366" w:name="_Toc32468"/>
      <w:bookmarkStart w:id="367" w:name="_Toc15942"/>
      <w:bookmarkStart w:id="368" w:name="_Toc2655"/>
      <w:bookmarkStart w:id="369" w:name="_Toc2768"/>
      <w:r>
        <w:rPr>
          <w:rFonts w:hint="default" w:ascii="Times New Roman" w:hAnsi="Times New Roman" w:cs="Times New Roman"/>
          <w:color w:val="auto"/>
          <w:highlight w:val="none"/>
          <w:shd w:val="clear" w:color="auto" w:fill="auto"/>
        </w:rPr>
        <w:t>（1）评价指标体系</w:t>
      </w:r>
      <w:bookmarkEnd w:id="365"/>
      <w:bookmarkEnd w:id="366"/>
      <w:bookmarkEnd w:id="367"/>
      <w:bookmarkEnd w:id="368"/>
      <w:bookmarkEnd w:id="369"/>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清洁生产评价指标体系由相互联系、相对独立、互相补充的系列清洁生产评价指标所组成的，是用于评价清洁生产绩效的指标集合。根据清洁生产的原则要求和指标的可度量性，评价指标体系分为定量评价和定性要求两大部分。</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——定量评价指标</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选取有代表性的、能反映“节约能源、降低消耗、减轻污染、增加效益”等有关清洁生产最终目标的指标，建立评价模式；通过对比各项指标的实际达到值、评价基础值和指标权重值，经过计算和评分，综合考评清洁生产的状况和水平。</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——定性评价指标</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根据国家有关推行清洁生产的产业发展和技术进步政策、资源环境保护政策规定以及行业发展规划选取，用于定性考核建设单位对有关政策、法规的符合性及清洁生产工作实施情况。</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highlight w:val="none"/>
          <w:shd w:val="clear" w:color="auto" w:fill="auto"/>
        </w:rPr>
      </w:pPr>
      <w:bookmarkStart w:id="370" w:name="_Toc23549"/>
      <w:bookmarkStart w:id="371" w:name="_Toc32607"/>
      <w:bookmarkStart w:id="372" w:name="_Toc2798"/>
      <w:r>
        <w:rPr>
          <w:rFonts w:hint="default" w:ascii="Times New Roman" w:hAnsi="Times New Roman" w:cs="Times New Roman"/>
          <w:color w:val="auto"/>
          <w:highlight w:val="none"/>
          <w:shd w:val="clear" w:color="auto" w:fill="auto"/>
        </w:rPr>
        <w:t>（2）评价依据</w:t>
      </w:r>
      <w:bookmarkEnd w:id="370"/>
      <w:bookmarkEnd w:id="371"/>
      <w:bookmarkEnd w:id="372"/>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在定量评价指标体系中，各指标的评价基准值是衡量该项指标是否符合清洁生产基本要求的评价基准。本评价指标体系确定各定量评价指标的评价基准值的依据是：</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——凡国家或行业在有关政策、规划等文件中对该项指标已有明确要求的，执行国家要求的数值。</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——凡国家或行业对该项指标尚无明确要求值的，则选用国内重点大中型油气勘探开发企业近年来清洁生产所实际达到的中上等以上水平的指标值。</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——定量评价指标体系的评价基准值代表行业清洁生产的平均先进水平。</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kern w:val="24"/>
          <w:highlight w:val="none"/>
          <w:shd w:val="clear" w:color="auto" w:fill="auto"/>
        </w:rPr>
      </w:pPr>
      <w:r>
        <w:rPr>
          <w:rFonts w:hint="default" w:ascii="Times New Roman" w:hAnsi="Times New Roman" w:cs="Times New Roman"/>
          <w:color w:val="auto"/>
          <w:kern w:val="24"/>
          <w:highlight w:val="none"/>
          <w:shd w:val="clear" w:color="auto" w:fill="auto"/>
        </w:rPr>
        <w:t>在定性评价指标体系中，衡量该项指标是否贯彻执行国家有关政策、法规的情况，按“是”或“否”两种选择来评定。</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kern w:val="24"/>
          <w:highlight w:val="none"/>
          <w:shd w:val="clear" w:color="auto" w:fill="auto"/>
        </w:rPr>
      </w:pPr>
      <w:bookmarkStart w:id="373" w:name="_Toc26475"/>
      <w:bookmarkStart w:id="374" w:name="_Toc12089"/>
      <w:bookmarkStart w:id="375" w:name="_Toc143"/>
      <w:r>
        <w:rPr>
          <w:rFonts w:hint="default" w:ascii="Times New Roman" w:hAnsi="Times New Roman" w:cs="Times New Roman"/>
          <w:color w:val="auto"/>
          <w:kern w:val="24"/>
          <w:highlight w:val="none"/>
          <w:shd w:val="clear" w:color="auto" w:fill="auto"/>
        </w:rPr>
        <w:t>（3）权重分值</w:t>
      </w:r>
      <w:bookmarkEnd w:id="373"/>
      <w:bookmarkEnd w:id="374"/>
      <w:bookmarkEnd w:id="375"/>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清洁生产评价指标的权重值反映了该指标在整个清洁生产评价指标体系中所占的比重。它原则上是根据该项指标对油气勘探开发企业清洁生产实际效益和水平的影响程度大小及其实施的难易程度来确定的。</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sz w:val="24"/>
          <w:szCs w:val="24"/>
          <w:highlight w:val="none"/>
          <w:shd w:val="clear" w:color="auto" w:fill="auto"/>
        </w:rPr>
      </w:pPr>
      <w:bookmarkStart w:id="376" w:name="_Toc25134"/>
      <w:bookmarkStart w:id="377" w:name="_Toc28144"/>
      <w:bookmarkStart w:id="378" w:name="_Toc27633"/>
      <w:r>
        <w:rPr>
          <w:rFonts w:hint="default" w:ascii="Times New Roman" w:hAnsi="Times New Roman" w:cs="Times New Roman"/>
          <w:color w:val="auto"/>
          <w:sz w:val="24"/>
          <w:szCs w:val="24"/>
          <w:highlight w:val="none"/>
          <w:shd w:val="clear" w:color="auto" w:fill="auto"/>
        </w:rPr>
        <w:t>（4）评价指标</w:t>
      </w:r>
      <w:bookmarkEnd w:id="376"/>
      <w:bookmarkEnd w:id="377"/>
      <w:bookmarkEnd w:id="378"/>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评价指标分为定量指标和定性指标。定量指标和定性指标又分为一级指标和二级指标。一级指标为普遍性、概括性的指标；二级指标为反映油气勘探开发企业清洁生产各方面具有代表性的、易于评价考核的指标。定量评价的二级指标从其数值情况来看，可分为两类情况：一类是该指标的数值越低（小）越符合清洁生产要求（如物料消耗量、取水量、综合能耗、污染物产生量等指标）；另一类是该指标的数值越高（大）越符合清洁生产要求（如水的钻井液循环利用率、含油污泥资源化利用率、余热余能利用率等指标）。因此，对二级指标的考核评分，根据其类别采用不同的计算模式。</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kern w:val="24"/>
          <w:sz w:val="24"/>
          <w:szCs w:val="24"/>
          <w:highlight w:val="none"/>
          <w:shd w:val="clear" w:color="auto" w:fill="auto"/>
        </w:rPr>
      </w:pPr>
      <w:r>
        <w:rPr>
          <w:rFonts w:hint="default" w:ascii="Times New Roman" w:hAnsi="Times New Roman" w:cs="Times New Roman"/>
          <w:color w:val="auto"/>
          <w:kern w:val="24"/>
          <w:sz w:val="24"/>
          <w:szCs w:val="24"/>
          <w:highlight w:val="none"/>
          <w:shd w:val="clear" w:color="auto" w:fill="auto"/>
        </w:rPr>
        <w:t>在行业评价指标项目、权重及基准值中未出现的指标，按照最高值进行确定，即清洁生产具有较高水平。</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eastAsia="宋体" w:cs="Times New Roman"/>
          <w:color w:val="auto"/>
          <w:sz w:val="24"/>
          <w:szCs w:val="24"/>
          <w:highlight w:val="none"/>
          <w:shd w:val="clear" w:color="auto" w:fill="auto"/>
          <w:lang w:eastAsia="zh-CN"/>
        </w:rPr>
      </w:pPr>
      <w:bookmarkStart w:id="379" w:name="_Toc445842174"/>
      <w:bookmarkStart w:id="380" w:name="_Toc4600"/>
      <w:r>
        <w:rPr>
          <w:rFonts w:hint="eastAsia" w:ascii="Times New Roman" w:hAnsi="Times New Roman" w:cs="Times New Roman"/>
          <w:color w:val="auto"/>
          <w:sz w:val="24"/>
          <w:szCs w:val="24"/>
          <w:highlight w:val="none"/>
          <w:shd w:val="clear" w:color="auto" w:fill="auto"/>
          <w:lang w:val="en-US" w:eastAsia="zh-CN"/>
        </w:rPr>
        <w:t>钻井、</w:t>
      </w:r>
      <w:r>
        <w:rPr>
          <w:rFonts w:hint="default" w:ascii="Times New Roman" w:hAnsi="Times New Roman" w:cs="Times New Roman"/>
          <w:color w:val="auto"/>
          <w:sz w:val="24"/>
          <w:szCs w:val="24"/>
          <w:highlight w:val="none"/>
          <w:shd w:val="clear" w:color="auto" w:fill="auto"/>
        </w:rPr>
        <w:t>井下作业、</w:t>
      </w:r>
      <w:r>
        <w:rPr>
          <w:rFonts w:hint="eastAsia" w:ascii="Times New Roman" w:hAnsi="Times New Roman" w:cs="Times New Roman"/>
          <w:color w:val="auto"/>
          <w:sz w:val="24"/>
          <w:szCs w:val="24"/>
          <w:highlight w:val="none"/>
          <w:shd w:val="clear" w:color="auto" w:fill="auto"/>
          <w:lang w:eastAsia="zh-CN"/>
        </w:rPr>
        <w:t>采油</w:t>
      </w:r>
      <w:r>
        <w:rPr>
          <w:rFonts w:hint="default" w:ascii="Times New Roman" w:hAnsi="Times New Roman" w:cs="Times New Roman"/>
          <w:color w:val="auto"/>
          <w:sz w:val="24"/>
          <w:szCs w:val="24"/>
          <w:highlight w:val="none"/>
          <w:shd w:val="clear" w:color="auto" w:fill="auto"/>
        </w:rPr>
        <w:t>和集输作业定量和定性评价指标项目、权重及基准值见表3.</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16~</w:t>
      </w:r>
      <w:r>
        <w:rPr>
          <w:rFonts w:hint="default" w:ascii="Times New Roman" w:hAnsi="Times New Roman" w:cs="Times New Roman"/>
          <w:color w:val="auto"/>
          <w:sz w:val="24"/>
          <w:szCs w:val="24"/>
          <w:highlight w:val="none"/>
          <w:shd w:val="clear" w:color="auto" w:fill="auto"/>
        </w:rPr>
        <w:t>3.</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18</w:t>
      </w:r>
      <w:r>
        <w:rPr>
          <w:rFonts w:hint="default" w:ascii="Times New Roman" w:hAnsi="Times New Roman" w:cs="Times New Roman"/>
          <w:color w:val="auto"/>
          <w:sz w:val="24"/>
          <w:szCs w:val="24"/>
          <w:highlight w:val="none"/>
          <w:shd w:val="clear" w:color="auto" w:fill="auto"/>
          <w:lang w:eastAsia="zh-CN"/>
        </w:rPr>
        <w:t>。</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sz w:val="24"/>
          <w:szCs w:val="24"/>
          <w:highlight w:val="none"/>
          <w:shd w:val="clear" w:color="auto" w:fill="auto"/>
        </w:rPr>
      </w:pPr>
      <w:bookmarkStart w:id="381" w:name="_Toc15483"/>
      <w:bookmarkStart w:id="382" w:name="_Toc16093"/>
      <w:bookmarkStart w:id="383" w:name="_Toc24298"/>
      <w:r>
        <w:rPr>
          <w:rFonts w:hint="default" w:ascii="Times New Roman" w:hAnsi="Times New Roman" w:cs="Times New Roman"/>
          <w:color w:val="auto"/>
          <w:sz w:val="24"/>
          <w:szCs w:val="24"/>
          <w:highlight w:val="none"/>
          <w:shd w:val="clear" w:color="auto" w:fill="auto"/>
        </w:rPr>
        <w:t>（5）评价指标考核评分计算</w:t>
      </w:r>
      <w:bookmarkEnd w:id="379"/>
      <w:bookmarkEnd w:id="380"/>
      <w:bookmarkEnd w:id="381"/>
      <w:bookmarkEnd w:id="382"/>
      <w:bookmarkEnd w:id="383"/>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1）定量评价考核总分值计算</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①单项评价指数计算</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对指标数值越高（大）越符合清洁生产要求的指标，其计算公式为：</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2400" w:firstLineChars="10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xi</w:t>
      </w: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oi</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对指标数值越低（小）越符合清洁生产要求的指标，其计算公式为：</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2400" w:firstLineChars="10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oi</w:t>
      </w: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xi</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式中：S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—第i项评价指标的单项评价指数。</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xi</w:t>
      </w:r>
      <w:r>
        <w:rPr>
          <w:rFonts w:hint="default" w:ascii="Times New Roman" w:hAnsi="Times New Roman" w:cs="Times New Roman"/>
          <w:color w:val="auto"/>
          <w:sz w:val="24"/>
          <w:szCs w:val="24"/>
          <w:highlight w:val="none"/>
          <w:shd w:val="clear" w:color="auto" w:fill="auto"/>
        </w:rPr>
        <w:t>—第i项评价指标的实际值</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oi</w:t>
      </w:r>
      <w:r>
        <w:rPr>
          <w:rFonts w:hint="default" w:ascii="Times New Roman" w:hAnsi="Times New Roman" w:cs="Times New Roman"/>
          <w:color w:val="auto"/>
          <w:sz w:val="24"/>
          <w:szCs w:val="24"/>
          <w:highlight w:val="none"/>
          <w:shd w:val="clear" w:color="auto" w:fill="auto"/>
        </w:rPr>
        <w:t>—第i项评价指标的评价基准值</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本评价指标体系各二级指标的单项评价指数的正常值一般在1.0左右，但当实际数值远小于（或远大于</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评价基准值时，计算得出的S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值就会越大，计算结果就会偏离实际，对其他评价指标的单项评价指数产生较大干扰。为了消除这种不合理影响，应对此进行修正处理。修正的方法是：当S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＞k/m时（其中k为该类一级指标的权重值，m为该类一级指标中实际参与考核的二级指标的项目数），取S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值为k/m。</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②定量评价考核总分值计算</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定量评价考核总分值计算的计算公式为：</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drawing>
          <wp:anchor distT="0" distB="0" distL="114300" distR="114300" simplePos="0" relativeHeight="251686912" behindDoc="0" locked="0" layoutInCell="1" allowOverlap="1">
            <wp:simplePos x="0" y="0"/>
            <wp:positionH relativeFrom="column">
              <wp:posOffset>2155190</wp:posOffset>
            </wp:positionH>
            <wp:positionV relativeFrom="paragraph">
              <wp:posOffset>46990</wp:posOffset>
            </wp:positionV>
            <wp:extent cx="1134110" cy="519430"/>
            <wp:effectExtent l="0" t="0" r="8890" b="13970"/>
            <wp:wrapNone/>
            <wp:docPr id="231" name="图片 2" descr="C:\Users\ADMINI~1\AppData\Local\Temp\ksohtml\wpsBB30.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 descr="C:\Users\ADMINI~1\AppData\Local\Temp\ksohtml\wpsBB30.tmp.jpg"/>
                    <pic:cNvPicPr>
                      <a:picLocks noChangeAspect="1" noChangeArrowheads="1"/>
                    </pic:cNvPicPr>
                  </pic:nvPicPr>
                  <pic:blipFill>
                    <a:blip r:embed="rId19" cstate="print"/>
                    <a:srcRect/>
                    <a:stretch>
                      <a:fillRect/>
                    </a:stretch>
                  </pic:blipFill>
                  <pic:spPr>
                    <a:xfrm>
                      <a:off x="0" y="0"/>
                      <a:ext cx="1134110" cy="519430"/>
                    </a:xfrm>
                    <a:prstGeom prst="rect">
                      <a:avLst/>
                    </a:prstGeom>
                    <a:noFill/>
                    <a:ln w="9525">
                      <a:noFill/>
                      <a:miter lim="800000"/>
                      <a:headEnd/>
                      <a:tailEnd/>
                    </a:ln>
                    <a:effectLst/>
                  </pic:spPr>
                </pic:pic>
              </a:graphicData>
            </a:graphic>
          </wp:anchor>
        </w:drawing>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式中：P</w:t>
      </w:r>
      <w:r>
        <w:rPr>
          <w:rFonts w:hint="default" w:ascii="Times New Roman" w:hAnsi="Times New Roman" w:cs="Times New Roman"/>
          <w:color w:val="auto"/>
          <w:sz w:val="24"/>
          <w:szCs w:val="24"/>
          <w:highlight w:val="none"/>
          <w:shd w:val="clear" w:color="auto" w:fill="auto"/>
          <w:vertAlign w:val="subscript"/>
        </w:rPr>
        <w:t>1</w:t>
      </w:r>
      <w:r>
        <w:rPr>
          <w:rFonts w:hint="default" w:ascii="Times New Roman" w:hAnsi="Times New Roman" w:cs="Times New Roman"/>
          <w:color w:val="auto"/>
          <w:sz w:val="24"/>
          <w:szCs w:val="24"/>
          <w:highlight w:val="none"/>
          <w:shd w:val="clear" w:color="auto" w:fill="auto"/>
        </w:rPr>
        <w:t>—定量评价考核总分值；</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n—参与定量评价考核的二级指标项目总数；</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S</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—第i项评价指标的单项评价指数；</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K</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—第i项评价指标的权重值。</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2）定性评级指标的考核评分计算</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定性评级指标的考核总分值的计算公式为：</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drawing>
          <wp:anchor distT="0" distB="0" distL="114300" distR="114300" simplePos="0" relativeHeight="251685888" behindDoc="0" locked="0" layoutInCell="1" allowOverlap="1">
            <wp:simplePos x="0" y="0"/>
            <wp:positionH relativeFrom="column">
              <wp:posOffset>2322195</wp:posOffset>
            </wp:positionH>
            <wp:positionV relativeFrom="paragraph">
              <wp:posOffset>10160</wp:posOffset>
            </wp:positionV>
            <wp:extent cx="1077595" cy="644525"/>
            <wp:effectExtent l="0" t="0" r="8255" b="3175"/>
            <wp:wrapNone/>
            <wp:docPr id="229" name="图片 3" descr="C:\Users\ADMINI~1\AppData\Local\Temp\ksohtml\wpsBB31.t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3" descr="C:\Users\ADMINI~1\AppData\Local\Temp\ksohtml\wpsBB31.tmp.jpg"/>
                    <pic:cNvPicPr>
                      <a:picLocks noChangeAspect="1" noChangeArrowheads="1"/>
                    </pic:cNvPicPr>
                  </pic:nvPicPr>
                  <pic:blipFill>
                    <a:blip r:embed="rId20" cstate="print"/>
                    <a:srcRect/>
                    <a:stretch>
                      <a:fillRect/>
                    </a:stretch>
                  </pic:blipFill>
                  <pic:spPr>
                    <a:xfrm>
                      <a:off x="0" y="0"/>
                      <a:ext cx="1077595" cy="644525"/>
                    </a:xfrm>
                    <a:prstGeom prst="rect">
                      <a:avLst/>
                    </a:prstGeom>
                    <a:noFill/>
                    <a:ln w="9525">
                      <a:noFill/>
                      <a:miter lim="800000"/>
                      <a:headEnd/>
                      <a:tailEnd/>
                    </a:ln>
                    <a:effectLst/>
                  </pic:spPr>
                </pic:pic>
              </a:graphicData>
            </a:graphic>
          </wp:anchor>
        </w:drawing>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式中：P</w:t>
      </w:r>
      <w:r>
        <w:rPr>
          <w:rFonts w:hint="default" w:ascii="Times New Roman" w:hAnsi="Times New Roman" w:cs="Times New Roman"/>
          <w:color w:val="auto"/>
          <w:sz w:val="24"/>
          <w:szCs w:val="24"/>
          <w:highlight w:val="none"/>
          <w:shd w:val="clear" w:color="auto" w:fill="auto"/>
          <w:vertAlign w:val="subscript"/>
        </w:rPr>
        <w:t>2</w:t>
      </w:r>
      <w:r>
        <w:rPr>
          <w:rFonts w:hint="default" w:ascii="Times New Roman" w:hAnsi="Times New Roman" w:cs="Times New Roman"/>
          <w:color w:val="auto"/>
          <w:sz w:val="24"/>
          <w:szCs w:val="24"/>
          <w:highlight w:val="none"/>
          <w:shd w:val="clear" w:color="auto" w:fill="auto"/>
        </w:rPr>
        <w:t>—定性评价二级指标考核总分值；</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F</w:t>
      </w:r>
      <w:r>
        <w:rPr>
          <w:rFonts w:hint="default" w:ascii="Times New Roman" w:hAnsi="Times New Roman" w:cs="Times New Roman"/>
          <w:color w:val="auto"/>
          <w:sz w:val="24"/>
          <w:szCs w:val="24"/>
          <w:highlight w:val="none"/>
          <w:shd w:val="clear" w:color="auto" w:fill="auto"/>
          <w:vertAlign w:val="subscript"/>
        </w:rPr>
        <w:t>i</w:t>
      </w:r>
      <w:r>
        <w:rPr>
          <w:rFonts w:hint="default" w:ascii="Times New Roman" w:hAnsi="Times New Roman" w:cs="Times New Roman"/>
          <w:color w:val="auto"/>
          <w:sz w:val="24"/>
          <w:szCs w:val="24"/>
          <w:highlight w:val="none"/>
          <w:shd w:val="clear" w:color="auto" w:fill="auto"/>
        </w:rPr>
        <w:t>—定性评价指标体系中第i项二级指标的得分值；</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n—参与考核的定性评价二级指标的项目总数。</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outlineLvl w:val="9"/>
        <w:rPr>
          <w:rFonts w:hint="default" w:ascii="Times New Roman" w:hAnsi="Times New Roman" w:cs="Times New Roman"/>
          <w:color w:val="auto"/>
          <w:sz w:val="24"/>
          <w:szCs w:val="24"/>
          <w:highlight w:val="none"/>
          <w:shd w:val="clear" w:color="auto" w:fill="auto"/>
        </w:rPr>
      </w:pPr>
      <w:bookmarkStart w:id="384" w:name="_Toc31946"/>
      <w:bookmarkStart w:id="385" w:name="_Toc7172"/>
      <w:bookmarkStart w:id="386" w:name="_Toc26061"/>
      <w:r>
        <w:rPr>
          <w:rFonts w:hint="default" w:ascii="Times New Roman" w:hAnsi="Times New Roman" w:cs="Times New Roman"/>
          <w:color w:val="auto"/>
          <w:sz w:val="24"/>
          <w:szCs w:val="24"/>
          <w:highlight w:val="none"/>
          <w:shd w:val="clear" w:color="auto" w:fill="auto"/>
        </w:rPr>
        <w:t>（3）综合评价指数考核评分计算</w:t>
      </w:r>
      <w:bookmarkEnd w:id="384"/>
      <w:bookmarkEnd w:id="385"/>
      <w:bookmarkEnd w:id="386"/>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综合评价指数考核总分值的计算公式为：</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P=0.6P</w:t>
      </w:r>
      <w:r>
        <w:rPr>
          <w:rFonts w:hint="default" w:ascii="Times New Roman" w:hAnsi="Times New Roman" w:cs="Times New Roman"/>
          <w:color w:val="auto"/>
          <w:sz w:val="24"/>
          <w:szCs w:val="24"/>
          <w:highlight w:val="none"/>
          <w:shd w:val="clear" w:color="auto" w:fill="auto"/>
          <w:vertAlign w:val="subscript"/>
        </w:rPr>
        <w:t>1</w:t>
      </w:r>
      <w:r>
        <w:rPr>
          <w:rFonts w:hint="default" w:ascii="Times New Roman" w:hAnsi="Times New Roman" w:cs="Times New Roman"/>
          <w:color w:val="auto"/>
          <w:sz w:val="24"/>
          <w:szCs w:val="24"/>
          <w:highlight w:val="none"/>
          <w:shd w:val="clear" w:color="auto" w:fill="auto"/>
        </w:rPr>
        <w:t>+0.4P</w:t>
      </w:r>
      <w:r>
        <w:rPr>
          <w:rFonts w:hint="default" w:ascii="Times New Roman" w:hAnsi="Times New Roman" w:cs="Times New Roman"/>
          <w:color w:val="auto"/>
          <w:sz w:val="24"/>
          <w:szCs w:val="24"/>
          <w:highlight w:val="none"/>
          <w:shd w:val="clear" w:color="auto" w:fill="auto"/>
          <w:vertAlign w:val="subscript"/>
        </w:rPr>
        <w:t>2</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式中：P—清洁生产综合评价指数</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P</w:t>
      </w:r>
      <w:r>
        <w:rPr>
          <w:rFonts w:hint="default" w:ascii="Times New Roman" w:hAnsi="Times New Roman" w:cs="Times New Roman"/>
          <w:color w:val="auto"/>
          <w:sz w:val="24"/>
          <w:szCs w:val="24"/>
          <w:highlight w:val="none"/>
          <w:shd w:val="clear" w:color="auto" w:fill="auto"/>
          <w:vertAlign w:val="subscript"/>
        </w:rPr>
        <w:t>1</w:t>
      </w:r>
      <w:r>
        <w:rPr>
          <w:rFonts w:hint="default" w:ascii="Times New Roman" w:hAnsi="Times New Roman" w:cs="Times New Roman"/>
          <w:color w:val="auto"/>
          <w:sz w:val="24"/>
          <w:szCs w:val="24"/>
          <w:highlight w:val="none"/>
          <w:shd w:val="clear" w:color="auto" w:fill="auto"/>
        </w:rPr>
        <w:t>—定量评价考核总分值；</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ascii="Times New Roman" w:hAnsi="Times New Roman" w:cs="Times New Roman"/>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P</w:t>
      </w:r>
      <w:r>
        <w:rPr>
          <w:rFonts w:hint="default" w:ascii="Times New Roman" w:hAnsi="Times New Roman" w:cs="Times New Roman"/>
          <w:color w:val="auto"/>
          <w:sz w:val="24"/>
          <w:szCs w:val="24"/>
          <w:highlight w:val="none"/>
          <w:shd w:val="clear" w:color="auto" w:fill="auto"/>
          <w:vertAlign w:val="subscript"/>
        </w:rPr>
        <w:t>2</w:t>
      </w:r>
      <w:r>
        <w:rPr>
          <w:rFonts w:hint="default" w:ascii="Times New Roman" w:hAnsi="Times New Roman" w:cs="Times New Roman"/>
          <w:color w:val="auto"/>
          <w:sz w:val="24"/>
          <w:szCs w:val="24"/>
          <w:highlight w:val="none"/>
          <w:shd w:val="clear" w:color="auto" w:fill="auto"/>
        </w:rPr>
        <w:t>—定性评价二级指标考核总分值。</w:t>
      </w:r>
    </w:p>
    <w:p>
      <w:pPr>
        <w:pStyle w:val="88"/>
        <w:keepNext w:val="0"/>
        <w:keepLines w:val="0"/>
        <w:pageBreakBefore w:val="0"/>
        <w:widowControl/>
        <w:kinsoku/>
        <w:wordWrap/>
        <w:overflowPunct/>
        <w:topLinePunct w:val="0"/>
        <w:autoSpaceDE/>
        <w:autoSpaceDN/>
        <w:bidi w:val="0"/>
        <w:adjustRightInd w:val="0"/>
        <w:snapToGrid w:val="0"/>
        <w:spacing w:line="480" w:lineRule="exact"/>
        <w:ind w:firstLine="480"/>
        <w:jc w:val="left"/>
        <w:textAlignment w:val="auto"/>
        <w:rPr>
          <w:rFonts w:hint="default" w:cs="Times New Roman"/>
          <w:color w:val="auto"/>
          <w:highlight w:val="none"/>
        </w:rPr>
      </w:pPr>
      <w:r>
        <w:rPr>
          <w:rFonts w:hint="default" w:ascii="Times New Roman" w:hAnsi="Times New Roman" w:cs="Times New Roman"/>
          <w:color w:val="auto"/>
          <w:sz w:val="24"/>
          <w:szCs w:val="24"/>
          <w:highlight w:val="none"/>
          <w:shd w:val="clear" w:color="auto" w:fill="auto"/>
        </w:rPr>
        <w:t>根据目前我国石油和天然气开采行业的实际情况，不同等级的清洁生产企业的综合评价指标见表3.</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19</w:t>
      </w:r>
      <w:r>
        <w:rPr>
          <w:rFonts w:hint="default" w:ascii="Times New Roman" w:hAnsi="Times New Roman" w:cs="Times New Roman"/>
          <w:color w:val="auto"/>
          <w:sz w:val="24"/>
          <w:szCs w:val="24"/>
          <w:highlight w:val="none"/>
          <w:shd w:val="clear" w:color="auto" w:fill="auto"/>
        </w:rPr>
        <w:t>。</w:t>
      </w:r>
    </w:p>
    <w:p>
      <w:pPr>
        <w:pStyle w:val="54"/>
        <w:pageBreakBefore w:val="0"/>
        <w:kinsoku/>
        <w:wordWrap/>
        <w:overflowPunct/>
        <w:topLinePunct w:val="0"/>
        <w:autoSpaceDE/>
        <w:autoSpaceDN/>
        <w:bidi w:val="0"/>
        <w:spacing w:line="480" w:lineRule="exact"/>
        <w:ind w:firstLine="482"/>
        <w:rPr>
          <w:rFonts w:hint="default" w:cs="Times New Roman"/>
          <w:color w:val="auto"/>
          <w:highlight w:val="none"/>
        </w:rPr>
      </w:pPr>
    </w:p>
    <w:p>
      <w:pPr>
        <w:pStyle w:val="54"/>
        <w:pageBreakBefore w:val="0"/>
        <w:kinsoku/>
        <w:wordWrap/>
        <w:overflowPunct/>
        <w:topLinePunct w:val="0"/>
        <w:autoSpaceDE/>
        <w:autoSpaceDN/>
        <w:bidi w:val="0"/>
        <w:spacing w:line="480" w:lineRule="exact"/>
        <w:ind w:firstLine="482"/>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default" w:cs="Times New Roman"/>
          <w:color w:val="auto"/>
          <w:highlight w:val="none"/>
        </w:rPr>
        <w:t>-</w:t>
      </w:r>
      <w:r>
        <w:rPr>
          <w:rFonts w:hint="eastAsia" w:cs="Times New Roman"/>
          <w:color w:val="auto"/>
          <w:highlight w:val="none"/>
          <w:lang w:val="en-US" w:eastAsia="zh-CN"/>
        </w:rPr>
        <w:t>19</w:t>
      </w:r>
      <w:r>
        <w:rPr>
          <w:rFonts w:hint="default" w:cs="Times New Roman"/>
          <w:color w:val="auto"/>
          <w:highlight w:val="none"/>
        </w:rPr>
        <w:t>石油和天然气开采行业不同等级清洁生产企业综合评价指数</w:t>
      </w:r>
    </w:p>
    <w:tbl>
      <w:tblPr>
        <w:tblStyle w:val="34"/>
        <w:tblW w:w="0" w:type="auto"/>
        <w:jc w:val="center"/>
        <w:tblLayout w:type="fixed"/>
        <w:tblCellMar>
          <w:top w:w="0" w:type="dxa"/>
          <w:left w:w="108" w:type="dxa"/>
          <w:bottom w:w="0" w:type="dxa"/>
          <w:right w:w="108" w:type="dxa"/>
        </w:tblCellMar>
      </w:tblPr>
      <w:tblGrid>
        <w:gridCol w:w="4261"/>
        <w:gridCol w:w="4261"/>
      </w:tblGrid>
      <w:tr>
        <w:tblPrEx>
          <w:tblCellMar>
            <w:top w:w="0" w:type="dxa"/>
            <w:left w:w="108" w:type="dxa"/>
            <w:bottom w:w="0" w:type="dxa"/>
            <w:right w:w="108" w:type="dxa"/>
          </w:tblCellMar>
        </w:tblPrEx>
        <w:trPr>
          <w:trHeight w:val="397" w:hRule="atLeast"/>
          <w:jc w:val="center"/>
        </w:trPr>
        <w:tc>
          <w:tcPr>
            <w:tcW w:w="4261" w:type="dxa"/>
            <w:tcBorders>
              <w:top w:val="single" w:color="auto" w:sz="12" w:space="0"/>
              <w:left w:val="single" w:color="auto" w:sz="12" w:space="0"/>
              <w:bottom w:val="single" w:color="auto" w:sz="4" w:space="0"/>
              <w:right w:val="single" w:color="auto" w:sz="4" w:space="0"/>
            </w:tcBorders>
            <w:noWrap w:val="0"/>
            <w:vAlign w:val="center"/>
          </w:tcPr>
          <w:p>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清洁生产企业等级</w:t>
            </w:r>
          </w:p>
        </w:tc>
        <w:tc>
          <w:tcPr>
            <w:tcW w:w="4261" w:type="dxa"/>
            <w:tcBorders>
              <w:top w:val="single" w:color="auto" w:sz="12" w:space="0"/>
              <w:left w:val="single" w:color="auto" w:sz="4" w:space="0"/>
              <w:bottom w:val="single" w:color="auto" w:sz="4" w:space="0"/>
              <w:right w:val="single" w:color="auto" w:sz="12" w:space="0"/>
            </w:tcBorders>
            <w:noWrap w:val="0"/>
            <w:vAlign w:val="center"/>
          </w:tcPr>
          <w:p>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清洁生产综合评价指数</w:t>
            </w:r>
          </w:p>
        </w:tc>
      </w:tr>
      <w:tr>
        <w:tblPrEx>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12" w:space="0"/>
              <w:bottom w:val="single" w:color="auto" w:sz="4" w:space="0"/>
              <w:right w:val="single" w:color="auto" w:sz="4" w:space="0"/>
            </w:tcBorders>
            <w:noWrap w:val="0"/>
            <w:vAlign w:val="center"/>
          </w:tcPr>
          <w:p>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清洁生产先进企业</w:t>
            </w:r>
          </w:p>
        </w:tc>
        <w:tc>
          <w:tcPr>
            <w:tcW w:w="4261" w:type="dxa"/>
            <w:tcBorders>
              <w:top w:val="single" w:color="auto" w:sz="4" w:space="0"/>
              <w:left w:val="single" w:color="auto" w:sz="4" w:space="0"/>
              <w:bottom w:val="single" w:color="auto" w:sz="4" w:space="0"/>
              <w:right w:val="single" w:color="auto" w:sz="12" w:space="0"/>
            </w:tcBorders>
            <w:noWrap w:val="0"/>
            <w:vAlign w:val="center"/>
          </w:tcPr>
          <w:p>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P≥90</w:t>
            </w:r>
          </w:p>
        </w:tc>
      </w:tr>
      <w:tr>
        <w:tblPrEx>
          <w:tblCellMar>
            <w:top w:w="0" w:type="dxa"/>
            <w:left w:w="108" w:type="dxa"/>
            <w:bottom w:w="0" w:type="dxa"/>
            <w:right w:w="108" w:type="dxa"/>
          </w:tblCellMar>
        </w:tblPrEx>
        <w:trPr>
          <w:trHeight w:val="397" w:hRule="atLeast"/>
          <w:jc w:val="center"/>
        </w:trPr>
        <w:tc>
          <w:tcPr>
            <w:tcW w:w="4261" w:type="dxa"/>
            <w:tcBorders>
              <w:top w:val="single" w:color="auto" w:sz="4" w:space="0"/>
              <w:left w:val="single" w:color="auto" w:sz="12" w:space="0"/>
              <w:bottom w:val="single" w:color="auto" w:sz="12" w:space="0"/>
              <w:right w:val="single" w:color="auto" w:sz="4" w:space="0"/>
            </w:tcBorders>
            <w:noWrap w:val="0"/>
            <w:vAlign w:val="center"/>
          </w:tcPr>
          <w:p>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清洁生产企业</w:t>
            </w:r>
          </w:p>
        </w:tc>
        <w:tc>
          <w:tcPr>
            <w:tcW w:w="4261" w:type="dxa"/>
            <w:tcBorders>
              <w:top w:val="single" w:color="auto" w:sz="4" w:space="0"/>
              <w:left w:val="single" w:color="auto" w:sz="4" w:space="0"/>
              <w:bottom w:val="single" w:color="auto" w:sz="12" w:space="0"/>
              <w:right w:val="single" w:color="auto" w:sz="12" w:space="0"/>
            </w:tcBorders>
            <w:noWrap w:val="0"/>
            <w:vAlign w:val="center"/>
          </w:tcPr>
          <w:p>
            <w:pPr>
              <w:adjustRightInd w:val="0"/>
              <w:snapToGrid w:val="0"/>
              <w:spacing w:line="300" w:lineRule="exac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75≤P</w:t>
            </w:r>
            <w:r>
              <w:rPr>
                <w:rFonts w:hint="eastAsia" w:ascii="Times New Roman" w:hAnsi="Times New Roman" w:cs="Times New Roman"/>
                <w:color w:val="auto"/>
                <w:sz w:val="21"/>
                <w:szCs w:val="21"/>
                <w:highlight w:val="none"/>
                <w:shd w:val="clear" w:color="auto" w:fill="auto"/>
                <w:lang w:eastAsia="zh-CN"/>
              </w:rPr>
              <w:t>&lt;</w:t>
            </w:r>
            <w:r>
              <w:rPr>
                <w:rFonts w:hint="default" w:ascii="Times New Roman" w:hAnsi="Times New Roman" w:cs="Times New Roman"/>
                <w:color w:val="auto"/>
                <w:sz w:val="21"/>
                <w:szCs w:val="21"/>
                <w:highlight w:val="none"/>
                <w:shd w:val="clear" w:color="auto" w:fill="auto"/>
              </w:rPr>
              <w:t>90</w:t>
            </w:r>
          </w:p>
        </w:tc>
      </w:tr>
    </w:tbl>
    <w:p>
      <w:pPr>
        <w:keepNext w:val="0"/>
        <w:keepLines w:val="0"/>
        <w:pageBreakBefore w:val="0"/>
        <w:widowControl w:val="0"/>
        <w:kinsoku/>
        <w:wordWrap/>
        <w:overflowPunct/>
        <w:topLinePunct w:val="0"/>
        <w:autoSpaceDE/>
        <w:autoSpaceDN/>
        <w:bidi w:val="0"/>
        <w:adjustRightInd/>
        <w:snapToGrid/>
        <w:spacing w:line="348" w:lineRule="auto"/>
        <w:ind w:firstLine="480" w:firstLineChars="200"/>
        <w:jc w:val="both"/>
        <w:textAlignment w:val="auto"/>
        <w:rPr>
          <w:rFonts w:hint="default" w:ascii="Times New Roman" w:hAnsi="Times New Roman" w:eastAsia="宋体" w:cs="Times New Roman"/>
          <w:color w:val="auto"/>
          <w:sz w:val="24"/>
          <w:highlight w:val="none"/>
          <w:shd w:val="clear" w:color="auto" w:fill="auto"/>
        </w:rPr>
      </w:pPr>
      <w:r>
        <w:rPr>
          <w:rFonts w:hint="default" w:ascii="Times New Roman" w:hAnsi="Times New Roman" w:eastAsia="宋体" w:cs="Times New Roman"/>
          <w:color w:val="auto"/>
          <w:sz w:val="24"/>
          <w:szCs w:val="24"/>
          <w:highlight w:val="none"/>
          <w:shd w:val="clear" w:color="auto" w:fill="auto"/>
        </w:rPr>
        <w:t>由表3.</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cs="Times New Roman"/>
          <w:color w:val="auto"/>
          <w:sz w:val="24"/>
          <w:szCs w:val="24"/>
          <w:highlight w:val="none"/>
          <w:shd w:val="clear" w:color="auto" w:fill="auto"/>
          <w:lang w:val="en-US" w:eastAsia="zh-CN"/>
        </w:rPr>
        <w:t>6</w:t>
      </w:r>
      <w:r>
        <w:rPr>
          <w:rFonts w:hint="default" w:ascii="Times New Roman" w:hAnsi="Times New Roman" w:eastAsia="宋体" w:cs="Times New Roman"/>
          <w:color w:val="auto"/>
          <w:sz w:val="24"/>
          <w:szCs w:val="24"/>
          <w:highlight w:val="none"/>
          <w:shd w:val="clear" w:color="auto" w:fill="auto"/>
          <w:lang w:val="en-US" w:eastAsia="zh-CN"/>
        </w:rPr>
        <w:t>~</w:t>
      </w:r>
      <w:r>
        <w:rPr>
          <w:rFonts w:hint="default" w:ascii="Times New Roman" w:hAnsi="Times New Roman" w:eastAsia="宋体" w:cs="Times New Roman"/>
          <w:color w:val="auto"/>
          <w:sz w:val="24"/>
          <w:szCs w:val="24"/>
          <w:highlight w:val="none"/>
          <w:shd w:val="clear" w:color="auto" w:fill="auto"/>
        </w:rPr>
        <w:t>3.</w:t>
      </w:r>
      <w:r>
        <w:rPr>
          <w:rFonts w:hint="eastAsia" w:ascii="Times New Roman" w:hAnsi="Times New Roman" w:eastAsia="宋体" w:cs="Times New Roman"/>
          <w:color w:val="auto"/>
          <w:sz w:val="24"/>
          <w:szCs w:val="24"/>
          <w:highlight w:val="none"/>
          <w:shd w:val="clear" w:color="auto" w:fill="auto"/>
          <w:lang w:val="en-US" w:eastAsia="zh-CN"/>
        </w:rPr>
        <w:t>3</w:t>
      </w:r>
      <w:r>
        <w:rPr>
          <w:rFonts w:hint="default" w:ascii="Times New Roman" w:hAnsi="Times New Roman" w:eastAsia="宋体" w:cs="Times New Roman"/>
          <w:color w:val="auto"/>
          <w:sz w:val="24"/>
          <w:szCs w:val="24"/>
          <w:highlight w:val="none"/>
          <w:shd w:val="clear" w:color="auto" w:fill="auto"/>
        </w:rPr>
        <w:t>-</w:t>
      </w:r>
      <w:r>
        <w:rPr>
          <w:rFonts w:hint="eastAsia" w:ascii="Times New Roman" w:hAnsi="Times New Roman" w:cs="Times New Roman"/>
          <w:color w:val="auto"/>
          <w:sz w:val="24"/>
          <w:szCs w:val="24"/>
          <w:highlight w:val="none"/>
          <w:shd w:val="clear" w:color="auto" w:fill="auto"/>
          <w:lang w:val="en-US" w:eastAsia="zh-CN"/>
        </w:rPr>
        <w:t>1</w:t>
      </w:r>
      <w:r>
        <w:rPr>
          <w:rFonts w:hint="eastAsia" w:cs="Times New Roman"/>
          <w:color w:val="auto"/>
          <w:sz w:val="24"/>
          <w:szCs w:val="24"/>
          <w:highlight w:val="none"/>
          <w:shd w:val="clear" w:color="auto" w:fill="auto"/>
          <w:lang w:val="en-US" w:eastAsia="zh-CN"/>
        </w:rPr>
        <w:t>8</w:t>
      </w:r>
      <w:r>
        <w:rPr>
          <w:rFonts w:hint="default" w:ascii="Times New Roman" w:hAnsi="Times New Roman" w:eastAsia="宋体" w:cs="Times New Roman"/>
          <w:color w:val="auto"/>
          <w:sz w:val="24"/>
          <w:szCs w:val="24"/>
          <w:highlight w:val="none"/>
          <w:shd w:val="clear" w:color="auto" w:fill="auto"/>
        </w:rPr>
        <w:t>计算可得</w:t>
      </w:r>
      <w:r>
        <w:rPr>
          <w:rFonts w:hint="default" w:ascii="Times New Roman" w:hAnsi="Times New Roman" w:eastAsia="宋体" w:cs="Times New Roman"/>
          <w:color w:val="auto"/>
          <w:sz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before="120" w:beforeLines="50" w:line="348" w:lineRule="auto"/>
        <w:ind w:firstLine="480" w:firstLineChars="200"/>
        <w:jc w:val="both"/>
        <w:textAlignment w:val="auto"/>
        <w:rPr>
          <w:rFonts w:hint="default"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——钻井作业：定量指标100分，定性指标95分，综合评价98分。</w:t>
      </w:r>
    </w:p>
    <w:p>
      <w:pPr>
        <w:keepNext w:val="0"/>
        <w:keepLines w:val="0"/>
        <w:pageBreakBefore w:val="0"/>
        <w:widowControl w:val="0"/>
        <w:kinsoku/>
        <w:wordWrap/>
        <w:overflowPunct/>
        <w:topLinePunct w:val="0"/>
        <w:autoSpaceDE/>
        <w:autoSpaceDN/>
        <w:bidi w:val="0"/>
        <w:adjustRightInd/>
        <w:snapToGrid/>
        <w:spacing w:before="120" w:beforeLines="50" w:line="348" w:lineRule="auto"/>
        <w:ind w:firstLine="480" w:firstLineChars="200"/>
        <w:jc w:val="both"/>
        <w:textAlignment w:val="auto"/>
        <w:rPr>
          <w:rFonts w:hint="default"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——井下作业：定量指标</w:t>
      </w:r>
      <w:r>
        <w:rPr>
          <w:rFonts w:hint="default" w:ascii="Times New Roman" w:hAnsi="Times New Roman" w:cs="Times New Roman"/>
          <w:color w:val="auto"/>
          <w:sz w:val="24"/>
          <w:highlight w:val="none"/>
          <w:shd w:val="clear" w:color="auto" w:fill="auto"/>
          <w:lang w:val="en-US" w:eastAsia="zh-CN"/>
        </w:rPr>
        <w:t>90</w:t>
      </w:r>
      <w:r>
        <w:rPr>
          <w:rFonts w:hint="default" w:ascii="Times New Roman" w:hAnsi="Times New Roman" w:cs="Times New Roman"/>
          <w:color w:val="auto"/>
          <w:sz w:val="24"/>
          <w:highlight w:val="none"/>
          <w:shd w:val="clear" w:color="auto" w:fill="auto"/>
        </w:rPr>
        <w:t>分，定性指标100分，综合评价</w:t>
      </w:r>
      <w:r>
        <w:rPr>
          <w:rFonts w:hint="default" w:ascii="Times New Roman" w:hAnsi="Times New Roman" w:cs="Times New Roman"/>
          <w:color w:val="auto"/>
          <w:sz w:val="24"/>
          <w:highlight w:val="none"/>
          <w:shd w:val="clear" w:color="auto" w:fill="auto"/>
          <w:lang w:val="en-US" w:eastAsia="zh-CN"/>
        </w:rPr>
        <w:t>94</w:t>
      </w:r>
      <w:r>
        <w:rPr>
          <w:rFonts w:hint="default" w:ascii="Times New Roman" w:hAnsi="Times New Roman" w:cs="Times New Roman"/>
          <w:color w:val="auto"/>
          <w:sz w:val="24"/>
          <w:highlight w:val="none"/>
          <w:shd w:val="clear" w:color="auto" w:fill="auto"/>
        </w:rPr>
        <w:t>分。</w:t>
      </w:r>
    </w:p>
    <w:p>
      <w:pPr>
        <w:keepNext w:val="0"/>
        <w:keepLines w:val="0"/>
        <w:pageBreakBefore w:val="0"/>
        <w:widowControl w:val="0"/>
        <w:kinsoku/>
        <w:wordWrap/>
        <w:overflowPunct/>
        <w:topLinePunct w:val="0"/>
        <w:autoSpaceDE/>
        <w:autoSpaceDN/>
        <w:bidi w:val="0"/>
        <w:adjustRightInd/>
        <w:snapToGrid/>
        <w:spacing w:before="120" w:beforeLines="50" w:line="348" w:lineRule="auto"/>
        <w:ind w:firstLine="480" w:firstLineChars="200"/>
        <w:jc w:val="both"/>
        <w:textAlignment w:val="auto"/>
        <w:rPr>
          <w:rFonts w:hint="default" w:ascii="Times New Roman" w:hAnsi="Times New Roman" w:cs="Times New Roman"/>
          <w:color w:val="auto"/>
          <w:sz w:val="24"/>
          <w:highlight w:val="none"/>
          <w:shd w:val="clear" w:color="auto" w:fill="auto"/>
        </w:rPr>
      </w:pPr>
      <w:r>
        <w:rPr>
          <w:rFonts w:hint="default" w:ascii="Times New Roman" w:hAnsi="Times New Roman" w:cs="Times New Roman"/>
          <w:color w:val="auto"/>
          <w:sz w:val="24"/>
          <w:highlight w:val="none"/>
          <w:shd w:val="clear" w:color="auto" w:fill="auto"/>
        </w:rPr>
        <w:t>——</w:t>
      </w:r>
      <w:r>
        <w:rPr>
          <w:rFonts w:hint="default" w:ascii="Times New Roman" w:hAnsi="Times New Roman" w:cs="Times New Roman"/>
          <w:color w:val="auto"/>
          <w:sz w:val="24"/>
          <w:highlight w:val="none"/>
          <w:shd w:val="clear" w:color="auto" w:fill="auto"/>
          <w:lang w:eastAsia="zh-CN"/>
        </w:rPr>
        <w:t>采油</w:t>
      </w:r>
      <w:r>
        <w:rPr>
          <w:rFonts w:hint="default" w:ascii="Times New Roman" w:hAnsi="Times New Roman" w:cs="Times New Roman"/>
          <w:color w:val="auto"/>
          <w:sz w:val="24"/>
          <w:highlight w:val="none"/>
          <w:shd w:val="clear" w:color="auto" w:fill="auto"/>
        </w:rPr>
        <w:t>和集输：定量指标90分，定性指标</w:t>
      </w:r>
      <w:r>
        <w:rPr>
          <w:rFonts w:hint="eastAsia" w:cs="Times New Roman"/>
          <w:color w:val="auto"/>
          <w:sz w:val="24"/>
          <w:highlight w:val="none"/>
          <w:shd w:val="clear" w:color="auto" w:fill="auto"/>
          <w:lang w:val="en-US" w:eastAsia="zh-CN"/>
        </w:rPr>
        <w:t>90</w:t>
      </w:r>
      <w:r>
        <w:rPr>
          <w:rFonts w:hint="default" w:ascii="Times New Roman" w:hAnsi="Times New Roman" w:cs="Times New Roman"/>
          <w:color w:val="auto"/>
          <w:sz w:val="24"/>
          <w:highlight w:val="none"/>
          <w:shd w:val="clear" w:color="auto" w:fill="auto"/>
        </w:rPr>
        <w:t>分，综合评价</w:t>
      </w:r>
      <w:r>
        <w:rPr>
          <w:rFonts w:hint="eastAsia" w:cs="Times New Roman"/>
          <w:color w:val="auto"/>
          <w:sz w:val="24"/>
          <w:highlight w:val="none"/>
          <w:shd w:val="clear" w:color="auto" w:fill="auto"/>
          <w:lang w:val="en-US" w:eastAsia="zh-CN"/>
        </w:rPr>
        <w:t>90</w:t>
      </w:r>
      <w:r>
        <w:rPr>
          <w:rFonts w:hint="default" w:ascii="Times New Roman" w:hAnsi="Times New Roman" w:cs="Times New Roman"/>
          <w:color w:val="auto"/>
          <w:sz w:val="24"/>
          <w:highlight w:val="none"/>
          <w:shd w:val="clear" w:color="auto" w:fill="auto"/>
        </w:rPr>
        <w:t>分。</w:t>
      </w:r>
    </w:p>
    <w:p>
      <w:pPr>
        <w:pStyle w:val="88"/>
        <w:pageBreakBefore w:val="0"/>
        <w:kinsoku/>
        <w:wordWrap/>
        <w:overflowPunct/>
        <w:topLinePunct w:val="0"/>
        <w:autoSpaceDE/>
        <w:autoSpaceDN/>
        <w:bidi w:val="0"/>
        <w:spacing w:line="360" w:lineRule="auto"/>
        <w:ind w:left="0" w:leftChars="0" w:firstLine="0" w:firstLineChars="0"/>
        <w:textAlignment w:val="auto"/>
        <w:rPr>
          <w:rFonts w:hint="default" w:ascii="Times New Roman" w:hAnsi="Times New Roman" w:cs="Times New Roman"/>
          <w:color w:val="auto"/>
          <w:sz w:val="24"/>
          <w:highlight w:val="none"/>
          <w:shd w:val="clear" w:color="auto" w:fill="auto"/>
        </w:rPr>
        <w:sectPr>
          <w:pgSz w:w="11906" w:h="16838"/>
          <w:pgMar w:top="1440" w:right="1800" w:bottom="1440" w:left="1800" w:header="794" w:footer="1134" w:gutter="0"/>
          <w:pgBorders>
            <w:top w:val="none" w:sz="0" w:space="0"/>
            <w:left w:val="none" w:sz="0" w:space="0"/>
            <w:bottom w:val="none" w:sz="0" w:space="0"/>
            <w:right w:val="none" w:sz="0" w:space="0"/>
          </w:pgBorders>
          <w:pgNumType w:fmt="decimal"/>
          <w:cols w:space="720" w:num="1"/>
          <w:docGrid w:type="lines" w:linePitch="326" w:charSpace="0"/>
        </w:sectPr>
      </w:pPr>
    </w:p>
    <w:p>
      <w:pPr>
        <w:pStyle w:val="54"/>
        <w:pageBreakBefore w:val="0"/>
        <w:kinsoku/>
        <w:wordWrap/>
        <w:overflowPunct/>
        <w:topLinePunct w:val="0"/>
        <w:autoSpaceDE/>
        <w:autoSpaceDN/>
        <w:bidi w:val="0"/>
        <w:spacing w:line="480" w:lineRule="exact"/>
        <w:ind w:firstLine="482"/>
        <w:rPr>
          <w:rFonts w:hint="eastAsia" w:cs="Times New Roman"/>
          <w:color w:val="auto"/>
          <w:highlight w:val="none"/>
        </w:rPr>
      </w:pPr>
      <w:bookmarkStart w:id="387" w:name="_Ref12534966"/>
      <w:r>
        <w:rPr>
          <w:rFonts w:hint="eastAsia" w:cs="Times New Roman"/>
          <w:color w:val="auto"/>
          <w:highlight w:val="none"/>
        </w:rPr>
        <w:t>表</w:t>
      </w:r>
      <w:bookmarkEnd w:id="387"/>
      <w:r>
        <w:rPr>
          <w:rFonts w:hint="eastAsia" w:cs="Times New Roman"/>
          <w:color w:val="auto"/>
          <w:highlight w:val="none"/>
        </w:rPr>
        <w:t>3.</w:t>
      </w:r>
      <w:r>
        <w:rPr>
          <w:rFonts w:hint="eastAsia" w:cs="Times New Roman"/>
          <w:color w:val="auto"/>
          <w:highlight w:val="none"/>
          <w:lang w:val="en-US" w:eastAsia="zh-CN"/>
        </w:rPr>
        <w:t>3</w:t>
      </w:r>
      <w:r>
        <w:rPr>
          <w:rFonts w:hint="eastAsia" w:cs="Times New Roman"/>
          <w:color w:val="auto"/>
          <w:highlight w:val="none"/>
        </w:rPr>
        <w:t>-</w:t>
      </w:r>
      <w:r>
        <w:rPr>
          <w:rFonts w:hint="eastAsia" w:cs="Times New Roman"/>
          <w:color w:val="auto"/>
          <w:highlight w:val="none"/>
          <w:lang w:val="en-US" w:eastAsia="zh-CN"/>
        </w:rPr>
        <w:t>16</w:t>
      </w:r>
      <w:r>
        <w:rPr>
          <w:rFonts w:hint="eastAsia" w:cs="Times New Roman"/>
          <w:color w:val="auto"/>
          <w:highlight w:val="none"/>
        </w:rPr>
        <w:t>钻井作业定量和定性评价指标项目、权重及基准值</w:t>
      </w:r>
    </w:p>
    <w:tbl>
      <w:tblPr>
        <w:tblStyle w:val="34"/>
        <w:tblW w:w="13896" w:type="dxa"/>
        <w:tblInd w:w="-194"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264"/>
        <w:gridCol w:w="914"/>
        <w:gridCol w:w="812"/>
        <w:gridCol w:w="1015"/>
        <w:gridCol w:w="119"/>
        <w:gridCol w:w="2676"/>
        <w:gridCol w:w="160"/>
        <w:gridCol w:w="1081"/>
        <w:gridCol w:w="2890"/>
        <w:gridCol w:w="219"/>
        <w:gridCol w:w="915"/>
        <w:gridCol w:w="831"/>
      </w:tblGrid>
      <w:tr>
        <w:tblPrEx>
          <w:tblCellMar>
            <w:top w:w="0" w:type="dxa"/>
            <w:left w:w="108" w:type="dxa"/>
            <w:bottom w:w="0" w:type="dxa"/>
            <w:right w:w="108" w:type="dxa"/>
          </w:tblCellMar>
        </w:tblPrEx>
        <w:trPr>
          <w:trHeight w:val="255" w:hRule="atLeast"/>
        </w:trPr>
        <w:tc>
          <w:tcPr>
            <w:tcW w:w="12150" w:type="dxa"/>
            <w:gridSpan w:val="10"/>
            <w:tcBorders>
              <w:tl2br w:val="nil"/>
              <w:tr2bl w:val="nil"/>
            </w:tcBorders>
            <w:noWrap w:val="0"/>
            <w:vAlign w:val="center"/>
          </w:tcPr>
          <w:p>
            <w:pPr>
              <w:adjustRightInd w:val="0"/>
              <w:snapToGrid w:val="0"/>
              <w:jc w:val="center"/>
              <w:rPr>
                <w:rFonts w:ascii="Times New Roman" w:hAnsi="Times New Roman" w:cs="Times New Roman"/>
                <w:b/>
                <w:color w:val="auto"/>
                <w:spacing w:val="4"/>
                <w:sz w:val="21"/>
                <w:szCs w:val="21"/>
                <w:highlight w:val="none"/>
                <w:shd w:val="clear" w:color="auto" w:fill="auto"/>
              </w:rPr>
            </w:pPr>
            <w:r>
              <w:rPr>
                <w:rFonts w:ascii="Times New Roman" w:hAnsi="Times New Roman" w:cs="Times New Roman"/>
                <w:b/>
                <w:color w:val="auto"/>
                <w:spacing w:val="4"/>
                <w:sz w:val="21"/>
                <w:szCs w:val="21"/>
                <w:highlight w:val="none"/>
                <w:shd w:val="clear" w:color="auto" w:fill="auto"/>
              </w:rPr>
              <w:t>定量指标</w:t>
            </w:r>
          </w:p>
        </w:tc>
        <w:tc>
          <w:tcPr>
            <w:tcW w:w="1746" w:type="dxa"/>
            <w:gridSpan w:val="2"/>
            <w:tcBorders>
              <w:tl2br w:val="nil"/>
              <w:tr2bl w:val="nil"/>
            </w:tcBorders>
            <w:noWrap w:val="0"/>
            <w:vAlign w:val="center"/>
          </w:tcPr>
          <w:p>
            <w:pPr>
              <w:adjustRightInd w:val="0"/>
              <w:snapToGrid w:val="0"/>
              <w:jc w:val="center"/>
              <w:rPr>
                <w:rFonts w:hint="eastAsia" w:ascii="Times New Roman" w:hAnsi="Times New Roman" w:eastAsia="宋体" w:cs="Times New Roman"/>
                <w:b/>
                <w:color w:val="auto"/>
                <w:spacing w:val="4"/>
                <w:sz w:val="21"/>
                <w:szCs w:val="21"/>
                <w:highlight w:val="none"/>
                <w:shd w:val="clear" w:color="auto" w:fill="auto"/>
                <w:lang w:eastAsia="zh-CN"/>
              </w:rPr>
            </w:pPr>
            <w:r>
              <w:rPr>
                <w:rFonts w:hint="eastAsia" w:cs="Times New Roman"/>
                <w:b/>
                <w:color w:val="auto"/>
                <w:spacing w:val="4"/>
                <w:sz w:val="21"/>
                <w:szCs w:val="21"/>
                <w:highlight w:val="none"/>
                <w:shd w:val="clear" w:color="auto" w:fill="auto"/>
                <w:lang w:eastAsia="zh-CN"/>
              </w:rPr>
              <w:t>本工程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264"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一级指标</w:t>
            </w:r>
          </w:p>
        </w:tc>
        <w:tc>
          <w:tcPr>
            <w:tcW w:w="914"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权重值</w:t>
            </w: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二级指标</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单位</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权重分值</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评价基准值</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估算值</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w:t>
            </w:r>
            <w:r>
              <w:rPr>
                <w:rFonts w:hint="eastAsia" w:ascii="Times New Roman" w:hAnsi="Times New Roman" w:cs="Times New Roman"/>
                <w:color w:val="auto"/>
                <w:spacing w:val="4"/>
                <w:sz w:val="21"/>
                <w:szCs w:val="21"/>
                <w:highlight w:val="none"/>
                <w:shd w:val="clear" w:color="auto" w:fill="auto"/>
              </w:rPr>
              <w:t>1</w:t>
            </w:r>
            <w:r>
              <w:rPr>
                <w:rFonts w:hint="eastAsia" w:ascii="Times New Roman" w:hAnsi="Times New Roman" w:cs="Times New Roman"/>
                <w:color w:val="auto"/>
                <w:spacing w:val="4"/>
                <w:sz w:val="21"/>
                <w:szCs w:val="21"/>
                <w:highlight w:val="none"/>
                <w:shd w:val="clear" w:color="auto" w:fill="auto"/>
                <w:lang w:eastAsia="zh-CN"/>
              </w:rPr>
              <w:t>）</w:t>
            </w:r>
            <w:r>
              <w:rPr>
                <w:rFonts w:ascii="Times New Roman" w:hAnsi="Times New Roman" w:cs="Times New Roman"/>
                <w:color w:val="auto"/>
                <w:spacing w:val="4"/>
                <w:sz w:val="21"/>
                <w:szCs w:val="21"/>
                <w:highlight w:val="none"/>
                <w:shd w:val="clear" w:color="auto" w:fill="auto"/>
              </w:rPr>
              <w:t>资源和能源消耗指标</w:t>
            </w:r>
          </w:p>
        </w:tc>
        <w:tc>
          <w:tcPr>
            <w:tcW w:w="914" w:type="dxa"/>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30</w:t>
            </w: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占地面积</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m</w:t>
            </w:r>
            <w:r>
              <w:rPr>
                <w:rFonts w:ascii="Times New Roman" w:hAnsi="Times New Roman" w:cs="Times New Roman"/>
                <w:color w:val="auto"/>
                <w:spacing w:val="4"/>
                <w:sz w:val="21"/>
                <w:szCs w:val="21"/>
                <w:highlight w:val="none"/>
                <w:shd w:val="clear" w:color="auto" w:fill="auto"/>
                <w:vertAlign w:val="superscript"/>
              </w:rPr>
              <w:t>2</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符合行业标准要求</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新鲜水消耗</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t/100m标准进尺</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≤25</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264"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w:t>
            </w:r>
            <w:r>
              <w:rPr>
                <w:rFonts w:hint="eastAsia" w:ascii="Times New Roman" w:hAnsi="Times New Roman" w:cs="Times New Roman"/>
                <w:color w:val="auto"/>
                <w:spacing w:val="4"/>
                <w:sz w:val="21"/>
                <w:szCs w:val="21"/>
                <w:highlight w:val="none"/>
                <w:shd w:val="clear" w:color="auto" w:fill="auto"/>
              </w:rPr>
              <w:t>2</w:t>
            </w:r>
            <w:r>
              <w:rPr>
                <w:rFonts w:hint="eastAsia" w:ascii="Times New Roman" w:hAnsi="Times New Roman" w:cs="Times New Roman"/>
                <w:color w:val="auto"/>
                <w:spacing w:val="4"/>
                <w:sz w:val="21"/>
                <w:szCs w:val="21"/>
                <w:highlight w:val="none"/>
                <w:shd w:val="clear" w:color="auto" w:fill="auto"/>
                <w:lang w:eastAsia="zh-CN"/>
              </w:rPr>
              <w:t>）</w:t>
            </w:r>
            <w:r>
              <w:rPr>
                <w:rFonts w:ascii="Times New Roman" w:hAnsi="Times New Roman" w:cs="Times New Roman"/>
                <w:color w:val="auto"/>
                <w:spacing w:val="4"/>
                <w:sz w:val="21"/>
                <w:szCs w:val="21"/>
                <w:highlight w:val="none"/>
                <w:shd w:val="clear" w:color="auto" w:fill="auto"/>
              </w:rPr>
              <w:t>生产技术特征指标</w:t>
            </w:r>
          </w:p>
        </w:tc>
        <w:tc>
          <w:tcPr>
            <w:tcW w:w="914"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z w:val="21"/>
                <w:szCs w:val="21"/>
                <w:highlight w:val="none"/>
                <w:shd w:val="clear" w:color="auto" w:fill="auto"/>
              </w:rPr>
            </w:pPr>
            <w:r>
              <w:rPr>
                <w:rFonts w:ascii="Times New Roman" w:hAnsi="Times New Roman" w:cs="Times New Roman"/>
                <w:color w:val="auto"/>
                <w:sz w:val="21"/>
                <w:szCs w:val="21"/>
                <w:highlight w:val="none"/>
                <w:shd w:val="clear" w:color="auto" w:fill="auto"/>
              </w:rPr>
              <w:t>固井质量合格率</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≥95%</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&gt;</w:t>
            </w:r>
            <w:r>
              <w:rPr>
                <w:rFonts w:hint="eastAsia" w:ascii="Times New Roman" w:hAnsi="Times New Roman" w:cs="Times New Roman"/>
                <w:color w:val="auto"/>
                <w:spacing w:val="4"/>
                <w:sz w:val="21"/>
                <w:szCs w:val="21"/>
                <w:highlight w:val="none"/>
                <w:shd w:val="clear" w:color="auto" w:fill="auto"/>
              </w:rPr>
              <w:t>95%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2264" w:type="dxa"/>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w:t>
            </w:r>
            <w:r>
              <w:rPr>
                <w:rFonts w:hint="eastAsia" w:ascii="Times New Roman" w:hAnsi="Times New Roman" w:cs="Times New Roman"/>
                <w:color w:val="auto"/>
                <w:spacing w:val="4"/>
                <w:sz w:val="21"/>
                <w:szCs w:val="21"/>
                <w:highlight w:val="none"/>
                <w:shd w:val="clear" w:color="auto" w:fill="auto"/>
              </w:rPr>
              <w:t>3</w:t>
            </w:r>
            <w:r>
              <w:rPr>
                <w:rFonts w:hint="eastAsia" w:ascii="Times New Roman" w:hAnsi="Times New Roman" w:cs="Times New Roman"/>
                <w:color w:val="auto"/>
                <w:spacing w:val="4"/>
                <w:sz w:val="21"/>
                <w:szCs w:val="21"/>
                <w:highlight w:val="none"/>
                <w:shd w:val="clear" w:color="auto" w:fill="auto"/>
                <w:lang w:eastAsia="zh-CN"/>
              </w:rPr>
              <w:t>）</w:t>
            </w:r>
            <w:r>
              <w:rPr>
                <w:rFonts w:ascii="Times New Roman" w:hAnsi="Times New Roman" w:cs="Times New Roman"/>
                <w:color w:val="auto"/>
                <w:spacing w:val="4"/>
                <w:sz w:val="21"/>
                <w:szCs w:val="21"/>
                <w:highlight w:val="none"/>
                <w:shd w:val="clear" w:color="auto" w:fill="auto"/>
              </w:rPr>
              <w:t>资源综合利用指标</w:t>
            </w:r>
          </w:p>
        </w:tc>
        <w:tc>
          <w:tcPr>
            <w:tcW w:w="914" w:type="dxa"/>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30</w:t>
            </w: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钻井液循环率</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井深：2000m以下；2000m～3000m；3000m以上</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≥40%；≥50%；≥60%</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95%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柴油机效率</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≥80</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&gt;</w:t>
            </w:r>
            <w:r>
              <w:rPr>
                <w:rFonts w:ascii="Times New Roman" w:hAnsi="Times New Roman" w:cs="Times New Roman"/>
                <w:color w:val="auto"/>
                <w:spacing w:val="4"/>
                <w:sz w:val="21"/>
                <w:szCs w:val="21"/>
                <w:highlight w:val="none"/>
                <w:shd w:val="clear" w:color="auto" w:fill="auto"/>
              </w:rPr>
              <w:t>8</w:t>
            </w:r>
            <w:r>
              <w:rPr>
                <w:rFonts w:hint="eastAsia" w:ascii="Times New Roman" w:hAnsi="Times New Roman" w:cs="Times New Roman"/>
                <w:color w:val="auto"/>
                <w:spacing w:val="4"/>
                <w:sz w:val="21"/>
                <w:szCs w:val="21"/>
                <w:highlight w:val="none"/>
                <w:shd w:val="clear" w:color="auto" w:fill="auto"/>
              </w:rPr>
              <w:t>0</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污油回收率</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≥90</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100</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62" w:hRule="atLeast"/>
        </w:trPr>
        <w:tc>
          <w:tcPr>
            <w:tcW w:w="2264" w:type="dxa"/>
            <w:vMerge w:val="restart"/>
            <w:tcBorders>
              <w:tl2br w:val="nil"/>
              <w:tr2bl w:val="nil"/>
            </w:tcBorders>
            <w:noWrap w:val="0"/>
            <w:vAlign w:val="center"/>
          </w:tcPr>
          <w:p>
            <w:pPr>
              <w:adjustRightInd w:val="0"/>
              <w:snapToGrid w:val="0"/>
              <w:spacing w:line="240" w:lineRule="exact"/>
              <w:ind w:firstLine="218" w:firstLineChars="100"/>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w:t>
            </w:r>
            <w:r>
              <w:rPr>
                <w:rFonts w:hint="eastAsia" w:ascii="Times New Roman" w:hAnsi="Times New Roman" w:cs="Times New Roman"/>
                <w:color w:val="auto"/>
                <w:spacing w:val="4"/>
                <w:sz w:val="21"/>
                <w:szCs w:val="21"/>
                <w:highlight w:val="none"/>
                <w:shd w:val="clear" w:color="auto" w:fill="auto"/>
              </w:rPr>
              <w:t>4</w:t>
            </w:r>
            <w:r>
              <w:rPr>
                <w:rFonts w:hint="eastAsia" w:ascii="Times New Roman" w:hAnsi="Times New Roman" w:cs="Times New Roman"/>
                <w:color w:val="auto"/>
                <w:spacing w:val="4"/>
                <w:sz w:val="21"/>
                <w:szCs w:val="21"/>
                <w:highlight w:val="none"/>
                <w:shd w:val="clear" w:color="auto" w:fill="auto"/>
                <w:lang w:eastAsia="zh-CN"/>
              </w:rPr>
              <w:t>）</w:t>
            </w:r>
            <w:r>
              <w:rPr>
                <w:rFonts w:ascii="Times New Roman" w:hAnsi="Times New Roman" w:cs="Times New Roman"/>
                <w:color w:val="auto"/>
                <w:spacing w:val="4"/>
                <w:sz w:val="21"/>
                <w:szCs w:val="21"/>
                <w:highlight w:val="none"/>
                <w:shd w:val="clear" w:color="auto" w:fill="auto"/>
              </w:rPr>
              <w:t>污染物产生指标</w:t>
            </w:r>
          </w:p>
        </w:tc>
        <w:tc>
          <w:tcPr>
            <w:tcW w:w="914" w:type="dxa"/>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35</w:t>
            </w: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钻井废水</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t/100m标准进尺</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甲类区：≤30；乙类区：≤35</w:t>
            </w:r>
          </w:p>
        </w:tc>
        <w:tc>
          <w:tcPr>
            <w:tcW w:w="915" w:type="dxa"/>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29.73</w:t>
            </w:r>
          </w:p>
        </w:tc>
        <w:tc>
          <w:tcPr>
            <w:tcW w:w="831" w:type="dxa"/>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废弃钻井液</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m</w:t>
            </w:r>
            <w:r>
              <w:rPr>
                <w:rFonts w:ascii="Times New Roman" w:hAnsi="Times New Roman" w:cs="Times New Roman"/>
                <w:color w:val="auto"/>
                <w:spacing w:val="4"/>
                <w:sz w:val="21"/>
                <w:szCs w:val="21"/>
                <w:highlight w:val="none"/>
                <w:shd w:val="clear" w:color="auto" w:fill="auto"/>
                <w:vertAlign w:val="superscript"/>
              </w:rPr>
              <w:t>3</w:t>
            </w:r>
            <w:r>
              <w:rPr>
                <w:rFonts w:ascii="Times New Roman" w:hAnsi="Times New Roman" w:cs="Times New Roman"/>
                <w:color w:val="auto"/>
                <w:spacing w:val="4"/>
                <w:sz w:val="21"/>
                <w:szCs w:val="21"/>
                <w:highlight w:val="none"/>
                <w:shd w:val="clear" w:color="auto" w:fill="auto"/>
              </w:rPr>
              <w:t>/100m标准进尺</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&lt;</w:t>
            </w: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val="en-US" w:eastAsia="zh-CN"/>
              </w:rPr>
              <w:t>柴</w:t>
            </w:r>
            <w:r>
              <w:rPr>
                <w:rFonts w:ascii="Times New Roman" w:hAnsi="Times New Roman" w:cs="Times New Roman"/>
                <w:color w:val="auto"/>
                <w:spacing w:val="4"/>
                <w:sz w:val="21"/>
                <w:szCs w:val="21"/>
                <w:highlight w:val="none"/>
                <w:shd w:val="clear" w:color="auto" w:fill="auto"/>
              </w:rPr>
              <w:t>油机烟气</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符合排放标准要求</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符合</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石油类</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mg/L</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&lt;</w:t>
            </w: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226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914" w:type="dxa"/>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827"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COD</w:t>
            </w:r>
          </w:p>
        </w:tc>
        <w:tc>
          <w:tcPr>
            <w:tcW w:w="2795"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mgL</w:t>
            </w:r>
          </w:p>
        </w:tc>
        <w:tc>
          <w:tcPr>
            <w:tcW w:w="124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3109"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甲类区：≤100；乙类区：≤150</w:t>
            </w:r>
          </w:p>
        </w:tc>
        <w:tc>
          <w:tcPr>
            <w:tcW w:w="915"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&lt;</w:t>
            </w:r>
            <w:r>
              <w:rPr>
                <w:rFonts w:ascii="Times New Roman" w:hAnsi="Times New Roman" w:cs="Times New Roman"/>
                <w:color w:val="auto"/>
                <w:spacing w:val="4"/>
                <w:sz w:val="21"/>
                <w:szCs w:val="21"/>
                <w:highlight w:val="none"/>
                <w:shd w:val="clear" w:color="auto" w:fill="auto"/>
              </w:rPr>
              <w:t>150</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13896" w:type="dxa"/>
            <w:gridSpan w:val="1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定性指标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一级指标</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指标分值</w:t>
            </w:r>
          </w:p>
        </w:tc>
        <w:tc>
          <w:tcPr>
            <w:tcW w:w="6807" w:type="dxa"/>
            <w:gridSpan w:val="4"/>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二级指标</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指标分值</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（1）原辅材料</w:t>
            </w:r>
          </w:p>
        </w:tc>
        <w:tc>
          <w:tcPr>
            <w:tcW w:w="1134" w:type="dxa"/>
            <w:gridSpan w:val="2"/>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15</w:t>
            </w:r>
          </w:p>
        </w:tc>
        <w:tc>
          <w:tcPr>
            <w:tcW w:w="2836"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钻井液毒性</w:t>
            </w:r>
          </w:p>
        </w:tc>
        <w:tc>
          <w:tcPr>
            <w:tcW w:w="397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可生物降解或无毒钻井液</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柴油消耗</w:t>
            </w:r>
          </w:p>
        </w:tc>
        <w:tc>
          <w:tcPr>
            <w:tcW w:w="397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具有节油措施</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（2）生产工艺及设备要求</w:t>
            </w:r>
          </w:p>
        </w:tc>
        <w:tc>
          <w:tcPr>
            <w:tcW w:w="1134" w:type="dxa"/>
            <w:gridSpan w:val="2"/>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30</w:t>
            </w:r>
          </w:p>
        </w:tc>
        <w:tc>
          <w:tcPr>
            <w:tcW w:w="2836"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钻井设备</w:t>
            </w:r>
          </w:p>
        </w:tc>
        <w:tc>
          <w:tcPr>
            <w:tcW w:w="397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国内领先</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压力平衡技术</w:t>
            </w:r>
          </w:p>
        </w:tc>
        <w:tc>
          <w:tcPr>
            <w:tcW w:w="397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具备欠平衡技术</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钻井液收集设施</w:t>
            </w:r>
          </w:p>
        </w:tc>
        <w:tc>
          <w:tcPr>
            <w:tcW w:w="397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配有收集设施，且使钻井液不落地</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固井设备</w:t>
            </w:r>
          </w:p>
        </w:tc>
        <w:tc>
          <w:tcPr>
            <w:tcW w:w="397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配备振动筛、除气器、除泥器、除砂器、离心机等固控设备</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井控措施</w:t>
            </w:r>
          </w:p>
        </w:tc>
        <w:tc>
          <w:tcPr>
            <w:tcW w:w="397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具备</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2836"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有无防噪措施</w:t>
            </w:r>
          </w:p>
        </w:tc>
        <w:tc>
          <w:tcPr>
            <w:tcW w:w="3971"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有</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（3）管理体系建设及清洁生产审核</w:t>
            </w:r>
          </w:p>
        </w:tc>
        <w:tc>
          <w:tcPr>
            <w:tcW w:w="1134" w:type="dxa"/>
            <w:gridSpan w:val="2"/>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35</w:t>
            </w:r>
          </w:p>
        </w:tc>
        <w:tc>
          <w:tcPr>
            <w:tcW w:w="6807" w:type="dxa"/>
            <w:gridSpan w:val="4"/>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建立HSE管理体系并通过认证</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6807" w:type="dxa"/>
            <w:gridSpan w:val="4"/>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开展清洁生产审核，并通过验收</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20</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6807" w:type="dxa"/>
            <w:gridSpan w:val="4"/>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制定节能减排工作计划</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（4）贯彻执行环境保护法规的符合性</w:t>
            </w:r>
          </w:p>
        </w:tc>
        <w:tc>
          <w:tcPr>
            <w:tcW w:w="1134" w:type="dxa"/>
            <w:gridSpan w:val="2"/>
            <w:vMerge w:val="restart"/>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20</w:t>
            </w:r>
          </w:p>
        </w:tc>
        <w:tc>
          <w:tcPr>
            <w:tcW w:w="6807" w:type="dxa"/>
            <w:gridSpan w:val="4"/>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废弃钻井液处置措施满足法规要求</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4"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6807" w:type="dxa"/>
            <w:gridSpan w:val="4"/>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污染物排放总量控制与减排措施情况</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3990" w:type="dxa"/>
            <w:gridSpan w:val="3"/>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1134" w:type="dxa"/>
            <w:gridSpan w:val="2"/>
            <w:vMerge w:val="continue"/>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p>
        </w:tc>
        <w:tc>
          <w:tcPr>
            <w:tcW w:w="6807" w:type="dxa"/>
            <w:gridSpan w:val="4"/>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满足其他法律法规要求</w:t>
            </w:r>
          </w:p>
        </w:tc>
        <w:tc>
          <w:tcPr>
            <w:tcW w:w="1134" w:type="dxa"/>
            <w:gridSpan w:val="2"/>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c>
          <w:tcPr>
            <w:tcW w:w="831" w:type="dxa"/>
            <w:tcBorders>
              <w:tl2br w:val="nil"/>
              <w:tr2bl w:val="nil"/>
            </w:tcBorders>
            <w:noWrap w:val="0"/>
            <w:vAlign w:val="center"/>
          </w:tcPr>
          <w:p>
            <w:pPr>
              <w:adjustRightInd w:val="0"/>
              <w:snapToGrid w:val="0"/>
              <w:spacing w:line="240" w:lineRule="exact"/>
              <w:jc w:val="center"/>
              <w:rPr>
                <w:rFonts w:ascii="Times New Roman" w:hAnsi="Times New Roman" w:cs="Times New Roman"/>
                <w:color w:val="auto"/>
                <w:spacing w:val="4"/>
                <w:sz w:val="21"/>
                <w:szCs w:val="21"/>
                <w:highlight w:val="none"/>
                <w:shd w:val="clear" w:color="auto" w:fill="auto"/>
              </w:rPr>
            </w:pPr>
            <w:r>
              <w:rPr>
                <w:rFonts w:ascii="Times New Roman" w:hAnsi="Times New Roman" w:cs="Times New Roman"/>
                <w:color w:val="auto"/>
                <w:spacing w:val="4"/>
                <w:sz w:val="21"/>
                <w:szCs w:val="21"/>
                <w:highlight w:val="none"/>
                <w:shd w:val="clear" w:color="auto" w:fill="auto"/>
              </w:rPr>
              <w:t>5</w:t>
            </w:r>
          </w:p>
        </w:tc>
      </w:tr>
    </w:tbl>
    <w:p>
      <w:pPr>
        <w:pStyle w:val="54"/>
        <w:pageBreakBefore w:val="0"/>
        <w:kinsoku/>
        <w:wordWrap/>
        <w:overflowPunct/>
        <w:topLinePunct w:val="0"/>
        <w:autoSpaceDE/>
        <w:autoSpaceDN/>
        <w:bidi w:val="0"/>
        <w:spacing w:line="480" w:lineRule="exact"/>
        <w:ind w:firstLine="482"/>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default" w:cs="Times New Roman"/>
          <w:color w:val="auto"/>
          <w:highlight w:val="none"/>
        </w:rPr>
        <w:t>-</w:t>
      </w:r>
      <w:r>
        <w:rPr>
          <w:rFonts w:hint="eastAsia" w:cs="Times New Roman"/>
          <w:color w:val="auto"/>
          <w:highlight w:val="none"/>
          <w:lang w:val="en-US" w:eastAsia="zh-CN"/>
        </w:rPr>
        <w:t>17</w:t>
      </w:r>
      <w:r>
        <w:rPr>
          <w:rFonts w:hint="default" w:cs="Times New Roman"/>
          <w:color w:val="auto"/>
          <w:highlight w:val="none"/>
        </w:rPr>
        <w:t>井下作业定量和定性评价指标项目、权重及基准值</w:t>
      </w:r>
    </w:p>
    <w:tbl>
      <w:tblPr>
        <w:tblStyle w:val="34"/>
        <w:tblW w:w="13950" w:type="dxa"/>
        <w:tblInd w:w="-20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550"/>
        <w:gridCol w:w="886"/>
        <w:gridCol w:w="565"/>
        <w:gridCol w:w="1148"/>
        <w:gridCol w:w="1082"/>
        <w:gridCol w:w="1419"/>
        <w:gridCol w:w="603"/>
        <w:gridCol w:w="624"/>
        <w:gridCol w:w="3062"/>
        <w:gridCol w:w="129"/>
        <w:gridCol w:w="1005"/>
        <w:gridCol w:w="113"/>
        <w:gridCol w:w="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2068" w:type="dxa"/>
            <w:gridSpan w:val="10"/>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定量指标</w:t>
            </w:r>
          </w:p>
        </w:tc>
        <w:tc>
          <w:tcPr>
            <w:tcW w:w="1882"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eastAsia="zh-CN"/>
              </w:rPr>
            </w:pPr>
            <w:r>
              <w:rPr>
                <w:rFonts w:hint="default" w:ascii="Times New Roman" w:hAnsi="Times New Roman" w:cs="Times New Roman"/>
                <w:color w:val="auto"/>
                <w:spacing w:val="4"/>
                <w:sz w:val="21"/>
                <w:szCs w:val="21"/>
                <w:highlight w:val="none"/>
                <w:shd w:val="clear" w:color="auto" w:fill="auto"/>
                <w:lang w:eastAsia="zh-CN"/>
              </w:rPr>
              <w:t>本工程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一级指标</w:t>
            </w:r>
          </w:p>
        </w:tc>
        <w:tc>
          <w:tcPr>
            <w:tcW w:w="8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权重值</w:t>
            </w: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二级指标</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单位</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权重分值</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评价基准值</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估算值</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（1）资源和能源消耗指标</w:t>
            </w:r>
          </w:p>
        </w:tc>
        <w:tc>
          <w:tcPr>
            <w:tcW w:w="886"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作业液消耗</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w:t>
            </w:r>
            <w:r>
              <w:rPr>
                <w:rFonts w:hint="default" w:ascii="Times New Roman" w:hAnsi="Times New Roman" w:cs="Times New Roman"/>
                <w:color w:val="auto"/>
                <w:spacing w:val="4"/>
                <w:sz w:val="21"/>
                <w:szCs w:val="21"/>
                <w:highlight w:val="none"/>
                <w:shd w:val="clear" w:color="auto" w:fill="auto"/>
                <w:vertAlign w:val="superscript"/>
              </w:rPr>
              <w:t>3</w:t>
            </w:r>
            <w:r>
              <w:rPr>
                <w:rFonts w:hint="default" w:ascii="Times New Roman" w:hAnsi="Times New Roman" w:cs="Times New Roman"/>
                <w:color w:val="auto"/>
                <w:spacing w:val="4"/>
                <w:sz w:val="21"/>
                <w:szCs w:val="21"/>
                <w:highlight w:val="none"/>
                <w:shd w:val="clear" w:color="auto" w:fill="auto"/>
              </w:rPr>
              <w:t>/井次</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≤5.0</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符合</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新鲜水消耗</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w:t>
            </w:r>
            <w:r>
              <w:rPr>
                <w:rFonts w:hint="default" w:ascii="Times New Roman" w:hAnsi="Times New Roman" w:cs="Times New Roman"/>
                <w:color w:val="auto"/>
                <w:spacing w:val="4"/>
                <w:sz w:val="21"/>
                <w:szCs w:val="21"/>
                <w:highlight w:val="none"/>
                <w:shd w:val="clear" w:color="auto" w:fill="auto"/>
                <w:vertAlign w:val="superscript"/>
              </w:rPr>
              <w:t>3</w:t>
            </w:r>
            <w:r>
              <w:rPr>
                <w:rFonts w:hint="default" w:ascii="Times New Roman" w:hAnsi="Times New Roman" w:cs="Times New Roman"/>
                <w:color w:val="auto"/>
                <w:spacing w:val="4"/>
                <w:sz w:val="21"/>
                <w:szCs w:val="21"/>
                <w:highlight w:val="none"/>
                <w:shd w:val="clear" w:color="auto" w:fill="auto"/>
              </w:rPr>
              <w:t>/井次</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≤5.0</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符合</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default" w:ascii="Times New Roman" w:hAnsi="Times New Roman" w:cs="Times New Roman"/>
                <w:color w:val="auto"/>
                <w:spacing w:val="4"/>
                <w:sz w:val="21"/>
                <w:szCs w:val="21"/>
                <w:highlight w:val="none"/>
                <w:shd w:val="clear" w:color="auto" w:fill="auto"/>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单位能耗</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行业基本水平</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基本水平</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（2）生产技术特征指标</w:t>
            </w:r>
          </w:p>
        </w:tc>
        <w:tc>
          <w:tcPr>
            <w:tcW w:w="8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压裂放喷返排入罐率</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（3）资源综合利用指标</w:t>
            </w:r>
          </w:p>
        </w:tc>
        <w:tc>
          <w:tcPr>
            <w:tcW w:w="886"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落地原油回收利用率</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生产过程中排出物利用率</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（4）污染物产生指标</w:t>
            </w:r>
          </w:p>
        </w:tc>
        <w:tc>
          <w:tcPr>
            <w:tcW w:w="886"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作业废液量</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w:t>
            </w:r>
            <w:r>
              <w:rPr>
                <w:rFonts w:hint="default" w:ascii="Times New Roman" w:hAnsi="Times New Roman" w:cs="Times New Roman"/>
                <w:color w:val="auto"/>
                <w:spacing w:val="4"/>
                <w:sz w:val="21"/>
                <w:szCs w:val="21"/>
                <w:highlight w:val="none"/>
                <w:shd w:val="clear" w:color="auto" w:fill="auto"/>
                <w:vertAlign w:val="superscript"/>
              </w:rPr>
              <w:t>3</w:t>
            </w:r>
            <w:r>
              <w:rPr>
                <w:rFonts w:hint="default" w:ascii="Times New Roman" w:hAnsi="Times New Roman" w:cs="Times New Roman"/>
                <w:color w:val="auto"/>
                <w:spacing w:val="4"/>
                <w:sz w:val="21"/>
                <w:szCs w:val="21"/>
                <w:highlight w:val="none"/>
                <w:shd w:val="clear" w:color="auto" w:fill="auto"/>
              </w:rPr>
              <w:t>/井次</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27.13</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石油类</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mg/L</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甲类区：≤10；乙类区：≤50</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≤50</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eastAsia="zh-CN"/>
              </w:rPr>
            </w:pPr>
            <w:r>
              <w:rPr>
                <w:rFonts w:hint="default" w:ascii="Times New Roman" w:hAnsi="Times New Roman" w:cs="Times New Roman"/>
                <w:color w:val="auto"/>
                <w:spacing w:val="4"/>
                <w:sz w:val="21"/>
                <w:szCs w:val="21"/>
                <w:highlight w:val="none"/>
                <w:shd w:val="clear" w:color="auto" w:fill="auto"/>
                <w:lang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COD</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mg/L</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甲类区：≤100；乙类区：≤150</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≤150</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default" w:ascii="Times New Roman" w:hAnsi="Times New Roman" w:cs="Times New Roman"/>
                <w:color w:val="auto"/>
                <w:spacing w:val="4"/>
                <w:sz w:val="21"/>
                <w:szCs w:val="21"/>
                <w:highlight w:val="none"/>
                <w:shd w:val="clear" w:color="auto" w:fill="auto"/>
                <w:lang w:val="en-US" w:eastAsia="zh-CN"/>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含油污泥</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kg/井次</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甲类区：≤50；乙类区：≤70</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eastAsia="zh-CN"/>
              </w:rPr>
            </w:pPr>
            <w:r>
              <w:rPr>
                <w:rFonts w:hint="default" w:ascii="Times New Roman" w:hAnsi="Times New Roman" w:cs="Times New Roman"/>
                <w:color w:val="auto"/>
                <w:spacing w:val="4"/>
                <w:sz w:val="21"/>
                <w:szCs w:val="21"/>
                <w:highlight w:val="none"/>
                <w:shd w:val="clear" w:color="auto" w:fill="auto"/>
                <w:lang w:val="en-US" w:eastAsia="zh-CN"/>
              </w:rPr>
              <w:t>0</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5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886"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795"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一般固体废物（生活垃圾）</w:t>
            </w:r>
          </w:p>
        </w:tc>
        <w:tc>
          <w:tcPr>
            <w:tcW w:w="141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kg/井次</w:t>
            </w:r>
          </w:p>
        </w:tc>
        <w:tc>
          <w:tcPr>
            <w:tcW w:w="122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191"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符合环保要求</w:t>
            </w:r>
          </w:p>
        </w:tc>
        <w:tc>
          <w:tcPr>
            <w:tcW w:w="1118"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76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3950" w:type="dxa"/>
            <w:gridSpan w:val="1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eastAsia="黑体" w:cs="Times New Roman"/>
                <w:b/>
                <w:bCs/>
                <w:color w:val="auto"/>
                <w:spacing w:val="4"/>
                <w:sz w:val="21"/>
                <w:szCs w:val="21"/>
                <w:highlight w:val="none"/>
                <w:shd w:val="clear" w:color="auto" w:fill="auto"/>
              </w:rPr>
              <w:t>定性指标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一级指标</w:t>
            </w:r>
          </w:p>
        </w:tc>
        <w:tc>
          <w:tcPr>
            <w:tcW w:w="1148"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指标分值</w:t>
            </w:r>
          </w:p>
        </w:tc>
        <w:tc>
          <w:tcPr>
            <w:tcW w:w="6790" w:type="dxa"/>
            <w:gridSpan w:val="5"/>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二级指标</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指标分值</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lang w:eastAsia="zh-CN"/>
              </w:rPr>
              <w:t>本工程</w:t>
            </w:r>
            <w:r>
              <w:rPr>
                <w:rFonts w:hint="default" w:ascii="Times New Roman" w:hAnsi="Times New Roman" w:cs="Times New Roman"/>
                <w:color w:val="auto"/>
                <w:spacing w:val="4"/>
                <w:sz w:val="21"/>
                <w:szCs w:val="21"/>
                <w:highlight w:val="none"/>
                <w:shd w:val="clear" w:color="auto" w:fill="auto"/>
              </w:rPr>
              <w:t>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（1）生产工艺及设备要求</w:t>
            </w:r>
          </w:p>
        </w:tc>
        <w:tc>
          <w:tcPr>
            <w:tcW w:w="1148"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40</w:t>
            </w:r>
          </w:p>
        </w:tc>
        <w:tc>
          <w:tcPr>
            <w:tcW w:w="3104"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防喷措施</w:t>
            </w:r>
          </w:p>
        </w:tc>
        <w:tc>
          <w:tcPr>
            <w:tcW w:w="3686"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具备</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地面管线防刺防漏措施</w:t>
            </w:r>
          </w:p>
        </w:tc>
        <w:tc>
          <w:tcPr>
            <w:tcW w:w="3686"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按标准试压</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防溢设备（防溢池设置）</w:t>
            </w:r>
          </w:p>
        </w:tc>
        <w:tc>
          <w:tcPr>
            <w:tcW w:w="3686"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具备</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防渗范围</w:t>
            </w:r>
          </w:p>
        </w:tc>
        <w:tc>
          <w:tcPr>
            <w:tcW w:w="3686"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废水、使用液、原油等可能落地处</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作业废液污染控制措施</w:t>
            </w:r>
          </w:p>
        </w:tc>
        <w:tc>
          <w:tcPr>
            <w:tcW w:w="3686"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集中回收处理</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3104"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防止落地原油产生措施</w:t>
            </w:r>
          </w:p>
        </w:tc>
        <w:tc>
          <w:tcPr>
            <w:tcW w:w="3686"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具备原油回收设施</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（2）管理体系建设及清洁生产审核</w:t>
            </w:r>
          </w:p>
        </w:tc>
        <w:tc>
          <w:tcPr>
            <w:tcW w:w="1148"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40</w:t>
            </w:r>
          </w:p>
        </w:tc>
        <w:tc>
          <w:tcPr>
            <w:tcW w:w="6790" w:type="dxa"/>
            <w:gridSpan w:val="5"/>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建立HSE管理体系并通过验证</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15</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6790" w:type="dxa"/>
            <w:gridSpan w:val="5"/>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开展清洁生产审核</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48"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6790" w:type="dxa"/>
            <w:gridSpan w:val="5"/>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制定节能减排工作计划</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4001"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r>
              <w:rPr>
                <w:rFonts w:hint="default" w:ascii="Times New Roman" w:hAnsi="Times New Roman" w:cs="Times New Roman"/>
                <w:color w:val="auto"/>
                <w:spacing w:val="4"/>
                <w:sz w:val="21"/>
                <w:szCs w:val="21"/>
                <w:highlight w:val="none"/>
                <w:shd w:val="clear" w:color="auto" w:fill="auto"/>
                <w:lang w:val="en-US" w:eastAsia="zh-CN"/>
              </w:rPr>
              <w:t>3</w:t>
            </w:r>
            <w:r>
              <w:rPr>
                <w:rFonts w:hint="default" w:ascii="Times New Roman" w:hAnsi="Times New Roman" w:cs="Times New Roman"/>
                <w:color w:val="auto"/>
                <w:spacing w:val="4"/>
                <w:sz w:val="21"/>
                <w:szCs w:val="21"/>
                <w:highlight w:val="none"/>
                <w:shd w:val="clear" w:color="auto" w:fill="auto"/>
              </w:rPr>
              <w:t>）贯彻执行环境保护法规的符合性</w:t>
            </w:r>
          </w:p>
        </w:tc>
        <w:tc>
          <w:tcPr>
            <w:tcW w:w="1148"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6790" w:type="dxa"/>
            <w:gridSpan w:val="5"/>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满足其他法律法规要求</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877"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r>
    </w:tbl>
    <w:p>
      <w:pPr>
        <w:pStyle w:val="99"/>
        <w:rPr>
          <w:rFonts w:hint="default" w:ascii="Times New Roman" w:hAnsi="Times New Roman" w:cs="Times New Roman"/>
          <w:b/>
          <w:bCs/>
          <w:color w:val="auto"/>
          <w:highlight w:val="none"/>
          <w:shd w:val="clear" w:color="auto" w:fill="auto"/>
        </w:rPr>
      </w:pPr>
    </w:p>
    <w:p>
      <w:pPr>
        <w:pStyle w:val="54"/>
        <w:pageBreakBefore w:val="0"/>
        <w:kinsoku/>
        <w:wordWrap/>
        <w:overflowPunct/>
        <w:topLinePunct w:val="0"/>
        <w:autoSpaceDE/>
        <w:autoSpaceDN/>
        <w:bidi w:val="0"/>
        <w:spacing w:line="480" w:lineRule="exact"/>
        <w:ind w:firstLine="482"/>
        <w:rPr>
          <w:rFonts w:hint="default" w:cs="Times New Roman"/>
          <w:color w:val="auto"/>
          <w:highlight w:val="none"/>
        </w:rPr>
      </w:pPr>
      <w:r>
        <w:rPr>
          <w:rFonts w:hint="default" w:cs="Times New Roman"/>
          <w:color w:val="auto"/>
          <w:highlight w:val="none"/>
        </w:rPr>
        <w:t>表3.</w:t>
      </w:r>
      <w:r>
        <w:rPr>
          <w:rFonts w:hint="eastAsia" w:cs="Times New Roman"/>
          <w:color w:val="auto"/>
          <w:highlight w:val="none"/>
          <w:lang w:val="en-US" w:eastAsia="zh-CN"/>
        </w:rPr>
        <w:t>3</w:t>
      </w:r>
      <w:r>
        <w:rPr>
          <w:rFonts w:hint="default" w:cs="Times New Roman"/>
          <w:color w:val="auto"/>
          <w:highlight w:val="none"/>
        </w:rPr>
        <w:t>-</w:t>
      </w:r>
      <w:r>
        <w:rPr>
          <w:rFonts w:hint="eastAsia" w:cs="Times New Roman"/>
          <w:color w:val="auto"/>
          <w:highlight w:val="none"/>
          <w:lang w:val="en-US" w:eastAsia="zh-CN"/>
        </w:rPr>
        <w:t>18</w:t>
      </w:r>
      <w:r>
        <w:rPr>
          <w:rFonts w:hint="default" w:cs="Times New Roman"/>
          <w:color w:val="auto"/>
          <w:highlight w:val="none"/>
        </w:rPr>
        <w:t>采油（气）定量和定性评价指标项目、权重及基准值</w:t>
      </w:r>
    </w:p>
    <w:tbl>
      <w:tblPr>
        <w:tblStyle w:val="34"/>
        <w:tblW w:w="13759" w:type="dxa"/>
        <w:tblInd w:w="-20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45"/>
        <w:gridCol w:w="900"/>
        <w:gridCol w:w="189"/>
        <w:gridCol w:w="1134"/>
        <w:gridCol w:w="425"/>
        <w:gridCol w:w="802"/>
        <w:gridCol w:w="2114"/>
        <w:gridCol w:w="695"/>
        <w:gridCol w:w="518"/>
        <w:gridCol w:w="2817"/>
        <w:gridCol w:w="265"/>
        <w:gridCol w:w="869"/>
        <w:gridCol w:w="6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2204" w:type="dxa"/>
            <w:gridSpan w:val="11"/>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定量指标</w:t>
            </w:r>
          </w:p>
        </w:tc>
        <w:tc>
          <w:tcPr>
            <w:tcW w:w="1555"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eastAsia="zh-CN"/>
              </w:rPr>
            </w:pPr>
            <w:r>
              <w:rPr>
                <w:rFonts w:hint="default" w:ascii="Times New Roman" w:hAnsi="Times New Roman" w:cs="Times New Roman"/>
                <w:color w:val="auto"/>
                <w:spacing w:val="4"/>
                <w:sz w:val="21"/>
                <w:szCs w:val="21"/>
                <w:highlight w:val="none"/>
                <w:shd w:val="clear" w:color="auto" w:fill="auto"/>
                <w:lang w:eastAsia="zh-CN"/>
              </w:rPr>
              <w:t>本工程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一级指标</w:t>
            </w:r>
          </w:p>
        </w:tc>
        <w:tc>
          <w:tcPr>
            <w:tcW w:w="900"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权重值</w:t>
            </w: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二级指标</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单位</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权重分值</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评价基准值</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估算值</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2345"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（1）资源和能源消耗指标</w:t>
            </w:r>
          </w:p>
        </w:tc>
        <w:tc>
          <w:tcPr>
            <w:tcW w:w="900"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综合能耗</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kg标煤/t采出液</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稀油：≤65稠油：≤160</w:t>
            </w:r>
          </w:p>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天然气：≤50</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val="en-US" w:eastAsia="zh-CN"/>
              </w:rPr>
              <w:t>&lt;</w:t>
            </w:r>
            <w:r>
              <w:rPr>
                <w:rFonts w:hint="default" w:ascii="Times New Roman" w:hAnsi="Times New Roman" w:cs="Times New Roman"/>
                <w:color w:val="auto"/>
                <w:spacing w:val="4"/>
                <w:sz w:val="21"/>
                <w:szCs w:val="21"/>
                <w:highlight w:val="none"/>
                <w:shd w:val="clear" w:color="auto" w:fill="auto"/>
              </w:rPr>
              <w:t>65</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（2）资源综合利用指标</w:t>
            </w:r>
          </w:p>
        </w:tc>
        <w:tc>
          <w:tcPr>
            <w:tcW w:w="900"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30</w:t>
            </w: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余热利用率</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≥60</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2345"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油井伴生气回收利用率</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≥80</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含油污泥资源化利用率</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≥90</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（3）污染物产生指标</w:t>
            </w:r>
          </w:p>
        </w:tc>
        <w:tc>
          <w:tcPr>
            <w:tcW w:w="900"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40</w:t>
            </w: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石油类</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COD</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甲类区：≤100；乙类区：≤150</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落地原油回收利用率</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采油废水回用率</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≥60</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2345"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900"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550" w:type="dxa"/>
            <w:gridSpan w:val="4"/>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油井伴生气外排率</w:t>
            </w:r>
          </w:p>
        </w:tc>
        <w:tc>
          <w:tcPr>
            <w:tcW w:w="211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w:t>
            </w:r>
          </w:p>
        </w:tc>
        <w:tc>
          <w:tcPr>
            <w:tcW w:w="1213"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3082"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869"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13759" w:type="dxa"/>
            <w:gridSpan w:val="1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eastAsia="黑体" w:cs="Times New Roman"/>
                <w:b/>
                <w:bCs/>
                <w:color w:val="auto"/>
                <w:spacing w:val="4"/>
                <w:sz w:val="21"/>
                <w:szCs w:val="21"/>
                <w:highlight w:val="none"/>
                <w:shd w:val="clear" w:color="auto" w:fill="auto"/>
              </w:rPr>
              <w:t>定性指标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一级指标</w:t>
            </w:r>
          </w:p>
        </w:tc>
        <w:tc>
          <w:tcPr>
            <w:tcW w:w="1134"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指标分值</w:t>
            </w:r>
          </w:p>
        </w:tc>
        <w:tc>
          <w:tcPr>
            <w:tcW w:w="7371" w:type="dxa"/>
            <w:gridSpan w:val="6"/>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二级指标</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指标分值</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评分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（1）生产工艺及设备要求</w:t>
            </w:r>
          </w:p>
        </w:tc>
        <w:tc>
          <w:tcPr>
            <w:tcW w:w="1134"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45</w:t>
            </w:r>
          </w:p>
        </w:tc>
        <w:tc>
          <w:tcPr>
            <w:tcW w:w="4554" w:type="dxa"/>
            <w:gridSpan w:val="5"/>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井筒质量</w:t>
            </w:r>
          </w:p>
        </w:tc>
        <w:tc>
          <w:tcPr>
            <w:tcW w:w="2817"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井筒设施完好</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425" w:type="dxa"/>
            <w:vMerge w:val="restart"/>
            <w:tcBorders>
              <w:tl2br w:val="nil"/>
              <w:tr2bl w:val="nil"/>
            </w:tcBorders>
            <w:noWrap w:val="0"/>
            <w:vAlign w:val="center"/>
          </w:tcPr>
          <w:p>
            <w:pPr>
              <w:adjustRightInd w:val="0"/>
              <w:snapToGrid w:val="0"/>
              <w:spacing w:line="240" w:lineRule="exact"/>
              <w:jc w:val="center"/>
              <w:rPr>
                <w:rFonts w:hint="eastAsia" w:ascii="Times New Roman" w:hAnsi="Times New Roman" w:eastAsia="宋体" w:cs="Times New Roman"/>
                <w:color w:val="auto"/>
                <w:spacing w:val="4"/>
                <w:sz w:val="21"/>
                <w:szCs w:val="21"/>
                <w:highlight w:val="none"/>
                <w:shd w:val="clear" w:color="auto" w:fill="auto"/>
                <w:lang w:eastAsia="zh-CN"/>
              </w:rPr>
            </w:pPr>
            <w:r>
              <w:rPr>
                <w:rFonts w:hint="eastAsia" w:ascii="Times New Roman" w:hAnsi="Times New Roman" w:cs="Times New Roman"/>
                <w:color w:val="auto"/>
                <w:spacing w:val="4"/>
                <w:sz w:val="21"/>
                <w:szCs w:val="21"/>
                <w:highlight w:val="none"/>
                <w:shd w:val="clear" w:color="auto" w:fill="auto"/>
                <w:lang w:eastAsia="zh-CN"/>
              </w:rPr>
              <w:t>采油</w:t>
            </w:r>
          </w:p>
        </w:tc>
        <w:tc>
          <w:tcPr>
            <w:tcW w:w="2916"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eastAsia" w:ascii="Times New Roman" w:hAnsi="Times New Roman" w:cs="Times New Roman"/>
                <w:color w:val="auto"/>
                <w:spacing w:val="4"/>
                <w:sz w:val="21"/>
                <w:szCs w:val="21"/>
                <w:highlight w:val="none"/>
                <w:shd w:val="clear" w:color="auto" w:fill="auto"/>
                <w:lang w:eastAsia="zh-CN"/>
              </w:rPr>
              <w:t>采油</w:t>
            </w:r>
            <w:r>
              <w:rPr>
                <w:rFonts w:hint="default" w:ascii="Times New Roman" w:hAnsi="Times New Roman" w:cs="Times New Roman"/>
                <w:color w:val="auto"/>
                <w:spacing w:val="4"/>
                <w:sz w:val="21"/>
                <w:szCs w:val="21"/>
                <w:highlight w:val="none"/>
                <w:shd w:val="clear" w:color="auto" w:fill="auto"/>
              </w:rPr>
              <w:t>过程醇回收设施</w:t>
            </w:r>
          </w:p>
        </w:tc>
        <w:tc>
          <w:tcPr>
            <w:tcW w:w="695"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518"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采油</w:t>
            </w:r>
          </w:p>
        </w:tc>
        <w:tc>
          <w:tcPr>
            <w:tcW w:w="2817"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套管气回收装置</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425"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916"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天然气净化设施先进、净化效率高</w:t>
            </w:r>
          </w:p>
        </w:tc>
        <w:tc>
          <w:tcPr>
            <w:tcW w:w="695"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518"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2817"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防治落地原油产生措施</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ascii="Times New Roman" w:hAnsi="Times New Roman" w:cs="Times New Roman"/>
                <w:color w:val="auto"/>
                <w:spacing w:val="4"/>
                <w:sz w:val="21"/>
                <w:szCs w:val="21"/>
                <w:highlight w:val="none"/>
                <w:shd w:val="clear" w:color="auto" w:fill="auto"/>
                <w:lang w:val="en-US" w:eastAsia="zh-CN"/>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4554" w:type="dxa"/>
            <w:gridSpan w:val="5"/>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集输流程</w:t>
            </w:r>
          </w:p>
        </w:tc>
        <w:tc>
          <w:tcPr>
            <w:tcW w:w="2817"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全密闭流程，并具有轻烃回收装置</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eastAsia="宋体" w:cs="Times New Roman"/>
                <w:color w:val="auto"/>
                <w:spacing w:val="4"/>
                <w:sz w:val="21"/>
                <w:szCs w:val="21"/>
                <w:highlight w:val="none"/>
                <w:shd w:val="clear" w:color="auto" w:fill="auto"/>
                <w:lang w:val="en-US" w:eastAsia="zh-CN"/>
              </w:rPr>
            </w:pPr>
            <w:r>
              <w:rPr>
                <w:rFonts w:hint="eastAsia" w:cs="Times New Roman"/>
                <w:color w:val="auto"/>
                <w:spacing w:val="4"/>
                <w:sz w:val="21"/>
                <w:szCs w:val="21"/>
                <w:highlight w:val="none"/>
                <w:shd w:val="clear" w:color="auto" w:fill="auto"/>
                <w:lang w:val="en-US" w:eastAsia="zh-CN"/>
              </w:rPr>
              <w:t>10</w:t>
            </w:r>
          </w:p>
        </w:tc>
        <w:tc>
          <w:tcPr>
            <w:tcW w:w="686" w:type="dxa"/>
            <w:tcBorders>
              <w:tl2br w:val="nil"/>
              <w:tr2bl w:val="nil"/>
            </w:tcBorders>
            <w:noWrap w:val="0"/>
            <w:vAlign w:val="center"/>
          </w:tcPr>
          <w:p>
            <w:pPr>
              <w:adjustRightInd w:val="0"/>
              <w:snapToGrid w:val="0"/>
              <w:spacing w:line="240" w:lineRule="exact"/>
              <w:jc w:val="center"/>
              <w:rPr>
                <w:rFonts w:hint="eastAsia" w:ascii="Times New Roman" w:hAnsi="Times New Roman" w:eastAsia="宋体" w:cs="Times New Roman"/>
                <w:color w:val="auto"/>
                <w:spacing w:val="4"/>
                <w:sz w:val="21"/>
                <w:szCs w:val="21"/>
                <w:highlight w:val="none"/>
                <w:shd w:val="clear" w:color="auto" w:fill="auto"/>
                <w:lang w:eastAsia="zh-CN"/>
              </w:rPr>
            </w:pPr>
            <w:r>
              <w:rPr>
                <w:rFonts w:hint="eastAsia" w:cs="Times New Roman"/>
                <w:color w:val="auto"/>
                <w:spacing w:val="4"/>
                <w:sz w:val="21"/>
                <w:szCs w:val="21"/>
                <w:highlight w:val="none"/>
                <w:shd w:val="clear" w:color="auto" w:fill="auto"/>
                <w:lang w:val="en-US"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（2）管理体系建设及</w:t>
            </w:r>
          </w:p>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清洁生产审核</w:t>
            </w:r>
          </w:p>
        </w:tc>
        <w:tc>
          <w:tcPr>
            <w:tcW w:w="1134"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35</w:t>
            </w:r>
          </w:p>
        </w:tc>
        <w:tc>
          <w:tcPr>
            <w:tcW w:w="7371" w:type="dxa"/>
            <w:gridSpan w:val="6"/>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建立HSE管理体系并通过验证</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开展清洁生产审核</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制定节能减排工作计划</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（3）环保政策法规执行情况</w:t>
            </w:r>
          </w:p>
        </w:tc>
        <w:tc>
          <w:tcPr>
            <w:tcW w:w="1134" w:type="dxa"/>
            <w:vMerge w:val="restart"/>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20</w:t>
            </w:r>
          </w:p>
        </w:tc>
        <w:tc>
          <w:tcPr>
            <w:tcW w:w="7371" w:type="dxa"/>
            <w:gridSpan w:val="6"/>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建设项目“三同时”执行情况</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建设项目环境影响评价制度执行情况</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污染物排放总量控制与减排措施情况</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3434" w:type="dxa"/>
            <w:gridSpan w:val="3"/>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1134" w:type="dxa"/>
            <w:vMerge w:val="continue"/>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p>
        </w:tc>
        <w:tc>
          <w:tcPr>
            <w:tcW w:w="7371" w:type="dxa"/>
            <w:gridSpan w:val="6"/>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老污染源限期治理项目完成情况</w:t>
            </w:r>
          </w:p>
        </w:tc>
        <w:tc>
          <w:tcPr>
            <w:tcW w:w="1134" w:type="dxa"/>
            <w:gridSpan w:val="2"/>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c>
          <w:tcPr>
            <w:tcW w:w="686" w:type="dxa"/>
            <w:tcBorders>
              <w:tl2br w:val="nil"/>
              <w:tr2bl w:val="nil"/>
            </w:tcBorders>
            <w:noWrap w:val="0"/>
            <w:vAlign w:val="center"/>
          </w:tcPr>
          <w:p>
            <w:pPr>
              <w:adjustRightInd w:val="0"/>
              <w:snapToGrid w:val="0"/>
              <w:spacing w:line="240" w:lineRule="exact"/>
              <w:jc w:val="center"/>
              <w:rPr>
                <w:rFonts w:hint="default" w:ascii="Times New Roman" w:hAnsi="Times New Roman" w:cs="Times New Roman"/>
                <w:color w:val="auto"/>
                <w:spacing w:val="4"/>
                <w:sz w:val="21"/>
                <w:szCs w:val="21"/>
                <w:highlight w:val="none"/>
                <w:shd w:val="clear" w:color="auto" w:fill="auto"/>
              </w:rPr>
            </w:pPr>
            <w:r>
              <w:rPr>
                <w:rFonts w:hint="default" w:ascii="Times New Roman" w:hAnsi="Times New Roman" w:cs="Times New Roman"/>
                <w:color w:val="auto"/>
                <w:spacing w:val="4"/>
                <w:sz w:val="21"/>
                <w:szCs w:val="21"/>
                <w:highlight w:val="none"/>
                <w:shd w:val="clear" w:color="auto" w:fill="auto"/>
              </w:rPr>
              <w:t>5</w:t>
            </w:r>
          </w:p>
        </w:tc>
      </w:tr>
    </w:tbl>
    <w:p>
      <w:pPr>
        <w:rPr>
          <w:rFonts w:hint="default" w:ascii="Times New Roman" w:hAnsi="Times New Roman" w:cs="Times New Roman"/>
          <w:color w:val="auto"/>
          <w:highlight w:val="none"/>
          <w:shd w:val="clear" w:color="auto" w:fill="auto"/>
        </w:rPr>
        <w:sectPr>
          <w:footerReference r:id="rId9" w:type="even"/>
          <w:pgSz w:w="16838" w:h="11906" w:orient="landscape"/>
          <w:pgMar w:top="1440" w:right="1800" w:bottom="1440" w:left="1800" w:header="851" w:footer="1134" w:gutter="0"/>
          <w:pgBorders>
            <w:top w:val="none" w:sz="0" w:space="0"/>
            <w:left w:val="none" w:sz="0" w:space="0"/>
            <w:bottom w:val="none" w:sz="0" w:space="0"/>
            <w:right w:val="none" w:sz="0" w:space="0"/>
          </w:pgBorders>
          <w:pgNumType w:fmt="decimal"/>
          <w:cols w:space="720" w:num="1"/>
          <w:docGrid w:type="lines" w:linePitch="327" w:charSpace="0"/>
        </w:sectPr>
      </w:pPr>
    </w:p>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Pr>
        <w:pStyle w:val="53"/>
        <w:pageBreakBefore w:val="0"/>
        <w:kinsoku/>
        <w:wordWrap/>
        <w:overflowPunct/>
        <w:topLinePunct w:val="0"/>
        <w:autoSpaceDE/>
        <w:autoSpaceDN/>
        <w:bidi w:val="0"/>
        <w:spacing w:line="480" w:lineRule="exact"/>
        <w:rPr>
          <w:color w:val="auto"/>
          <w:highlight w:val="none"/>
        </w:rPr>
      </w:pPr>
      <w:bookmarkStart w:id="388" w:name="_Toc173941843"/>
      <w:bookmarkStart w:id="389" w:name="_Toc9532"/>
      <w:bookmarkStart w:id="390" w:name="_Toc173941725"/>
      <w:bookmarkStart w:id="391" w:name="_Toc173942679"/>
      <w:r>
        <w:rPr>
          <w:rFonts w:hint="eastAsia"/>
          <w:color w:val="auto"/>
          <w:highlight w:val="none"/>
        </w:rPr>
        <w:t>3.</w:t>
      </w:r>
      <w:r>
        <w:rPr>
          <w:rFonts w:hint="eastAsia"/>
          <w:color w:val="auto"/>
          <w:highlight w:val="none"/>
          <w:lang w:val="en-US" w:eastAsia="zh-CN"/>
        </w:rPr>
        <w:t>3</w:t>
      </w:r>
      <w:r>
        <w:rPr>
          <w:rFonts w:hint="eastAsia"/>
          <w:color w:val="auto"/>
          <w:highlight w:val="none"/>
        </w:rPr>
        <w:t>.7污染物排放“三本账”</w:t>
      </w:r>
    </w:p>
    <w:p>
      <w:pPr>
        <w:pStyle w:val="57"/>
        <w:pageBreakBefore w:val="0"/>
        <w:kinsoku/>
        <w:wordWrap/>
        <w:overflowPunct/>
        <w:topLinePunct w:val="0"/>
        <w:autoSpaceDE/>
        <w:autoSpaceDN/>
        <w:bidi w:val="0"/>
        <w:spacing w:line="480" w:lineRule="exact"/>
        <w:rPr>
          <w:color w:val="auto"/>
          <w:sz w:val="26"/>
          <w:szCs w:val="26"/>
          <w:highlight w:val="none"/>
        </w:rPr>
      </w:pPr>
      <w:r>
        <w:rPr>
          <w:rFonts w:hint="eastAsia"/>
          <w:color w:val="auto"/>
          <w:highlight w:val="none"/>
        </w:rPr>
        <w:t>拟建工程实施后“</w:t>
      </w:r>
      <w:r>
        <w:rPr>
          <w:rFonts w:hint="eastAsia" w:hAnsi="宋体" w:cs="宋体"/>
          <w:color w:val="auto"/>
          <w:highlight w:val="none"/>
        </w:rPr>
        <w:t>三本账</w:t>
      </w:r>
      <w:r>
        <w:rPr>
          <w:rFonts w:hint="eastAsia"/>
          <w:color w:val="auto"/>
          <w:highlight w:val="none"/>
        </w:rPr>
        <w:t>”</w:t>
      </w:r>
      <w:r>
        <w:rPr>
          <w:rFonts w:hint="eastAsia" w:hAnsi="宋体" w:cs="宋体"/>
          <w:color w:val="auto"/>
          <w:highlight w:val="none"/>
        </w:rPr>
        <w:t>的排放情况见</w:t>
      </w:r>
      <w:r>
        <w:rPr>
          <w:color w:val="auto"/>
          <w:highlight w:val="none"/>
        </w:rPr>
        <w:t>表3.</w:t>
      </w:r>
      <w:r>
        <w:rPr>
          <w:rFonts w:hint="eastAsia"/>
          <w:color w:val="auto"/>
          <w:highlight w:val="none"/>
          <w:lang w:val="en-US" w:eastAsia="zh-CN"/>
        </w:rPr>
        <w:t>3</w:t>
      </w:r>
      <w:r>
        <w:rPr>
          <w:color w:val="auto"/>
          <w:highlight w:val="none"/>
        </w:rPr>
        <w:t>-</w:t>
      </w:r>
      <w:r>
        <w:rPr>
          <w:rFonts w:hint="eastAsia"/>
          <w:color w:val="auto"/>
          <w:highlight w:val="none"/>
          <w:lang w:val="en-US" w:eastAsia="zh-CN"/>
        </w:rPr>
        <w:t>20</w:t>
      </w:r>
      <w:r>
        <w:rPr>
          <w:color w:val="auto"/>
          <w:highlight w:val="none"/>
        </w:rPr>
        <w:t>。</w:t>
      </w:r>
    </w:p>
    <w:p>
      <w:pPr>
        <w:pStyle w:val="54"/>
        <w:pageBreakBefore w:val="0"/>
        <w:kinsoku/>
        <w:wordWrap/>
        <w:overflowPunct/>
        <w:topLinePunct w:val="0"/>
        <w:autoSpaceDE/>
        <w:autoSpaceDN/>
        <w:bidi w:val="0"/>
        <w:spacing w:line="480" w:lineRule="exact"/>
        <w:ind w:firstLine="482"/>
        <w:rPr>
          <w:color w:val="auto"/>
          <w:highlight w:val="none"/>
        </w:rPr>
      </w:pPr>
      <w:bookmarkStart w:id="392" w:name="_Toc5959"/>
      <w:bookmarkStart w:id="393" w:name="_Toc301770603"/>
      <w:bookmarkStart w:id="394" w:name="_Toc338688782"/>
      <w:bookmarkStart w:id="395" w:name="_Toc446408436"/>
      <w:bookmarkStart w:id="396" w:name="_Toc387230372"/>
      <w:bookmarkStart w:id="397" w:name="_Toc125468034"/>
      <w:bookmarkStart w:id="398" w:name="_Toc446951250"/>
      <w:bookmarkStart w:id="399" w:name="_Toc291859431"/>
      <w:bookmarkStart w:id="400" w:name="_Toc339279598"/>
      <w:bookmarkStart w:id="401" w:name="_Toc384828486"/>
      <w:bookmarkStart w:id="402" w:name="_Toc387921943"/>
      <w:bookmarkStart w:id="403" w:name="_Toc406490761"/>
      <w:bookmarkStart w:id="404" w:name="_Toc364714328"/>
      <w:bookmarkStart w:id="405" w:name="_Toc508291882"/>
      <w:bookmarkStart w:id="406" w:name="_Toc299358580"/>
      <w:bookmarkStart w:id="407" w:name="_Toc337551512"/>
      <w:bookmarkStart w:id="408" w:name="_Toc444165324"/>
      <w:bookmarkStart w:id="409" w:name="_Toc330457906"/>
      <w:bookmarkStart w:id="410" w:name="_Toc307215929"/>
      <w:bookmarkStart w:id="411" w:name="_Toc313911432"/>
      <w:bookmarkStart w:id="412" w:name="_Toc440533840"/>
      <w:bookmarkStart w:id="413" w:name="_Toc301770505"/>
      <w:bookmarkStart w:id="414" w:name="_Toc312149114"/>
      <w:bookmarkStart w:id="415" w:name="_Toc330458032"/>
      <w:bookmarkStart w:id="416" w:name="_Toc177909951"/>
      <w:bookmarkStart w:id="417" w:name="_Toc301781782"/>
      <w:bookmarkStart w:id="418" w:name="_Toc364714575"/>
      <w:bookmarkStart w:id="419" w:name="_Toc382488775"/>
      <w:bookmarkStart w:id="420" w:name="_Toc177909299"/>
      <w:bookmarkStart w:id="421" w:name="_Toc209583544"/>
      <w:r>
        <w:rPr>
          <w:rFonts w:hint="eastAsia"/>
          <w:color w:val="auto"/>
          <w:highlight w:val="none"/>
        </w:rPr>
        <w:t>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 xml:space="preserve">20    </w:t>
      </w:r>
      <w:r>
        <w:rPr>
          <w:rFonts w:hint="eastAsia"/>
          <w:color w:val="auto"/>
          <w:highlight w:val="none"/>
        </w:rPr>
        <w:t>本工程运营期污染物排放“三本账”表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309"/>
        <w:gridCol w:w="758"/>
        <w:gridCol w:w="902"/>
        <w:gridCol w:w="1926"/>
        <w:gridCol w:w="994"/>
        <w:gridCol w:w="1366"/>
        <w:gridCol w:w="1178"/>
        <w:gridCol w:w="12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restart"/>
            <w:tcBorders>
              <w:tl2br w:val="nil"/>
              <w:tr2bl w:val="nil"/>
            </w:tcBorders>
            <w:vAlign w:val="center"/>
          </w:tcPr>
          <w:p>
            <w:pPr>
              <w:rPr>
                <w:color w:val="auto"/>
                <w:highlight w:val="none"/>
              </w:rPr>
            </w:pPr>
            <w:r>
              <w:rPr>
                <w:color w:val="auto"/>
                <w:highlight w:val="none"/>
              </w:rPr>
              <w:t>序号</w:t>
            </w:r>
          </w:p>
        </w:tc>
        <w:tc>
          <w:tcPr>
            <w:tcW w:w="437" w:type="pct"/>
            <w:vMerge w:val="restart"/>
            <w:tcBorders>
              <w:tl2br w:val="nil"/>
              <w:tr2bl w:val="nil"/>
            </w:tcBorders>
            <w:vAlign w:val="center"/>
          </w:tcPr>
          <w:p>
            <w:pPr>
              <w:rPr>
                <w:color w:val="auto"/>
                <w:highlight w:val="none"/>
              </w:rPr>
            </w:pPr>
            <w:r>
              <w:rPr>
                <w:color w:val="auto"/>
                <w:highlight w:val="none"/>
              </w:rPr>
              <w:t>影响</w:t>
            </w:r>
          </w:p>
          <w:p>
            <w:pPr>
              <w:rPr>
                <w:color w:val="auto"/>
                <w:highlight w:val="none"/>
              </w:rPr>
            </w:pPr>
            <w:r>
              <w:rPr>
                <w:color w:val="auto"/>
                <w:highlight w:val="none"/>
              </w:rPr>
              <w:t>类别</w:t>
            </w:r>
          </w:p>
        </w:tc>
        <w:tc>
          <w:tcPr>
            <w:tcW w:w="520" w:type="pct"/>
            <w:vMerge w:val="restart"/>
            <w:tcBorders>
              <w:tl2br w:val="nil"/>
              <w:tr2bl w:val="nil"/>
            </w:tcBorders>
            <w:vAlign w:val="center"/>
          </w:tcPr>
          <w:p>
            <w:pPr>
              <w:rPr>
                <w:color w:val="auto"/>
                <w:highlight w:val="none"/>
              </w:rPr>
            </w:pPr>
            <w:r>
              <w:rPr>
                <w:color w:val="auto"/>
                <w:highlight w:val="none"/>
              </w:rPr>
              <w:t>污染物</w:t>
            </w:r>
          </w:p>
        </w:tc>
        <w:tc>
          <w:tcPr>
            <w:tcW w:w="1110" w:type="pct"/>
            <w:vMerge w:val="restart"/>
            <w:tcBorders>
              <w:tl2br w:val="nil"/>
              <w:tr2bl w:val="nil"/>
            </w:tcBorders>
            <w:vAlign w:val="center"/>
          </w:tcPr>
          <w:p>
            <w:pPr>
              <w:rPr>
                <w:color w:val="auto"/>
                <w:highlight w:val="none"/>
              </w:rPr>
            </w:pPr>
            <w:r>
              <w:rPr>
                <w:color w:val="auto"/>
                <w:highlight w:val="none"/>
              </w:rPr>
              <w:t>现有工程产生量</w:t>
            </w:r>
            <w:r>
              <w:rPr>
                <w:rFonts w:hint="eastAsia"/>
                <w:color w:val="auto"/>
                <w:highlight w:val="none"/>
              </w:rPr>
              <w:t>（</w:t>
            </w:r>
            <w:r>
              <w:rPr>
                <w:color w:val="auto"/>
                <w:highlight w:val="none"/>
              </w:rPr>
              <w:t>t/a</w:t>
            </w:r>
            <w:r>
              <w:rPr>
                <w:rFonts w:hint="eastAsia"/>
                <w:color w:val="auto"/>
                <w:highlight w:val="none"/>
              </w:rPr>
              <w:t>）</w:t>
            </w:r>
          </w:p>
        </w:tc>
        <w:tc>
          <w:tcPr>
            <w:tcW w:w="573" w:type="pct"/>
            <w:vMerge w:val="restart"/>
            <w:tcBorders>
              <w:tl2br w:val="nil"/>
              <w:tr2bl w:val="nil"/>
            </w:tcBorders>
            <w:vAlign w:val="center"/>
          </w:tcPr>
          <w:p>
            <w:pPr>
              <w:rPr>
                <w:color w:val="auto"/>
                <w:highlight w:val="none"/>
              </w:rPr>
            </w:pPr>
            <w:r>
              <w:rPr>
                <w:rFonts w:hint="eastAsia"/>
                <w:color w:val="auto"/>
                <w:highlight w:val="none"/>
              </w:rPr>
              <w:t>本工程</w:t>
            </w:r>
            <w:r>
              <w:rPr>
                <w:color w:val="auto"/>
                <w:highlight w:val="none"/>
              </w:rPr>
              <w:t>产生量</w:t>
            </w:r>
            <w:r>
              <w:rPr>
                <w:rFonts w:hint="eastAsia"/>
                <w:color w:val="auto"/>
                <w:highlight w:val="none"/>
              </w:rPr>
              <w:t>（</w:t>
            </w:r>
            <w:r>
              <w:rPr>
                <w:color w:val="auto"/>
                <w:spacing w:val="-10"/>
                <w:highlight w:val="none"/>
              </w:rPr>
              <w:t>t/a</w:t>
            </w:r>
            <w:r>
              <w:rPr>
                <w:rFonts w:hint="eastAsia"/>
                <w:color w:val="auto"/>
                <w:spacing w:val="-10"/>
                <w:highlight w:val="none"/>
              </w:rPr>
              <w:t>）</w:t>
            </w:r>
          </w:p>
        </w:tc>
        <w:tc>
          <w:tcPr>
            <w:tcW w:w="2180" w:type="pct"/>
            <w:gridSpan w:val="3"/>
            <w:tcBorders>
              <w:tl2br w:val="nil"/>
              <w:tr2bl w:val="nil"/>
            </w:tcBorders>
            <w:vAlign w:val="center"/>
          </w:tcPr>
          <w:p>
            <w:pPr>
              <w:rPr>
                <w:color w:val="auto"/>
                <w:highlight w:val="none"/>
              </w:rPr>
            </w:pPr>
            <w:r>
              <w:rPr>
                <w:color w:val="auto"/>
                <w:highlight w:val="none"/>
              </w:rPr>
              <w:t>总体工程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pPr>
              <w:rPr>
                <w:color w:val="auto"/>
                <w:highlight w:val="none"/>
              </w:rPr>
            </w:pPr>
          </w:p>
        </w:tc>
        <w:tc>
          <w:tcPr>
            <w:tcW w:w="437" w:type="pct"/>
            <w:vMerge w:val="continue"/>
            <w:tcBorders>
              <w:tl2br w:val="nil"/>
              <w:tr2bl w:val="nil"/>
            </w:tcBorders>
            <w:vAlign w:val="center"/>
          </w:tcPr>
          <w:p>
            <w:pPr>
              <w:rPr>
                <w:color w:val="auto"/>
                <w:highlight w:val="none"/>
              </w:rPr>
            </w:pPr>
          </w:p>
        </w:tc>
        <w:tc>
          <w:tcPr>
            <w:tcW w:w="520" w:type="pct"/>
            <w:vMerge w:val="continue"/>
            <w:tcBorders>
              <w:tl2br w:val="nil"/>
              <w:tr2bl w:val="nil"/>
            </w:tcBorders>
            <w:vAlign w:val="center"/>
          </w:tcPr>
          <w:p>
            <w:pPr>
              <w:rPr>
                <w:color w:val="auto"/>
                <w:highlight w:val="none"/>
              </w:rPr>
            </w:pPr>
          </w:p>
        </w:tc>
        <w:tc>
          <w:tcPr>
            <w:tcW w:w="1110" w:type="pct"/>
            <w:vMerge w:val="continue"/>
            <w:tcBorders>
              <w:tl2br w:val="nil"/>
              <w:tr2bl w:val="nil"/>
            </w:tcBorders>
            <w:vAlign w:val="center"/>
          </w:tcPr>
          <w:p>
            <w:pPr>
              <w:rPr>
                <w:color w:val="auto"/>
                <w:highlight w:val="none"/>
              </w:rPr>
            </w:pPr>
          </w:p>
        </w:tc>
        <w:tc>
          <w:tcPr>
            <w:tcW w:w="573" w:type="pct"/>
            <w:vMerge w:val="continue"/>
            <w:tcBorders>
              <w:tl2br w:val="nil"/>
              <w:tr2bl w:val="nil"/>
            </w:tcBorders>
            <w:vAlign w:val="center"/>
          </w:tcPr>
          <w:p>
            <w:pPr>
              <w:rPr>
                <w:color w:val="auto"/>
                <w:highlight w:val="none"/>
              </w:rPr>
            </w:pPr>
          </w:p>
        </w:tc>
        <w:tc>
          <w:tcPr>
            <w:tcW w:w="787" w:type="pct"/>
            <w:tcBorders>
              <w:tl2br w:val="nil"/>
              <w:tr2bl w:val="nil"/>
            </w:tcBorders>
            <w:vAlign w:val="center"/>
          </w:tcPr>
          <w:p>
            <w:pPr>
              <w:rPr>
                <w:color w:val="auto"/>
                <w:highlight w:val="none"/>
              </w:rPr>
            </w:pPr>
            <w:r>
              <w:rPr>
                <w:color w:val="auto"/>
                <w:highlight w:val="none"/>
              </w:rPr>
              <w:t>产生量</w:t>
            </w:r>
            <w:r>
              <w:rPr>
                <w:rFonts w:hint="eastAsia"/>
                <w:color w:val="auto"/>
                <w:highlight w:val="none"/>
              </w:rPr>
              <w:t>（</w:t>
            </w:r>
            <w:r>
              <w:rPr>
                <w:color w:val="auto"/>
                <w:highlight w:val="none"/>
              </w:rPr>
              <w:t>t/a</w:t>
            </w:r>
            <w:r>
              <w:rPr>
                <w:rFonts w:hint="eastAsia"/>
                <w:color w:val="auto"/>
                <w:highlight w:val="none"/>
              </w:rPr>
              <w:t>）</w:t>
            </w:r>
          </w:p>
        </w:tc>
        <w:tc>
          <w:tcPr>
            <w:tcW w:w="679" w:type="pct"/>
            <w:tcBorders>
              <w:tl2br w:val="nil"/>
              <w:tr2bl w:val="nil"/>
            </w:tcBorders>
            <w:vAlign w:val="center"/>
          </w:tcPr>
          <w:p>
            <w:pPr>
              <w:rPr>
                <w:color w:val="auto"/>
                <w:spacing w:val="-10"/>
                <w:highlight w:val="none"/>
              </w:rPr>
            </w:pPr>
            <w:r>
              <w:rPr>
                <w:color w:val="auto"/>
                <w:highlight w:val="none"/>
              </w:rPr>
              <w:t>以新带老削减量</w:t>
            </w:r>
            <w:r>
              <w:rPr>
                <w:rFonts w:hint="eastAsia"/>
                <w:color w:val="auto"/>
                <w:highlight w:val="none"/>
              </w:rPr>
              <w:t>（</w:t>
            </w:r>
            <w:r>
              <w:rPr>
                <w:color w:val="auto"/>
                <w:spacing w:val="-10"/>
                <w:highlight w:val="none"/>
              </w:rPr>
              <w:t>t/a</w:t>
            </w:r>
            <w:r>
              <w:rPr>
                <w:rFonts w:hint="eastAsia"/>
                <w:color w:val="auto"/>
                <w:spacing w:val="-10"/>
                <w:highlight w:val="none"/>
              </w:rPr>
              <w:t>）</w:t>
            </w:r>
          </w:p>
        </w:tc>
        <w:tc>
          <w:tcPr>
            <w:tcW w:w="713" w:type="pct"/>
            <w:tcBorders>
              <w:tl2br w:val="nil"/>
              <w:tr2bl w:val="nil"/>
            </w:tcBorders>
          </w:tcPr>
          <w:p>
            <w:pPr>
              <w:rPr>
                <w:color w:val="auto"/>
                <w:highlight w:val="none"/>
              </w:rPr>
            </w:pPr>
            <w:r>
              <w:rPr>
                <w:color w:val="auto"/>
                <w:highlight w:val="none"/>
              </w:rPr>
              <w:t>排放增减量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restart"/>
            <w:tcBorders>
              <w:tl2br w:val="nil"/>
              <w:tr2bl w:val="nil"/>
            </w:tcBorders>
            <w:vAlign w:val="center"/>
          </w:tcPr>
          <w:p>
            <w:pPr>
              <w:rPr>
                <w:color w:val="auto"/>
                <w:highlight w:val="none"/>
              </w:rPr>
            </w:pPr>
            <w:r>
              <w:rPr>
                <w:color w:val="auto"/>
                <w:highlight w:val="none"/>
              </w:rPr>
              <w:t>1</w:t>
            </w:r>
          </w:p>
        </w:tc>
        <w:tc>
          <w:tcPr>
            <w:tcW w:w="437" w:type="pct"/>
            <w:vMerge w:val="restart"/>
            <w:tcBorders>
              <w:tl2br w:val="nil"/>
              <w:tr2bl w:val="nil"/>
            </w:tcBorders>
            <w:vAlign w:val="center"/>
          </w:tcPr>
          <w:p>
            <w:pPr>
              <w:rPr>
                <w:color w:val="auto"/>
                <w:highlight w:val="none"/>
              </w:rPr>
            </w:pPr>
            <w:r>
              <w:rPr>
                <w:color w:val="auto"/>
                <w:highlight w:val="none"/>
              </w:rPr>
              <w:t>废气</w:t>
            </w:r>
          </w:p>
        </w:tc>
        <w:tc>
          <w:tcPr>
            <w:tcW w:w="520" w:type="pct"/>
            <w:tcBorders>
              <w:tl2br w:val="nil"/>
              <w:tr2bl w:val="nil"/>
            </w:tcBorders>
            <w:shd w:val="clear" w:color="auto" w:fill="auto"/>
            <w:vAlign w:val="center"/>
          </w:tcPr>
          <w:p>
            <w:pPr>
              <w:pStyle w:val="41"/>
              <w:rPr>
                <w:color w:val="auto"/>
                <w:highlight w:val="none"/>
              </w:rPr>
            </w:pPr>
            <w:r>
              <w:rPr>
                <w:color w:val="auto"/>
                <w:highlight w:val="none"/>
              </w:rPr>
              <w:t>SO</w:t>
            </w:r>
            <w:r>
              <w:rPr>
                <w:color w:val="auto"/>
                <w:highlight w:val="none"/>
                <w:vertAlign w:val="subscript"/>
              </w:rPr>
              <w:t>2</w:t>
            </w:r>
          </w:p>
        </w:tc>
        <w:tc>
          <w:tcPr>
            <w:tcW w:w="1110" w:type="pct"/>
            <w:tcBorders>
              <w:tl2br w:val="nil"/>
              <w:tr2bl w:val="nil"/>
            </w:tcBorders>
            <w:shd w:val="clear" w:color="auto" w:fill="auto"/>
            <w:vAlign w:val="center"/>
          </w:tcPr>
          <w:p>
            <w:pPr>
              <w:pStyle w:val="41"/>
              <w:rPr>
                <w:color w:val="auto"/>
                <w:szCs w:val="23"/>
                <w:highlight w:val="none"/>
              </w:rPr>
            </w:pPr>
            <w:r>
              <w:rPr>
                <w:rFonts w:hint="eastAsia"/>
                <w:color w:val="auto"/>
                <w:szCs w:val="23"/>
                <w:highlight w:val="none"/>
              </w:rPr>
              <w:t>0</w:t>
            </w:r>
          </w:p>
        </w:tc>
        <w:tc>
          <w:tcPr>
            <w:tcW w:w="573" w:type="pct"/>
            <w:tcBorders>
              <w:tl2br w:val="nil"/>
              <w:tr2bl w:val="nil"/>
            </w:tcBorders>
            <w:shd w:val="clear" w:color="auto" w:fill="auto"/>
            <w:vAlign w:val="center"/>
          </w:tcPr>
          <w:p>
            <w:pPr>
              <w:pStyle w:val="41"/>
              <w:rPr>
                <w:color w:val="auto"/>
                <w:highlight w:val="none"/>
              </w:rPr>
            </w:pPr>
            <w:r>
              <w:rPr>
                <w:rFonts w:hint="eastAsia"/>
                <w:color w:val="auto"/>
                <w:highlight w:val="none"/>
              </w:rPr>
              <w:t>0</w:t>
            </w:r>
          </w:p>
        </w:tc>
        <w:tc>
          <w:tcPr>
            <w:tcW w:w="787" w:type="pct"/>
            <w:tcBorders>
              <w:tl2br w:val="nil"/>
              <w:tr2bl w:val="nil"/>
            </w:tcBorders>
            <w:shd w:val="clear" w:color="auto" w:fill="auto"/>
            <w:vAlign w:val="center"/>
          </w:tcPr>
          <w:p>
            <w:pPr>
              <w:rPr>
                <w:color w:val="auto"/>
                <w:highlight w:val="none"/>
              </w:rPr>
            </w:pPr>
            <w:r>
              <w:rPr>
                <w:rFonts w:hint="eastAsia"/>
                <w:color w:val="auto"/>
                <w:highlight w:val="none"/>
              </w:rPr>
              <w:t>0</w:t>
            </w:r>
          </w:p>
        </w:tc>
        <w:tc>
          <w:tcPr>
            <w:tcW w:w="679" w:type="pct"/>
            <w:tcBorders>
              <w:tl2br w:val="nil"/>
              <w:tr2bl w:val="nil"/>
            </w:tcBorders>
            <w:shd w:val="clear" w:color="auto" w:fill="auto"/>
            <w:vAlign w:val="center"/>
          </w:tcPr>
          <w:p>
            <w:pPr>
              <w:rPr>
                <w:color w:val="auto"/>
                <w:spacing w:val="-10"/>
                <w:highlight w:val="none"/>
              </w:rPr>
            </w:pPr>
            <w:r>
              <w:rPr>
                <w:rFonts w:hint="eastAsia"/>
                <w:color w:val="auto"/>
                <w:spacing w:val="-10"/>
                <w:highlight w:val="none"/>
              </w:rPr>
              <w:t>0</w:t>
            </w:r>
          </w:p>
        </w:tc>
        <w:tc>
          <w:tcPr>
            <w:tcW w:w="713" w:type="pct"/>
            <w:tcBorders>
              <w:tl2br w:val="nil"/>
              <w:tr2bl w:val="nil"/>
            </w:tcBorders>
            <w:shd w:val="clear" w:color="auto" w:fill="auto"/>
            <w:vAlign w:val="center"/>
          </w:tcPr>
          <w:p>
            <w:pP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pPr>
              <w:rPr>
                <w:color w:val="auto"/>
                <w:highlight w:val="none"/>
              </w:rPr>
            </w:pPr>
          </w:p>
        </w:tc>
        <w:tc>
          <w:tcPr>
            <w:tcW w:w="437" w:type="pct"/>
            <w:vMerge w:val="continue"/>
            <w:tcBorders>
              <w:tl2br w:val="nil"/>
              <w:tr2bl w:val="nil"/>
            </w:tcBorders>
            <w:vAlign w:val="center"/>
          </w:tcPr>
          <w:p>
            <w:pPr>
              <w:rPr>
                <w:color w:val="auto"/>
                <w:highlight w:val="none"/>
              </w:rPr>
            </w:pPr>
          </w:p>
        </w:tc>
        <w:tc>
          <w:tcPr>
            <w:tcW w:w="520" w:type="pct"/>
            <w:tcBorders>
              <w:tl2br w:val="nil"/>
              <w:tr2bl w:val="nil"/>
            </w:tcBorders>
            <w:shd w:val="clear" w:color="auto" w:fill="auto"/>
            <w:vAlign w:val="center"/>
          </w:tcPr>
          <w:p>
            <w:pPr>
              <w:pStyle w:val="41"/>
              <w:rPr>
                <w:color w:val="auto"/>
                <w:highlight w:val="none"/>
              </w:rPr>
            </w:pPr>
            <w:r>
              <w:rPr>
                <w:color w:val="auto"/>
                <w:highlight w:val="none"/>
              </w:rPr>
              <w:t>NO</w:t>
            </w:r>
            <w:r>
              <w:rPr>
                <w:color w:val="auto"/>
                <w:highlight w:val="none"/>
                <w:vertAlign w:val="subscript"/>
              </w:rPr>
              <w:t>X</w:t>
            </w:r>
          </w:p>
        </w:tc>
        <w:tc>
          <w:tcPr>
            <w:tcW w:w="1110" w:type="pct"/>
            <w:tcBorders>
              <w:tl2br w:val="nil"/>
              <w:tr2bl w:val="nil"/>
            </w:tcBorders>
            <w:shd w:val="clear" w:color="auto" w:fill="auto"/>
            <w:vAlign w:val="center"/>
          </w:tcPr>
          <w:p>
            <w:pPr>
              <w:rPr>
                <w:color w:val="auto"/>
                <w:szCs w:val="23"/>
                <w:highlight w:val="none"/>
              </w:rPr>
            </w:pPr>
            <w:r>
              <w:rPr>
                <w:rFonts w:hint="eastAsia"/>
                <w:color w:val="auto"/>
                <w:szCs w:val="23"/>
                <w:highlight w:val="none"/>
              </w:rPr>
              <w:t>0</w:t>
            </w:r>
          </w:p>
        </w:tc>
        <w:tc>
          <w:tcPr>
            <w:tcW w:w="573" w:type="pct"/>
            <w:tcBorders>
              <w:tl2br w:val="nil"/>
              <w:tr2bl w:val="nil"/>
            </w:tcBorders>
            <w:shd w:val="clear" w:color="auto" w:fill="auto"/>
            <w:vAlign w:val="center"/>
          </w:tcPr>
          <w:p>
            <w:pPr>
              <w:pStyle w:val="41"/>
              <w:rPr>
                <w:color w:val="auto"/>
                <w:highlight w:val="none"/>
              </w:rPr>
            </w:pPr>
            <w:r>
              <w:rPr>
                <w:rFonts w:hint="eastAsia"/>
                <w:color w:val="auto"/>
                <w:highlight w:val="none"/>
              </w:rPr>
              <w:t>0</w:t>
            </w:r>
          </w:p>
        </w:tc>
        <w:tc>
          <w:tcPr>
            <w:tcW w:w="787" w:type="pct"/>
            <w:tcBorders>
              <w:tl2br w:val="nil"/>
              <w:tr2bl w:val="nil"/>
            </w:tcBorders>
            <w:shd w:val="clear" w:color="auto" w:fill="auto"/>
            <w:vAlign w:val="center"/>
          </w:tcPr>
          <w:p>
            <w:pPr>
              <w:rPr>
                <w:color w:val="auto"/>
                <w:highlight w:val="none"/>
              </w:rPr>
            </w:pPr>
            <w:r>
              <w:rPr>
                <w:rFonts w:hint="eastAsia"/>
                <w:color w:val="auto"/>
                <w:highlight w:val="none"/>
              </w:rPr>
              <w:t>0</w:t>
            </w:r>
          </w:p>
        </w:tc>
        <w:tc>
          <w:tcPr>
            <w:tcW w:w="679" w:type="pct"/>
            <w:tcBorders>
              <w:tl2br w:val="nil"/>
              <w:tr2bl w:val="nil"/>
            </w:tcBorders>
            <w:shd w:val="clear" w:color="auto" w:fill="auto"/>
            <w:vAlign w:val="center"/>
          </w:tcPr>
          <w:p>
            <w:pPr>
              <w:rPr>
                <w:color w:val="auto"/>
                <w:spacing w:val="-10"/>
                <w:highlight w:val="none"/>
              </w:rPr>
            </w:pPr>
            <w:r>
              <w:rPr>
                <w:rFonts w:hint="eastAsia"/>
                <w:color w:val="auto"/>
                <w:spacing w:val="-10"/>
                <w:highlight w:val="none"/>
              </w:rPr>
              <w:t>0</w:t>
            </w:r>
          </w:p>
        </w:tc>
        <w:tc>
          <w:tcPr>
            <w:tcW w:w="713" w:type="pct"/>
            <w:tcBorders>
              <w:tl2br w:val="nil"/>
              <w:tr2bl w:val="nil"/>
            </w:tcBorders>
            <w:shd w:val="clear" w:color="auto" w:fill="auto"/>
            <w:vAlign w:val="center"/>
          </w:tcPr>
          <w:p>
            <w:pP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pPr>
              <w:rPr>
                <w:color w:val="auto"/>
                <w:highlight w:val="none"/>
              </w:rPr>
            </w:pPr>
          </w:p>
        </w:tc>
        <w:tc>
          <w:tcPr>
            <w:tcW w:w="437" w:type="pct"/>
            <w:vMerge w:val="continue"/>
            <w:tcBorders>
              <w:tl2br w:val="nil"/>
              <w:tr2bl w:val="nil"/>
            </w:tcBorders>
            <w:vAlign w:val="center"/>
          </w:tcPr>
          <w:p>
            <w:pPr>
              <w:rPr>
                <w:color w:val="auto"/>
                <w:highlight w:val="none"/>
              </w:rPr>
            </w:pPr>
          </w:p>
        </w:tc>
        <w:tc>
          <w:tcPr>
            <w:tcW w:w="520" w:type="pct"/>
            <w:tcBorders>
              <w:tl2br w:val="nil"/>
              <w:tr2bl w:val="nil"/>
            </w:tcBorders>
            <w:shd w:val="clear" w:color="auto" w:fill="auto"/>
            <w:vAlign w:val="center"/>
          </w:tcPr>
          <w:p>
            <w:pPr>
              <w:pStyle w:val="41"/>
              <w:rPr>
                <w:color w:val="auto"/>
                <w:highlight w:val="none"/>
              </w:rPr>
            </w:pPr>
            <w:r>
              <w:rPr>
                <w:color w:val="auto"/>
                <w:highlight w:val="none"/>
              </w:rPr>
              <w:t>颗粒物</w:t>
            </w:r>
          </w:p>
        </w:tc>
        <w:tc>
          <w:tcPr>
            <w:tcW w:w="1110" w:type="pct"/>
            <w:tcBorders>
              <w:tl2br w:val="nil"/>
              <w:tr2bl w:val="nil"/>
            </w:tcBorders>
            <w:shd w:val="clear" w:color="auto" w:fill="auto"/>
            <w:vAlign w:val="center"/>
          </w:tcPr>
          <w:p>
            <w:pPr>
              <w:rPr>
                <w:color w:val="auto"/>
                <w:szCs w:val="23"/>
                <w:highlight w:val="none"/>
              </w:rPr>
            </w:pPr>
            <w:r>
              <w:rPr>
                <w:rFonts w:hint="eastAsia"/>
                <w:color w:val="auto"/>
                <w:szCs w:val="23"/>
                <w:highlight w:val="none"/>
              </w:rPr>
              <w:t>0</w:t>
            </w:r>
          </w:p>
        </w:tc>
        <w:tc>
          <w:tcPr>
            <w:tcW w:w="573" w:type="pct"/>
            <w:tcBorders>
              <w:tl2br w:val="nil"/>
              <w:tr2bl w:val="nil"/>
            </w:tcBorders>
            <w:shd w:val="clear" w:color="auto" w:fill="auto"/>
            <w:vAlign w:val="center"/>
          </w:tcPr>
          <w:p>
            <w:pPr>
              <w:pStyle w:val="41"/>
              <w:rPr>
                <w:color w:val="auto"/>
                <w:highlight w:val="none"/>
              </w:rPr>
            </w:pPr>
            <w:r>
              <w:rPr>
                <w:rFonts w:hint="eastAsia"/>
                <w:color w:val="auto"/>
                <w:highlight w:val="none"/>
              </w:rPr>
              <w:t>0</w:t>
            </w:r>
          </w:p>
        </w:tc>
        <w:tc>
          <w:tcPr>
            <w:tcW w:w="787" w:type="pct"/>
            <w:tcBorders>
              <w:tl2br w:val="nil"/>
              <w:tr2bl w:val="nil"/>
            </w:tcBorders>
            <w:shd w:val="clear" w:color="auto" w:fill="auto"/>
            <w:vAlign w:val="center"/>
          </w:tcPr>
          <w:p>
            <w:pPr>
              <w:rPr>
                <w:color w:val="auto"/>
                <w:highlight w:val="none"/>
              </w:rPr>
            </w:pPr>
            <w:r>
              <w:rPr>
                <w:rFonts w:hint="eastAsia"/>
                <w:color w:val="auto"/>
                <w:highlight w:val="none"/>
              </w:rPr>
              <w:t>0</w:t>
            </w:r>
          </w:p>
        </w:tc>
        <w:tc>
          <w:tcPr>
            <w:tcW w:w="679" w:type="pct"/>
            <w:tcBorders>
              <w:tl2br w:val="nil"/>
              <w:tr2bl w:val="nil"/>
            </w:tcBorders>
            <w:shd w:val="clear" w:color="auto" w:fill="auto"/>
            <w:vAlign w:val="center"/>
          </w:tcPr>
          <w:p>
            <w:pPr>
              <w:rPr>
                <w:color w:val="auto"/>
                <w:spacing w:val="-10"/>
                <w:highlight w:val="none"/>
              </w:rPr>
            </w:pPr>
            <w:r>
              <w:rPr>
                <w:rFonts w:hint="eastAsia"/>
                <w:color w:val="auto"/>
                <w:spacing w:val="-10"/>
                <w:highlight w:val="none"/>
              </w:rPr>
              <w:t>0</w:t>
            </w:r>
          </w:p>
        </w:tc>
        <w:tc>
          <w:tcPr>
            <w:tcW w:w="713" w:type="pct"/>
            <w:tcBorders>
              <w:tl2br w:val="nil"/>
              <w:tr2bl w:val="nil"/>
            </w:tcBorders>
            <w:shd w:val="clear" w:color="auto" w:fill="auto"/>
            <w:vAlign w:val="center"/>
          </w:tcPr>
          <w:p>
            <w:pPr>
              <w:rPr>
                <w:color w:val="auto"/>
                <w:spacing w:val="-10"/>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pPr>
              <w:rPr>
                <w:color w:val="auto"/>
                <w:highlight w:val="none"/>
              </w:rPr>
            </w:pPr>
          </w:p>
        </w:tc>
        <w:tc>
          <w:tcPr>
            <w:tcW w:w="437" w:type="pct"/>
            <w:vMerge w:val="continue"/>
            <w:tcBorders>
              <w:tl2br w:val="nil"/>
              <w:tr2bl w:val="nil"/>
            </w:tcBorders>
            <w:vAlign w:val="center"/>
          </w:tcPr>
          <w:p>
            <w:pPr>
              <w:rPr>
                <w:color w:val="auto"/>
                <w:highlight w:val="none"/>
              </w:rPr>
            </w:pPr>
          </w:p>
        </w:tc>
        <w:tc>
          <w:tcPr>
            <w:tcW w:w="520" w:type="pct"/>
            <w:tcBorders>
              <w:tl2br w:val="nil"/>
              <w:tr2bl w:val="nil"/>
            </w:tcBorders>
            <w:shd w:val="clear" w:color="auto" w:fill="auto"/>
            <w:vAlign w:val="center"/>
          </w:tcPr>
          <w:p>
            <w:pPr>
              <w:pStyle w:val="41"/>
              <w:rPr>
                <w:color w:val="auto"/>
                <w:highlight w:val="none"/>
              </w:rPr>
            </w:pPr>
            <w:r>
              <w:rPr>
                <w:rFonts w:hint="eastAsia"/>
                <w:color w:val="auto"/>
                <w:highlight w:val="none"/>
              </w:rPr>
              <w:t>NMHC</w:t>
            </w:r>
          </w:p>
        </w:tc>
        <w:tc>
          <w:tcPr>
            <w:tcW w:w="1110" w:type="pct"/>
            <w:tcBorders>
              <w:tl2br w:val="nil"/>
              <w:tr2bl w:val="nil"/>
            </w:tcBorders>
            <w:shd w:val="clear" w:color="auto" w:fill="auto"/>
            <w:vAlign w:val="center"/>
          </w:tcPr>
          <w:p>
            <w:pPr>
              <w:rPr>
                <w:color w:val="auto"/>
                <w:szCs w:val="23"/>
                <w:highlight w:val="none"/>
              </w:rPr>
            </w:pPr>
            <w:r>
              <w:rPr>
                <w:rFonts w:hint="eastAsia"/>
                <w:color w:val="auto"/>
                <w:szCs w:val="23"/>
                <w:highlight w:val="none"/>
              </w:rPr>
              <w:t>0</w:t>
            </w:r>
          </w:p>
        </w:tc>
        <w:tc>
          <w:tcPr>
            <w:tcW w:w="573" w:type="pct"/>
            <w:tcBorders>
              <w:tl2br w:val="nil"/>
              <w:tr2bl w:val="nil"/>
            </w:tcBorders>
            <w:vAlign w:val="center"/>
          </w:tcPr>
          <w:p>
            <w:pPr>
              <w:pStyle w:val="41"/>
              <w:rPr>
                <w:rFonts w:hint="default" w:eastAsia="宋体"/>
                <w:color w:val="auto"/>
                <w:highlight w:val="none"/>
                <w:lang w:val="en-US" w:eastAsia="zh-CN"/>
              </w:rPr>
            </w:pPr>
            <w:r>
              <w:rPr>
                <w:rFonts w:hint="eastAsia"/>
                <w:color w:val="auto"/>
                <w:highlight w:val="none"/>
                <w:lang w:val="en-US" w:eastAsia="zh-CN"/>
              </w:rPr>
              <w:t>6.446</w:t>
            </w:r>
          </w:p>
        </w:tc>
        <w:tc>
          <w:tcPr>
            <w:tcW w:w="787" w:type="pct"/>
            <w:tcBorders>
              <w:tl2br w:val="nil"/>
              <w:tr2bl w:val="nil"/>
            </w:tcBorders>
            <w:vAlign w:val="center"/>
          </w:tcPr>
          <w:p>
            <w:pPr>
              <w:rPr>
                <w:color w:val="auto"/>
                <w:highlight w:val="none"/>
              </w:rPr>
            </w:pPr>
            <w:r>
              <w:rPr>
                <w:rFonts w:hint="eastAsia"/>
                <w:color w:val="auto"/>
                <w:highlight w:val="none"/>
                <w:lang w:val="en-US" w:eastAsia="zh-CN"/>
              </w:rPr>
              <w:t>6.446</w:t>
            </w:r>
          </w:p>
        </w:tc>
        <w:tc>
          <w:tcPr>
            <w:tcW w:w="679" w:type="pct"/>
            <w:tcBorders>
              <w:tl2br w:val="nil"/>
              <w:tr2bl w:val="nil"/>
            </w:tcBorders>
            <w:vAlign w:val="center"/>
          </w:tcPr>
          <w:p>
            <w:pPr>
              <w:rPr>
                <w:color w:val="auto"/>
                <w:highlight w:val="none"/>
              </w:rPr>
            </w:pPr>
            <w:r>
              <w:rPr>
                <w:rFonts w:hint="eastAsia"/>
                <w:color w:val="auto"/>
                <w:highlight w:val="none"/>
              </w:rPr>
              <w:t>0</w:t>
            </w:r>
          </w:p>
        </w:tc>
        <w:tc>
          <w:tcPr>
            <w:tcW w:w="713" w:type="pct"/>
            <w:tcBorders>
              <w:tl2br w:val="nil"/>
              <w:tr2bl w:val="nil"/>
            </w:tcBorders>
            <w:vAlign w:val="center"/>
          </w:tcPr>
          <w:p>
            <w:pPr>
              <w:rPr>
                <w:color w:val="auto"/>
                <w:spacing w:val="-10"/>
                <w:highlight w:val="none"/>
              </w:rPr>
            </w:pPr>
            <w:r>
              <w:rPr>
                <w:rFonts w:hint="eastAsia"/>
                <w:color w:val="auto"/>
                <w:spacing w:val="-10"/>
                <w:highlight w:val="none"/>
              </w:rPr>
              <w:t>+</w:t>
            </w:r>
            <w:r>
              <w:rPr>
                <w:rFonts w:hint="eastAsia"/>
                <w:color w:val="auto"/>
                <w:highlight w:val="none"/>
                <w:lang w:val="en-US" w:eastAsia="zh-CN"/>
              </w:rPr>
              <w:t>6.446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restart"/>
            <w:tcBorders>
              <w:tl2br w:val="nil"/>
              <w:tr2bl w:val="nil"/>
            </w:tcBorders>
            <w:vAlign w:val="center"/>
          </w:tcPr>
          <w:p>
            <w:pPr>
              <w:rPr>
                <w:color w:val="auto"/>
                <w:highlight w:val="none"/>
              </w:rPr>
            </w:pPr>
            <w:r>
              <w:rPr>
                <w:color w:val="auto"/>
                <w:highlight w:val="none"/>
              </w:rPr>
              <w:t>2</w:t>
            </w:r>
          </w:p>
        </w:tc>
        <w:tc>
          <w:tcPr>
            <w:tcW w:w="437" w:type="pct"/>
            <w:vMerge w:val="restart"/>
            <w:tcBorders>
              <w:tl2br w:val="nil"/>
              <w:tr2bl w:val="nil"/>
            </w:tcBorders>
            <w:vAlign w:val="center"/>
          </w:tcPr>
          <w:p>
            <w:pPr>
              <w:rPr>
                <w:color w:val="auto"/>
                <w:highlight w:val="none"/>
              </w:rPr>
            </w:pPr>
            <w:r>
              <w:rPr>
                <w:color w:val="auto"/>
                <w:highlight w:val="none"/>
              </w:rPr>
              <w:t>废水</w:t>
            </w:r>
          </w:p>
        </w:tc>
        <w:tc>
          <w:tcPr>
            <w:tcW w:w="520" w:type="pct"/>
            <w:tcBorders>
              <w:tl2br w:val="nil"/>
              <w:tr2bl w:val="nil"/>
            </w:tcBorders>
            <w:vAlign w:val="center"/>
          </w:tcPr>
          <w:p>
            <w:pPr>
              <w:rPr>
                <w:color w:val="auto"/>
                <w:highlight w:val="none"/>
              </w:rPr>
            </w:pPr>
            <w:r>
              <w:rPr>
                <w:color w:val="auto"/>
                <w:highlight w:val="none"/>
              </w:rPr>
              <w:t>生产废水</w:t>
            </w:r>
          </w:p>
        </w:tc>
        <w:tc>
          <w:tcPr>
            <w:tcW w:w="1110" w:type="pct"/>
            <w:tcBorders>
              <w:tl2br w:val="nil"/>
              <w:tr2bl w:val="nil"/>
            </w:tcBorders>
            <w:vAlign w:val="center"/>
          </w:tcPr>
          <w:p>
            <w:pPr>
              <w:rPr>
                <w:color w:val="auto"/>
                <w:highlight w:val="none"/>
              </w:rPr>
            </w:pPr>
            <w:r>
              <w:rPr>
                <w:rFonts w:hint="eastAsia"/>
                <w:color w:val="auto"/>
                <w:highlight w:val="none"/>
              </w:rPr>
              <w:t>0</w:t>
            </w:r>
          </w:p>
        </w:tc>
        <w:tc>
          <w:tcPr>
            <w:tcW w:w="573" w:type="pct"/>
            <w:tcBorders>
              <w:tl2br w:val="nil"/>
              <w:tr2bl w:val="nil"/>
            </w:tcBorders>
            <w:vAlign w:val="center"/>
          </w:tcPr>
          <w:p>
            <w:pPr>
              <w:rPr>
                <w:color w:val="auto"/>
                <w:highlight w:val="none"/>
              </w:rPr>
            </w:pPr>
            <w:r>
              <w:rPr>
                <w:rFonts w:hint="eastAsia"/>
                <w:color w:val="auto"/>
                <w:highlight w:val="none"/>
              </w:rPr>
              <w:t>0</w:t>
            </w:r>
          </w:p>
        </w:tc>
        <w:tc>
          <w:tcPr>
            <w:tcW w:w="787" w:type="pct"/>
            <w:tcBorders>
              <w:tl2br w:val="nil"/>
              <w:tr2bl w:val="nil"/>
            </w:tcBorders>
            <w:vAlign w:val="center"/>
          </w:tcPr>
          <w:p>
            <w:pPr>
              <w:rPr>
                <w:color w:val="auto"/>
                <w:highlight w:val="none"/>
              </w:rPr>
            </w:pPr>
            <w:r>
              <w:rPr>
                <w:rFonts w:hint="eastAsia"/>
                <w:color w:val="auto"/>
                <w:highlight w:val="none"/>
              </w:rPr>
              <w:t>0</w:t>
            </w:r>
          </w:p>
        </w:tc>
        <w:tc>
          <w:tcPr>
            <w:tcW w:w="679" w:type="pct"/>
            <w:tcBorders>
              <w:tl2br w:val="nil"/>
              <w:tr2bl w:val="nil"/>
            </w:tcBorders>
            <w:vAlign w:val="center"/>
          </w:tcPr>
          <w:p>
            <w:pPr>
              <w:rPr>
                <w:color w:val="auto"/>
                <w:highlight w:val="none"/>
              </w:rPr>
            </w:pPr>
            <w:r>
              <w:rPr>
                <w:rFonts w:hint="eastAsia"/>
                <w:color w:val="auto"/>
                <w:highlight w:val="none"/>
              </w:rPr>
              <w:t>0</w:t>
            </w:r>
          </w:p>
        </w:tc>
        <w:tc>
          <w:tcPr>
            <w:tcW w:w="713" w:type="pct"/>
            <w:tcBorders>
              <w:tl2br w:val="nil"/>
              <w:tr2bl w:val="nil"/>
            </w:tcBorders>
            <w:vAlign w:val="center"/>
          </w:tcPr>
          <w:p>
            <w:pP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pPr>
              <w:rPr>
                <w:color w:val="auto"/>
                <w:highlight w:val="none"/>
              </w:rPr>
            </w:pPr>
          </w:p>
        </w:tc>
        <w:tc>
          <w:tcPr>
            <w:tcW w:w="437" w:type="pct"/>
            <w:vMerge w:val="continue"/>
            <w:tcBorders>
              <w:tl2br w:val="nil"/>
              <w:tr2bl w:val="nil"/>
            </w:tcBorders>
            <w:vAlign w:val="center"/>
          </w:tcPr>
          <w:p>
            <w:pPr>
              <w:rPr>
                <w:color w:val="auto"/>
                <w:highlight w:val="none"/>
              </w:rPr>
            </w:pPr>
          </w:p>
        </w:tc>
        <w:tc>
          <w:tcPr>
            <w:tcW w:w="520" w:type="pct"/>
            <w:tcBorders>
              <w:tl2br w:val="nil"/>
              <w:tr2bl w:val="nil"/>
            </w:tcBorders>
            <w:vAlign w:val="center"/>
          </w:tcPr>
          <w:p>
            <w:pPr>
              <w:rPr>
                <w:color w:val="auto"/>
                <w:highlight w:val="none"/>
              </w:rPr>
            </w:pPr>
            <w:r>
              <w:rPr>
                <w:color w:val="auto"/>
                <w:highlight w:val="none"/>
              </w:rPr>
              <w:t>生活污水</w:t>
            </w:r>
          </w:p>
        </w:tc>
        <w:tc>
          <w:tcPr>
            <w:tcW w:w="1110" w:type="pct"/>
            <w:tcBorders>
              <w:tl2br w:val="nil"/>
              <w:tr2bl w:val="nil"/>
            </w:tcBorders>
            <w:vAlign w:val="center"/>
          </w:tcPr>
          <w:p>
            <w:pPr>
              <w:rPr>
                <w:color w:val="auto"/>
                <w:spacing w:val="-10"/>
                <w:highlight w:val="none"/>
              </w:rPr>
            </w:pPr>
            <w:r>
              <w:rPr>
                <w:rFonts w:hint="eastAsia"/>
                <w:color w:val="auto"/>
                <w:spacing w:val="-10"/>
                <w:highlight w:val="none"/>
              </w:rPr>
              <w:t>0</w:t>
            </w:r>
          </w:p>
        </w:tc>
        <w:tc>
          <w:tcPr>
            <w:tcW w:w="573" w:type="pct"/>
            <w:tcBorders>
              <w:tl2br w:val="nil"/>
              <w:tr2bl w:val="nil"/>
            </w:tcBorders>
            <w:vAlign w:val="center"/>
          </w:tcPr>
          <w:p>
            <w:pPr>
              <w:rPr>
                <w:color w:val="auto"/>
                <w:highlight w:val="none"/>
              </w:rPr>
            </w:pPr>
            <w:r>
              <w:rPr>
                <w:rFonts w:hint="eastAsia"/>
                <w:color w:val="auto"/>
                <w:highlight w:val="none"/>
              </w:rPr>
              <w:t>0</w:t>
            </w:r>
          </w:p>
        </w:tc>
        <w:tc>
          <w:tcPr>
            <w:tcW w:w="787" w:type="pct"/>
            <w:tcBorders>
              <w:tl2br w:val="nil"/>
              <w:tr2bl w:val="nil"/>
            </w:tcBorders>
            <w:vAlign w:val="center"/>
          </w:tcPr>
          <w:p>
            <w:pPr>
              <w:rPr>
                <w:color w:val="auto"/>
                <w:spacing w:val="-10"/>
                <w:szCs w:val="18"/>
                <w:highlight w:val="none"/>
              </w:rPr>
            </w:pPr>
            <w:r>
              <w:rPr>
                <w:rFonts w:hint="eastAsia"/>
                <w:color w:val="auto"/>
                <w:spacing w:val="-10"/>
                <w:szCs w:val="18"/>
                <w:highlight w:val="none"/>
              </w:rPr>
              <w:t>0</w:t>
            </w:r>
          </w:p>
        </w:tc>
        <w:tc>
          <w:tcPr>
            <w:tcW w:w="679" w:type="pct"/>
            <w:tcBorders>
              <w:tl2br w:val="nil"/>
              <w:tr2bl w:val="nil"/>
            </w:tcBorders>
            <w:vAlign w:val="center"/>
          </w:tcPr>
          <w:p>
            <w:pPr>
              <w:rPr>
                <w:color w:val="auto"/>
                <w:highlight w:val="none"/>
              </w:rPr>
            </w:pPr>
            <w:r>
              <w:rPr>
                <w:rFonts w:hint="eastAsia"/>
                <w:color w:val="auto"/>
                <w:highlight w:val="none"/>
              </w:rPr>
              <w:t>0</w:t>
            </w:r>
          </w:p>
        </w:tc>
        <w:tc>
          <w:tcPr>
            <w:tcW w:w="713" w:type="pct"/>
            <w:tcBorders>
              <w:tl2br w:val="nil"/>
              <w:tr2bl w:val="nil"/>
            </w:tcBorders>
            <w:vAlign w:val="center"/>
          </w:tcPr>
          <w:p>
            <w:pP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restart"/>
            <w:tcBorders>
              <w:tl2br w:val="nil"/>
              <w:tr2bl w:val="nil"/>
            </w:tcBorders>
            <w:vAlign w:val="center"/>
          </w:tcPr>
          <w:p>
            <w:pPr>
              <w:rPr>
                <w:color w:val="auto"/>
                <w:highlight w:val="none"/>
              </w:rPr>
            </w:pPr>
            <w:r>
              <w:rPr>
                <w:color w:val="auto"/>
                <w:highlight w:val="none"/>
              </w:rPr>
              <w:t>3</w:t>
            </w:r>
          </w:p>
        </w:tc>
        <w:tc>
          <w:tcPr>
            <w:tcW w:w="437" w:type="pct"/>
            <w:vMerge w:val="restart"/>
            <w:tcBorders>
              <w:tl2br w:val="nil"/>
              <w:tr2bl w:val="nil"/>
            </w:tcBorders>
            <w:vAlign w:val="center"/>
          </w:tcPr>
          <w:p>
            <w:pPr>
              <w:rPr>
                <w:color w:val="auto"/>
                <w:highlight w:val="none"/>
              </w:rPr>
            </w:pPr>
            <w:r>
              <w:rPr>
                <w:color w:val="auto"/>
                <w:highlight w:val="none"/>
              </w:rPr>
              <w:t>固体废物</w:t>
            </w:r>
          </w:p>
        </w:tc>
        <w:tc>
          <w:tcPr>
            <w:tcW w:w="520" w:type="pct"/>
            <w:tcBorders>
              <w:tl2br w:val="nil"/>
              <w:tr2bl w:val="nil"/>
            </w:tcBorders>
            <w:vAlign w:val="center"/>
          </w:tcPr>
          <w:p>
            <w:pPr>
              <w:rPr>
                <w:color w:val="auto"/>
                <w:highlight w:val="none"/>
              </w:rPr>
            </w:pPr>
            <w:r>
              <w:rPr>
                <w:color w:val="auto"/>
                <w:highlight w:val="none"/>
              </w:rPr>
              <w:t>含油污泥</w:t>
            </w:r>
          </w:p>
        </w:tc>
        <w:tc>
          <w:tcPr>
            <w:tcW w:w="1110" w:type="pct"/>
            <w:tcBorders>
              <w:tl2br w:val="nil"/>
              <w:tr2bl w:val="nil"/>
            </w:tcBorders>
            <w:vAlign w:val="center"/>
          </w:tcPr>
          <w:p>
            <w:pPr>
              <w:rPr>
                <w:color w:val="auto"/>
                <w:highlight w:val="none"/>
              </w:rPr>
            </w:pPr>
            <w:r>
              <w:rPr>
                <w:rFonts w:hint="eastAsia"/>
                <w:color w:val="auto"/>
                <w:highlight w:val="none"/>
              </w:rPr>
              <w:t>0</w:t>
            </w:r>
          </w:p>
        </w:tc>
        <w:tc>
          <w:tcPr>
            <w:tcW w:w="573" w:type="pct"/>
            <w:tcBorders>
              <w:tl2br w:val="nil"/>
              <w:tr2bl w:val="nil"/>
            </w:tcBorders>
            <w:vAlign w:val="center"/>
          </w:tcPr>
          <w:p>
            <w:pPr>
              <w:rPr>
                <w:color w:val="auto"/>
                <w:highlight w:val="none"/>
              </w:rPr>
            </w:pPr>
            <w:r>
              <w:rPr>
                <w:rFonts w:hint="eastAsia"/>
                <w:color w:val="auto"/>
                <w:highlight w:val="none"/>
              </w:rPr>
              <w:t>0</w:t>
            </w:r>
          </w:p>
        </w:tc>
        <w:tc>
          <w:tcPr>
            <w:tcW w:w="787" w:type="pct"/>
            <w:tcBorders>
              <w:tl2br w:val="nil"/>
              <w:tr2bl w:val="nil"/>
            </w:tcBorders>
            <w:vAlign w:val="center"/>
          </w:tcPr>
          <w:p>
            <w:pPr>
              <w:rPr>
                <w:color w:val="auto"/>
                <w:szCs w:val="18"/>
                <w:highlight w:val="none"/>
              </w:rPr>
            </w:pPr>
            <w:r>
              <w:rPr>
                <w:rFonts w:hint="eastAsia"/>
                <w:color w:val="auto"/>
                <w:szCs w:val="18"/>
                <w:highlight w:val="none"/>
              </w:rPr>
              <w:t>0</w:t>
            </w:r>
          </w:p>
        </w:tc>
        <w:tc>
          <w:tcPr>
            <w:tcW w:w="679" w:type="pct"/>
            <w:tcBorders>
              <w:tl2br w:val="nil"/>
              <w:tr2bl w:val="nil"/>
            </w:tcBorders>
            <w:vAlign w:val="center"/>
          </w:tcPr>
          <w:p>
            <w:pPr>
              <w:rPr>
                <w:color w:val="auto"/>
                <w:highlight w:val="none"/>
              </w:rPr>
            </w:pPr>
            <w:r>
              <w:rPr>
                <w:rFonts w:hint="eastAsia"/>
                <w:color w:val="auto"/>
                <w:highlight w:val="none"/>
              </w:rPr>
              <w:t>0</w:t>
            </w:r>
          </w:p>
        </w:tc>
        <w:tc>
          <w:tcPr>
            <w:tcW w:w="713" w:type="pct"/>
            <w:tcBorders>
              <w:tl2br w:val="nil"/>
              <w:tr2bl w:val="nil"/>
            </w:tcBorders>
            <w:vAlign w:val="center"/>
          </w:tcPr>
          <w:p>
            <w:pPr>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78" w:type="pct"/>
            <w:vMerge w:val="continue"/>
            <w:tcBorders>
              <w:tl2br w:val="nil"/>
              <w:tr2bl w:val="nil"/>
            </w:tcBorders>
            <w:vAlign w:val="center"/>
          </w:tcPr>
          <w:p>
            <w:pPr>
              <w:rPr>
                <w:color w:val="auto"/>
                <w:highlight w:val="none"/>
              </w:rPr>
            </w:pPr>
          </w:p>
        </w:tc>
        <w:tc>
          <w:tcPr>
            <w:tcW w:w="437" w:type="pct"/>
            <w:vMerge w:val="continue"/>
            <w:tcBorders>
              <w:tl2br w:val="nil"/>
              <w:tr2bl w:val="nil"/>
            </w:tcBorders>
            <w:vAlign w:val="center"/>
          </w:tcPr>
          <w:p>
            <w:pPr>
              <w:rPr>
                <w:color w:val="auto"/>
                <w:highlight w:val="none"/>
              </w:rPr>
            </w:pPr>
          </w:p>
        </w:tc>
        <w:tc>
          <w:tcPr>
            <w:tcW w:w="520" w:type="pct"/>
            <w:tcBorders>
              <w:tl2br w:val="nil"/>
              <w:tr2bl w:val="nil"/>
            </w:tcBorders>
            <w:vAlign w:val="center"/>
          </w:tcPr>
          <w:p>
            <w:pPr>
              <w:rPr>
                <w:color w:val="auto"/>
                <w:highlight w:val="none"/>
              </w:rPr>
            </w:pPr>
            <w:r>
              <w:rPr>
                <w:color w:val="auto"/>
                <w:highlight w:val="none"/>
              </w:rPr>
              <w:t>生活垃圾</w:t>
            </w:r>
          </w:p>
        </w:tc>
        <w:tc>
          <w:tcPr>
            <w:tcW w:w="1110" w:type="pct"/>
            <w:tcBorders>
              <w:tl2br w:val="nil"/>
              <w:tr2bl w:val="nil"/>
            </w:tcBorders>
            <w:vAlign w:val="center"/>
          </w:tcPr>
          <w:p>
            <w:pPr>
              <w:rPr>
                <w:color w:val="auto"/>
                <w:spacing w:val="-10"/>
                <w:highlight w:val="none"/>
              </w:rPr>
            </w:pPr>
            <w:r>
              <w:rPr>
                <w:rFonts w:hint="eastAsia"/>
                <w:color w:val="auto"/>
                <w:spacing w:val="-10"/>
                <w:highlight w:val="none"/>
              </w:rPr>
              <w:t>0</w:t>
            </w:r>
          </w:p>
        </w:tc>
        <w:tc>
          <w:tcPr>
            <w:tcW w:w="573" w:type="pct"/>
            <w:tcBorders>
              <w:tl2br w:val="nil"/>
              <w:tr2bl w:val="nil"/>
            </w:tcBorders>
            <w:vAlign w:val="center"/>
          </w:tcPr>
          <w:p>
            <w:pPr>
              <w:rPr>
                <w:color w:val="auto"/>
                <w:highlight w:val="none"/>
              </w:rPr>
            </w:pPr>
            <w:r>
              <w:rPr>
                <w:rFonts w:hint="eastAsia"/>
                <w:color w:val="auto"/>
                <w:highlight w:val="none"/>
              </w:rPr>
              <w:t>0</w:t>
            </w:r>
          </w:p>
        </w:tc>
        <w:tc>
          <w:tcPr>
            <w:tcW w:w="787" w:type="pct"/>
            <w:tcBorders>
              <w:tl2br w:val="nil"/>
              <w:tr2bl w:val="nil"/>
            </w:tcBorders>
            <w:vAlign w:val="center"/>
          </w:tcPr>
          <w:p>
            <w:pPr>
              <w:rPr>
                <w:color w:val="auto"/>
                <w:highlight w:val="none"/>
              </w:rPr>
            </w:pPr>
            <w:r>
              <w:rPr>
                <w:rFonts w:hint="eastAsia"/>
                <w:color w:val="auto"/>
                <w:highlight w:val="none"/>
              </w:rPr>
              <w:t>0</w:t>
            </w:r>
          </w:p>
        </w:tc>
        <w:tc>
          <w:tcPr>
            <w:tcW w:w="679" w:type="pct"/>
            <w:tcBorders>
              <w:tl2br w:val="nil"/>
              <w:tr2bl w:val="nil"/>
            </w:tcBorders>
            <w:vAlign w:val="center"/>
          </w:tcPr>
          <w:p>
            <w:pPr>
              <w:rPr>
                <w:color w:val="auto"/>
                <w:highlight w:val="none"/>
              </w:rPr>
            </w:pPr>
            <w:r>
              <w:rPr>
                <w:rFonts w:hint="eastAsia"/>
                <w:color w:val="auto"/>
                <w:highlight w:val="none"/>
              </w:rPr>
              <w:t>0</w:t>
            </w:r>
          </w:p>
        </w:tc>
        <w:tc>
          <w:tcPr>
            <w:tcW w:w="713" w:type="pct"/>
            <w:tcBorders>
              <w:tl2br w:val="nil"/>
              <w:tr2bl w:val="nil"/>
            </w:tcBorders>
            <w:vAlign w:val="center"/>
          </w:tcPr>
          <w:p>
            <w:pPr>
              <w:rPr>
                <w:color w:val="auto"/>
                <w:highlight w:val="none"/>
              </w:rPr>
            </w:pPr>
          </w:p>
        </w:tc>
      </w:tr>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tbl>
    <w:p>
      <w:pPr>
        <w:pStyle w:val="53"/>
        <w:rPr>
          <w:color w:val="auto"/>
          <w:highlight w:val="none"/>
        </w:rPr>
      </w:pPr>
      <w:r>
        <w:rPr>
          <w:rFonts w:hint="eastAsia"/>
          <w:color w:val="auto"/>
          <w:highlight w:val="none"/>
        </w:rPr>
        <w:t>3.</w:t>
      </w:r>
      <w:r>
        <w:rPr>
          <w:rFonts w:hint="eastAsia"/>
          <w:color w:val="auto"/>
          <w:highlight w:val="none"/>
          <w:lang w:val="en-US" w:eastAsia="zh-CN"/>
        </w:rPr>
        <w:t>3</w:t>
      </w:r>
      <w:r>
        <w:rPr>
          <w:rFonts w:hint="eastAsia"/>
          <w:color w:val="auto"/>
          <w:highlight w:val="none"/>
        </w:rPr>
        <w:t>.8污染物总量控制</w:t>
      </w:r>
      <w:bookmarkEnd w:id="388"/>
      <w:bookmarkEnd w:id="389"/>
      <w:bookmarkEnd w:id="390"/>
      <w:bookmarkEnd w:id="391"/>
      <w:bookmarkStart w:id="422" w:name="_Toc9338"/>
      <w:bookmarkStart w:id="423" w:name="_Toc173941844"/>
      <w:r>
        <w:rPr>
          <w:rFonts w:hint="eastAsia"/>
          <w:color w:val="auto"/>
          <w:highlight w:val="none"/>
        </w:rPr>
        <w:t>分析</w:t>
      </w:r>
    </w:p>
    <w:p>
      <w:pPr>
        <w:pStyle w:val="5"/>
        <w:rPr>
          <w:color w:val="auto"/>
          <w:highlight w:val="none"/>
        </w:rPr>
      </w:pPr>
      <w:r>
        <w:rPr>
          <w:rFonts w:hint="eastAsia"/>
          <w:color w:val="auto"/>
          <w:highlight w:val="none"/>
        </w:rPr>
        <w:t>3.</w:t>
      </w:r>
      <w:r>
        <w:rPr>
          <w:rFonts w:hint="eastAsia"/>
          <w:color w:val="auto"/>
          <w:highlight w:val="none"/>
          <w:lang w:val="en-US" w:eastAsia="zh-CN"/>
        </w:rPr>
        <w:t>3.8</w:t>
      </w:r>
      <w:r>
        <w:rPr>
          <w:rFonts w:hint="eastAsia"/>
          <w:color w:val="auto"/>
          <w:highlight w:val="none"/>
        </w:rPr>
        <w:t>.1总量控制原则</w:t>
      </w:r>
      <w:bookmarkEnd w:id="422"/>
      <w:bookmarkEnd w:id="423"/>
    </w:p>
    <w:p>
      <w:pPr>
        <w:pStyle w:val="57"/>
        <w:rPr>
          <w:color w:val="auto"/>
          <w:highlight w:val="none"/>
        </w:rPr>
      </w:pPr>
      <w:r>
        <w:rPr>
          <w:color w:val="auto"/>
          <w:highlight w:val="none"/>
        </w:rPr>
        <w:t>对污染物排放总量进行控制的原则是：将给定区域内污染源的污染物排放负荷控制在一定数量之内，使环境质量可以达到规定的环境目标。污染物总量控制方案的确定，在考虑污染物种类、污染源影响范围、区域环境质量、环境功能以及环境管理要求等因素的基础上，结合项目实际条件和控制措施的经济技术可行性进行。</w:t>
      </w:r>
    </w:p>
    <w:p>
      <w:pPr>
        <w:pStyle w:val="5"/>
        <w:rPr>
          <w:color w:val="auto"/>
          <w:highlight w:val="none"/>
        </w:rPr>
      </w:pPr>
      <w:bookmarkStart w:id="424" w:name="_Toc173941845"/>
      <w:bookmarkStart w:id="425" w:name="_Toc16687"/>
      <w:r>
        <w:rPr>
          <w:rFonts w:hint="eastAsia"/>
          <w:color w:val="auto"/>
          <w:highlight w:val="none"/>
        </w:rPr>
        <w:t>3.</w:t>
      </w:r>
      <w:r>
        <w:rPr>
          <w:rFonts w:hint="eastAsia"/>
          <w:color w:val="auto"/>
          <w:highlight w:val="none"/>
          <w:lang w:val="en-US" w:eastAsia="zh-CN"/>
        </w:rPr>
        <w:t>3.8</w:t>
      </w:r>
      <w:r>
        <w:rPr>
          <w:rFonts w:hint="eastAsia"/>
          <w:color w:val="auto"/>
          <w:highlight w:val="none"/>
        </w:rPr>
        <w:t>.2污染物总量控制因子</w:t>
      </w:r>
      <w:bookmarkEnd w:id="424"/>
      <w:bookmarkEnd w:id="425"/>
    </w:p>
    <w:p>
      <w:pPr>
        <w:pStyle w:val="57"/>
        <w:rPr>
          <w:color w:val="auto"/>
          <w:highlight w:val="none"/>
        </w:rPr>
      </w:pPr>
      <w:bookmarkStart w:id="426" w:name="_Hlk57195659"/>
      <w:bookmarkStart w:id="427" w:name="_Hlk57195809"/>
      <w:r>
        <w:rPr>
          <w:rFonts w:hint="eastAsia"/>
          <w:color w:val="auto"/>
          <w:highlight w:val="none"/>
        </w:rPr>
        <w:t>根据国家“十四五”污染物排放总量控制要求，污染物排放总量控制因子如下：</w:t>
      </w:r>
    </w:p>
    <w:p>
      <w:pPr>
        <w:pStyle w:val="57"/>
        <w:rPr>
          <w:color w:val="auto"/>
          <w:highlight w:val="none"/>
        </w:rPr>
      </w:pPr>
      <w:r>
        <w:rPr>
          <w:rFonts w:hint="eastAsia"/>
          <w:color w:val="auto"/>
          <w:highlight w:val="none"/>
        </w:rPr>
        <w:t>废气污染物：NO</w:t>
      </w:r>
      <w:r>
        <w:rPr>
          <w:rFonts w:hint="eastAsia"/>
          <w:color w:val="auto"/>
          <w:highlight w:val="none"/>
          <w:vertAlign w:val="subscript"/>
        </w:rPr>
        <w:t>X</w:t>
      </w:r>
      <w:r>
        <w:rPr>
          <w:rFonts w:hint="eastAsia"/>
          <w:color w:val="auto"/>
          <w:highlight w:val="none"/>
        </w:rPr>
        <w:t>、VOCs。</w:t>
      </w:r>
    </w:p>
    <w:p>
      <w:pPr>
        <w:pStyle w:val="57"/>
        <w:rPr>
          <w:color w:val="auto"/>
          <w:highlight w:val="none"/>
        </w:rPr>
      </w:pPr>
      <w:r>
        <w:rPr>
          <w:rFonts w:hint="eastAsia"/>
          <w:color w:val="auto"/>
          <w:highlight w:val="none"/>
        </w:rPr>
        <w:t>废水污染物：COD、NH</w:t>
      </w:r>
      <w:r>
        <w:rPr>
          <w:rFonts w:hint="eastAsia"/>
          <w:color w:val="auto"/>
          <w:highlight w:val="none"/>
          <w:vertAlign w:val="subscript"/>
        </w:rPr>
        <w:t>3</w:t>
      </w:r>
      <w:r>
        <w:rPr>
          <w:rFonts w:hint="eastAsia"/>
          <w:color w:val="auto"/>
          <w:highlight w:val="none"/>
        </w:rPr>
        <w:t>-N。</w:t>
      </w:r>
    </w:p>
    <w:bookmarkEnd w:id="426"/>
    <w:bookmarkEnd w:id="427"/>
    <w:p>
      <w:pPr>
        <w:pStyle w:val="5"/>
        <w:rPr>
          <w:color w:val="auto"/>
          <w:highlight w:val="none"/>
        </w:rPr>
      </w:pPr>
      <w:bookmarkStart w:id="428" w:name="_Toc28902"/>
      <w:bookmarkStart w:id="429" w:name="_Toc173941846"/>
      <w:r>
        <w:rPr>
          <w:rFonts w:hint="eastAsia"/>
          <w:color w:val="auto"/>
          <w:highlight w:val="none"/>
        </w:rPr>
        <w:t>3.</w:t>
      </w:r>
      <w:r>
        <w:rPr>
          <w:rFonts w:hint="eastAsia"/>
          <w:color w:val="auto"/>
          <w:highlight w:val="none"/>
          <w:lang w:val="en-US" w:eastAsia="zh-CN"/>
        </w:rPr>
        <w:t>3.8</w:t>
      </w:r>
      <w:r>
        <w:rPr>
          <w:rFonts w:hint="eastAsia"/>
          <w:color w:val="auto"/>
          <w:highlight w:val="none"/>
        </w:rPr>
        <w:t>.3总量控制建议指标</w:t>
      </w:r>
      <w:bookmarkEnd w:id="428"/>
      <w:bookmarkEnd w:id="429"/>
    </w:p>
    <w:p>
      <w:pPr>
        <w:pStyle w:val="57"/>
        <w:rPr>
          <w:color w:val="auto"/>
          <w:highlight w:val="none"/>
        </w:rPr>
      </w:pPr>
      <w:r>
        <w:rPr>
          <w:color w:val="auto"/>
          <w:highlight w:val="none"/>
        </w:rPr>
        <w:t>（1）</w:t>
      </w:r>
      <w:r>
        <w:rPr>
          <w:rFonts w:hint="eastAsia"/>
          <w:color w:val="auto"/>
          <w:highlight w:val="none"/>
        </w:rPr>
        <w:t>施工</w:t>
      </w:r>
      <w:r>
        <w:rPr>
          <w:color w:val="auto"/>
          <w:highlight w:val="none"/>
        </w:rPr>
        <w:t>期</w:t>
      </w:r>
    </w:p>
    <w:p>
      <w:pPr>
        <w:pStyle w:val="57"/>
        <w:rPr>
          <w:color w:val="auto"/>
          <w:highlight w:val="none"/>
        </w:rPr>
      </w:pPr>
      <w:r>
        <w:rPr>
          <w:color w:val="auto"/>
          <w:highlight w:val="none"/>
        </w:rPr>
        <w:t>由于</w:t>
      </w:r>
      <w:r>
        <w:rPr>
          <w:rFonts w:hint="eastAsia"/>
          <w:color w:val="auto"/>
          <w:highlight w:val="none"/>
        </w:rPr>
        <w:t>施工</w:t>
      </w:r>
      <w:r>
        <w:rPr>
          <w:color w:val="auto"/>
          <w:highlight w:val="none"/>
        </w:rPr>
        <w:t>期作业集中于较短时间内，</w:t>
      </w:r>
      <w:r>
        <w:rPr>
          <w:rFonts w:hint="eastAsia"/>
          <w:color w:val="auto"/>
          <w:highlight w:val="none"/>
        </w:rPr>
        <w:t>施工</w:t>
      </w:r>
      <w:r>
        <w:rPr>
          <w:color w:val="auto"/>
          <w:highlight w:val="none"/>
        </w:rPr>
        <w:t>期间排放的污染物将随</w:t>
      </w:r>
      <w:r>
        <w:rPr>
          <w:rFonts w:hint="eastAsia"/>
          <w:color w:val="auto"/>
          <w:highlight w:val="none"/>
        </w:rPr>
        <w:t>施工</w:t>
      </w:r>
      <w:r>
        <w:rPr>
          <w:color w:val="auto"/>
          <w:highlight w:val="none"/>
        </w:rPr>
        <w:t>的结束而消亡，故不考虑对</w:t>
      </w:r>
      <w:r>
        <w:rPr>
          <w:rFonts w:hint="eastAsia"/>
          <w:color w:val="auto"/>
          <w:highlight w:val="none"/>
        </w:rPr>
        <w:t>施工期</w:t>
      </w:r>
      <w:r>
        <w:rPr>
          <w:color w:val="auto"/>
          <w:highlight w:val="none"/>
        </w:rPr>
        <w:t>产生的污染物进行总量控制。</w:t>
      </w:r>
    </w:p>
    <w:p>
      <w:pPr>
        <w:pStyle w:val="57"/>
        <w:rPr>
          <w:color w:val="auto"/>
          <w:highlight w:val="none"/>
        </w:rPr>
      </w:pPr>
      <w:r>
        <w:rPr>
          <w:color w:val="auto"/>
          <w:highlight w:val="none"/>
        </w:rPr>
        <w:t>（2）运营期</w:t>
      </w:r>
    </w:p>
    <w:p>
      <w:pPr>
        <w:pStyle w:val="57"/>
        <w:rPr>
          <w:color w:val="auto"/>
          <w:highlight w:val="none"/>
        </w:rPr>
      </w:pPr>
      <w:r>
        <w:rPr>
          <w:rFonts w:hint="eastAsia"/>
          <w:color w:val="auto"/>
          <w:highlight w:val="none"/>
        </w:rPr>
        <w:t>根据项目工程特点，本工程</w:t>
      </w:r>
      <w:r>
        <w:rPr>
          <w:color w:val="auto"/>
          <w:highlight w:val="none"/>
        </w:rPr>
        <w:t>油气集输和处理采用密闭集输</w:t>
      </w:r>
      <w:r>
        <w:rPr>
          <w:rFonts w:hint="eastAsia"/>
          <w:color w:val="auto"/>
          <w:highlight w:val="none"/>
          <w:lang w:val="en-US" w:eastAsia="zh-CN"/>
        </w:rPr>
        <w:t>/拉油</w:t>
      </w:r>
      <w:r>
        <w:rPr>
          <w:color w:val="auto"/>
          <w:highlight w:val="none"/>
        </w:rPr>
        <w:t>工艺，</w:t>
      </w:r>
      <w:r>
        <w:rPr>
          <w:rFonts w:hint="eastAsia"/>
          <w:color w:val="auto"/>
          <w:highlight w:val="none"/>
        </w:rPr>
        <w:t>废气污染物主要为集输过程产生的无组织排放的</w:t>
      </w:r>
      <w:r>
        <w:rPr>
          <w:color w:val="auto"/>
          <w:highlight w:val="none"/>
        </w:rPr>
        <w:t>VOC</w:t>
      </w:r>
      <w:r>
        <w:rPr>
          <w:rFonts w:hint="eastAsia"/>
          <w:color w:val="auto"/>
          <w:highlight w:val="none"/>
          <w:lang w:val="en-US" w:eastAsia="zh-CN"/>
        </w:rPr>
        <w:t>s</w:t>
      </w:r>
      <w:r>
        <w:rPr>
          <w:rFonts w:hint="eastAsia"/>
          <w:color w:val="auto"/>
          <w:highlight w:val="none"/>
        </w:rPr>
        <w:t>为</w:t>
      </w:r>
      <w:r>
        <w:rPr>
          <w:rFonts w:hint="eastAsia"/>
          <w:color w:val="auto"/>
          <w:szCs w:val="28"/>
          <w:highlight w:val="none"/>
          <w:lang w:val="en-US" w:eastAsia="zh-CN"/>
        </w:rPr>
        <w:t>6.446</w:t>
      </w:r>
      <w:r>
        <w:rPr>
          <w:color w:val="auto"/>
          <w:szCs w:val="28"/>
          <w:highlight w:val="none"/>
        </w:rPr>
        <w:t>t/a</w:t>
      </w:r>
      <w:r>
        <w:rPr>
          <w:rFonts w:hint="eastAsia"/>
          <w:color w:val="auto"/>
          <w:highlight w:val="none"/>
        </w:rPr>
        <w:t>。</w:t>
      </w:r>
    </w:p>
    <w:p>
      <w:pPr>
        <w:pStyle w:val="57"/>
        <w:rPr>
          <w:color w:val="auto"/>
          <w:highlight w:val="none"/>
        </w:rPr>
      </w:pPr>
      <w:r>
        <w:rPr>
          <w:color w:val="auto"/>
          <w:highlight w:val="none"/>
        </w:rPr>
        <w:t>运营期产生的</w:t>
      </w: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w:t>
      </w:r>
      <w:r>
        <w:rPr>
          <w:rFonts w:hint="eastAsia"/>
          <w:color w:val="auto"/>
          <w:highlight w:val="none"/>
        </w:rPr>
        <w:t>标准后回注地层。井下作业废水</w:t>
      </w:r>
      <w:r>
        <w:rPr>
          <w:rFonts w:hint="eastAsia"/>
          <w:color w:val="auto"/>
          <w:spacing w:val="-3"/>
          <w:highlight w:val="none"/>
        </w:rPr>
        <w:t>采用专用回收罐收集后运至</w:t>
      </w:r>
      <w:r>
        <w:rPr>
          <w:rFonts w:hint="eastAsia"/>
          <w:color w:val="auto"/>
          <w:highlight w:val="none"/>
          <w:lang w:eastAsia="zh-CN"/>
        </w:rPr>
        <w:t>风城二号稠油处理站</w:t>
      </w:r>
      <w:r>
        <w:rPr>
          <w:rFonts w:hint="eastAsia"/>
          <w:color w:val="auto"/>
          <w:spacing w:val="-3"/>
          <w:highlight w:val="none"/>
        </w:rPr>
        <w:t>处理，</w:t>
      </w:r>
      <w:r>
        <w:rPr>
          <w:color w:val="auto"/>
          <w:highlight w:val="none"/>
        </w:rPr>
        <w:t>不外排。</w:t>
      </w:r>
    </w:p>
    <w:p>
      <w:pPr>
        <w:pStyle w:val="57"/>
        <w:rPr>
          <w:color w:val="auto"/>
          <w:highlight w:val="none"/>
        </w:rPr>
      </w:pPr>
      <w:r>
        <w:rPr>
          <w:rFonts w:hint="eastAsia"/>
          <w:color w:val="auto"/>
          <w:highlight w:val="none"/>
        </w:rPr>
        <w:t>故本次评价提出的总量控制建议指标为：</w:t>
      </w:r>
    </w:p>
    <w:p>
      <w:pPr>
        <w:pStyle w:val="57"/>
        <w:rPr>
          <w:color w:val="auto"/>
          <w:highlight w:val="none"/>
        </w:rPr>
      </w:pPr>
      <w:r>
        <w:rPr>
          <w:rFonts w:hint="eastAsia"/>
          <w:color w:val="auto"/>
          <w:highlight w:val="none"/>
        </w:rPr>
        <w:t>VOCs：</w:t>
      </w:r>
      <w:r>
        <w:rPr>
          <w:rFonts w:hint="eastAsia"/>
          <w:color w:val="auto"/>
          <w:szCs w:val="28"/>
          <w:highlight w:val="none"/>
          <w:lang w:val="en-US" w:eastAsia="zh-CN"/>
        </w:rPr>
        <w:t>6.446</w:t>
      </w:r>
      <w:r>
        <w:rPr>
          <w:color w:val="auto"/>
          <w:szCs w:val="28"/>
          <w:highlight w:val="none"/>
        </w:rPr>
        <w:t>t/a</w:t>
      </w:r>
      <w:r>
        <w:rPr>
          <w:rFonts w:hint="eastAsia"/>
          <w:color w:val="auto"/>
          <w:highlight w:val="none"/>
        </w:rPr>
        <w:t>。</w:t>
      </w:r>
    </w:p>
    <w:p>
      <w:pPr>
        <w:pStyle w:val="57"/>
        <w:pageBreakBefore w:val="0"/>
        <w:widowControl/>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根据</w:t>
      </w:r>
      <w:r>
        <w:rPr>
          <w:color w:val="auto"/>
          <w:highlight w:val="none"/>
        </w:rPr>
        <w:t>《新疆维吾尔自治区重点行业生态环境准入条件（2024年）》（新环环评发〔2024〕93号）</w:t>
      </w:r>
      <w:r>
        <w:rPr>
          <w:rFonts w:hint="eastAsia"/>
          <w:color w:val="auto"/>
          <w:highlight w:val="none"/>
        </w:rPr>
        <w:t>中提出：“新增主要污染物排放总量的建设项目必须落实主要污染物排放总量指标来源和控制要求。石化、煤化工、燃煤发电（含热电）、钢铁、有色金属冶炼等新增主要污染物排放量的建设项目所在区域、流域控制单元环境质量未达到国家或者地方环境质量标准的，建设项目应提出有效的区域削减方案，主要污染物实行区域倍量削减，确保项目投产后区域环境质量有改善。所在区域、流域控制单元环境质量达到国家或者地方环境质量标准的，原则上建设项目主要污染物实行区域等量削减，确保项目投产后区域环境质量不恶化。区域削减方案应符合建设项目环境影响评价管理要求，同时符合国家和地方主要污染物排放总量控制要求。</w:t>
      </w:r>
      <w:r>
        <w:rPr>
          <w:rFonts w:hint="eastAsia"/>
          <w:color w:val="auto"/>
          <w:highlight w:val="none"/>
          <w:lang w:eastAsia="zh-CN"/>
        </w:rPr>
        <w:t>”</w:t>
      </w:r>
    </w:p>
    <w:p>
      <w:pPr>
        <w:pStyle w:val="49"/>
        <w:pageBreakBefore w:val="0"/>
        <w:widowControl/>
        <w:kinsoku/>
        <w:wordWrap/>
        <w:overflowPunct/>
        <w:topLinePunct w:val="0"/>
        <w:autoSpaceDE/>
        <w:autoSpaceDN/>
        <w:bidi w:val="0"/>
        <w:spacing w:line="480" w:lineRule="exact"/>
        <w:textAlignment w:val="auto"/>
        <w:rPr>
          <w:color w:val="auto"/>
          <w:szCs w:val="22"/>
          <w:highlight w:val="none"/>
        </w:rPr>
      </w:pPr>
      <w:bookmarkStart w:id="430" w:name="_Toc15908"/>
      <w:bookmarkStart w:id="431" w:name="_Toc173941847"/>
      <w:bookmarkStart w:id="432" w:name="_Toc173942680"/>
      <w:bookmarkStart w:id="433" w:name="_Toc173941726"/>
      <w:bookmarkStart w:id="434" w:name="_Toc31725"/>
      <w:bookmarkStart w:id="435" w:name="_Toc9216"/>
      <w:r>
        <w:rPr>
          <w:color w:val="auto"/>
          <w:highlight w:val="none"/>
        </w:rPr>
        <w:t>3.</w:t>
      </w:r>
      <w:bookmarkEnd w:id="430"/>
      <w:bookmarkEnd w:id="431"/>
      <w:bookmarkEnd w:id="432"/>
      <w:bookmarkEnd w:id="433"/>
      <w:r>
        <w:rPr>
          <w:rFonts w:hint="eastAsia"/>
          <w:color w:val="auto"/>
          <w:highlight w:val="none"/>
          <w:lang w:val="en-US" w:eastAsia="zh-CN"/>
        </w:rPr>
        <w:t>4</w:t>
      </w:r>
      <w:r>
        <w:rPr>
          <w:rFonts w:hint="eastAsia"/>
          <w:color w:val="auto"/>
          <w:highlight w:val="none"/>
        </w:rPr>
        <w:t>相关政策法规、规划符合性分析</w:t>
      </w:r>
      <w:bookmarkEnd w:id="434"/>
      <w:bookmarkEnd w:id="435"/>
    </w:p>
    <w:p>
      <w:pPr>
        <w:pStyle w:val="53"/>
        <w:pageBreakBefore w:val="0"/>
        <w:widowControl/>
        <w:kinsoku/>
        <w:wordWrap/>
        <w:overflowPunct/>
        <w:topLinePunct w:val="0"/>
        <w:autoSpaceDE/>
        <w:autoSpaceDN/>
        <w:bidi w:val="0"/>
        <w:spacing w:line="480" w:lineRule="exact"/>
        <w:textAlignment w:val="auto"/>
        <w:rPr>
          <w:rFonts w:eastAsia="宋体"/>
          <w:color w:val="auto"/>
          <w:highlight w:val="none"/>
        </w:rPr>
      </w:pPr>
      <w:r>
        <w:rPr>
          <w:rFonts w:hint="eastAsia" w:eastAsia="宋体"/>
          <w:color w:val="auto"/>
          <w:highlight w:val="none"/>
        </w:rPr>
        <w:t>3.</w:t>
      </w:r>
      <w:r>
        <w:rPr>
          <w:rFonts w:hint="eastAsia" w:eastAsia="宋体"/>
          <w:color w:val="auto"/>
          <w:highlight w:val="none"/>
          <w:lang w:val="en-US" w:eastAsia="zh-CN"/>
        </w:rPr>
        <w:t>4</w:t>
      </w:r>
      <w:r>
        <w:rPr>
          <w:rFonts w:hint="eastAsia" w:eastAsia="宋体"/>
          <w:color w:val="auto"/>
          <w:highlight w:val="none"/>
        </w:rPr>
        <w:t>.1产业政策符合性分析</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（1）与《产业结构调整指导目录（</w:t>
      </w:r>
      <w:r>
        <w:rPr>
          <w:rFonts w:hint="eastAsia"/>
          <w:color w:val="auto"/>
          <w:highlight w:val="none"/>
        </w:rPr>
        <w:t>2024</w:t>
      </w:r>
      <w:r>
        <w:rPr>
          <w:color w:val="auto"/>
          <w:highlight w:val="none"/>
        </w:rPr>
        <w:t>本）》符合性分析</w:t>
      </w:r>
    </w:p>
    <w:p>
      <w:pPr>
        <w:pStyle w:val="57"/>
        <w:pageBreakBefore w:val="0"/>
        <w:widowControl/>
        <w:kinsoku/>
        <w:wordWrap/>
        <w:overflowPunct/>
        <w:topLinePunct w:val="0"/>
        <w:autoSpaceDE/>
        <w:autoSpaceDN/>
        <w:bidi w:val="0"/>
        <w:spacing w:line="480" w:lineRule="exact"/>
        <w:textAlignment w:val="auto"/>
        <w:rPr>
          <w:rFonts w:ascii="Times New Roman" w:hAnsi="Times New Roman" w:eastAsia="宋体" w:cs="Times New Roman"/>
          <w:color w:val="auto"/>
          <w:highlight w:val="none"/>
        </w:rPr>
      </w:pPr>
      <w:r>
        <w:rPr>
          <w:rFonts w:hint="eastAsia"/>
          <w:color w:val="auto"/>
          <w:highlight w:val="none"/>
          <w:lang w:val="zh-CN"/>
        </w:rPr>
        <w:t>本工程属于</w:t>
      </w:r>
      <w:r>
        <w:rPr>
          <w:rFonts w:hint="eastAsia"/>
          <w:color w:val="auto"/>
          <w:highlight w:val="none"/>
          <w:lang w:val="en-US" w:eastAsia="zh-CN"/>
        </w:rPr>
        <w:t>页岩油</w:t>
      </w:r>
      <w:r>
        <w:rPr>
          <w:rFonts w:hint="eastAsia"/>
          <w:color w:val="auto"/>
          <w:highlight w:val="none"/>
          <w:lang w:val="zh-CN"/>
        </w:rPr>
        <w:t>开采项目，属于</w:t>
      </w:r>
      <w:r>
        <w:rPr>
          <w:rFonts w:hint="eastAsia"/>
          <w:color w:val="auto"/>
          <w:highlight w:val="none"/>
        </w:rPr>
        <w:t>国家战略性矿产资源开发，属于“常规石油、天然气勘探与开采”项目，结合《产业结构调整指导目录</w:t>
      </w:r>
      <w:r>
        <w:rPr>
          <w:rFonts w:hint="eastAsia"/>
          <w:color w:val="auto"/>
          <w:highlight w:val="none"/>
          <w:lang w:eastAsia="zh-CN"/>
        </w:rPr>
        <w:t>（</w:t>
      </w:r>
      <w:r>
        <w:rPr>
          <w:rFonts w:hint="eastAsia"/>
          <w:color w:val="auto"/>
          <w:highlight w:val="none"/>
        </w:rPr>
        <w:t>2024年本</w:t>
      </w:r>
      <w:r>
        <w:rPr>
          <w:rFonts w:hint="eastAsia"/>
          <w:color w:val="auto"/>
          <w:highlight w:val="none"/>
          <w:lang w:eastAsia="zh-CN"/>
        </w:rPr>
        <w:t>）</w:t>
      </w:r>
      <w:r>
        <w:rPr>
          <w:rFonts w:hint="eastAsia"/>
          <w:color w:val="auto"/>
          <w:highlight w:val="none"/>
        </w:rPr>
        <w:t>》，拟建工程属于第一类“鼓励类”第七条“石油天然气”第一款“石油天然气开采”，为鼓</w:t>
      </w:r>
      <w:r>
        <w:rPr>
          <w:rFonts w:hint="eastAsia" w:ascii="Times New Roman" w:hAnsi="Times New Roman" w:eastAsia="宋体" w:cs="Times New Roman"/>
          <w:color w:val="auto"/>
          <w:highlight w:val="none"/>
        </w:rPr>
        <w:t>励类产业，符合国家当前产业政策要求。</w:t>
      </w:r>
    </w:p>
    <w:p>
      <w:pPr>
        <w:pStyle w:val="57"/>
        <w:rPr>
          <w:color w:val="auto"/>
          <w:highlight w:val="none"/>
        </w:rPr>
      </w:pPr>
      <w:r>
        <w:rPr>
          <w:rFonts w:hint="eastAsia"/>
          <w:color w:val="auto"/>
          <w:highlight w:val="none"/>
        </w:rPr>
        <w:t>（2）与《新疆维吾尔自治区重点行业生态环境准入条件（2024年）》的符合性分析</w:t>
      </w:r>
    </w:p>
    <w:p>
      <w:pPr>
        <w:pStyle w:val="54"/>
        <w:ind w:firstLine="482"/>
        <w:rPr>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表3.</w:t>
      </w:r>
      <w:r>
        <w:rPr>
          <w:rFonts w:hint="eastAsia"/>
          <w:color w:val="auto"/>
          <w:highlight w:val="none"/>
          <w:lang w:val="en-US" w:eastAsia="zh-CN"/>
        </w:rPr>
        <w:t>4</w:t>
      </w:r>
      <w:r>
        <w:rPr>
          <w:rFonts w:hint="eastAsia"/>
          <w:color w:val="auto"/>
          <w:highlight w:val="none"/>
        </w:rPr>
        <w:t>-1</w:t>
      </w:r>
      <w:r>
        <w:rPr>
          <w:color w:val="auto"/>
          <w:highlight w:val="none"/>
        </w:rPr>
        <w:t xml:space="preserve">  </w:t>
      </w:r>
      <w:r>
        <w:rPr>
          <w:rFonts w:hint="eastAsia"/>
          <w:color w:val="auto"/>
          <w:highlight w:val="none"/>
          <w:lang w:val="en-US" w:eastAsia="zh-CN"/>
        </w:rPr>
        <w:t xml:space="preserve"> </w:t>
      </w:r>
      <w:r>
        <w:rPr>
          <w:color w:val="auto"/>
          <w:highlight w:val="none"/>
        </w:rPr>
        <w:t>与</w:t>
      </w:r>
      <w:r>
        <w:rPr>
          <w:rFonts w:hint="eastAsia"/>
          <w:color w:val="auto"/>
          <w:highlight w:val="none"/>
        </w:rPr>
        <w:t>《新疆维吾尔自治区重点行业生态环境准入条件（2024年）》</w:t>
      </w:r>
      <w:r>
        <w:rPr>
          <w:color w:val="auto"/>
          <w:highlight w:val="none"/>
        </w:rPr>
        <w:t>符合性分析</w:t>
      </w:r>
    </w:p>
    <w:tbl>
      <w:tblPr>
        <w:tblStyle w:val="34"/>
        <w:tblW w:w="5122" w:type="pct"/>
        <w:tblInd w:w="-116"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938"/>
        <w:gridCol w:w="4337"/>
        <w:gridCol w:w="3088"/>
        <w:gridCol w:w="6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文件名称</w:t>
            </w:r>
          </w:p>
        </w:tc>
        <w:tc>
          <w:tcPr>
            <w:tcW w:w="239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文件要求</w:t>
            </w:r>
          </w:p>
        </w:tc>
        <w:tc>
          <w:tcPr>
            <w:tcW w:w="170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本工程</w:t>
            </w:r>
          </w:p>
        </w:tc>
        <w:tc>
          <w:tcPr>
            <w:tcW w:w="37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restart"/>
            <w:tcBorders>
              <w:tl2br w:val="nil"/>
              <w:tr2bl w:val="nil"/>
            </w:tcBorders>
            <w:shd w:val="clear" w:color="auto" w:fill="auto"/>
            <w:vAlign w:val="center"/>
          </w:tcPr>
          <w:p>
            <w:pPr>
              <w:pStyle w:val="41"/>
              <w:bidi w:val="0"/>
              <w:rPr>
                <w:color w:val="auto"/>
                <w:highlight w:val="none"/>
              </w:rPr>
            </w:pPr>
            <w:r>
              <w:rPr>
                <w:color w:val="auto"/>
                <w:highlight w:val="none"/>
              </w:rPr>
              <w:t>《</w:t>
            </w:r>
            <w:r>
              <w:rPr>
                <w:rFonts w:hint="eastAsia"/>
                <w:color w:val="auto"/>
                <w:highlight w:val="none"/>
              </w:rPr>
              <w:t>新疆维吾尔自治区重点行业生态环境准入条件（2024年）》</w:t>
            </w:r>
          </w:p>
        </w:tc>
        <w:tc>
          <w:tcPr>
            <w:tcW w:w="239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石油、天然气开发项目的选址与布局应符合自治区或油气企业相关油气开发专项规划及规划环评要求，原则上应当以区块为单位开展环境影响评价工作。</w:t>
            </w:r>
          </w:p>
        </w:tc>
        <w:tc>
          <w:tcPr>
            <w:tcW w:w="170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本工程</w:t>
            </w:r>
            <w:r>
              <w:rPr>
                <w:color w:val="auto"/>
                <w:highlight w:val="none"/>
              </w:rPr>
              <w:t>属于</w:t>
            </w:r>
            <w:r>
              <w:rPr>
                <w:rFonts w:hint="eastAsia"/>
                <w:color w:val="auto"/>
                <w:highlight w:val="none"/>
                <w:lang w:val="en-US" w:eastAsia="zh-CN"/>
              </w:rPr>
              <w:t>新疆油田</w:t>
            </w:r>
            <w:r>
              <w:rPr>
                <w:rFonts w:hint="eastAsia"/>
                <w:color w:val="auto"/>
                <w:highlight w:val="none"/>
              </w:rPr>
              <w:t>“十四五”规划</w:t>
            </w:r>
            <w:r>
              <w:rPr>
                <w:color w:val="auto"/>
                <w:highlight w:val="none"/>
              </w:rPr>
              <w:t>中</w:t>
            </w:r>
            <w:r>
              <w:rPr>
                <w:rFonts w:hint="eastAsia"/>
                <w:color w:val="auto"/>
                <w:highlight w:val="none"/>
                <w:lang w:val="en-US" w:eastAsia="zh-CN"/>
              </w:rPr>
              <w:t>夏子街油田</w:t>
            </w:r>
            <w:r>
              <w:rPr>
                <w:color w:val="auto"/>
                <w:highlight w:val="none"/>
              </w:rPr>
              <w:t>，</w:t>
            </w:r>
            <w:r>
              <w:rPr>
                <w:rFonts w:hint="eastAsia"/>
                <w:color w:val="auto"/>
                <w:highlight w:val="none"/>
              </w:rPr>
              <w:t>并以区块为单位开展环境影响评价工作。</w:t>
            </w:r>
          </w:p>
        </w:tc>
        <w:tc>
          <w:tcPr>
            <w:tcW w:w="37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pPr>
              <w:pStyle w:val="41"/>
              <w:bidi w:val="0"/>
              <w:rPr>
                <w:color w:val="auto"/>
                <w:highlight w:val="none"/>
              </w:rPr>
            </w:pPr>
          </w:p>
        </w:tc>
        <w:tc>
          <w:tcPr>
            <w:tcW w:w="239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施工期应当尽量减少施工占地、严格控制施工作业面积、缩短施工时间、选择合理施工方式、落实环境敏感区管控要求以及其他生态环境保护措施，有效降低生态环境影响。</w:t>
            </w:r>
          </w:p>
        </w:tc>
        <w:tc>
          <w:tcPr>
            <w:tcW w:w="170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本工程井场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永久占地以及管线临时占地规模均尽可能缩小占地面积和作业带宽度。</w:t>
            </w:r>
          </w:p>
        </w:tc>
        <w:tc>
          <w:tcPr>
            <w:tcW w:w="37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pPr>
              <w:pStyle w:val="41"/>
              <w:bidi w:val="0"/>
              <w:rPr>
                <w:color w:val="auto"/>
                <w:highlight w:val="none"/>
              </w:rPr>
            </w:pPr>
          </w:p>
        </w:tc>
        <w:tc>
          <w:tcPr>
            <w:tcW w:w="239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工艺过程控制措施、废气收集处理措施以及站场边界非甲烷总烃排放浓度应满足《陆上石油天然气开采工业大气污染物排放标准》（GB39728）要求。锅炉、加热炉、压缩机等装置应优先使用清洁燃料或能源，燃煤燃气锅炉、加热炉废气排放应达到《锅炉大气污染物排放标准》</w:t>
            </w:r>
            <w:r>
              <w:rPr>
                <w:rFonts w:hint="eastAsia"/>
                <w:color w:val="auto"/>
                <w:highlight w:val="none"/>
                <w:lang w:eastAsia="zh-CN"/>
              </w:rPr>
              <w:t>（</w:t>
            </w:r>
            <w:r>
              <w:rPr>
                <w:rFonts w:hint="eastAsia"/>
                <w:color w:val="auto"/>
                <w:highlight w:val="none"/>
              </w:rPr>
              <w:t>GB13271）要求，有地方标准的按地方标准执行。</w:t>
            </w:r>
          </w:p>
        </w:tc>
        <w:tc>
          <w:tcPr>
            <w:tcW w:w="170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本项目采取密闭集输工艺，井场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边界非甲烷总烃排放浓度满足《陆上石油天然气开采工业大气污染物排放标准》</w:t>
            </w:r>
            <w:r>
              <w:rPr>
                <w:rFonts w:hint="eastAsia"/>
                <w:color w:val="auto"/>
                <w:highlight w:val="none"/>
                <w:lang w:eastAsia="zh-CN"/>
              </w:rPr>
              <w:t>（</w:t>
            </w:r>
            <w:r>
              <w:rPr>
                <w:rFonts w:hint="eastAsia"/>
                <w:color w:val="auto"/>
                <w:highlight w:val="none"/>
              </w:rPr>
              <w:t>GB39728</w:t>
            </w:r>
            <w:r>
              <w:rPr>
                <w:rFonts w:hint="eastAsia"/>
                <w:color w:val="auto"/>
                <w:highlight w:val="none"/>
                <w:lang w:eastAsia="zh-CN"/>
              </w:rPr>
              <w:t>）</w:t>
            </w:r>
            <w:r>
              <w:rPr>
                <w:rFonts w:hint="eastAsia"/>
                <w:color w:val="auto"/>
                <w:highlight w:val="none"/>
              </w:rPr>
              <w:t>要求</w:t>
            </w:r>
          </w:p>
        </w:tc>
        <w:tc>
          <w:tcPr>
            <w:tcW w:w="37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pPr>
              <w:pStyle w:val="41"/>
              <w:bidi w:val="0"/>
              <w:rPr>
                <w:color w:val="auto"/>
                <w:highlight w:val="none"/>
              </w:rPr>
            </w:pPr>
          </w:p>
        </w:tc>
        <w:tc>
          <w:tcPr>
            <w:tcW w:w="239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钻井及储层改造应采用环境友好的油田化学助剂、酸化液、压裂液、钻井液，配备完善的固控设备，钻井液循环率应达到95%以上，压裂废液、酸化废液等井下作业废水应100%返排入罐。</w:t>
            </w:r>
          </w:p>
        </w:tc>
        <w:tc>
          <w:tcPr>
            <w:tcW w:w="1706" w:type="pct"/>
            <w:vMerge w:val="restart"/>
            <w:tcBorders>
              <w:tl2br w:val="nil"/>
              <w:tr2bl w:val="nil"/>
            </w:tcBorders>
            <w:shd w:val="clear" w:color="auto" w:fill="auto"/>
            <w:vAlign w:val="center"/>
          </w:tcPr>
          <w:p>
            <w:pPr>
              <w:pStyle w:val="41"/>
              <w:bidi w:val="0"/>
              <w:rPr>
                <w:color w:val="auto"/>
                <w:highlight w:val="none"/>
              </w:rPr>
            </w:pPr>
            <w:r>
              <w:rPr>
                <w:rFonts w:hint="eastAsia"/>
                <w:color w:val="auto"/>
                <w:highlight w:val="none"/>
              </w:rPr>
              <w:t>本项目采出水输送至</w:t>
            </w:r>
            <w:r>
              <w:rPr>
                <w:rFonts w:hint="eastAsia"/>
                <w:color w:val="auto"/>
                <w:highlight w:val="none"/>
                <w:lang w:eastAsia="zh-CN"/>
              </w:rPr>
              <w:t>风城二号稠油联合站</w:t>
            </w:r>
            <w:r>
              <w:rPr>
                <w:rFonts w:hint="eastAsia"/>
                <w:color w:val="auto"/>
                <w:highlight w:val="none"/>
              </w:rPr>
              <w:t>采出水处理单元处理，达到《碎屑岩油藏注水水质指标技术要求及分析方法》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w:t>
            </w:r>
            <w:r>
              <w:rPr>
                <w:rFonts w:hint="eastAsia"/>
                <w:color w:val="auto"/>
                <w:highlight w:val="none"/>
                <w:lang w:val="en-US" w:eastAsia="zh-CN"/>
              </w:rPr>
              <w:t>和《陆上油气田采出水地下注入环境保护技术规范》（SY/T7784-2024）</w:t>
            </w:r>
            <w:r>
              <w:rPr>
                <w:rFonts w:hint="eastAsia"/>
                <w:color w:val="auto"/>
                <w:highlight w:val="none"/>
              </w:rPr>
              <w:t>标准后回注地层；井下作业废水收集后送</w:t>
            </w:r>
            <w:r>
              <w:rPr>
                <w:rFonts w:hint="eastAsia"/>
                <w:color w:val="auto"/>
                <w:highlight w:val="none"/>
                <w:lang w:eastAsia="zh-CN"/>
              </w:rPr>
              <w:t>风城二号稠油联合站</w:t>
            </w:r>
            <w:r>
              <w:rPr>
                <w:rFonts w:hint="eastAsia"/>
                <w:color w:val="auto"/>
                <w:highlight w:val="none"/>
              </w:rPr>
              <w:t>处理</w:t>
            </w:r>
            <w:r>
              <w:rPr>
                <w:rFonts w:hint="eastAsia"/>
                <w:color w:val="auto"/>
                <w:highlight w:val="none"/>
                <w:lang w:eastAsia="zh-CN"/>
              </w:rPr>
              <w:t>。</w:t>
            </w:r>
          </w:p>
        </w:tc>
        <w:tc>
          <w:tcPr>
            <w:tcW w:w="37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pPr>
              <w:pStyle w:val="41"/>
              <w:bidi w:val="0"/>
              <w:rPr>
                <w:color w:val="auto"/>
                <w:highlight w:val="none"/>
              </w:rPr>
            </w:pPr>
          </w:p>
        </w:tc>
        <w:tc>
          <w:tcPr>
            <w:tcW w:w="239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涉及废水回注的，应采取切实可行的地下水污染防治和监控措施，不得回注与油气开采无关的废水，严禁造成地下水污染；在相关行业污染控制标准发布前，回注水应满足《碎屑岩油藏注水水质指标技术要求及分析方法》（SY/T5329）《气田水注入技术要求》（SY/T6596）等相关标准要求。</w:t>
            </w:r>
          </w:p>
        </w:tc>
        <w:tc>
          <w:tcPr>
            <w:tcW w:w="1706" w:type="pct"/>
            <w:vMerge w:val="continue"/>
            <w:tcBorders>
              <w:tl2br w:val="nil"/>
              <w:tr2bl w:val="nil"/>
            </w:tcBorders>
            <w:shd w:val="clear" w:color="auto" w:fill="auto"/>
            <w:vAlign w:val="center"/>
          </w:tcPr>
          <w:p>
            <w:pPr>
              <w:pStyle w:val="41"/>
              <w:bidi w:val="0"/>
              <w:rPr>
                <w:color w:val="auto"/>
                <w:highlight w:val="none"/>
              </w:rPr>
            </w:pPr>
          </w:p>
        </w:tc>
        <w:tc>
          <w:tcPr>
            <w:tcW w:w="37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452" w:hRule="atLeast"/>
        </w:trPr>
        <w:tc>
          <w:tcPr>
            <w:tcW w:w="518" w:type="pct"/>
            <w:vMerge w:val="continue"/>
            <w:tcBorders>
              <w:tl2br w:val="nil"/>
              <w:tr2bl w:val="nil"/>
            </w:tcBorders>
            <w:shd w:val="clear" w:color="auto" w:fill="auto"/>
            <w:vAlign w:val="center"/>
          </w:tcPr>
          <w:p>
            <w:pPr>
              <w:pStyle w:val="41"/>
              <w:bidi w:val="0"/>
              <w:rPr>
                <w:color w:val="auto"/>
                <w:highlight w:val="none"/>
              </w:rPr>
            </w:pPr>
          </w:p>
        </w:tc>
        <w:tc>
          <w:tcPr>
            <w:tcW w:w="239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废弃钻井泥浆及岩屑应采取“泥浆不落地”工艺，勘探、开发过程产生的落地原油回收率应达到100%。废弃水基钻井泥浆及岩屑经“泥浆不落地”设备处理后，固相优先综合利用，暂时不利用或者不能利用的，应按照《一般工业固体废物贮存和填埋污染控制标准》（GB18599）处置；废弃油基钻井泥浆及岩屑、落地油、清罐底泥、含油污泥、含油清管废渣、油气处理厂过滤吸附介质、废脱汞剂等危险废物，应按照国家有关规定制定危险废物管理计划，建立危险废物管理台账，依法依规自行处置或委托有相应资质的单位无害化处置。固体废物无害化处置率应达到100%。</w:t>
            </w:r>
          </w:p>
        </w:tc>
        <w:tc>
          <w:tcPr>
            <w:tcW w:w="170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本工程井下作业时带罐作业，防止产生落地油，井口排出物全部进罐，落地油回收率为100%，回收后的落地油使用专用桶收集后交由有危废处置资质的单位处置。废防渗材料主要在修井作业过程中产生。修井作业时，作业场地下方铺设防渗材料，产生的落地油直接落在防渗材料上，作业施工结束后，由施工单位将废弃的含油防渗材料集中收集，委托交由有危废处置资质的单位处置。</w:t>
            </w:r>
          </w:p>
        </w:tc>
        <w:tc>
          <w:tcPr>
            <w:tcW w:w="37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18" w:type="pct"/>
            <w:vMerge w:val="continue"/>
            <w:tcBorders>
              <w:tl2br w:val="nil"/>
              <w:tr2bl w:val="nil"/>
            </w:tcBorders>
            <w:shd w:val="clear" w:color="auto" w:fill="auto"/>
            <w:vAlign w:val="center"/>
          </w:tcPr>
          <w:p>
            <w:pPr>
              <w:pStyle w:val="41"/>
              <w:bidi w:val="0"/>
              <w:rPr>
                <w:color w:val="auto"/>
                <w:highlight w:val="none"/>
              </w:rPr>
            </w:pPr>
          </w:p>
        </w:tc>
        <w:tc>
          <w:tcPr>
            <w:tcW w:w="239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噪声排放应达到《工业企业厂界环境噪声排放标准》（GB12348）要求。</w:t>
            </w:r>
          </w:p>
        </w:tc>
        <w:tc>
          <w:tcPr>
            <w:tcW w:w="1706"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在采取低噪声设备、基础减震等措施的情况下，本工程井场、站场厂界噪声排放能达到《工业企业厂界环境噪声排放标准》2类标准（GB12348）要求</w:t>
            </w:r>
          </w:p>
        </w:tc>
        <w:tc>
          <w:tcPr>
            <w:tcW w:w="37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bl>
    <w:p>
      <w:pPr>
        <w:pStyle w:val="53"/>
        <w:pageBreakBefore w:val="0"/>
        <w:kinsoku/>
        <w:wordWrap/>
        <w:overflowPunct/>
        <w:topLinePunct w:val="0"/>
        <w:autoSpaceDE/>
        <w:autoSpaceDN/>
        <w:bidi w:val="0"/>
        <w:spacing w:line="480" w:lineRule="exact"/>
        <w:rPr>
          <w:rFonts w:eastAsia="宋体"/>
          <w:color w:val="auto"/>
          <w:highlight w:val="none"/>
        </w:rPr>
      </w:pPr>
      <w:r>
        <w:rPr>
          <w:color w:val="auto"/>
          <w:highlight w:val="none"/>
        </w:rPr>
        <w:fldChar w:fldCharType="begin"/>
      </w:r>
      <w:r>
        <w:rPr>
          <w:color w:val="auto"/>
          <w:highlight w:val="none"/>
        </w:rPr>
        <w:instrText xml:space="preserve"> HYPERLINK \l "_Toc27194" </w:instrText>
      </w:r>
      <w:r>
        <w:rPr>
          <w:color w:val="auto"/>
          <w:highlight w:val="none"/>
        </w:rPr>
        <w:fldChar w:fldCharType="separate"/>
      </w:r>
      <w:r>
        <w:rPr>
          <w:rFonts w:hint="eastAsia" w:eastAsia="宋体"/>
          <w:color w:val="auto"/>
          <w:highlight w:val="none"/>
        </w:rPr>
        <w:t>3.</w:t>
      </w:r>
      <w:r>
        <w:rPr>
          <w:rFonts w:hint="eastAsia" w:eastAsia="宋体"/>
          <w:color w:val="auto"/>
          <w:highlight w:val="none"/>
          <w:lang w:val="en-US" w:eastAsia="zh-CN"/>
        </w:rPr>
        <w:t>4</w:t>
      </w:r>
      <w:r>
        <w:rPr>
          <w:rFonts w:hint="eastAsia" w:eastAsia="宋体"/>
          <w:color w:val="auto"/>
          <w:highlight w:val="none"/>
        </w:rPr>
        <w:t>.2 相关法规、政策、规范、规划符合性分析</w:t>
      </w:r>
      <w:r>
        <w:rPr>
          <w:rFonts w:hint="eastAsia" w:eastAsia="宋体"/>
          <w:color w:val="auto"/>
          <w:highlight w:val="none"/>
        </w:rPr>
        <w:fldChar w:fldCharType="end"/>
      </w:r>
    </w:p>
    <w:p>
      <w:pPr>
        <w:pStyle w:val="5"/>
        <w:pageBreakBefore w:val="0"/>
        <w:kinsoku/>
        <w:wordWrap/>
        <w:overflowPunct/>
        <w:topLinePunct w:val="0"/>
        <w:autoSpaceDE/>
        <w:autoSpaceDN/>
        <w:bidi w:val="0"/>
        <w:spacing w:line="480" w:lineRule="exact"/>
        <w:rPr>
          <w:color w:val="auto"/>
          <w:highlight w:val="none"/>
        </w:rPr>
      </w:pPr>
      <w:r>
        <w:rPr>
          <w:rFonts w:hint="eastAsia"/>
          <w:color w:val="auto"/>
          <w:highlight w:val="none"/>
        </w:rPr>
        <w:t>3.</w:t>
      </w:r>
      <w:r>
        <w:rPr>
          <w:rFonts w:hint="eastAsia"/>
          <w:color w:val="auto"/>
          <w:highlight w:val="none"/>
          <w:lang w:val="en-US" w:eastAsia="zh-CN"/>
        </w:rPr>
        <w:t>4</w:t>
      </w:r>
      <w:r>
        <w:rPr>
          <w:rFonts w:hint="eastAsia"/>
          <w:color w:val="auto"/>
          <w:highlight w:val="none"/>
        </w:rPr>
        <w:t>.2.1相关法规符合性分析</w:t>
      </w:r>
    </w:p>
    <w:p>
      <w:pPr>
        <w:pStyle w:val="57"/>
        <w:pageBreakBefore w:val="0"/>
        <w:kinsoku/>
        <w:wordWrap/>
        <w:overflowPunct/>
        <w:topLinePunct w:val="0"/>
        <w:autoSpaceDE/>
        <w:autoSpaceDN/>
        <w:bidi w:val="0"/>
        <w:spacing w:line="480" w:lineRule="exact"/>
        <w:rPr>
          <w:color w:val="auto"/>
          <w:highlight w:val="none"/>
          <w:lang w:bidi="ar"/>
        </w:rPr>
      </w:pPr>
      <w:r>
        <w:rPr>
          <w:color w:val="auto"/>
          <w:highlight w:val="none"/>
          <w:lang w:bidi="ar"/>
        </w:rPr>
        <w:t>（</w:t>
      </w:r>
      <w:r>
        <w:rPr>
          <w:rFonts w:hint="eastAsia"/>
          <w:color w:val="auto"/>
          <w:highlight w:val="none"/>
          <w:lang w:bidi="ar"/>
        </w:rPr>
        <w:t>1</w:t>
      </w:r>
      <w:r>
        <w:rPr>
          <w:color w:val="auto"/>
          <w:highlight w:val="none"/>
          <w:lang w:bidi="ar"/>
        </w:rPr>
        <w:t>）与《新疆维吾尔自治区大气污染防治条例》的符合性分析</w:t>
      </w:r>
    </w:p>
    <w:p>
      <w:pPr>
        <w:pStyle w:val="57"/>
        <w:pageBreakBefore w:val="0"/>
        <w:kinsoku/>
        <w:wordWrap/>
        <w:overflowPunct/>
        <w:topLinePunct w:val="0"/>
        <w:autoSpaceDE/>
        <w:autoSpaceDN/>
        <w:bidi w:val="0"/>
        <w:spacing w:line="480" w:lineRule="exact"/>
        <w:rPr>
          <w:color w:val="auto"/>
          <w:highlight w:val="none"/>
          <w:lang w:bidi="ar"/>
        </w:rPr>
      </w:pPr>
      <w:r>
        <w:rPr>
          <w:color w:val="auto"/>
          <w:highlight w:val="none"/>
          <w:lang w:bidi="ar"/>
        </w:rPr>
        <w:t>《新疆维吾尔自治区大气污染防治条例》第三十七条规定：各级人民政府应当加强对建设施工、矿产资源开采、物料运输的扬尘和沙尘污染的治理，保持道路清洁、控制</w:t>
      </w:r>
      <w:r>
        <w:rPr>
          <w:rFonts w:hint="eastAsia"/>
          <w:color w:val="auto"/>
          <w:highlight w:val="none"/>
          <w:lang w:bidi="ar"/>
        </w:rPr>
        <w:t>堆料</w:t>
      </w:r>
      <w:r>
        <w:rPr>
          <w:color w:val="auto"/>
          <w:highlight w:val="none"/>
          <w:lang w:bidi="ar"/>
        </w:rPr>
        <w:t>和渣土堆放，科学合理扩大绿地、水面、湿地、地面铺装和防风固沙绿化面积，防治扬尘污染。</w:t>
      </w:r>
    </w:p>
    <w:p>
      <w:pPr>
        <w:pStyle w:val="57"/>
        <w:pageBreakBefore w:val="0"/>
        <w:kinsoku/>
        <w:wordWrap/>
        <w:overflowPunct/>
        <w:topLinePunct w:val="0"/>
        <w:autoSpaceDE/>
        <w:autoSpaceDN/>
        <w:bidi w:val="0"/>
        <w:spacing w:line="480" w:lineRule="exact"/>
        <w:rPr>
          <w:color w:val="auto"/>
          <w:highlight w:val="none"/>
          <w:lang w:bidi="ar"/>
        </w:rPr>
      </w:pPr>
      <w:r>
        <w:rPr>
          <w:color w:val="auto"/>
          <w:highlight w:val="none"/>
          <w:lang w:bidi="ar"/>
        </w:rPr>
        <w:t>第四十四条　矿山开采产生的废石、废渣、泥土等应当堆放到专门存放地，并采取围挡、设置防尘网或者防尘布等防尘措施；施工便道应当硬化。</w:t>
      </w:r>
    </w:p>
    <w:p>
      <w:pPr>
        <w:pStyle w:val="57"/>
        <w:pageBreakBefore w:val="0"/>
        <w:kinsoku/>
        <w:wordWrap/>
        <w:overflowPunct/>
        <w:topLinePunct w:val="0"/>
        <w:autoSpaceDE/>
        <w:autoSpaceDN/>
        <w:bidi w:val="0"/>
        <w:spacing w:line="480" w:lineRule="exact"/>
        <w:rPr>
          <w:color w:val="auto"/>
          <w:highlight w:val="none"/>
          <w:lang w:bidi="ar"/>
        </w:rPr>
      </w:pPr>
      <w:r>
        <w:rPr>
          <w:rFonts w:hint="eastAsia"/>
          <w:color w:val="auto"/>
          <w:highlight w:val="none"/>
          <w:lang w:bidi="ar"/>
        </w:rPr>
        <w:t>本工程</w:t>
      </w:r>
      <w:r>
        <w:rPr>
          <w:color w:val="auto"/>
          <w:highlight w:val="none"/>
          <w:lang w:bidi="ar"/>
        </w:rPr>
        <w:t>施工期</w:t>
      </w:r>
      <w:r>
        <w:rPr>
          <w:rFonts w:hint="eastAsia"/>
          <w:color w:val="auto"/>
          <w:highlight w:val="none"/>
        </w:rPr>
        <w:t>区块内大量出入中型车辆，区块内道路主要为砂石路，车辆行驶的扬尘污染较重，要求适当洒水降尘，减轻污染。合理规划、选择最短的运输路线，利用油气田现有公路网络，禁止随意开辟道路，运输车辆应以中、低速行驶，减少车辆行驶动力起尘。站场平整、管沟开挖产生土方用于为井、站场回填、管沟回填，无弃方；施工废料应首先考虑回收利用，不可回收利用部分收集后</w:t>
      </w:r>
      <w:r>
        <w:rPr>
          <w:color w:val="auto"/>
          <w:highlight w:val="none"/>
        </w:rPr>
        <w:t>拉运</w:t>
      </w:r>
      <w:r>
        <w:rPr>
          <w:rFonts w:hint="eastAsia"/>
          <w:color w:val="auto"/>
          <w:highlight w:val="none"/>
          <w:lang w:eastAsia="zh-CN"/>
        </w:rPr>
        <w:t>克拉玛依市建筑垃圾填埋场</w:t>
      </w:r>
      <w:r>
        <w:rPr>
          <w:color w:val="auto"/>
          <w:highlight w:val="none"/>
        </w:rPr>
        <w:t>进行处置。</w:t>
      </w:r>
      <w:r>
        <w:rPr>
          <w:color w:val="auto"/>
          <w:highlight w:val="none"/>
          <w:lang w:bidi="ar"/>
        </w:rPr>
        <w:t>项目施工结束后拟对临时占地进行</w:t>
      </w:r>
      <w:r>
        <w:rPr>
          <w:rFonts w:hint="eastAsia"/>
          <w:color w:val="auto"/>
          <w:highlight w:val="none"/>
          <w:lang w:bidi="ar"/>
        </w:rPr>
        <w:t>平整</w:t>
      </w:r>
      <w:r>
        <w:rPr>
          <w:color w:val="auto"/>
          <w:highlight w:val="none"/>
          <w:lang w:bidi="ar"/>
        </w:rPr>
        <w:t>，可减少扬尘影响。项目建设符合《新疆维吾尔自治区大气污染防治条例》要求。</w:t>
      </w:r>
    </w:p>
    <w:p>
      <w:pPr>
        <w:pStyle w:val="57"/>
        <w:pageBreakBefore w:val="0"/>
        <w:kinsoku/>
        <w:wordWrap/>
        <w:overflowPunct/>
        <w:topLinePunct w:val="0"/>
        <w:autoSpaceDE/>
        <w:autoSpaceDN/>
        <w:bidi w:val="0"/>
        <w:spacing w:line="480" w:lineRule="exact"/>
        <w:rPr>
          <w:color w:val="auto"/>
          <w:highlight w:val="none"/>
          <w:lang w:bidi="ar"/>
        </w:rPr>
      </w:pPr>
      <w:r>
        <w:rPr>
          <w:rFonts w:hint="eastAsia"/>
          <w:color w:val="auto"/>
          <w:highlight w:val="none"/>
          <w:lang w:bidi="ar"/>
        </w:rPr>
        <w:t>（2）与《基本农田保护条例》的符合性分析</w:t>
      </w:r>
    </w:p>
    <w:p>
      <w:pPr>
        <w:pStyle w:val="54"/>
        <w:pageBreakBefore w:val="0"/>
        <w:kinsoku/>
        <w:wordWrap/>
        <w:overflowPunct/>
        <w:topLinePunct w:val="0"/>
        <w:autoSpaceDE/>
        <w:autoSpaceDN/>
        <w:bidi w:val="0"/>
        <w:spacing w:line="480" w:lineRule="exact"/>
        <w:rPr>
          <w:color w:val="auto"/>
          <w:highlight w:val="none"/>
        </w:rPr>
      </w:pPr>
      <w:r>
        <w:rPr>
          <w:rFonts w:hint="eastAsia"/>
          <w:color w:val="auto"/>
          <w:highlight w:val="none"/>
        </w:rPr>
        <w:t>表3.</w:t>
      </w:r>
      <w:r>
        <w:rPr>
          <w:rFonts w:hint="eastAsia"/>
          <w:color w:val="auto"/>
          <w:highlight w:val="none"/>
          <w:lang w:val="en-US" w:eastAsia="zh-CN"/>
        </w:rPr>
        <w:t>4</w:t>
      </w:r>
      <w:r>
        <w:rPr>
          <w:rFonts w:hint="eastAsia"/>
          <w:color w:val="auto"/>
          <w:highlight w:val="none"/>
        </w:rPr>
        <w:t>-2  拟建工程与《基本农田保护条例》符合性分析</w:t>
      </w:r>
    </w:p>
    <w:tbl>
      <w:tblPr>
        <w:tblStyle w:val="34"/>
        <w:tblW w:w="501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132"/>
        <w:gridCol w:w="3731"/>
        <w:gridCol w:w="3068"/>
        <w:gridCol w:w="76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文件名称</w:t>
            </w:r>
          </w:p>
        </w:tc>
        <w:tc>
          <w:tcPr>
            <w:tcW w:w="2145"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文件要求</w:t>
            </w:r>
          </w:p>
        </w:tc>
        <w:tc>
          <w:tcPr>
            <w:tcW w:w="176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拟建工程</w:t>
            </w:r>
          </w:p>
        </w:tc>
        <w:tc>
          <w:tcPr>
            <w:tcW w:w="43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vMerge w:val="restart"/>
            <w:tcBorders>
              <w:tl2br w:val="nil"/>
              <w:tr2bl w:val="nil"/>
            </w:tcBorders>
            <w:vAlign w:val="center"/>
          </w:tcPr>
          <w:p>
            <w:pPr>
              <w:pStyle w:val="41"/>
              <w:bidi w:val="0"/>
              <w:rPr>
                <w:color w:val="auto"/>
                <w:highlight w:val="none"/>
              </w:rPr>
            </w:pPr>
            <w:bookmarkStart w:id="436" w:name="OLE_LINK6"/>
            <w:r>
              <w:rPr>
                <w:rFonts w:hint="eastAsia"/>
                <w:color w:val="auto"/>
                <w:highlight w:val="none"/>
              </w:rPr>
              <w:t>《基本农田保护条例》（国务院令</w:t>
            </w:r>
            <w:r>
              <w:rPr>
                <w:rFonts w:hint="eastAsia"/>
                <w:color w:val="auto"/>
                <w:highlight w:val="none"/>
                <w:lang w:eastAsia="zh-CN"/>
              </w:rPr>
              <w:t>〔</w:t>
            </w:r>
            <w:r>
              <w:rPr>
                <w:rFonts w:hint="eastAsia"/>
                <w:color w:val="auto"/>
                <w:highlight w:val="none"/>
              </w:rPr>
              <w:t>2011</w:t>
            </w:r>
            <w:r>
              <w:rPr>
                <w:rFonts w:hint="eastAsia"/>
                <w:color w:val="auto"/>
                <w:highlight w:val="none"/>
                <w:lang w:eastAsia="zh-CN"/>
              </w:rPr>
              <w:t>〕</w:t>
            </w:r>
            <w:r>
              <w:rPr>
                <w:rFonts w:hint="eastAsia"/>
                <w:color w:val="auto"/>
                <w:highlight w:val="none"/>
              </w:rPr>
              <w:t>第588号）</w:t>
            </w:r>
            <w:bookmarkEnd w:id="436"/>
          </w:p>
        </w:tc>
        <w:tc>
          <w:tcPr>
            <w:tcW w:w="2145" w:type="pct"/>
            <w:tcBorders>
              <w:tl2br w:val="nil"/>
              <w:tr2bl w:val="nil"/>
            </w:tcBorders>
            <w:vAlign w:val="center"/>
          </w:tcPr>
          <w:p>
            <w:pPr>
              <w:pStyle w:val="41"/>
              <w:bidi w:val="0"/>
              <w:rPr>
                <w:color w:val="auto"/>
                <w:highlight w:val="none"/>
              </w:rPr>
            </w:pPr>
            <w:r>
              <w:rPr>
                <w:color w:val="auto"/>
                <w:highlight w:val="none"/>
              </w:rPr>
              <w:t>地方各级人民政府应当采取措施，确保土地利用总体规划确定的本行政区域内基本农田的数量不减少</w:t>
            </w:r>
          </w:p>
        </w:tc>
        <w:tc>
          <w:tcPr>
            <w:tcW w:w="1764" w:type="pct"/>
            <w:vMerge w:val="restart"/>
            <w:tcBorders>
              <w:tl2br w:val="nil"/>
              <w:tr2bl w:val="nil"/>
            </w:tcBorders>
            <w:vAlign w:val="center"/>
          </w:tcPr>
          <w:p>
            <w:pPr>
              <w:pStyle w:val="41"/>
              <w:bidi w:val="0"/>
              <w:rPr>
                <w:color w:val="auto"/>
                <w:highlight w:val="none"/>
              </w:rPr>
            </w:pPr>
            <w:r>
              <w:rPr>
                <w:rFonts w:hint="eastAsia"/>
                <w:color w:val="auto"/>
                <w:highlight w:val="none"/>
                <w:lang w:val="en-US" w:eastAsia="zh-CN"/>
              </w:rPr>
              <w:t>本工程占地类型为其他草地、裸地、采矿用地、灌木林地、盐碱地等，不涉及占用基本农田。</w:t>
            </w:r>
          </w:p>
        </w:tc>
        <w:tc>
          <w:tcPr>
            <w:tcW w:w="439" w:type="pct"/>
            <w:tcBorders>
              <w:tl2br w:val="nil"/>
              <w:tr2bl w:val="nil"/>
            </w:tcBorders>
            <w:vAlign w:val="center"/>
          </w:tcPr>
          <w:p>
            <w:pPr>
              <w:pStyle w:val="41"/>
              <w:bidi w:val="0"/>
              <w:rPr>
                <w:color w:val="auto"/>
                <w:highlight w:val="none"/>
              </w:rPr>
            </w:pPr>
            <w:r>
              <w:rPr>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vMerge w:val="continue"/>
            <w:tcBorders>
              <w:tl2br w:val="nil"/>
              <w:tr2bl w:val="nil"/>
            </w:tcBorders>
            <w:vAlign w:val="center"/>
          </w:tcPr>
          <w:p>
            <w:pPr>
              <w:pStyle w:val="41"/>
              <w:bidi w:val="0"/>
              <w:rPr>
                <w:color w:val="auto"/>
                <w:highlight w:val="none"/>
              </w:rPr>
            </w:pPr>
          </w:p>
        </w:tc>
        <w:tc>
          <w:tcPr>
            <w:tcW w:w="2145" w:type="pct"/>
            <w:tcBorders>
              <w:tl2br w:val="nil"/>
              <w:tr2bl w:val="nil"/>
            </w:tcBorders>
            <w:shd w:val="clear" w:color="auto" w:fill="auto"/>
            <w:vAlign w:val="center"/>
          </w:tcPr>
          <w:p>
            <w:pPr>
              <w:pStyle w:val="41"/>
              <w:bidi w:val="0"/>
              <w:rPr>
                <w:rFonts w:hint="eastAsia" w:eastAsia="宋体"/>
                <w:color w:val="auto"/>
                <w:highlight w:val="none"/>
                <w:lang w:eastAsia="zh-CN"/>
              </w:rPr>
            </w:pPr>
            <w:r>
              <w:rPr>
                <w:color w:val="auto"/>
                <w:highlight w:val="none"/>
              </w:rPr>
              <w:t>基本农田保护区经依法划定后，任何单位和个人不得改变或者占用。国家能源、交通、水利、军事设施等重点建设项目选址确实无法避开基本农田保护区，需要占用基本农田，涉及农用地转用或者征用土地的，必须经国务院批准</w:t>
            </w:r>
            <w:r>
              <w:rPr>
                <w:rFonts w:hint="eastAsia"/>
                <w:color w:val="auto"/>
                <w:highlight w:val="none"/>
                <w:lang w:eastAsia="zh-CN"/>
              </w:rPr>
              <w:t>。</w:t>
            </w:r>
          </w:p>
        </w:tc>
        <w:tc>
          <w:tcPr>
            <w:tcW w:w="1764" w:type="pct"/>
            <w:vMerge w:val="continue"/>
            <w:tcBorders>
              <w:tl2br w:val="nil"/>
              <w:tr2bl w:val="nil"/>
            </w:tcBorders>
            <w:shd w:val="clear" w:color="auto" w:fill="auto"/>
            <w:vAlign w:val="center"/>
          </w:tcPr>
          <w:p>
            <w:pPr>
              <w:pStyle w:val="41"/>
              <w:bidi w:val="0"/>
              <w:rPr>
                <w:color w:val="auto"/>
                <w:highlight w:val="none"/>
              </w:rPr>
            </w:pPr>
          </w:p>
        </w:tc>
        <w:tc>
          <w:tcPr>
            <w:tcW w:w="439" w:type="pct"/>
            <w:tcBorders>
              <w:tl2br w:val="nil"/>
              <w:tr2bl w:val="nil"/>
            </w:tcBorders>
            <w:shd w:val="clear" w:color="auto" w:fill="auto"/>
            <w:vAlign w:val="center"/>
          </w:tcPr>
          <w:p>
            <w:pPr>
              <w:pStyle w:val="41"/>
              <w:bidi w:val="0"/>
              <w:rPr>
                <w:color w:val="auto"/>
                <w:highlight w:val="none"/>
              </w:rPr>
            </w:pPr>
            <w:r>
              <w:rPr>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vMerge w:val="continue"/>
            <w:tcBorders>
              <w:tl2br w:val="nil"/>
              <w:tr2bl w:val="nil"/>
            </w:tcBorders>
            <w:vAlign w:val="center"/>
          </w:tcPr>
          <w:p>
            <w:pPr>
              <w:pStyle w:val="41"/>
              <w:bidi w:val="0"/>
              <w:rPr>
                <w:color w:val="auto"/>
                <w:highlight w:val="none"/>
              </w:rPr>
            </w:pPr>
          </w:p>
        </w:tc>
        <w:tc>
          <w:tcPr>
            <w:tcW w:w="2145" w:type="pct"/>
            <w:tcBorders>
              <w:tl2br w:val="nil"/>
              <w:tr2bl w:val="nil"/>
            </w:tcBorders>
            <w:shd w:val="clear" w:color="auto" w:fill="auto"/>
            <w:vAlign w:val="center"/>
          </w:tcPr>
          <w:p>
            <w:pPr>
              <w:pStyle w:val="41"/>
              <w:bidi w:val="0"/>
              <w:rPr>
                <w:color w:val="auto"/>
                <w:highlight w:val="none"/>
              </w:rPr>
            </w:pPr>
            <w:r>
              <w:rPr>
                <w:color w:val="auto"/>
                <w:highlight w:val="none"/>
              </w:rPr>
              <w:t>经国务院批准占用基本农田的，当地人民政府应当按照国务院的批准文件修改土地利用总体规划，并补充划入数量和质量相当的基本农田。占用单位应当按照占多少、垦多少的原则，负责开垦与所占基本农田的数量与质量相当的耕地；没有条件开垦或者开垦的耕地不符合要求的，应当按照省、自治区、直辖市的规定缴纳耕地开垦费，专款用于开垦新的耕地。占用基本农田的单位应当按照县级以上地方人民政府的要求，将所占用基本农田耕作层的土壤用于新开垦耕地、劣质地或者其他耕地的土壤改良</w:t>
            </w:r>
          </w:p>
        </w:tc>
        <w:tc>
          <w:tcPr>
            <w:tcW w:w="1764" w:type="pct"/>
            <w:vMerge w:val="continue"/>
            <w:tcBorders>
              <w:tl2br w:val="nil"/>
              <w:tr2bl w:val="nil"/>
            </w:tcBorders>
            <w:shd w:val="clear" w:color="auto" w:fill="auto"/>
            <w:vAlign w:val="center"/>
          </w:tcPr>
          <w:p>
            <w:pPr>
              <w:pStyle w:val="41"/>
              <w:bidi w:val="0"/>
              <w:rPr>
                <w:color w:val="auto"/>
                <w:highlight w:val="none"/>
              </w:rPr>
            </w:pPr>
          </w:p>
        </w:tc>
        <w:tc>
          <w:tcPr>
            <w:tcW w:w="439" w:type="pct"/>
            <w:tcBorders>
              <w:tl2br w:val="nil"/>
              <w:tr2bl w:val="nil"/>
            </w:tcBorders>
            <w:shd w:val="clear" w:color="auto" w:fill="auto"/>
            <w:vAlign w:val="center"/>
          </w:tcPr>
          <w:p>
            <w:pPr>
              <w:pStyle w:val="41"/>
              <w:bidi w:val="0"/>
              <w:rPr>
                <w:color w:val="auto"/>
                <w:highlight w:val="none"/>
              </w:rPr>
            </w:pPr>
            <w:r>
              <w:rPr>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50" w:type="pct"/>
            <w:vMerge w:val="continue"/>
            <w:tcBorders>
              <w:tl2br w:val="nil"/>
              <w:tr2bl w:val="nil"/>
            </w:tcBorders>
            <w:vAlign w:val="center"/>
          </w:tcPr>
          <w:p>
            <w:pPr>
              <w:pStyle w:val="41"/>
              <w:bidi w:val="0"/>
              <w:rPr>
                <w:color w:val="auto"/>
                <w:highlight w:val="none"/>
              </w:rPr>
            </w:pPr>
          </w:p>
        </w:tc>
        <w:tc>
          <w:tcPr>
            <w:tcW w:w="2145" w:type="pct"/>
            <w:tcBorders>
              <w:tl2br w:val="nil"/>
              <w:tr2bl w:val="nil"/>
            </w:tcBorders>
            <w:shd w:val="clear" w:color="auto" w:fill="auto"/>
            <w:vAlign w:val="center"/>
          </w:tcPr>
          <w:p>
            <w:pPr>
              <w:pStyle w:val="41"/>
              <w:bidi w:val="0"/>
              <w:rPr>
                <w:color w:val="auto"/>
                <w:highlight w:val="none"/>
              </w:rPr>
            </w:pPr>
            <w:r>
              <w:rPr>
                <w:color w:val="auto"/>
                <w:highlight w:val="none"/>
              </w:rPr>
              <w:t>禁止任何单位和个人在基本农田保护区内建窑、建房、建坟、挖砂、采石、采矿、取土、堆放固体废弃物或者进行其他破坏基本农田的活动</w:t>
            </w:r>
          </w:p>
        </w:tc>
        <w:tc>
          <w:tcPr>
            <w:tcW w:w="1764" w:type="pct"/>
            <w:vMerge w:val="continue"/>
            <w:tcBorders>
              <w:tl2br w:val="nil"/>
              <w:tr2bl w:val="nil"/>
            </w:tcBorders>
            <w:shd w:val="clear" w:color="auto" w:fill="auto"/>
            <w:vAlign w:val="center"/>
          </w:tcPr>
          <w:p>
            <w:pPr>
              <w:pStyle w:val="41"/>
              <w:bidi w:val="0"/>
              <w:rPr>
                <w:color w:val="auto"/>
                <w:highlight w:val="none"/>
              </w:rPr>
            </w:pPr>
          </w:p>
        </w:tc>
        <w:tc>
          <w:tcPr>
            <w:tcW w:w="439"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bl>
    <w:p>
      <w:pPr>
        <w:pStyle w:val="5"/>
        <w:pageBreakBefore w:val="0"/>
        <w:kinsoku/>
        <w:wordWrap/>
        <w:overflowPunct/>
        <w:topLinePunct w:val="0"/>
        <w:autoSpaceDE/>
        <w:autoSpaceDN/>
        <w:bidi w:val="0"/>
        <w:spacing w:line="480" w:lineRule="exact"/>
        <w:rPr>
          <w:color w:val="auto"/>
          <w:highlight w:val="none"/>
        </w:rPr>
      </w:pPr>
      <w:r>
        <w:rPr>
          <w:rFonts w:hint="eastAsia"/>
          <w:color w:val="auto"/>
          <w:highlight w:val="none"/>
        </w:rPr>
        <w:t>3.</w:t>
      </w:r>
      <w:r>
        <w:rPr>
          <w:rFonts w:hint="eastAsia"/>
          <w:color w:val="auto"/>
          <w:highlight w:val="none"/>
          <w:lang w:val="en-US" w:eastAsia="zh-CN"/>
        </w:rPr>
        <w:t>4</w:t>
      </w:r>
      <w:r>
        <w:rPr>
          <w:rFonts w:hint="eastAsia"/>
          <w:color w:val="auto"/>
          <w:highlight w:val="none"/>
        </w:rPr>
        <w:t>.2.2相关政策符合性分析</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w:t>
      </w:r>
      <w:r>
        <w:rPr>
          <w:rFonts w:hint="eastAsia"/>
          <w:color w:val="auto"/>
          <w:highlight w:val="none"/>
        </w:rPr>
        <w:t>1</w:t>
      </w:r>
      <w:r>
        <w:rPr>
          <w:color w:val="auto"/>
          <w:highlight w:val="none"/>
        </w:rPr>
        <w:t>）与《石油天然气开采业污染防治技术政策》的符合性分析</w:t>
      </w:r>
    </w:p>
    <w:p>
      <w:pPr>
        <w:pStyle w:val="54"/>
        <w:pageBreakBefore w:val="0"/>
        <w:kinsoku/>
        <w:wordWrap/>
        <w:overflowPunct/>
        <w:topLinePunct w:val="0"/>
        <w:autoSpaceDE/>
        <w:autoSpaceDN/>
        <w:bidi w:val="0"/>
        <w:spacing w:line="480" w:lineRule="exact"/>
        <w:rPr>
          <w:rFonts w:eastAsia="宋体"/>
          <w:color w:val="auto"/>
          <w:highlight w:val="none"/>
        </w:rPr>
      </w:pPr>
      <w:r>
        <w:rPr>
          <w:rFonts w:hint="eastAsia"/>
          <w:color w:val="auto"/>
          <w:highlight w:val="none"/>
        </w:rPr>
        <w:t>表3.</w:t>
      </w:r>
      <w:r>
        <w:rPr>
          <w:rFonts w:hint="eastAsia"/>
          <w:color w:val="auto"/>
          <w:highlight w:val="none"/>
          <w:lang w:val="en-US" w:eastAsia="zh-CN"/>
        </w:rPr>
        <w:t>4</w:t>
      </w:r>
      <w:r>
        <w:rPr>
          <w:rFonts w:hint="eastAsia"/>
          <w:color w:val="auto"/>
          <w:highlight w:val="none"/>
        </w:rPr>
        <w:t>-3    与</w:t>
      </w:r>
      <w:r>
        <w:rPr>
          <w:color w:val="auto"/>
          <w:highlight w:val="none"/>
        </w:rPr>
        <w:t>《石油天然气开采业污染防治技术政策》</w:t>
      </w:r>
      <w:r>
        <w:rPr>
          <w:rFonts w:hint="eastAsia"/>
          <w:color w:val="auto"/>
          <w:highlight w:val="none"/>
        </w:rPr>
        <w:t>符合性分析</w:t>
      </w:r>
    </w:p>
    <w:tbl>
      <w:tblPr>
        <w:tblStyle w:val="34"/>
        <w:tblW w:w="496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80"/>
        <w:gridCol w:w="3300"/>
        <w:gridCol w:w="3174"/>
        <w:gridCol w:w="7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文件名称</w:t>
            </w:r>
          </w:p>
        </w:tc>
        <w:tc>
          <w:tcPr>
            <w:tcW w:w="1915"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文件要求</w:t>
            </w:r>
          </w:p>
        </w:tc>
        <w:tc>
          <w:tcPr>
            <w:tcW w:w="1842"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拟建工程</w:t>
            </w:r>
          </w:p>
        </w:tc>
        <w:tc>
          <w:tcPr>
            <w:tcW w:w="440"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restart"/>
            <w:tcBorders>
              <w:tl2br w:val="nil"/>
              <w:tr2bl w:val="nil"/>
            </w:tcBorders>
            <w:vAlign w:val="center"/>
          </w:tcPr>
          <w:p>
            <w:pPr>
              <w:pStyle w:val="41"/>
              <w:bidi w:val="0"/>
              <w:rPr>
                <w:color w:val="auto"/>
                <w:highlight w:val="none"/>
              </w:rPr>
            </w:pPr>
            <w:r>
              <w:rPr>
                <w:rFonts w:hint="eastAsia"/>
                <w:color w:val="auto"/>
                <w:highlight w:val="none"/>
              </w:rPr>
              <w:t>《石油天然气开采业污染防治技术政策》</w:t>
            </w:r>
            <w:r>
              <w:rPr>
                <w:rFonts w:hint="eastAsia"/>
                <w:color w:val="auto"/>
                <w:highlight w:val="none"/>
                <w:lang w:eastAsia="zh-CN"/>
              </w:rPr>
              <w:t>（</w:t>
            </w:r>
            <w:r>
              <w:rPr>
                <w:rFonts w:hint="eastAsia"/>
                <w:color w:val="auto"/>
                <w:highlight w:val="none"/>
              </w:rPr>
              <w:t>公告 2012年 第18号</w:t>
            </w:r>
            <w:r>
              <w:rPr>
                <w:rFonts w:hint="eastAsia"/>
                <w:color w:val="auto"/>
                <w:highlight w:val="none"/>
                <w:lang w:eastAsia="zh-CN"/>
              </w:rPr>
              <w:t>）</w:t>
            </w:r>
          </w:p>
        </w:tc>
        <w:tc>
          <w:tcPr>
            <w:tcW w:w="1915" w:type="pct"/>
            <w:tcBorders>
              <w:tl2br w:val="nil"/>
              <w:tr2bl w:val="nil"/>
            </w:tcBorders>
            <w:vAlign w:val="center"/>
          </w:tcPr>
          <w:p>
            <w:pPr>
              <w:pStyle w:val="41"/>
              <w:bidi w:val="0"/>
              <w:rPr>
                <w:color w:val="auto"/>
                <w:highlight w:val="none"/>
              </w:rPr>
            </w:pPr>
            <w:r>
              <w:rPr>
                <w:rFonts w:hint="eastAsia"/>
                <w:color w:val="auto"/>
                <w:highlight w:val="none"/>
              </w:rPr>
              <w:t>要遏制重大、杜绝特别重大环境污染和生态破坏事故的发生。要逐步实现对行业排放的石油类污染物进行总量控制</w:t>
            </w:r>
          </w:p>
        </w:tc>
        <w:tc>
          <w:tcPr>
            <w:tcW w:w="1842" w:type="pct"/>
            <w:tcBorders>
              <w:tl2br w:val="nil"/>
              <w:tr2bl w:val="nil"/>
            </w:tcBorders>
            <w:vAlign w:val="center"/>
          </w:tcPr>
          <w:p>
            <w:pPr>
              <w:pStyle w:val="41"/>
              <w:bidi w:val="0"/>
              <w:rPr>
                <w:color w:val="auto"/>
                <w:highlight w:val="none"/>
              </w:rPr>
            </w:pPr>
            <w:r>
              <w:rPr>
                <w:rFonts w:hint="eastAsia"/>
                <w:color w:val="auto"/>
                <w:highlight w:val="none"/>
              </w:rPr>
              <w:t>拟建工程运营期废水主要为采出水和井下作业废水，采出水输送至</w:t>
            </w:r>
            <w:r>
              <w:rPr>
                <w:rFonts w:hint="eastAsia"/>
                <w:color w:val="auto"/>
                <w:highlight w:val="none"/>
                <w:lang w:eastAsia="zh-CN"/>
              </w:rPr>
              <w:t>风城二号稠油联合站</w:t>
            </w:r>
            <w:r>
              <w:rPr>
                <w:rFonts w:hint="eastAsia"/>
                <w:color w:val="auto"/>
                <w:highlight w:val="none"/>
              </w:rPr>
              <w:t>采出水处理单元处理达标后回注地层；井下作业废水收集后送</w:t>
            </w:r>
            <w:r>
              <w:rPr>
                <w:rFonts w:hint="eastAsia"/>
                <w:color w:val="auto"/>
                <w:highlight w:val="none"/>
                <w:lang w:eastAsia="zh-CN"/>
              </w:rPr>
              <w:t>风城二号稠油联合站</w:t>
            </w:r>
            <w:r>
              <w:rPr>
                <w:rFonts w:hint="eastAsia"/>
                <w:color w:val="auto"/>
                <w:highlight w:val="none"/>
              </w:rPr>
              <w:t>处理；同时采取切实可行的地下水污染防治和监控措施，防止造成地下水污染</w:t>
            </w:r>
          </w:p>
        </w:tc>
        <w:tc>
          <w:tcPr>
            <w:tcW w:w="440" w:type="pct"/>
            <w:tcBorders>
              <w:tl2br w:val="nil"/>
              <w:tr2bl w:val="nil"/>
            </w:tcBorders>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continue"/>
            <w:tcBorders>
              <w:tl2br w:val="nil"/>
              <w:tr2bl w:val="nil"/>
            </w:tcBorders>
            <w:vAlign w:val="center"/>
          </w:tcPr>
          <w:p>
            <w:pPr>
              <w:pStyle w:val="41"/>
              <w:bidi w:val="0"/>
              <w:rPr>
                <w:color w:val="auto"/>
                <w:highlight w:val="none"/>
              </w:rPr>
            </w:pPr>
          </w:p>
        </w:tc>
        <w:tc>
          <w:tcPr>
            <w:tcW w:w="1915" w:type="pct"/>
            <w:tcBorders>
              <w:tl2br w:val="nil"/>
              <w:tr2bl w:val="nil"/>
            </w:tcBorders>
            <w:vAlign w:val="center"/>
          </w:tcPr>
          <w:p>
            <w:pPr>
              <w:pStyle w:val="41"/>
              <w:bidi w:val="0"/>
              <w:rPr>
                <w:color w:val="auto"/>
                <w:highlight w:val="none"/>
              </w:rPr>
            </w:pPr>
            <w:r>
              <w:rPr>
                <w:rFonts w:hint="eastAsia"/>
                <w:color w:val="auto"/>
                <w:highlight w:val="none"/>
              </w:rPr>
              <w:t>油气田建设应总体规划，优化布局，整体开发，减少占地和油气损失，实现油气和废物的集中收集、处理处置。</w:t>
            </w:r>
          </w:p>
        </w:tc>
        <w:tc>
          <w:tcPr>
            <w:tcW w:w="1842" w:type="pct"/>
            <w:tcBorders>
              <w:tl2br w:val="nil"/>
              <w:tr2bl w:val="nil"/>
            </w:tcBorders>
            <w:vAlign w:val="center"/>
          </w:tcPr>
          <w:p>
            <w:pPr>
              <w:pStyle w:val="41"/>
              <w:bidi w:val="0"/>
              <w:rPr>
                <w:color w:val="auto"/>
                <w:highlight w:val="none"/>
              </w:rPr>
            </w:pPr>
            <w:r>
              <w:rPr>
                <w:rFonts w:hint="eastAsia"/>
                <w:color w:val="auto"/>
                <w:highlight w:val="none"/>
              </w:rPr>
              <w:t>拟建工程建设布局合理，已在设计阶段合理选址，合理利用区域现有道路，减少项目占地；天然气采取密闭集输工艺，输送至</w:t>
            </w:r>
            <w:r>
              <w:rPr>
                <w:rFonts w:hint="eastAsia"/>
                <w:color w:val="auto"/>
                <w:highlight w:val="none"/>
                <w:lang w:eastAsia="zh-CN"/>
              </w:rPr>
              <w:t>夏子街天然气增压站</w:t>
            </w:r>
            <w:r>
              <w:rPr>
                <w:rFonts w:hint="eastAsia"/>
                <w:color w:val="auto"/>
                <w:highlight w:val="none"/>
              </w:rPr>
              <w:t>集中处理</w:t>
            </w:r>
          </w:p>
        </w:tc>
        <w:tc>
          <w:tcPr>
            <w:tcW w:w="440" w:type="pct"/>
            <w:tcBorders>
              <w:tl2br w:val="nil"/>
              <w:tr2bl w:val="nil"/>
            </w:tcBorders>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continue"/>
            <w:tcBorders>
              <w:tl2br w:val="nil"/>
              <w:tr2bl w:val="nil"/>
            </w:tcBorders>
            <w:vAlign w:val="center"/>
          </w:tcPr>
          <w:p>
            <w:pPr>
              <w:pStyle w:val="41"/>
              <w:bidi w:val="0"/>
              <w:rPr>
                <w:color w:val="auto"/>
                <w:highlight w:val="none"/>
              </w:rPr>
            </w:pPr>
          </w:p>
        </w:tc>
        <w:tc>
          <w:tcPr>
            <w:tcW w:w="1915" w:type="pct"/>
            <w:tcBorders>
              <w:tl2br w:val="nil"/>
              <w:tr2bl w:val="nil"/>
            </w:tcBorders>
            <w:vAlign w:val="center"/>
          </w:tcPr>
          <w:p>
            <w:pPr>
              <w:pStyle w:val="41"/>
              <w:bidi w:val="0"/>
              <w:rPr>
                <w:color w:val="auto"/>
                <w:highlight w:val="none"/>
              </w:rPr>
            </w:pPr>
            <w:r>
              <w:rPr>
                <w:rFonts w:hint="eastAsia"/>
                <w:color w:val="auto"/>
                <w:highlight w:val="none"/>
              </w:rPr>
              <w:t>在油气集输过程中，应采用密闭流程，减少烃类气体排放</w:t>
            </w:r>
          </w:p>
        </w:tc>
        <w:tc>
          <w:tcPr>
            <w:tcW w:w="1842" w:type="pct"/>
            <w:tcBorders>
              <w:tl2br w:val="nil"/>
              <w:tr2bl w:val="nil"/>
            </w:tcBorders>
            <w:vAlign w:val="center"/>
          </w:tcPr>
          <w:p>
            <w:pPr>
              <w:pStyle w:val="41"/>
              <w:bidi w:val="0"/>
              <w:rPr>
                <w:color w:val="auto"/>
                <w:highlight w:val="none"/>
              </w:rPr>
            </w:pPr>
            <w:r>
              <w:rPr>
                <w:rFonts w:hint="eastAsia"/>
                <w:color w:val="auto"/>
                <w:highlight w:val="none"/>
              </w:rPr>
              <w:t>拟建工程油气集输过程为密闭流程</w:t>
            </w:r>
          </w:p>
        </w:tc>
        <w:tc>
          <w:tcPr>
            <w:tcW w:w="440" w:type="pct"/>
            <w:tcBorders>
              <w:tl2br w:val="nil"/>
              <w:tr2bl w:val="nil"/>
            </w:tcBorders>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continue"/>
            <w:tcBorders>
              <w:tl2br w:val="nil"/>
              <w:tr2bl w:val="nil"/>
            </w:tcBorders>
            <w:vAlign w:val="center"/>
          </w:tcPr>
          <w:p>
            <w:pPr>
              <w:pStyle w:val="41"/>
              <w:bidi w:val="0"/>
              <w:rPr>
                <w:color w:val="auto"/>
                <w:highlight w:val="none"/>
              </w:rPr>
            </w:pPr>
          </w:p>
        </w:tc>
        <w:tc>
          <w:tcPr>
            <w:tcW w:w="1915" w:type="pct"/>
            <w:tcBorders>
              <w:tl2br w:val="nil"/>
              <w:tr2bl w:val="nil"/>
            </w:tcBorders>
            <w:vAlign w:val="center"/>
          </w:tcPr>
          <w:p>
            <w:pPr>
              <w:pStyle w:val="41"/>
              <w:bidi w:val="0"/>
              <w:rPr>
                <w:color w:val="auto"/>
                <w:highlight w:val="none"/>
              </w:rPr>
            </w:pPr>
            <w:r>
              <w:rPr>
                <w:rFonts w:hint="eastAsia"/>
                <w:color w:val="auto"/>
                <w:highlight w:val="none"/>
              </w:rPr>
              <w:t>在油气开发过程中，应采取措施减轻生态影响并及时用适地植物进行植被恢复</w:t>
            </w:r>
          </w:p>
        </w:tc>
        <w:tc>
          <w:tcPr>
            <w:tcW w:w="1842" w:type="pct"/>
            <w:tcBorders>
              <w:tl2br w:val="nil"/>
              <w:tr2bl w:val="nil"/>
            </w:tcBorders>
            <w:vAlign w:val="center"/>
          </w:tcPr>
          <w:p>
            <w:pPr>
              <w:pStyle w:val="41"/>
              <w:bidi w:val="0"/>
              <w:rPr>
                <w:color w:val="auto"/>
                <w:highlight w:val="none"/>
              </w:rPr>
            </w:pPr>
            <w:r>
              <w:rPr>
                <w:rFonts w:hint="eastAsia"/>
                <w:color w:val="auto"/>
                <w:highlight w:val="none"/>
              </w:rPr>
              <w:t>本评价已提出生态影响减缓措施</w:t>
            </w:r>
          </w:p>
        </w:tc>
        <w:tc>
          <w:tcPr>
            <w:tcW w:w="440" w:type="pct"/>
            <w:tcBorders>
              <w:tl2br w:val="nil"/>
              <w:tr2bl w:val="nil"/>
            </w:tcBorders>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01" w:type="pct"/>
            <w:vMerge w:val="continue"/>
            <w:tcBorders>
              <w:tl2br w:val="nil"/>
              <w:tr2bl w:val="nil"/>
            </w:tcBorders>
            <w:vAlign w:val="center"/>
          </w:tcPr>
          <w:p>
            <w:pPr>
              <w:pStyle w:val="41"/>
              <w:bidi w:val="0"/>
              <w:rPr>
                <w:color w:val="auto"/>
                <w:highlight w:val="none"/>
              </w:rPr>
            </w:pPr>
          </w:p>
        </w:tc>
        <w:tc>
          <w:tcPr>
            <w:tcW w:w="1915"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在钻井和井下作业过程中，鼓励污油、污水进入生产流程循环利用，未进入生产流程的污油、污水应采用固液分离、废水处理一体化装置等处理后达标外排</w:t>
            </w:r>
          </w:p>
        </w:tc>
        <w:tc>
          <w:tcPr>
            <w:tcW w:w="1842" w:type="pct"/>
            <w:tcBorders>
              <w:tl2br w:val="nil"/>
              <w:tr2bl w:val="nil"/>
            </w:tcBorders>
            <w:shd w:val="clear" w:color="auto" w:fill="auto"/>
            <w:vAlign w:val="center"/>
          </w:tcPr>
          <w:p>
            <w:pPr>
              <w:pStyle w:val="41"/>
              <w:bidi w:val="0"/>
              <w:rPr>
                <w:rFonts w:hint="eastAsia" w:eastAsia="宋体"/>
                <w:color w:val="auto"/>
                <w:highlight w:val="none"/>
                <w:lang w:eastAsia="zh-CN"/>
              </w:rPr>
            </w:pPr>
            <w:r>
              <w:rPr>
                <w:rFonts w:hint="eastAsia"/>
                <w:color w:val="auto"/>
                <w:highlight w:val="none"/>
              </w:rPr>
              <w:t>运营期井下作业废水送</w:t>
            </w:r>
            <w:r>
              <w:rPr>
                <w:rFonts w:hint="eastAsia"/>
                <w:color w:val="auto"/>
                <w:highlight w:val="none"/>
                <w:lang w:eastAsia="zh-CN"/>
              </w:rPr>
              <w:t>风城二号稠油联合站</w:t>
            </w:r>
            <w:r>
              <w:rPr>
                <w:rFonts w:hint="eastAsia"/>
                <w:color w:val="auto"/>
                <w:highlight w:val="none"/>
              </w:rPr>
              <w:t>处理</w:t>
            </w:r>
            <w:r>
              <w:rPr>
                <w:rFonts w:hint="eastAsia"/>
                <w:color w:val="auto"/>
                <w:highlight w:val="none"/>
                <w:lang w:eastAsia="zh-CN"/>
              </w:rPr>
              <w:t>。</w:t>
            </w:r>
          </w:p>
        </w:tc>
        <w:tc>
          <w:tcPr>
            <w:tcW w:w="440"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bl>
    <w:p>
      <w:pPr>
        <w:rPr>
          <w:color w:val="auto"/>
          <w:highlight w:val="none"/>
        </w:rPr>
      </w:pPr>
    </w:p>
    <w:p>
      <w:pPr>
        <w:pStyle w:val="57"/>
        <w:rPr>
          <w:color w:val="auto"/>
          <w:highlight w:val="none"/>
        </w:rPr>
      </w:pPr>
      <w:r>
        <w:rPr>
          <w:rFonts w:hint="eastAsia"/>
          <w:color w:val="auto"/>
          <w:highlight w:val="none"/>
        </w:rPr>
        <w:t>（2）</w:t>
      </w:r>
      <w:r>
        <w:rPr>
          <w:color w:val="auto"/>
          <w:highlight w:val="none"/>
        </w:rPr>
        <w:t>与《关于进一步加强石油天然气行业环境影响评价的通知》（环办环评函〔2019〕910号）、新环评价发〔2020〕142号的符合性分析</w:t>
      </w:r>
    </w:p>
    <w:p>
      <w:pPr>
        <w:pStyle w:val="54"/>
        <w:ind w:firstLine="482"/>
        <w:rPr>
          <w:rFonts w:hint="eastAsia" w:eastAsia="宋体"/>
          <w:color w:val="auto"/>
          <w:highlight w:val="none"/>
        </w:rPr>
      </w:pPr>
    </w:p>
    <w:p>
      <w:pPr>
        <w:pStyle w:val="33"/>
        <w:rPr>
          <w:rFonts w:hint="eastAsia"/>
          <w:color w:val="auto"/>
        </w:rPr>
      </w:pPr>
    </w:p>
    <w:p>
      <w:pPr>
        <w:pStyle w:val="54"/>
        <w:pageBreakBefore w:val="0"/>
        <w:kinsoku/>
        <w:wordWrap/>
        <w:overflowPunct/>
        <w:topLinePunct w:val="0"/>
        <w:autoSpaceDE/>
        <w:autoSpaceDN/>
        <w:bidi w:val="0"/>
        <w:spacing w:line="480" w:lineRule="exact"/>
        <w:rPr>
          <w:rFonts w:hint="eastAsia" w:cs="Times New Roman"/>
          <w:color w:val="auto"/>
          <w:highlight w:val="none"/>
        </w:rPr>
      </w:pPr>
      <w:r>
        <w:rPr>
          <w:rFonts w:hint="eastAsia" w:cs="Times New Roman"/>
          <w:color w:val="auto"/>
          <w:highlight w:val="none"/>
        </w:rPr>
        <w:t>表3.</w:t>
      </w:r>
      <w:r>
        <w:rPr>
          <w:rFonts w:hint="eastAsia" w:cs="Times New Roman"/>
          <w:color w:val="auto"/>
          <w:highlight w:val="none"/>
          <w:lang w:val="en-US" w:eastAsia="zh-CN"/>
        </w:rPr>
        <w:t>4-4</w:t>
      </w:r>
      <w:r>
        <w:rPr>
          <w:rFonts w:hint="eastAsia" w:cs="Times New Roman"/>
          <w:color w:val="auto"/>
          <w:highlight w:val="none"/>
        </w:rPr>
        <w:t xml:space="preserve">    与《关于进一步加强石油天然气行业环境影响评价的通知》（环办环评函〔2019〕910号）、新环评价发〔2020〕142号符合性分析</w:t>
      </w:r>
    </w:p>
    <w:tbl>
      <w:tblPr>
        <w:tblStyle w:val="34"/>
        <w:tblW w:w="51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53"/>
        <w:gridCol w:w="3922"/>
        <w:gridCol w:w="2778"/>
        <w:gridCol w:w="7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tcBorders>
              <w:tl2br w:val="nil"/>
              <w:tr2bl w:val="nil"/>
            </w:tcBorders>
            <w:vAlign w:val="center"/>
          </w:tcPr>
          <w:p>
            <w:pPr>
              <w:pStyle w:val="41"/>
              <w:bidi w:val="0"/>
              <w:rPr>
                <w:color w:val="auto"/>
                <w:highlight w:val="none"/>
              </w:rPr>
            </w:pPr>
            <w:r>
              <w:rPr>
                <w:rFonts w:hint="eastAsia"/>
                <w:color w:val="auto"/>
                <w:highlight w:val="none"/>
              </w:rPr>
              <w:t>文件名称</w:t>
            </w:r>
          </w:p>
        </w:tc>
        <w:tc>
          <w:tcPr>
            <w:tcW w:w="2210" w:type="pct"/>
            <w:tcBorders>
              <w:tl2br w:val="nil"/>
              <w:tr2bl w:val="nil"/>
            </w:tcBorders>
            <w:vAlign w:val="center"/>
          </w:tcPr>
          <w:p>
            <w:pPr>
              <w:pStyle w:val="41"/>
              <w:bidi w:val="0"/>
              <w:rPr>
                <w:color w:val="auto"/>
                <w:highlight w:val="none"/>
              </w:rPr>
            </w:pPr>
            <w:r>
              <w:rPr>
                <w:rFonts w:hint="eastAsia"/>
                <w:color w:val="auto"/>
                <w:highlight w:val="none"/>
              </w:rPr>
              <w:t>文件要求</w:t>
            </w:r>
          </w:p>
        </w:tc>
        <w:tc>
          <w:tcPr>
            <w:tcW w:w="1565" w:type="pct"/>
            <w:tcBorders>
              <w:tl2br w:val="nil"/>
              <w:tr2bl w:val="nil"/>
            </w:tcBorders>
            <w:vAlign w:val="center"/>
          </w:tcPr>
          <w:p>
            <w:pPr>
              <w:pStyle w:val="41"/>
              <w:bidi w:val="0"/>
              <w:rPr>
                <w:color w:val="auto"/>
                <w:highlight w:val="none"/>
              </w:rPr>
            </w:pPr>
            <w:r>
              <w:rPr>
                <w:rFonts w:hint="eastAsia"/>
                <w:color w:val="auto"/>
                <w:highlight w:val="none"/>
              </w:rPr>
              <w:t>拟建工程</w:t>
            </w:r>
          </w:p>
        </w:tc>
        <w:tc>
          <w:tcPr>
            <w:tcW w:w="404" w:type="pct"/>
            <w:tcBorders>
              <w:tl2br w:val="nil"/>
              <w:tr2bl w:val="nil"/>
            </w:tcBorders>
            <w:vAlign w:val="center"/>
          </w:tcPr>
          <w:p>
            <w:pPr>
              <w:pStyle w:val="41"/>
              <w:bidi w:val="0"/>
              <w:rPr>
                <w:color w:val="auto"/>
                <w:highlight w:val="none"/>
              </w:rPr>
            </w:pPr>
            <w:r>
              <w:rPr>
                <w:rFonts w:hint="eastAsia"/>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tcBorders>
              <w:tl2br w:val="nil"/>
              <w:tr2bl w:val="nil"/>
            </w:tcBorders>
            <w:vAlign w:val="center"/>
          </w:tcPr>
          <w:p>
            <w:pPr>
              <w:pStyle w:val="41"/>
              <w:bidi w:val="0"/>
              <w:rPr>
                <w:color w:val="auto"/>
                <w:highlight w:val="none"/>
              </w:rPr>
            </w:pPr>
            <w:r>
              <w:rPr>
                <w:rFonts w:hint="eastAsia"/>
                <w:color w:val="auto"/>
                <w:highlight w:val="none"/>
              </w:rPr>
              <w:t>《转发</w:t>
            </w:r>
            <w:r>
              <w:rPr>
                <w:rFonts w:hint="eastAsia"/>
                <w:color w:val="auto"/>
                <w:highlight w:val="none"/>
                <w:lang w:eastAsia="zh-CN"/>
              </w:rPr>
              <w:t>〈</w:t>
            </w:r>
            <w:r>
              <w:rPr>
                <w:rFonts w:hint="eastAsia"/>
                <w:color w:val="auto"/>
                <w:highlight w:val="none"/>
              </w:rPr>
              <w:t>关于进一步加强石油天然气行业环境影响评价的通知</w:t>
            </w:r>
            <w:r>
              <w:rPr>
                <w:rFonts w:hint="eastAsia"/>
                <w:color w:val="auto"/>
                <w:highlight w:val="none"/>
                <w:lang w:eastAsia="zh-CN"/>
              </w:rPr>
              <w:t>〉</w:t>
            </w:r>
            <w:r>
              <w:rPr>
                <w:rFonts w:hint="eastAsia"/>
                <w:color w:val="auto"/>
                <w:highlight w:val="none"/>
              </w:rPr>
              <w:t>的通知》</w:t>
            </w:r>
            <w:r>
              <w:rPr>
                <w:rFonts w:hint="eastAsia"/>
                <w:color w:val="auto"/>
                <w:highlight w:val="none"/>
                <w:lang w:eastAsia="zh-CN"/>
              </w:rPr>
              <w:t>（</w:t>
            </w:r>
            <w:r>
              <w:rPr>
                <w:rFonts w:hint="eastAsia"/>
                <w:color w:val="auto"/>
                <w:highlight w:val="none"/>
              </w:rPr>
              <w:t>新环环评发</w:t>
            </w:r>
            <w:r>
              <w:rPr>
                <w:rFonts w:hint="eastAsia"/>
                <w:color w:val="auto"/>
                <w:highlight w:val="none"/>
                <w:lang w:eastAsia="zh-CN"/>
              </w:rPr>
              <w:t>〔</w:t>
            </w:r>
            <w:r>
              <w:rPr>
                <w:rFonts w:hint="eastAsia"/>
                <w:color w:val="auto"/>
                <w:highlight w:val="none"/>
              </w:rPr>
              <w:t>2020</w:t>
            </w:r>
            <w:r>
              <w:rPr>
                <w:rFonts w:hint="eastAsia"/>
                <w:color w:val="auto"/>
                <w:highlight w:val="none"/>
                <w:lang w:eastAsia="zh-CN"/>
              </w:rPr>
              <w:t>〕</w:t>
            </w:r>
            <w:r>
              <w:rPr>
                <w:rFonts w:hint="eastAsia"/>
                <w:color w:val="auto"/>
                <w:highlight w:val="none"/>
              </w:rPr>
              <w:t>142号</w:t>
            </w:r>
            <w:r>
              <w:rPr>
                <w:rFonts w:hint="eastAsia"/>
                <w:color w:val="auto"/>
                <w:highlight w:val="none"/>
                <w:lang w:eastAsia="zh-CN"/>
              </w:rPr>
              <w:t>）</w:t>
            </w:r>
          </w:p>
        </w:tc>
        <w:tc>
          <w:tcPr>
            <w:tcW w:w="2210" w:type="pct"/>
            <w:tcBorders>
              <w:tl2br w:val="nil"/>
              <w:tr2bl w:val="nil"/>
            </w:tcBorders>
            <w:vAlign w:val="center"/>
          </w:tcPr>
          <w:p>
            <w:pPr>
              <w:pStyle w:val="41"/>
              <w:bidi w:val="0"/>
              <w:rPr>
                <w:color w:val="auto"/>
                <w:highlight w:val="none"/>
              </w:rPr>
            </w:pPr>
            <w:r>
              <w:rPr>
                <w:rFonts w:hint="eastAsia"/>
                <w:color w:val="auto"/>
                <w:highlight w:val="none"/>
              </w:rPr>
              <w:t>加快推进油气发展</w:t>
            </w:r>
            <w:r>
              <w:rPr>
                <w:rFonts w:hint="eastAsia"/>
                <w:color w:val="auto"/>
                <w:highlight w:val="none"/>
                <w:lang w:eastAsia="zh-CN"/>
              </w:rPr>
              <w:t>（</w:t>
            </w:r>
            <w:r>
              <w:rPr>
                <w:rFonts w:hint="eastAsia"/>
                <w:color w:val="auto"/>
                <w:highlight w:val="none"/>
              </w:rPr>
              <w:t>开发</w:t>
            </w:r>
            <w:r>
              <w:rPr>
                <w:rFonts w:hint="eastAsia"/>
                <w:color w:val="auto"/>
                <w:highlight w:val="none"/>
                <w:lang w:eastAsia="zh-CN"/>
              </w:rPr>
              <w:t>）</w:t>
            </w:r>
            <w:r>
              <w:rPr>
                <w:rFonts w:hint="eastAsia"/>
                <w:color w:val="auto"/>
                <w:highlight w:val="none"/>
              </w:rPr>
              <w:t>相关规划编制，并依法开展规划环境影响评价。对已批准的油气发展</w:t>
            </w:r>
            <w:r>
              <w:rPr>
                <w:rFonts w:hint="eastAsia"/>
                <w:color w:val="auto"/>
                <w:highlight w:val="none"/>
                <w:lang w:eastAsia="zh-CN"/>
              </w:rPr>
              <w:t>（</w:t>
            </w:r>
            <w:r>
              <w:rPr>
                <w:rFonts w:hint="eastAsia"/>
                <w:color w:val="auto"/>
                <w:highlight w:val="none"/>
              </w:rPr>
              <w:t>开发</w:t>
            </w:r>
            <w:r>
              <w:rPr>
                <w:rFonts w:hint="eastAsia"/>
                <w:color w:val="auto"/>
                <w:highlight w:val="none"/>
                <w:lang w:eastAsia="zh-CN"/>
              </w:rPr>
              <w:t>）</w:t>
            </w:r>
            <w:r>
              <w:rPr>
                <w:rFonts w:hint="eastAsia"/>
                <w:color w:val="auto"/>
                <w:highlight w:val="none"/>
              </w:rPr>
              <w:t>规划在实施范围、适用期限、规模、结构和布局等方面进行重大调整或修订的，应当依法重新或补充进行环境影响评价。油气开发规划实施满5年的应当及时开展规划环境影响跟踪评价</w:t>
            </w:r>
          </w:p>
        </w:tc>
        <w:tc>
          <w:tcPr>
            <w:tcW w:w="1565" w:type="pct"/>
            <w:tcBorders>
              <w:tl2br w:val="nil"/>
              <w:tr2bl w:val="nil"/>
            </w:tcBorders>
            <w:vAlign w:val="center"/>
          </w:tcPr>
          <w:p>
            <w:pPr>
              <w:pStyle w:val="41"/>
              <w:bidi w:val="0"/>
              <w:rPr>
                <w:color w:val="auto"/>
                <w:highlight w:val="none"/>
              </w:rPr>
            </w:pPr>
            <w:r>
              <w:rPr>
                <w:rFonts w:hint="default" w:ascii="Times New Roman" w:hAnsi="Times New Roman" w:cs="Times New Roman"/>
                <w:color w:val="auto"/>
                <w:sz w:val="21"/>
                <w:szCs w:val="21"/>
                <w:highlight w:val="none"/>
                <w:shd w:val="clear" w:color="auto" w:fill="auto"/>
              </w:rPr>
              <w:t>新疆油田分公司已编制新疆油田分公司十四五发展规划和规划评价，《新疆油田公司“十四五”</w:t>
            </w:r>
            <w:r>
              <w:rPr>
                <w:rFonts w:hint="default" w:ascii="Times New Roman" w:hAnsi="Times New Roman" w:cs="Times New Roman"/>
                <w:color w:val="auto"/>
                <w:sz w:val="21"/>
                <w:szCs w:val="21"/>
                <w:highlight w:val="none"/>
                <w:shd w:val="clear" w:color="auto" w:fill="auto"/>
                <w:lang w:val="en-US" w:eastAsia="zh-CN"/>
              </w:rPr>
              <w:t>发展</w:t>
            </w:r>
            <w:r>
              <w:rPr>
                <w:rFonts w:hint="default" w:ascii="Times New Roman" w:hAnsi="Times New Roman" w:cs="Times New Roman"/>
                <w:color w:val="auto"/>
                <w:sz w:val="21"/>
                <w:szCs w:val="21"/>
                <w:highlight w:val="none"/>
                <w:shd w:val="clear" w:color="auto" w:fill="auto"/>
              </w:rPr>
              <w:t>规划环境影响报告书》已取得新疆维吾尔自治区生态环境厅审查意见（新环审</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2022</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252号）。</w:t>
            </w:r>
          </w:p>
        </w:tc>
        <w:tc>
          <w:tcPr>
            <w:tcW w:w="404" w:type="pct"/>
            <w:tcBorders>
              <w:tl2br w:val="nil"/>
              <w:tr2bl w:val="nil"/>
            </w:tcBorders>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restart"/>
            <w:tcBorders>
              <w:tl2br w:val="nil"/>
              <w:tr2bl w:val="nil"/>
            </w:tcBorders>
            <w:shd w:val="clear" w:color="auto" w:fill="auto"/>
            <w:vAlign w:val="center"/>
          </w:tcPr>
          <w:p>
            <w:pPr>
              <w:pStyle w:val="41"/>
              <w:bidi w:val="0"/>
              <w:rPr>
                <w:color w:val="auto"/>
                <w:highlight w:val="none"/>
              </w:rPr>
            </w:pPr>
            <w:r>
              <w:rPr>
                <w:rFonts w:hint="eastAsia"/>
                <w:color w:val="auto"/>
                <w:highlight w:val="none"/>
              </w:rPr>
              <w:t>《关于进一步加强石油天然气行业环境影响评价管理的通知》</w:t>
            </w:r>
            <w:r>
              <w:rPr>
                <w:rFonts w:hint="eastAsia"/>
                <w:color w:val="auto"/>
                <w:highlight w:val="none"/>
                <w:lang w:eastAsia="zh-CN"/>
              </w:rPr>
              <w:t>（</w:t>
            </w:r>
            <w:r>
              <w:rPr>
                <w:rFonts w:hint="eastAsia"/>
                <w:color w:val="auto"/>
                <w:highlight w:val="none"/>
              </w:rPr>
              <w:t>环办环评函</w:t>
            </w:r>
            <w:r>
              <w:rPr>
                <w:rFonts w:hint="eastAsia"/>
                <w:color w:val="auto"/>
                <w:highlight w:val="none"/>
                <w:lang w:eastAsia="zh-CN"/>
              </w:rPr>
              <w:t>〔</w:t>
            </w:r>
            <w:r>
              <w:rPr>
                <w:rFonts w:hint="eastAsia"/>
                <w:color w:val="auto"/>
                <w:highlight w:val="none"/>
              </w:rPr>
              <w:t>2019</w:t>
            </w:r>
            <w:r>
              <w:rPr>
                <w:rFonts w:hint="eastAsia"/>
                <w:color w:val="auto"/>
                <w:highlight w:val="none"/>
                <w:lang w:eastAsia="zh-CN"/>
              </w:rPr>
              <w:t>〕</w:t>
            </w:r>
            <w:r>
              <w:rPr>
                <w:rFonts w:hint="eastAsia"/>
                <w:color w:val="auto"/>
                <w:highlight w:val="none"/>
              </w:rPr>
              <w:t>910号</w:t>
            </w:r>
            <w:r>
              <w:rPr>
                <w:rFonts w:hint="eastAsia"/>
                <w:color w:val="auto"/>
                <w:highlight w:val="none"/>
                <w:lang w:eastAsia="zh-CN"/>
              </w:rPr>
              <w:t>）</w:t>
            </w:r>
          </w:p>
        </w:tc>
        <w:tc>
          <w:tcPr>
            <w:tcW w:w="2210"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项目环评应当深入评价项目建设、运营带来的环境影响和环境风险，提出有效的生态环境保护和环境风险防范措施。滚动开发区块产能建设项目环评文件中还应对现有工程环境影响进行回顾性评价，对存在的生态环境问题和环境风险隐患提出有效防治措施。依托其他防治设施的或者委托第三方处置的，应当论证其可行性和有效性</w:t>
            </w:r>
          </w:p>
        </w:tc>
        <w:tc>
          <w:tcPr>
            <w:tcW w:w="1565"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拟建工程已在报告中提出有效的生态环境保护和环境风险防范措施，并在报告中对现有区块开发情况及存在的问题进行回顾性评价，同时针对废水、固废处置的依托进行了可行性论证</w:t>
            </w:r>
          </w:p>
        </w:tc>
        <w:tc>
          <w:tcPr>
            <w:tcW w:w="4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continue"/>
            <w:tcBorders>
              <w:tl2br w:val="nil"/>
              <w:tr2bl w:val="nil"/>
            </w:tcBorders>
            <w:vAlign w:val="center"/>
          </w:tcPr>
          <w:p>
            <w:pPr>
              <w:pStyle w:val="41"/>
              <w:bidi w:val="0"/>
              <w:rPr>
                <w:color w:val="auto"/>
                <w:highlight w:val="none"/>
              </w:rPr>
            </w:pPr>
          </w:p>
        </w:tc>
        <w:tc>
          <w:tcPr>
            <w:tcW w:w="2210"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未确定产能建设规模的陆地油气开采新区块，建设勘探井应当依法编制环境影响报告表。海洋油气勘探工程应当填报环境影响登记表并进行备案。确定产能建设规模后，原则上不得以勘探名义继续开展单井环评。勘探井转为生产井的，可以纳入区块环评。自2021年1月1日起，原则上不以单井形式开展环评。过渡期间，项目建设单位可以根据实际情况，报批区块环评或单井环评。</w:t>
            </w:r>
          </w:p>
        </w:tc>
        <w:tc>
          <w:tcPr>
            <w:tcW w:w="1565"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w:t>
            </w:r>
            <w:bookmarkStart w:id="437" w:name="OLE_LINK17"/>
            <w:r>
              <w:rPr>
                <w:rFonts w:hint="eastAsia" w:ascii="Times New Roman" w:hAnsi="Times New Roman" w:eastAsia="宋体" w:cs="Times New Roman"/>
                <w:color w:val="auto"/>
                <w:highlight w:val="none"/>
              </w:rPr>
              <w:t>全国矿产资源规划（2021</w:t>
            </w:r>
            <w:r>
              <w:rPr>
                <w:rFonts w:hint="eastAsia" w:cs="Times New Roman"/>
                <w:color w:val="auto"/>
                <w:highlight w:val="none"/>
                <w:lang w:eastAsia="zh-CN"/>
              </w:rPr>
              <w:t>—</w:t>
            </w:r>
            <w:r>
              <w:rPr>
                <w:rFonts w:hint="eastAsia" w:ascii="Times New Roman" w:hAnsi="Times New Roman" w:eastAsia="宋体" w:cs="Times New Roman"/>
                <w:color w:val="auto"/>
                <w:highlight w:val="none"/>
              </w:rPr>
              <w:t>2025年）</w:t>
            </w:r>
            <w:bookmarkEnd w:id="437"/>
            <w:r>
              <w:rPr>
                <w:rFonts w:hint="eastAsia" w:ascii="Times New Roman" w:hAnsi="Times New Roman" w:eastAsia="宋体" w:cs="Times New Roman"/>
                <w:color w:val="auto"/>
                <w:highlight w:val="none"/>
              </w:rPr>
              <w:t>》，本项目属于</w:t>
            </w:r>
            <w:r>
              <w:rPr>
                <w:rFonts w:hint="default" w:ascii="Times New Roman" w:hAnsi="Times New Roman" w:eastAsia="宋体" w:cs="Times New Roman"/>
                <w:color w:val="auto"/>
                <w:highlight w:val="none"/>
              </w:rPr>
              <w:t>准噶尔</w:t>
            </w:r>
            <w:r>
              <w:rPr>
                <w:rFonts w:hint="eastAsia" w:ascii="Times New Roman" w:hAnsi="Times New Roman" w:eastAsia="宋体" w:cs="Times New Roman"/>
                <w:color w:val="auto"/>
                <w:highlight w:val="none"/>
                <w:lang w:val="en-US" w:eastAsia="zh-CN"/>
              </w:rPr>
              <w:t>盆地</w:t>
            </w:r>
            <w:r>
              <w:rPr>
                <w:rFonts w:hint="default" w:ascii="Times New Roman" w:hAnsi="Times New Roman" w:eastAsia="宋体" w:cs="Times New Roman"/>
                <w:color w:val="auto"/>
                <w:highlight w:val="none"/>
              </w:rPr>
              <w:t>的</w:t>
            </w:r>
            <w:r>
              <w:rPr>
                <w:rFonts w:hint="eastAsia" w:ascii="Times New Roman" w:hAnsi="Times New Roman" w:eastAsia="宋体" w:cs="Times New Roman"/>
                <w:color w:val="auto"/>
                <w:highlight w:val="none"/>
                <w:lang w:val="en-US" w:eastAsia="zh-CN"/>
              </w:rPr>
              <w:t>页岩油</w:t>
            </w:r>
            <w:r>
              <w:rPr>
                <w:rFonts w:hint="default" w:ascii="Times New Roman" w:hAnsi="Times New Roman" w:eastAsia="宋体" w:cs="Times New Roman"/>
                <w:color w:val="auto"/>
                <w:highlight w:val="none"/>
              </w:rPr>
              <w:t>开采项目</w:t>
            </w:r>
            <w:r>
              <w:rPr>
                <w:rFonts w:hint="eastAsia" w:ascii="Times New Roman" w:hAnsi="Times New Roman" w:eastAsia="宋体" w:cs="Times New Roman"/>
                <w:color w:val="auto"/>
                <w:highlight w:val="none"/>
              </w:rPr>
              <w:t>，</w:t>
            </w:r>
            <w:r>
              <w:rPr>
                <w:rFonts w:hint="default" w:ascii="Times New Roman" w:hAnsi="Times New Roman" w:eastAsia="宋体" w:cs="Times New Roman"/>
                <w:color w:val="auto"/>
                <w:highlight w:val="none"/>
              </w:rPr>
              <w:t>为加快储量升级、推动</w:t>
            </w:r>
            <w:r>
              <w:rPr>
                <w:rFonts w:hint="eastAsia" w:ascii="Times New Roman" w:hAnsi="Times New Roman" w:eastAsia="宋体" w:cs="Times New Roman"/>
                <w:color w:val="auto"/>
                <w:highlight w:val="none"/>
                <w:lang w:val="en-US" w:eastAsia="zh-CN"/>
              </w:rPr>
              <w:t>页岩</w:t>
            </w:r>
            <w:r>
              <w:rPr>
                <w:rFonts w:hint="eastAsia" w:ascii="Times New Roman" w:hAnsi="Times New Roman" w:eastAsia="宋体" w:cs="Times New Roman"/>
                <w:color w:val="auto"/>
                <w:highlight w:val="none"/>
              </w:rPr>
              <w:t>油气能源资源基地油气田勘探开发，促进增储上产的要求；</w:t>
            </w:r>
            <w:r>
              <w:rPr>
                <w:rFonts w:hint="default" w:ascii="Times New Roman" w:hAnsi="Times New Roman" w:eastAsia="宋体" w:cs="Times New Roman"/>
                <w:color w:val="auto"/>
                <w:highlight w:val="none"/>
              </w:rPr>
              <w:t>玛湖项目</w:t>
            </w:r>
            <w:r>
              <w:rPr>
                <w:rFonts w:hint="eastAsia" w:ascii="Times New Roman" w:hAnsi="Times New Roman" w:eastAsia="宋体" w:cs="Times New Roman"/>
                <w:color w:val="auto"/>
                <w:highlight w:val="none"/>
              </w:rPr>
              <w:t>实施</w:t>
            </w:r>
            <w:r>
              <w:rPr>
                <w:rFonts w:hint="eastAsia" w:ascii="Times New Roman" w:hAnsi="Times New Roman" w:eastAsia="宋体" w:cs="Times New Roman"/>
                <w:color w:val="auto"/>
                <w:highlight w:val="none"/>
                <w:lang w:val="en-US" w:eastAsia="zh-CN"/>
              </w:rPr>
              <w:t>夏子街油田丰探1井</w:t>
            </w:r>
            <w:r>
              <w:rPr>
                <w:rFonts w:hint="eastAsia" w:ascii="Times New Roman" w:hAnsi="Times New Roman" w:eastAsia="宋体" w:cs="Times New Roman"/>
                <w:color w:val="auto"/>
                <w:highlight w:val="none"/>
              </w:rPr>
              <w:t>区块产能建设项目。</w:t>
            </w:r>
          </w:p>
        </w:tc>
        <w:tc>
          <w:tcPr>
            <w:tcW w:w="4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continue"/>
            <w:tcBorders>
              <w:tl2br w:val="nil"/>
              <w:tr2bl w:val="nil"/>
            </w:tcBorders>
          </w:tcPr>
          <w:p>
            <w:pPr>
              <w:pStyle w:val="41"/>
              <w:bidi w:val="0"/>
              <w:rPr>
                <w:color w:val="auto"/>
                <w:highlight w:val="none"/>
              </w:rPr>
            </w:pPr>
          </w:p>
        </w:tc>
        <w:tc>
          <w:tcPr>
            <w:tcW w:w="2210"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施工期应当尽量减少施工占地、缩短施工时间、选择合理施工方式、落实环境敏感区管控要求以及其他生态环境保护措施，降低生态环境影响。钻井和压裂设备应当优先使用网电、高标准清洁燃油，减少废气排放。选用低噪声设备，避免噪声扰民。施工结束后，应当及时落实环评提出的生态保护措施</w:t>
            </w:r>
          </w:p>
        </w:tc>
        <w:tc>
          <w:tcPr>
            <w:tcW w:w="1565"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拟建工程报告中已提出施工过程中严格控制作业带，减少施工占地的措施，要求施工结束后及时进行恢复清理，落实报告中提出的生态保护措施，避免对区域生态环境造成影响</w:t>
            </w:r>
          </w:p>
        </w:tc>
        <w:tc>
          <w:tcPr>
            <w:tcW w:w="4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continue"/>
            <w:tcBorders>
              <w:tl2br w:val="nil"/>
              <w:tr2bl w:val="nil"/>
            </w:tcBorders>
          </w:tcPr>
          <w:p>
            <w:pPr>
              <w:pStyle w:val="41"/>
              <w:bidi w:val="0"/>
              <w:rPr>
                <w:color w:val="auto"/>
                <w:highlight w:val="none"/>
              </w:rPr>
            </w:pPr>
          </w:p>
        </w:tc>
        <w:tc>
          <w:tcPr>
            <w:tcW w:w="2210"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油气长输管道及油气田内部集输管道应当优先避让环境敏感区，并从穿越位置、穿越方式、施工场地设置、管线工艺设计、环境风险防范等方面进行深入论证。高度关注项目安全事故带来的环境风险，尽量远离沿线居民</w:t>
            </w:r>
          </w:p>
        </w:tc>
        <w:tc>
          <w:tcPr>
            <w:tcW w:w="1565"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拟建工程油气集输管线采取埋地敷设方式，敷设管线未穿越红线，不在生态保护红线范围内，在采取严格完善的环境风险防范措施和应急措施后，环境风险可防控</w:t>
            </w:r>
          </w:p>
        </w:tc>
        <w:tc>
          <w:tcPr>
            <w:tcW w:w="4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19" w:type="pct"/>
            <w:vMerge w:val="continue"/>
            <w:tcBorders>
              <w:tl2br w:val="nil"/>
              <w:tr2bl w:val="nil"/>
            </w:tcBorders>
          </w:tcPr>
          <w:p>
            <w:pPr>
              <w:pStyle w:val="41"/>
              <w:bidi w:val="0"/>
              <w:rPr>
                <w:color w:val="auto"/>
                <w:highlight w:val="none"/>
              </w:rPr>
            </w:pPr>
          </w:p>
        </w:tc>
        <w:tc>
          <w:tcPr>
            <w:tcW w:w="2210"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油气企业应当加强风险防控，按规定编制突发环境事件应急预案，报所在地生态环境主管部门备案</w:t>
            </w:r>
          </w:p>
        </w:tc>
        <w:tc>
          <w:tcPr>
            <w:tcW w:w="1565" w:type="pct"/>
            <w:tcBorders>
              <w:tl2br w:val="nil"/>
              <w:tr2bl w:val="nil"/>
            </w:tcBorders>
            <w:shd w:val="clear" w:color="auto" w:fill="auto"/>
            <w:vAlign w:val="center"/>
          </w:tcPr>
          <w:p>
            <w:pPr>
              <w:pStyle w:val="41"/>
              <w:bidi w:val="0"/>
              <w:rPr>
                <w:rFonts w:hint="eastAsia" w:eastAsia="宋体"/>
                <w:color w:val="auto"/>
                <w:highlight w:val="none"/>
                <w:lang w:eastAsia="zh-CN"/>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40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bl>
    <w:p>
      <w:pPr>
        <w:pStyle w:val="57"/>
        <w:keepNext w:val="0"/>
        <w:keepLines w:val="0"/>
        <w:pageBreakBefore w:val="0"/>
        <w:kinsoku/>
        <w:wordWrap/>
        <w:overflowPunct/>
        <w:topLinePunct w:val="0"/>
        <w:autoSpaceDE/>
        <w:autoSpaceDN/>
        <w:bidi w:val="0"/>
        <w:adjustRightInd/>
        <w:snapToGrid/>
        <w:spacing w:line="480" w:lineRule="exact"/>
        <w:rPr>
          <w:color w:val="auto"/>
          <w:highlight w:val="none"/>
        </w:rPr>
      </w:pPr>
      <w:bookmarkStart w:id="438" w:name="_Hlk68968286"/>
      <w:bookmarkStart w:id="439" w:name="_Hlk69232330"/>
      <w:r>
        <w:rPr>
          <w:rFonts w:hint="eastAsia"/>
          <w:color w:val="auto"/>
          <w:highlight w:val="none"/>
        </w:rPr>
        <w:t>（3）</w:t>
      </w:r>
      <w:bookmarkEnd w:id="438"/>
      <w:bookmarkEnd w:id="439"/>
      <w:r>
        <w:rPr>
          <w:rFonts w:hint="eastAsia"/>
          <w:color w:val="auto"/>
          <w:highlight w:val="none"/>
        </w:rPr>
        <w:t>与《关于规范临时用地管理的通知》（自然资规〔2021〕2号）符合性分析</w:t>
      </w:r>
    </w:p>
    <w:p>
      <w:pPr>
        <w:pStyle w:val="54"/>
        <w:keepNext w:val="0"/>
        <w:keepLines w:val="0"/>
        <w:pageBreakBefore w:val="0"/>
        <w:kinsoku/>
        <w:wordWrap/>
        <w:overflowPunct/>
        <w:topLinePunct w:val="0"/>
        <w:autoSpaceDE/>
        <w:autoSpaceDN/>
        <w:bidi w:val="0"/>
        <w:adjustRightInd/>
        <w:snapToGrid/>
        <w:spacing w:line="480" w:lineRule="exact"/>
        <w:rPr>
          <w:color w:val="auto"/>
          <w:highlight w:val="none"/>
        </w:rPr>
      </w:pPr>
      <w:r>
        <w:rPr>
          <w:rFonts w:hint="eastAsia"/>
          <w:color w:val="auto"/>
          <w:highlight w:val="none"/>
        </w:rPr>
        <w:t>表3.</w:t>
      </w:r>
      <w:r>
        <w:rPr>
          <w:rFonts w:hint="eastAsia"/>
          <w:color w:val="auto"/>
          <w:highlight w:val="none"/>
          <w:lang w:val="en-US" w:eastAsia="zh-CN"/>
        </w:rPr>
        <w:t>4-5</w:t>
      </w:r>
      <w:r>
        <w:rPr>
          <w:rFonts w:hint="eastAsia"/>
          <w:color w:val="auto"/>
          <w:highlight w:val="none"/>
        </w:rPr>
        <w:t xml:space="preserve">   与《关于规范临时用地管理的通知》符合性分析</w:t>
      </w:r>
    </w:p>
    <w:tbl>
      <w:tblPr>
        <w:tblStyle w:val="34"/>
        <w:tblW w:w="5000"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1116"/>
        <w:gridCol w:w="4583"/>
        <w:gridCol w:w="2086"/>
        <w:gridCol w:w="104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2" w:type="pct"/>
            <w:tcBorders>
              <w:tl2br w:val="nil"/>
              <w:tr2bl w:val="nil"/>
            </w:tcBorders>
            <w:shd w:val="clear" w:color="auto" w:fill="auto"/>
            <w:vAlign w:val="center"/>
          </w:tcPr>
          <w:p>
            <w:pPr>
              <w:pStyle w:val="41"/>
              <w:rPr>
                <w:color w:val="auto"/>
                <w:kern w:val="2"/>
                <w:sz w:val="21"/>
                <w:szCs w:val="21"/>
                <w:highlight w:val="none"/>
              </w:rPr>
            </w:pPr>
            <w:r>
              <w:rPr>
                <w:rFonts w:hint="eastAsia"/>
                <w:color w:val="auto"/>
                <w:sz w:val="21"/>
                <w:szCs w:val="21"/>
                <w:highlight w:val="none"/>
                <w:lang w:bidi="ar"/>
              </w:rPr>
              <w:t>文件名称</w:t>
            </w:r>
          </w:p>
        </w:tc>
        <w:tc>
          <w:tcPr>
            <w:tcW w:w="2593" w:type="pct"/>
            <w:tcBorders>
              <w:tl2br w:val="nil"/>
              <w:tr2bl w:val="nil"/>
            </w:tcBorders>
            <w:shd w:val="clear" w:color="auto" w:fill="auto"/>
            <w:vAlign w:val="center"/>
          </w:tcPr>
          <w:p>
            <w:pPr>
              <w:pStyle w:val="41"/>
              <w:rPr>
                <w:color w:val="auto"/>
                <w:kern w:val="2"/>
                <w:sz w:val="21"/>
                <w:szCs w:val="21"/>
                <w:highlight w:val="none"/>
              </w:rPr>
            </w:pPr>
            <w:r>
              <w:rPr>
                <w:rFonts w:hint="eastAsia"/>
                <w:color w:val="auto"/>
                <w:sz w:val="21"/>
                <w:szCs w:val="21"/>
                <w:highlight w:val="none"/>
                <w:lang w:bidi="ar"/>
              </w:rPr>
              <w:t>文件要求</w:t>
            </w:r>
          </w:p>
        </w:tc>
        <w:tc>
          <w:tcPr>
            <w:tcW w:w="1180" w:type="pct"/>
            <w:tcBorders>
              <w:tl2br w:val="nil"/>
              <w:tr2bl w:val="nil"/>
            </w:tcBorders>
            <w:shd w:val="clear" w:color="auto" w:fill="auto"/>
            <w:vAlign w:val="center"/>
          </w:tcPr>
          <w:p>
            <w:pPr>
              <w:pStyle w:val="41"/>
              <w:rPr>
                <w:color w:val="auto"/>
                <w:kern w:val="2"/>
                <w:sz w:val="21"/>
                <w:szCs w:val="21"/>
                <w:highlight w:val="none"/>
              </w:rPr>
            </w:pPr>
            <w:r>
              <w:rPr>
                <w:rFonts w:hint="eastAsia"/>
                <w:color w:val="auto"/>
                <w:sz w:val="21"/>
                <w:szCs w:val="21"/>
                <w:highlight w:val="none"/>
                <w:lang w:bidi="ar"/>
              </w:rPr>
              <w:t>本工程</w:t>
            </w:r>
          </w:p>
        </w:tc>
        <w:tc>
          <w:tcPr>
            <w:tcW w:w="593" w:type="pct"/>
            <w:tcBorders>
              <w:tl2br w:val="nil"/>
              <w:tr2bl w:val="nil"/>
            </w:tcBorders>
            <w:shd w:val="clear" w:color="auto" w:fill="auto"/>
            <w:vAlign w:val="center"/>
          </w:tcPr>
          <w:p>
            <w:pPr>
              <w:pStyle w:val="41"/>
              <w:rPr>
                <w:color w:val="auto"/>
                <w:kern w:val="2"/>
                <w:sz w:val="21"/>
                <w:szCs w:val="21"/>
                <w:highlight w:val="none"/>
              </w:rPr>
            </w:pPr>
            <w:r>
              <w:rPr>
                <w:rFonts w:hint="eastAsia"/>
                <w:color w:val="auto"/>
                <w:sz w:val="21"/>
                <w:szCs w:val="21"/>
                <w:highlight w:val="none"/>
                <w:lang w:bidi="ar"/>
              </w:rPr>
              <w:t>符合性</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2" w:type="pct"/>
            <w:vMerge w:val="restart"/>
            <w:tcBorders>
              <w:tl2br w:val="nil"/>
              <w:tr2bl w:val="nil"/>
            </w:tcBorders>
            <w:shd w:val="clear" w:color="auto" w:fill="auto"/>
            <w:vAlign w:val="center"/>
          </w:tcPr>
          <w:p>
            <w:pPr>
              <w:pStyle w:val="41"/>
              <w:rPr>
                <w:color w:val="auto"/>
                <w:sz w:val="21"/>
                <w:szCs w:val="21"/>
                <w:highlight w:val="none"/>
              </w:rPr>
            </w:pPr>
            <w:r>
              <w:rPr>
                <w:color w:val="auto"/>
                <w:sz w:val="21"/>
                <w:szCs w:val="21"/>
                <w:highlight w:val="none"/>
              </w:rPr>
              <w:t>《关于规范临时用地管理的通知》（自然资规〔2021〕2号）</w:t>
            </w:r>
          </w:p>
        </w:tc>
        <w:tc>
          <w:tcPr>
            <w:tcW w:w="2593" w:type="pct"/>
            <w:tcBorders>
              <w:tl2br w:val="nil"/>
              <w:tr2bl w:val="nil"/>
            </w:tcBorders>
            <w:shd w:val="clear" w:color="auto" w:fill="auto"/>
            <w:vAlign w:val="center"/>
          </w:tcPr>
          <w:p>
            <w:pPr>
              <w:pStyle w:val="41"/>
              <w:rPr>
                <w:rFonts w:hint="eastAsia" w:eastAsia="宋体"/>
                <w:color w:val="auto"/>
                <w:sz w:val="21"/>
                <w:szCs w:val="21"/>
                <w:highlight w:val="none"/>
                <w:lang w:eastAsia="zh-CN"/>
              </w:rPr>
            </w:pPr>
            <w:r>
              <w:rPr>
                <w:rFonts w:hint="eastAsia"/>
                <w:color w:val="auto"/>
                <w:sz w:val="21"/>
                <w:szCs w:val="21"/>
                <w:highlight w:val="none"/>
              </w:rPr>
              <w:t>建设项目施工、地质勘查使用临时用地时应坚持“用多少、批多少、占多少、恢复多少”，尽量不占或者少占耕地。使用后土地复垦难度较大的临时用地，要严格控制占用耕地。铁路、公路等单独选址建设项目，应科学组织施工，节约集约使用临时用地。制梁场、拌合站等难以恢复原种植条件的不得以临时用地方式占用耕地和永久基本农田，可以建设用地方式或者临时占用未利用地方式使用土地</w:t>
            </w:r>
            <w:r>
              <w:rPr>
                <w:rFonts w:hint="eastAsia"/>
                <w:color w:val="auto"/>
                <w:sz w:val="21"/>
                <w:szCs w:val="21"/>
                <w:highlight w:val="none"/>
                <w:lang w:eastAsia="zh-CN"/>
              </w:rPr>
              <w:t>。</w:t>
            </w:r>
          </w:p>
        </w:tc>
        <w:tc>
          <w:tcPr>
            <w:tcW w:w="1180" w:type="pct"/>
            <w:tcBorders>
              <w:tl2br w:val="nil"/>
              <w:tr2bl w:val="nil"/>
            </w:tcBorders>
            <w:shd w:val="clear" w:color="auto" w:fill="auto"/>
            <w:vAlign w:val="center"/>
          </w:tcPr>
          <w:p>
            <w:pPr>
              <w:pStyle w:val="41"/>
              <w:rPr>
                <w:color w:val="auto"/>
                <w:sz w:val="21"/>
                <w:szCs w:val="21"/>
                <w:highlight w:val="none"/>
              </w:rPr>
            </w:pPr>
            <w:r>
              <w:rPr>
                <w:rFonts w:hint="eastAsia"/>
                <w:color w:val="auto"/>
                <w:sz w:val="21"/>
                <w:szCs w:val="21"/>
                <w:highlight w:val="none"/>
              </w:rPr>
              <w:t>项目施工过程中严格控制施工占地，井场</w:t>
            </w:r>
            <w:r>
              <w:rPr>
                <w:rFonts w:hint="eastAsia"/>
                <w:color w:val="auto"/>
                <w:sz w:val="21"/>
                <w:szCs w:val="21"/>
                <w:highlight w:val="none"/>
                <w:lang w:eastAsia="zh-CN"/>
              </w:rPr>
              <w:t>、</w:t>
            </w:r>
            <w:r>
              <w:rPr>
                <w:rFonts w:hint="eastAsia"/>
                <w:color w:val="auto"/>
                <w:sz w:val="21"/>
                <w:szCs w:val="21"/>
                <w:highlight w:val="none"/>
                <w:lang w:val="en-US" w:eastAsia="zh-CN"/>
              </w:rPr>
              <w:t>站场</w:t>
            </w:r>
            <w:r>
              <w:rPr>
                <w:rFonts w:hint="eastAsia"/>
                <w:color w:val="auto"/>
                <w:sz w:val="21"/>
                <w:szCs w:val="21"/>
                <w:highlight w:val="none"/>
              </w:rPr>
              <w:t>建设和管线敷设完成后，采取措施及时恢复临时占地，尽可能减少对区域生态的影响</w:t>
            </w:r>
          </w:p>
        </w:tc>
        <w:tc>
          <w:tcPr>
            <w:tcW w:w="593" w:type="pct"/>
            <w:tcBorders>
              <w:tl2br w:val="nil"/>
              <w:tr2bl w:val="nil"/>
            </w:tcBorders>
            <w:shd w:val="clear" w:color="auto" w:fill="auto"/>
            <w:vAlign w:val="center"/>
          </w:tcPr>
          <w:p>
            <w:pPr>
              <w:pStyle w:val="41"/>
              <w:rPr>
                <w:color w:val="auto"/>
                <w:kern w:val="2"/>
                <w:sz w:val="21"/>
                <w:szCs w:val="21"/>
                <w:highlight w:val="none"/>
              </w:rPr>
            </w:pPr>
            <w:r>
              <w:rPr>
                <w:rFonts w:hint="eastAsia"/>
                <w:color w:val="auto"/>
                <w:sz w:val="21"/>
                <w:szCs w:val="21"/>
                <w:highlight w:val="none"/>
                <w:lang w:bidi="ar"/>
              </w:rPr>
              <w:t>符合</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32" w:type="pct"/>
            <w:vMerge w:val="continue"/>
            <w:tcBorders>
              <w:tl2br w:val="nil"/>
              <w:tr2bl w:val="nil"/>
            </w:tcBorders>
            <w:shd w:val="clear" w:color="auto" w:fill="auto"/>
            <w:vAlign w:val="center"/>
          </w:tcPr>
          <w:p>
            <w:pPr>
              <w:pStyle w:val="41"/>
              <w:rPr>
                <w:color w:val="auto"/>
                <w:sz w:val="21"/>
                <w:szCs w:val="21"/>
                <w:highlight w:val="none"/>
              </w:rPr>
            </w:pPr>
          </w:p>
        </w:tc>
        <w:tc>
          <w:tcPr>
            <w:tcW w:w="2593" w:type="pct"/>
            <w:tcBorders>
              <w:tl2br w:val="nil"/>
              <w:tr2bl w:val="nil"/>
            </w:tcBorders>
            <w:shd w:val="clear" w:color="auto" w:fill="auto"/>
            <w:vAlign w:val="center"/>
          </w:tcPr>
          <w:p>
            <w:pPr>
              <w:pStyle w:val="41"/>
              <w:rPr>
                <w:rFonts w:hint="eastAsia" w:eastAsia="宋体"/>
                <w:color w:val="auto"/>
                <w:sz w:val="21"/>
                <w:szCs w:val="21"/>
                <w:highlight w:val="none"/>
                <w:lang w:eastAsia="zh-CN"/>
              </w:rPr>
            </w:pPr>
            <w:r>
              <w:rPr>
                <w:rFonts w:hint="eastAsia"/>
                <w:color w:val="auto"/>
                <w:sz w:val="21"/>
                <w:szCs w:val="21"/>
                <w:highlight w:val="none"/>
              </w:rPr>
              <w:t>油气资源探采合一开发涉及的钻井及配套设施建设用地，可先以临时用地方式批准使用，勘探结束转入生产使用的，办理建设用地审批手续</w:t>
            </w:r>
            <w:r>
              <w:rPr>
                <w:rFonts w:hint="eastAsia"/>
                <w:color w:val="auto"/>
                <w:sz w:val="21"/>
                <w:szCs w:val="21"/>
                <w:highlight w:val="none"/>
                <w:lang w:eastAsia="zh-CN"/>
              </w:rPr>
              <w:t>。</w:t>
            </w:r>
          </w:p>
        </w:tc>
        <w:tc>
          <w:tcPr>
            <w:tcW w:w="1180" w:type="pct"/>
            <w:tcBorders>
              <w:tl2br w:val="nil"/>
              <w:tr2bl w:val="nil"/>
            </w:tcBorders>
            <w:shd w:val="clear" w:color="auto" w:fill="auto"/>
            <w:vAlign w:val="center"/>
          </w:tcPr>
          <w:p>
            <w:pPr>
              <w:pStyle w:val="41"/>
              <w:rPr>
                <w:color w:val="auto"/>
                <w:sz w:val="21"/>
                <w:szCs w:val="21"/>
                <w:highlight w:val="none"/>
              </w:rPr>
            </w:pPr>
            <w:r>
              <w:rPr>
                <w:rFonts w:hint="eastAsia"/>
                <w:color w:val="auto"/>
                <w:sz w:val="21"/>
                <w:szCs w:val="21"/>
                <w:highlight w:val="none"/>
              </w:rPr>
              <w:t>严格按照有关规定办理建设用地审批手续</w:t>
            </w:r>
          </w:p>
        </w:tc>
        <w:tc>
          <w:tcPr>
            <w:tcW w:w="593" w:type="pct"/>
            <w:tcBorders>
              <w:tl2br w:val="nil"/>
              <w:tr2bl w:val="nil"/>
            </w:tcBorders>
            <w:shd w:val="clear" w:color="auto" w:fill="auto"/>
            <w:vAlign w:val="center"/>
          </w:tcPr>
          <w:p>
            <w:pPr>
              <w:pStyle w:val="41"/>
              <w:rPr>
                <w:color w:val="auto"/>
                <w:kern w:val="2"/>
                <w:sz w:val="21"/>
                <w:szCs w:val="21"/>
                <w:highlight w:val="none"/>
              </w:rPr>
            </w:pPr>
            <w:r>
              <w:rPr>
                <w:rFonts w:hint="eastAsia"/>
                <w:color w:val="auto"/>
                <w:sz w:val="21"/>
                <w:szCs w:val="21"/>
                <w:highlight w:val="none"/>
                <w:lang w:bidi="ar"/>
              </w:rPr>
              <w:t>符合</w:t>
            </w:r>
          </w:p>
        </w:tc>
      </w:tr>
    </w:tbl>
    <w:p>
      <w:pPr>
        <w:pStyle w:val="57"/>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）与《国务院关于印发〈空气质量持续改善行动计划〉的通知》（国发〔2023〕24号）的符合性分析</w:t>
      </w:r>
    </w:p>
    <w:p>
      <w:pPr>
        <w:pStyle w:val="54"/>
        <w:bidi w:val="0"/>
        <w:rPr>
          <w:color w:val="auto"/>
          <w:highlight w:val="none"/>
        </w:rPr>
      </w:pPr>
      <w:r>
        <w:rPr>
          <w:color w:val="auto"/>
          <w:highlight w:val="none"/>
        </w:rPr>
        <w:t>表3.</w:t>
      </w:r>
      <w:r>
        <w:rPr>
          <w:rFonts w:hint="eastAsia"/>
          <w:color w:val="auto"/>
          <w:highlight w:val="none"/>
          <w:lang w:val="en-US" w:eastAsia="zh-CN"/>
        </w:rPr>
        <w:t>4-6</w:t>
      </w:r>
      <w:r>
        <w:rPr>
          <w:color w:val="auto"/>
          <w:highlight w:val="none"/>
        </w:rPr>
        <w:t xml:space="preserve">    与</w:t>
      </w:r>
      <w:r>
        <w:rPr>
          <w:rFonts w:hint="eastAsia"/>
          <w:color w:val="auto"/>
          <w:highlight w:val="none"/>
        </w:rPr>
        <w:t>国发〔2023〕24号文件的符合性分析</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422"/>
        <w:gridCol w:w="2449"/>
        <w:gridCol w:w="9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3070" w:type="pct"/>
            <w:tcBorders>
              <w:tl2br w:val="nil"/>
              <w:tr2bl w:val="nil"/>
            </w:tcBorders>
            <w:vAlign w:val="center"/>
          </w:tcPr>
          <w:p>
            <w:pPr>
              <w:pStyle w:val="41"/>
              <w:rPr>
                <w:color w:val="auto"/>
                <w:highlight w:val="none"/>
              </w:rPr>
            </w:pPr>
            <w:r>
              <w:rPr>
                <w:rFonts w:hint="eastAsia"/>
                <w:color w:val="auto"/>
                <w:highlight w:val="none"/>
              </w:rPr>
              <w:t>文件</w:t>
            </w:r>
            <w:r>
              <w:rPr>
                <w:color w:val="auto"/>
                <w:highlight w:val="none"/>
              </w:rPr>
              <w:t>要求</w:t>
            </w:r>
          </w:p>
        </w:tc>
        <w:tc>
          <w:tcPr>
            <w:tcW w:w="1387" w:type="pct"/>
            <w:tcBorders>
              <w:tl2br w:val="nil"/>
              <w:tr2bl w:val="nil"/>
            </w:tcBorders>
            <w:vAlign w:val="center"/>
          </w:tcPr>
          <w:p>
            <w:pPr>
              <w:pStyle w:val="41"/>
              <w:rPr>
                <w:color w:val="auto"/>
                <w:highlight w:val="none"/>
              </w:rPr>
            </w:pPr>
            <w:r>
              <w:rPr>
                <w:rFonts w:hint="eastAsia"/>
                <w:color w:val="auto"/>
                <w:highlight w:val="none"/>
              </w:rPr>
              <w:t>本工程</w:t>
            </w:r>
          </w:p>
        </w:tc>
        <w:tc>
          <w:tcPr>
            <w:tcW w:w="542" w:type="pct"/>
            <w:tcBorders>
              <w:tl2br w:val="nil"/>
              <w:tr2bl w:val="nil"/>
            </w:tcBorders>
            <w:vAlign w:val="center"/>
          </w:tcPr>
          <w:p>
            <w:pPr>
              <w:pStyle w:val="41"/>
              <w:rPr>
                <w:color w:val="auto"/>
                <w:highlight w:val="none"/>
              </w:rPr>
            </w:pPr>
            <w:r>
              <w:rPr>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重点区域有京津冀及周边地区、长三角地区、汾渭平原</w:t>
            </w:r>
          </w:p>
        </w:tc>
        <w:tc>
          <w:tcPr>
            <w:tcW w:w="1387" w:type="pct"/>
            <w:tcBorders>
              <w:tl2br w:val="nil"/>
              <w:tr2bl w:val="nil"/>
            </w:tcBorders>
            <w:vAlign w:val="center"/>
          </w:tcPr>
          <w:p>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本工程地处克拉玛依市</w:t>
            </w:r>
            <w:r>
              <w:rPr>
                <w:rFonts w:hint="eastAsia" w:ascii="Times New Roman" w:hAnsi="Times New Roman" w:eastAsia="宋体" w:cs="Times New Roman"/>
                <w:color w:val="auto"/>
                <w:highlight w:val="none"/>
                <w:lang w:val="en-US" w:eastAsia="zh-CN"/>
              </w:rPr>
              <w:t>乌尔禾区、</w:t>
            </w:r>
            <w:r>
              <w:rPr>
                <w:rFonts w:hint="default" w:ascii="Times New Roman" w:hAnsi="Times New Roman" w:eastAsia="宋体" w:cs="Times New Roman"/>
                <w:color w:val="auto"/>
                <w:highlight w:val="none"/>
                <w:lang w:eastAsia="zh-CN"/>
              </w:rPr>
              <w:t>塔城地区和布克赛尔蒙古自治县</w:t>
            </w:r>
            <w:r>
              <w:rPr>
                <w:rFonts w:hint="eastAsia" w:ascii="Times New Roman" w:hAnsi="Times New Roman" w:eastAsia="宋体" w:cs="Times New Roman"/>
                <w:color w:val="auto"/>
                <w:highlight w:val="none"/>
                <w:lang w:val="en-US" w:eastAsia="zh-CN"/>
              </w:rPr>
              <w:t>和</w:t>
            </w:r>
            <w:r>
              <w:rPr>
                <w:rFonts w:hint="eastAsia" w:ascii="Times New Roman" w:hAnsi="Times New Roman" w:eastAsia="宋体" w:cs="Times New Roman"/>
                <w:color w:val="auto"/>
                <w:highlight w:val="none"/>
                <w:lang w:eastAsia="zh-CN"/>
              </w:rPr>
              <w:t>新疆生产建设兵团第</w:t>
            </w:r>
            <w:r>
              <w:rPr>
                <w:rFonts w:hint="eastAsia" w:ascii="Times New Roman" w:hAnsi="Times New Roman" w:eastAsia="宋体" w:cs="Times New Roman"/>
                <w:color w:val="auto"/>
                <w:highlight w:val="none"/>
                <w:lang w:val="en-US" w:eastAsia="zh-CN"/>
              </w:rPr>
              <w:t>七</w:t>
            </w:r>
            <w:r>
              <w:rPr>
                <w:rFonts w:hint="eastAsia" w:ascii="Times New Roman" w:hAnsi="Times New Roman" w:eastAsia="宋体" w:cs="Times New Roman"/>
                <w:color w:val="auto"/>
                <w:highlight w:val="none"/>
                <w:lang w:eastAsia="zh-CN"/>
              </w:rPr>
              <w:t>师</w:t>
            </w:r>
            <w:r>
              <w:rPr>
                <w:rFonts w:hint="eastAsia" w:ascii="Times New Roman" w:hAnsi="Times New Roman" w:eastAsia="宋体" w:cs="Times New Roman"/>
                <w:color w:val="auto"/>
                <w:highlight w:val="none"/>
                <w:lang w:val="en-US" w:eastAsia="zh-CN"/>
              </w:rPr>
              <w:t>胡杨河市</w:t>
            </w:r>
            <w:r>
              <w:rPr>
                <w:rFonts w:hint="eastAsia" w:ascii="Times New Roman" w:hAnsi="Times New Roman" w:eastAsia="宋体" w:cs="Times New Roman"/>
                <w:color w:val="auto"/>
                <w:highlight w:val="none"/>
              </w:rPr>
              <w:t>，所在区域不属于重点区域</w:t>
            </w:r>
          </w:p>
        </w:tc>
        <w:tc>
          <w:tcPr>
            <w:tcW w:w="542" w:type="pct"/>
            <w:tcBorders>
              <w:tl2br w:val="nil"/>
              <w:tr2bl w:val="nil"/>
            </w:tcBorders>
            <w:vAlign w:val="center"/>
          </w:tcPr>
          <w:p>
            <w:pPr>
              <w:pStyle w:val="41"/>
              <w:rPr>
                <w:color w:val="auto"/>
                <w:highlight w:val="none"/>
              </w:rPr>
            </w:pPr>
            <w:r>
              <w:rPr>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pPr>
              <w:pStyle w:val="41"/>
              <w:rPr>
                <w:color w:val="auto"/>
                <w:highlight w:val="none"/>
              </w:rPr>
            </w:pPr>
            <w:r>
              <w:rPr>
                <w:rFonts w:hint="eastAsia"/>
                <w:color w:val="auto"/>
                <w:highlight w:val="none"/>
              </w:rPr>
              <w:t>坚决遏制高耗能、高排放、低水平项目盲目上马；加快退出重点行业落后产能；全面开展传统产业集群升级改造；优化含VOCs原辅材料和产品结构；推动绿色环保产业健康发展</w:t>
            </w:r>
          </w:p>
        </w:tc>
        <w:tc>
          <w:tcPr>
            <w:tcW w:w="1387" w:type="pct"/>
            <w:tcBorders>
              <w:tl2br w:val="nil"/>
              <w:tr2bl w:val="nil"/>
            </w:tcBorders>
            <w:vAlign w:val="center"/>
          </w:tcPr>
          <w:p>
            <w:pPr>
              <w:pStyle w:val="41"/>
              <w:rPr>
                <w:color w:val="auto"/>
                <w:highlight w:val="none"/>
              </w:rPr>
            </w:pPr>
            <w:r>
              <w:rPr>
                <w:rFonts w:hint="eastAsia"/>
                <w:color w:val="auto"/>
                <w:highlight w:val="none"/>
              </w:rPr>
              <w:t>本工程为</w:t>
            </w:r>
            <w:r>
              <w:rPr>
                <w:rFonts w:hint="eastAsia"/>
                <w:color w:val="auto"/>
                <w:highlight w:val="none"/>
                <w:lang w:val="en-US" w:eastAsia="zh-CN"/>
              </w:rPr>
              <w:t>页岩</w:t>
            </w:r>
            <w:r>
              <w:rPr>
                <w:rFonts w:hint="eastAsia"/>
                <w:color w:val="auto"/>
                <w:highlight w:val="none"/>
              </w:rPr>
              <w:t>油开采项目，属于国家“鼓励类”项目，不在“三高”行业之列</w:t>
            </w:r>
          </w:p>
        </w:tc>
        <w:tc>
          <w:tcPr>
            <w:tcW w:w="542" w:type="pct"/>
            <w:tcBorders>
              <w:tl2br w:val="nil"/>
              <w:tr2bl w:val="nil"/>
            </w:tcBorders>
            <w:vAlign w:val="center"/>
          </w:tcPr>
          <w:p>
            <w:pPr>
              <w:pStyle w:val="41"/>
              <w:rPr>
                <w:color w:val="auto"/>
                <w:highlight w:val="none"/>
              </w:rPr>
            </w:pPr>
            <w:r>
              <w:rPr>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pPr>
              <w:pStyle w:val="41"/>
              <w:rPr>
                <w:color w:val="auto"/>
                <w:highlight w:val="none"/>
              </w:rPr>
            </w:pPr>
            <w:r>
              <w:rPr>
                <w:rFonts w:hint="eastAsia"/>
                <w:color w:val="auto"/>
                <w:highlight w:val="none"/>
              </w:rPr>
              <w:t>大力发展新能源和清洁能源；严格合理控制煤炭消费总量；积极开展燃煤锅炉关停整合；实施工业炉窑清洁能源替代；持续推进北方地区清洁取暖</w:t>
            </w:r>
          </w:p>
        </w:tc>
        <w:tc>
          <w:tcPr>
            <w:tcW w:w="1387" w:type="pct"/>
            <w:tcBorders>
              <w:tl2br w:val="nil"/>
              <w:tr2bl w:val="nil"/>
            </w:tcBorders>
            <w:vAlign w:val="center"/>
          </w:tcPr>
          <w:p>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拟建工程采用密闭集输工艺</w:t>
            </w:r>
          </w:p>
        </w:tc>
        <w:tc>
          <w:tcPr>
            <w:tcW w:w="542" w:type="pct"/>
            <w:tcBorders>
              <w:tl2br w:val="nil"/>
              <w:tr2bl w:val="nil"/>
            </w:tcBorders>
            <w:vAlign w:val="center"/>
          </w:tcPr>
          <w:p>
            <w:pPr>
              <w:pStyle w:val="41"/>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pPr>
              <w:pStyle w:val="41"/>
              <w:rPr>
                <w:color w:val="auto"/>
                <w:highlight w:val="none"/>
              </w:rPr>
            </w:pPr>
            <w:r>
              <w:rPr>
                <w:rFonts w:hint="eastAsia"/>
                <w:color w:val="auto"/>
                <w:highlight w:val="none"/>
              </w:rPr>
              <w:t>强化VOCs全流程、全环节综合治理。鼓励储罐使用低泄漏的呼吸阀、紧急泄压阀，定期开展密封性检测。汽车罐车推广使用密封式快速接头。污水处理场所高浓度有机废气要单独收集处理；含VOCs有机废水储罐、装置区集水井（池）有机废气要密闭收集处理。重点区域石化、化工行业集中的城市和重点工业园区，2024年年底前建立统一的泄漏检测与修复信息管理平台。企业开停工、检维修期间，及时收集处理退料、清洗、吹扫等作业产生的VOCs废气。企业不得将火炬燃烧装置作为日常废气处理设施</w:t>
            </w:r>
          </w:p>
        </w:tc>
        <w:tc>
          <w:tcPr>
            <w:tcW w:w="1387" w:type="pct"/>
            <w:tcBorders>
              <w:tl2br w:val="nil"/>
              <w:tr2bl w:val="nil"/>
            </w:tcBorders>
            <w:vAlign w:val="center"/>
          </w:tcPr>
          <w:p>
            <w:pPr>
              <w:pStyle w:val="41"/>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建设单位在运营期须加强VOCs泄漏检测，定期对油气生产设施开展密封性检测；</w:t>
            </w:r>
          </w:p>
        </w:tc>
        <w:tc>
          <w:tcPr>
            <w:tcW w:w="542" w:type="pct"/>
            <w:tcBorders>
              <w:tl2br w:val="nil"/>
              <w:tr2bl w:val="nil"/>
            </w:tcBorders>
            <w:vAlign w:val="center"/>
          </w:tcPr>
          <w:p>
            <w:pPr>
              <w:pStyle w:val="41"/>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pPr>
              <w:pStyle w:val="41"/>
              <w:rPr>
                <w:color w:val="auto"/>
                <w:highlight w:val="none"/>
              </w:rPr>
            </w:pPr>
            <w:r>
              <w:rPr>
                <w:rFonts w:hint="eastAsia"/>
                <w:color w:val="auto"/>
                <w:highlight w:val="none"/>
              </w:rPr>
              <w:t>推进重点行业污染深度治理。高质量推进钢铁、水泥、焦化等重点行业及燃煤锅炉超低排放改造。到2025年，全国80%以上的钢铁产能完成超低排放改造任务；重点区域全部实现钢铁行业超低排放，基本完成燃煤锅炉超低排放改造；推进燃气锅炉低氮燃烧改造。</w:t>
            </w:r>
          </w:p>
        </w:tc>
        <w:tc>
          <w:tcPr>
            <w:tcW w:w="1387" w:type="pct"/>
            <w:tcBorders>
              <w:tl2br w:val="nil"/>
              <w:tr2bl w:val="nil"/>
            </w:tcBorders>
            <w:vAlign w:val="center"/>
          </w:tcPr>
          <w:p>
            <w:pPr>
              <w:pStyle w:val="41"/>
              <w:rPr>
                <w:color w:val="auto"/>
                <w:highlight w:val="none"/>
              </w:rPr>
            </w:pPr>
            <w:r>
              <w:rPr>
                <w:rFonts w:hint="eastAsia"/>
                <w:color w:val="auto"/>
                <w:highlight w:val="none"/>
              </w:rPr>
              <w:t>本工程不涉及</w:t>
            </w:r>
          </w:p>
        </w:tc>
        <w:tc>
          <w:tcPr>
            <w:tcW w:w="542" w:type="pct"/>
            <w:tcBorders>
              <w:tl2br w:val="nil"/>
              <w:tr2bl w:val="nil"/>
            </w:tcBorders>
            <w:vAlign w:val="center"/>
          </w:tcPr>
          <w:p>
            <w:pPr>
              <w:pStyle w:val="41"/>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pPr>
              <w:pStyle w:val="41"/>
              <w:rPr>
                <w:color w:val="auto"/>
                <w:highlight w:val="none"/>
              </w:rPr>
            </w:pPr>
            <w:r>
              <w:rPr>
                <w:rFonts w:hint="eastAsia"/>
                <w:color w:val="auto"/>
                <w:highlight w:val="none"/>
              </w:rPr>
              <w:t>开展餐饮油烟、恶臭异味专项治理；稳步推进大气污染防控</w:t>
            </w:r>
          </w:p>
        </w:tc>
        <w:tc>
          <w:tcPr>
            <w:tcW w:w="1387" w:type="pct"/>
            <w:tcBorders>
              <w:tl2br w:val="nil"/>
              <w:tr2bl w:val="nil"/>
            </w:tcBorders>
            <w:vAlign w:val="center"/>
          </w:tcPr>
          <w:p>
            <w:pPr>
              <w:pStyle w:val="41"/>
              <w:rPr>
                <w:color w:val="auto"/>
                <w:highlight w:val="none"/>
              </w:rPr>
            </w:pPr>
            <w:r>
              <w:rPr>
                <w:rFonts w:hint="eastAsia"/>
                <w:color w:val="auto"/>
                <w:highlight w:val="none"/>
              </w:rPr>
              <w:t>不涉及</w:t>
            </w:r>
          </w:p>
        </w:tc>
        <w:tc>
          <w:tcPr>
            <w:tcW w:w="542" w:type="pct"/>
            <w:tcBorders>
              <w:tl2br w:val="nil"/>
              <w:tr2bl w:val="nil"/>
            </w:tcBorders>
            <w:vAlign w:val="center"/>
          </w:tcPr>
          <w:p>
            <w:pPr>
              <w:pStyle w:val="41"/>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070" w:type="pct"/>
            <w:tcBorders>
              <w:tl2br w:val="nil"/>
              <w:tr2bl w:val="nil"/>
            </w:tcBorders>
            <w:vAlign w:val="center"/>
          </w:tcPr>
          <w:p>
            <w:pPr>
              <w:pStyle w:val="41"/>
              <w:rPr>
                <w:color w:val="auto"/>
                <w:highlight w:val="none"/>
              </w:rPr>
            </w:pPr>
            <w:r>
              <w:rPr>
                <w:rFonts w:hint="eastAsia"/>
                <w:color w:val="auto"/>
                <w:highlight w:val="none"/>
              </w:rPr>
              <w:t>完善区域大气污染防治协作机制。国家统筹推进京津冀及周边地区大气污染联防联控工作，继续发挥长三角地区协作机制、汾渭平原协作机制作用。国家加强对成渝地区、长江中游城市群、东北地区、天山北坡城市群等区域大气污染防治协作的指导，将粤港澳大湾区作为空气质量改善先行示范区。各省级政府加强本行政区域内联防联控。鼓励省际交界地区市县积极开展联防联控，推动联合交叉执法。对省界两侧20公里内的涉气重点行业新建项目，以及对下风向空气质量影响大的新建高架源项目，有关省份要开展环评一致性会商</w:t>
            </w:r>
          </w:p>
        </w:tc>
        <w:tc>
          <w:tcPr>
            <w:tcW w:w="1387" w:type="pct"/>
            <w:tcBorders>
              <w:tl2br w:val="nil"/>
              <w:tr2bl w:val="nil"/>
            </w:tcBorders>
            <w:vAlign w:val="center"/>
          </w:tcPr>
          <w:p>
            <w:pPr>
              <w:pStyle w:val="41"/>
              <w:rPr>
                <w:color w:val="auto"/>
                <w:highlight w:val="none"/>
              </w:rPr>
            </w:pPr>
            <w:r>
              <w:rPr>
                <w:rFonts w:hint="eastAsia"/>
                <w:color w:val="auto"/>
                <w:highlight w:val="none"/>
              </w:rPr>
              <w:t>本工程所在区域不属于“联防联控区”</w:t>
            </w:r>
          </w:p>
        </w:tc>
        <w:tc>
          <w:tcPr>
            <w:tcW w:w="542" w:type="pct"/>
            <w:tcBorders>
              <w:tl2br w:val="nil"/>
              <w:tr2bl w:val="nil"/>
            </w:tcBorders>
            <w:vAlign w:val="center"/>
          </w:tcPr>
          <w:p>
            <w:pPr>
              <w:pStyle w:val="41"/>
              <w:rPr>
                <w:color w:val="auto"/>
                <w:highlight w:val="none"/>
              </w:rPr>
            </w:pPr>
            <w:r>
              <w:rPr>
                <w:rFonts w:hint="eastAsia"/>
                <w:color w:val="auto"/>
                <w:highlight w:val="none"/>
              </w:rPr>
              <w:t>符合</w:t>
            </w:r>
          </w:p>
        </w:tc>
      </w:tr>
    </w:tbl>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综上，本工程建设符合《国务院关于印发〈空气质量持续改善行动计划〉的通知》（国发〔2023〕24号）相关要求。</w:t>
      </w:r>
    </w:p>
    <w:p>
      <w:pPr>
        <w:pStyle w:val="5"/>
        <w:pageBreakBefore w:val="0"/>
        <w:kinsoku/>
        <w:wordWrap/>
        <w:overflowPunct/>
        <w:topLinePunct w:val="0"/>
        <w:autoSpaceDE/>
        <w:autoSpaceDN/>
        <w:bidi w:val="0"/>
        <w:spacing w:line="480" w:lineRule="exact"/>
        <w:rPr>
          <w:color w:val="auto"/>
          <w:highlight w:val="none"/>
        </w:rPr>
      </w:pPr>
      <w:r>
        <w:rPr>
          <w:rFonts w:hint="eastAsia"/>
          <w:color w:val="auto"/>
          <w:highlight w:val="none"/>
        </w:rPr>
        <w:t>3.</w:t>
      </w:r>
      <w:r>
        <w:rPr>
          <w:rFonts w:hint="eastAsia"/>
          <w:color w:val="auto"/>
          <w:highlight w:val="none"/>
          <w:lang w:val="en-US" w:eastAsia="zh-CN"/>
        </w:rPr>
        <w:t>4</w:t>
      </w:r>
      <w:r>
        <w:rPr>
          <w:rFonts w:hint="eastAsia"/>
          <w:color w:val="auto"/>
          <w:highlight w:val="none"/>
        </w:rPr>
        <w:t>.2.3相关规范符合性分析</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（1）与《陆上石油天然气开采业绿色矿山建设规范》（DZ/T 0317-2018）的符合性分析</w:t>
      </w:r>
    </w:p>
    <w:p>
      <w:pPr>
        <w:pStyle w:val="54"/>
        <w:pageBreakBefore w:val="0"/>
        <w:kinsoku/>
        <w:wordWrap/>
        <w:overflowPunct/>
        <w:topLinePunct w:val="0"/>
        <w:autoSpaceDE/>
        <w:autoSpaceDN/>
        <w:bidi w:val="0"/>
        <w:spacing w:line="480" w:lineRule="exact"/>
        <w:ind w:left="0" w:leftChars="0" w:firstLine="0" w:firstLineChars="0"/>
        <w:jc w:val="both"/>
        <w:rPr>
          <w:color w:val="auto"/>
          <w:highlight w:val="none"/>
        </w:rPr>
      </w:pPr>
      <w:r>
        <w:rPr>
          <w:color w:val="auto"/>
          <w:highlight w:val="none"/>
        </w:rPr>
        <w:t>表3.</w:t>
      </w:r>
      <w:r>
        <w:rPr>
          <w:rFonts w:hint="eastAsia"/>
          <w:color w:val="auto"/>
          <w:highlight w:val="none"/>
          <w:lang w:val="en-US" w:eastAsia="zh-CN"/>
        </w:rPr>
        <w:t>4</w:t>
      </w:r>
      <w:r>
        <w:rPr>
          <w:rFonts w:hint="eastAsia"/>
          <w:color w:val="auto"/>
          <w:highlight w:val="none"/>
        </w:rPr>
        <w:t>-</w:t>
      </w:r>
      <w:r>
        <w:rPr>
          <w:rFonts w:hint="eastAsia"/>
          <w:color w:val="auto"/>
          <w:highlight w:val="none"/>
          <w:lang w:val="en-US" w:eastAsia="zh-CN"/>
        </w:rPr>
        <w:t>7</w:t>
      </w:r>
      <w:r>
        <w:rPr>
          <w:color w:val="auto"/>
          <w:highlight w:val="none"/>
        </w:rPr>
        <w:t xml:space="preserve">    与</w:t>
      </w:r>
      <w:r>
        <w:rPr>
          <w:rFonts w:hint="eastAsia"/>
          <w:color w:val="auto"/>
          <w:highlight w:val="none"/>
          <w:lang w:val="zh-CN"/>
        </w:rPr>
        <w:t>《陆上石油天然气开采业绿色矿山建设规范》（DZ/T0317-2018）</w:t>
      </w:r>
      <w:r>
        <w:rPr>
          <w:rFonts w:hint="eastAsia"/>
          <w:color w:val="auto"/>
          <w:highlight w:val="none"/>
        </w:rPr>
        <w:t>的符合性分析</w:t>
      </w:r>
    </w:p>
    <w:tbl>
      <w:tblPr>
        <w:tblStyle w:val="34"/>
        <w:tblW w:w="500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19"/>
        <w:gridCol w:w="3854"/>
        <w:gridCol w:w="2751"/>
        <w:gridCol w:w="7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9" w:type="pct"/>
            <w:tcBorders>
              <w:tl2br w:val="nil"/>
              <w:tr2bl w:val="nil"/>
            </w:tcBorders>
            <w:shd w:val="clear" w:color="auto" w:fill="auto"/>
            <w:vAlign w:val="center"/>
          </w:tcPr>
          <w:p>
            <w:pPr>
              <w:pStyle w:val="41"/>
              <w:bidi w:val="0"/>
              <w:rPr>
                <w:color w:val="auto"/>
                <w:highlight w:val="none"/>
                <w:lang w:val="zh-CN"/>
              </w:rPr>
            </w:pPr>
            <w:r>
              <w:rPr>
                <w:rFonts w:hint="eastAsia"/>
                <w:color w:val="auto"/>
                <w:highlight w:val="none"/>
              </w:rPr>
              <w:t>文件名称</w:t>
            </w:r>
          </w:p>
        </w:tc>
        <w:tc>
          <w:tcPr>
            <w:tcW w:w="2218"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文件要求</w:t>
            </w:r>
          </w:p>
        </w:tc>
        <w:tc>
          <w:tcPr>
            <w:tcW w:w="158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拟建工程</w:t>
            </w:r>
          </w:p>
        </w:tc>
        <w:tc>
          <w:tcPr>
            <w:tcW w:w="438"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9" w:type="pct"/>
            <w:vMerge w:val="restart"/>
            <w:tcBorders>
              <w:tl2br w:val="nil"/>
              <w:tr2bl w:val="nil"/>
            </w:tcBorders>
            <w:vAlign w:val="center"/>
          </w:tcPr>
          <w:p>
            <w:pPr>
              <w:pStyle w:val="41"/>
              <w:bidi w:val="0"/>
              <w:rPr>
                <w:color w:val="auto"/>
                <w:highlight w:val="none"/>
              </w:rPr>
            </w:pPr>
            <w:r>
              <w:rPr>
                <w:rFonts w:hint="eastAsia"/>
                <w:color w:val="auto"/>
                <w:highlight w:val="none"/>
                <w:lang w:val="zh-CN"/>
              </w:rPr>
              <w:t>《陆上石油天然气开采业绿色矿山建设规范》（DZ/T0317-2018）</w:t>
            </w:r>
          </w:p>
        </w:tc>
        <w:tc>
          <w:tcPr>
            <w:tcW w:w="2218" w:type="pct"/>
            <w:tcBorders>
              <w:tl2br w:val="nil"/>
              <w:tr2bl w:val="nil"/>
            </w:tcBorders>
            <w:vAlign w:val="center"/>
          </w:tcPr>
          <w:p>
            <w:pPr>
              <w:pStyle w:val="41"/>
              <w:bidi w:val="0"/>
              <w:rPr>
                <w:color w:val="auto"/>
                <w:highlight w:val="none"/>
              </w:rPr>
            </w:pPr>
            <w:r>
              <w:rPr>
                <w:rFonts w:hint="eastAsia"/>
                <w:color w:val="auto"/>
                <w:highlight w:val="none"/>
              </w:rPr>
              <w:t>因矿制宜选择开采工艺和装备，符合清洁生产要求。应贯彻“边开采，边治理，边恢复”的原则，及时治理恢复矿区地质环境，复垦矿区压占和损毁土地</w:t>
            </w:r>
          </w:p>
        </w:tc>
        <w:tc>
          <w:tcPr>
            <w:tcW w:w="1584" w:type="pct"/>
            <w:tcBorders>
              <w:tl2br w:val="nil"/>
              <w:tr2bl w:val="nil"/>
            </w:tcBorders>
            <w:vAlign w:val="center"/>
          </w:tcPr>
          <w:p>
            <w:pPr>
              <w:pStyle w:val="41"/>
              <w:bidi w:val="0"/>
              <w:rPr>
                <w:color w:val="auto"/>
                <w:highlight w:val="none"/>
              </w:rPr>
            </w:pPr>
            <w:r>
              <w:rPr>
                <w:rFonts w:hint="eastAsia"/>
                <w:color w:val="auto"/>
                <w:highlight w:val="none"/>
              </w:rPr>
              <w:t>项目提出施工期结束后，恢复管线临时占地，符合“边开采，边治理，边恢复”的原则</w:t>
            </w:r>
          </w:p>
        </w:tc>
        <w:tc>
          <w:tcPr>
            <w:tcW w:w="438" w:type="pct"/>
            <w:tcBorders>
              <w:tl2br w:val="nil"/>
              <w:tr2bl w:val="nil"/>
            </w:tcBorders>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9" w:type="pct"/>
            <w:vMerge w:val="continue"/>
            <w:tcBorders>
              <w:tl2br w:val="nil"/>
              <w:tr2bl w:val="nil"/>
            </w:tcBorders>
            <w:vAlign w:val="center"/>
          </w:tcPr>
          <w:p>
            <w:pPr>
              <w:pStyle w:val="41"/>
              <w:bidi w:val="0"/>
              <w:rPr>
                <w:color w:val="auto"/>
                <w:highlight w:val="none"/>
                <w:lang w:val="zh-CN"/>
              </w:rPr>
            </w:pPr>
          </w:p>
        </w:tc>
        <w:tc>
          <w:tcPr>
            <w:tcW w:w="2218"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集约节约利用土地资源，土地利用符合用地指标政策。合理确定站址、场址、管网、路网建设占地规模</w:t>
            </w:r>
          </w:p>
        </w:tc>
        <w:tc>
          <w:tcPr>
            <w:tcW w:w="158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项目井场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永久占地和管线临时占地规模均从土地资源节约方面考虑，尽可能缩小占地面积和作业带宽度</w:t>
            </w:r>
          </w:p>
        </w:tc>
        <w:tc>
          <w:tcPr>
            <w:tcW w:w="438"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59" w:type="pct"/>
            <w:vMerge w:val="continue"/>
            <w:tcBorders>
              <w:tl2br w:val="nil"/>
              <w:tr2bl w:val="nil"/>
            </w:tcBorders>
            <w:vAlign w:val="center"/>
          </w:tcPr>
          <w:p>
            <w:pPr>
              <w:pStyle w:val="41"/>
              <w:bidi w:val="0"/>
              <w:rPr>
                <w:color w:val="auto"/>
                <w:highlight w:val="none"/>
                <w:lang w:val="zh-CN"/>
              </w:rPr>
            </w:pPr>
          </w:p>
        </w:tc>
        <w:tc>
          <w:tcPr>
            <w:tcW w:w="2218"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对伴生有C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气体的油气藏，C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气体含量未达到工业综合利用要求的，应采取有效处置方案，未制定C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气体处置方案的油气藏不得开发</w:t>
            </w:r>
          </w:p>
        </w:tc>
        <w:tc>
          <w:tcPr>
            <w:tcW w:w="1584"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丰探1井区气藏中C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含量为</w:t>
            </w:r>
            <w:r>
              <w:rPr>
                <w:rFonts w:hint="eastAsia"/>
                <w:color w:val="auto"/>
                <w:highlight w:val="none"/>
                <w:lang w:val="en-US" w:eastAsia="zh-CN"/>
              </w:rPr>
              <w:t>0.18</w:t>
            </w:r>
            <w:r>
              <w:rPr>
                <w:rFonts w:hint="eastAsia"/>
                <w:color w:val="auto"/>
                <w:highlight w:val="none"/>
              </w:rPr>
              <w:t>%，符合《天然气》</w:t>
            </w:r>
            <w:r>
              <w:rPr>
                <w:rFonts w:hint="eastAsia"/>
                <w:color w:val="auto"/>
                <w:highlight w:val="none"/>
                <w:lang w:eastAsia="zh-CN"/>
              </w:rPr>
              <w:t>（</w:t>
            </w:r>
            <w:r>
              <w:rPr>
                <w:rFonts w:hint="eastAsia"/>
                <w:color w:val="auto"/>
                <w:highlight w:val="none"/>
              </w:rPr>
              <w:t>GB17820-2018</w:t>
            </w:r>
            <w:r>
              <w:rPr>
                <w:rFonts w:hint="eastAsia"/>
                <w:color w:val="auto"/>
                <w:highlight w:val="none"/>
                <w:lang w:eastAsia="zh-CN"/>
              </w:rPr>
              <w:t>）</w:t>
            </w:r>
            <w:r>
              <w:rPr>
                <w:rFonts w:hint="eastAsia"/>
                <w:color w:val="auto"/>
                <w:highlight w:val="none"/>
              </w:rPr>
              <w:t>天然气的质量标准要求</w:t>
            </w:r>
            <w:r>
              <w:rPr>
                <w:rFonts w:hint="eastAsia"/>
                <w:color w:val="auto"/>
                <w:highlight w:val="none"/>
                <w:lang w:eastAsia="zh-CN"/>
              </w:rPr>
              <w:t>（</w:t>
            </w:r>
            <w:r>
              <w:rPr>
                <w:rFonts w:hint="eastAsia"/>
                <w:color w:val="auto"/>
                <w:highlight w:val="none"/>
              </w:rPr>
              <w:t>C</w:t>
            </w:r>
            <w:r>
              <w:rPr>
                <w:rFonts w:hint="eastAsia"/>
                <w:color w:val="auto"/>
                <w:highlight w:val="none"/>
                <w:lang w:val="en-US" w:eastAsia="zh-CN"/>
              </w:rPr>
              <w:t>O</w:t>
            </w:r>
            <w:r>
              <w:rPr>
                <w:rFonts w:hint="eastAsia"/>
                <w:color w:val="auto"/>
                <w:highlight w:val="none"/>
                <w:vertAlign w:val="subscript"/>
              </w:rPr>
              <w:t>2</w:t>
            </w:r>
            <w:r>
              <w:rPr>
                <w:color w:val="auto"/>
                <w:highlight w:val="none"/>
              </w:rPr>
              <w:t>≤</w:t>
            </w:r>
            <w:r>
              <w:rPr>
                <w:rFonts w:hint="eastAsia"/>
                <w:color w:val="auto"/>
                <w:highlight w:val="none"/>
              </w:rPr>
              <w:t>3%</w:t>
            </w:r>
            <w:r>
              <w:rPr>
                <w:rFonts w:hint="eastAsia"/>
                <w:color w:val="auto"/>
                <w:highlight w:val="none"/>
                <w:lang w:eastAsia="zh-CN"/>
              </w:rPr>
              <w:t>）</w:t>
            </w:r>
            <w:r>
              <w:rPr>
                <w:rFonts w:hint="eastAsia"/>
                <w:color w:val="auto"/>
                <w:highlight w:val="none"/>
              </w:rPr>
              <w:t>，C</w:t>
            </w:r>
            <w:r>
              <w:rPr>
                <w:rFonts w:hint="eastAsia"/>
                <w:color w:val="auto"/>
                <w:highlight w:val="none"/>
                <w:lang w:val="en-US" w:eastAsia="zh-CN"/>
              </w:rPr>
              <w:t>O</w:t>
            </w:r>
            <w:r>
              <w:rPr>
                <w:rFonts w:hint="eastAsia"/>
                <w:color w:val="auto"/>
                <w:highlight w:val="none"/>
                <w:vertAlign w:val="subscript"/>
              </w:rPr>
              <w:t>2</w:t>
            </w:r>
            <w:r>
              <w:rPr>
                <w:rFonts w:hint="eastAsia"/>
                <w:color w:val="auto"/>
                <w:highlight w:val="none"/>
              </w:rPr>
              <w:t>随天然气外输</w:t>
            </w:r>
          </w:p>
        </w:tc>
        <w:tc>
          <w:tcPr>
            <w:tcW w:w="438" w:type="pct"/>
            <w:tcBorders>
              <w:tl2br w:val="nil"/>
              <w:tr2bl w:val="nil"/>
            </w:tcBorders>
            <w:shd w:val="clear" w:color="auto" w:fill="auto"/>
            <w:vAlign w:val="center"/>
          </w:tcPr>
          <w:p>
            <w:pPr>
              <w:pStyle w:val="41"/>
              <w:bidi w:val="0"/>
              <w:rPr>
                <w:color w:val="auto"/>
                <w:highlight w:val="none"/>
              </w:rPr>
            </w:pPr>
            <w:r>
              <w:rPr>
                <w:rFonts w:hint="eastAsia"/>
                <w:color w:val="auto"/>
                <w:highlight w:val="none"/>
              </w:rPr>
              <w:t>符合</w:t>
            </w:r>
          </w:p>
        </w:tc>
      </w:tr>
    </w:tbl>
    <w:p>
      <w:pPr>
        <w:pStyle w:val="5"/>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3.</w:t>
      </w:r>
      <w:r>
        <w:rPr>
          <w:rFonts w:hint="eastAsia"/>
          <w:color w:val="auto"/>
          <w:highlight w:val="none"/>
          <w:lang w:val="en-US" w:eastAsia="zh-CN"/>
        </w:rPr>
        <w:t>4</w:t>
      </w:r>
      <w:r>
        <w:rPr>
          <w:rFonts w:hint="eastAsia"/>
          <w:color w:val="auto"/>
          <w:highlight w:val="none"/>
        </w:rPr>
        <w:t>.2.4相关规划符合性分析</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与《全国矿产资源规划》符合性分析</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全国矿产资源规划》第四章第二节指出，“强化东部老油区挖潜，加大中西部油气开发力度，加快海域石油增储上产，力争石油年产量保持在2亿吨左右。东部地区以松辽盆地、渤海湾盆地为重点，加强精细勘探开发，积极发展先进采油技术，增储挖潜，努力减缓老油田产量递减。西部以塔里木、鄂尔多斯、准噶尔等盆地为重点，探明优质资源储量，实现增储稳产、力争上产。做强渤海、拓展南海、加快东海、探索黄海及其他海域，加快海洋石油勘探开发，保持老油田持续稳产，加快新区产能建设，大力提升海域石油产量。”</w:t>
      </w:r>
      <w:r>
        <w:rPr>
          <w:rFonts w:hint="default" w:ascii="Times New Roman" w:hAnsi="Times New Roman" w:eastAsia="宋体" w:cs="Times New Roman"/>
          <w:color w:val="auto"/>
          <w:highlight w:val="none"/>
          <w:lang w:eastAsia="zh-CN"/>
        </w:rPr>
        <w:t>本工程</w:t>
      </w:r>
      <w:r>
        <w:rPr>
          <w:rFonts w:hint="default" w:ascii="Times New Roman" w:hAnsi="Times New Roman" w:eastAsia="宋体" w:cs="Times New Roman"/>
          <w:color w:val="auto"/>
          <w:highlight w:val="none"/>
        </w:rPr>
        <w:t>属于准噶尔</w:t>
      </w:r>
      <w:r>
        <w:rPr>
          <w:rFonts w:hint="eastAsia" w:ascii="Times New Roman" w:hAnsi="Times New Roman" w:eastAsia="宋体" w:cs="Times New Roman"/>
          <w:color w:val="auto"/>
          <w:highlight w:val="none"/>
          <w:lang w:val="en-US" w:eastAsia="zh-CN"/>
        </w:rPr>
        <w:t>盆地</w:t>
      </w:r>
      <w:r>
        <w:rPr>
          <w:rFonts w:hint="default" w:ascii="Times New Roman" w:hAnsi="Times New Roman" w:eastAsia="宋体" w:cs="Times New Roman"/>
          <w:color w:val="auto"/>
          <w:highlight w:val="none"/>
        </w:rPr>
        <w:t>的</w:t>
      </w:r>
      <w:r>
        <w:rPr>
          <w:rFonts w:hint="eastAsia" w:ascii="Times New Roman" w:hAnsi="Times New Roman" w:eastAsia="宋体" w:cs="Times New Roman"/>
          <w:color w:val="auto"/>
          <w:highlight w:val="none"/>
          <w:lang w:val="en-US" w:eastAsia="zh-CN"/>
        </w:rPr>
        <w:t>原油</w:t>
      </w:r>
      <w:r>
        <w:rPr>
          <w:rFonts w:hint="default" w:ascii="Times New Roman" w:hAnsi="Times New Roman" w:eastAsia="宋体" w:cs="Times New Roman"/>
          <w:color w:val="auto"/>
          <w:highlight w:val="none"/>
        </w:rPr>
        <w:t>开采项目，符合《全国矿产资源规划》要求。</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与《新疆维吾尔自治区国民经济和社会发展第十四个五年规划和2035年远景目标纲要》符合性分析</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新疆维吾尔自治区国民经济和社会发展第十四个五年规划和2035年远景目标纲要》提出，坚持把发展经济着力点放在实体经济上，深化工业供给侧结构性改革，推动工业强基增效和转型升级，全面提升新型工业化发展水平。建设国家大型油气生产加工和储备基地。加大准噶尔、吐哈、塔里木三大盆地油气勘探开发力度，提高新疆在油气资源开发利用转化过程中的参与度。加快中石油玛湖、吉木萨尔、准噶尔盆地南缘以及中石化顺北等大型</w:t>
      </w:r>
      <w:r>
        <w:rPr>
          <w:rFonts w:hint="eastAsia" w:ascii="Times New Roman" w:hAnsi="Times New Roman" w:eastAsia="宋体" w:cs="Times New Roman"/>
          <w:color w:val="auto"/>
          <w:highlight w:val="none"/>
          <w:lang w:eastAsia="zh-CN"/>
        </w:rPr>
        <w:t>油田</w:t>
      </w:r>
      <w:r>
        <w:rPr>
          <w:rFonts w:hint="default" w:ascii="Times New Roman" w:hAnsi="Times New Roman" w:eastAsia="宋体" w:cs="Times New Roman"/>
          <w:color w:val="auto"/>
          <w:highlight w:val="none"/>
          <w:lang w:eastAsia="zh-CN"/>
        </w:rPr>
        <w:t>建设，促进油气增储上产。加强成品油储备，提升油气供应保障能力。</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本工程位于准噶尔盆地油气基地，符合《自治区国民经济和社会发展第十四个五年规划纲要》的要求。</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与《新疆维吾尔自治区主体功能区规划》符合性分析</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新疆维吾尔自治区主体功能区规划》以《全国主体功能区规划》为依据，结合新疆实际编制的第一个国土空间开发规划，是战略性、基础性、约束性的规划。该规划将新疆国土空间分为重点开发区域、限制开发区域和禁止开发区域三类主体功能区，按层级分为国家和省级两个层面。重点开发区域是指有一定经济基础，资源环境承载能力较强，发展潜力较大，集聚人口和经济条件较好，从而应该重点进行工业化城镇化开发的城市化地区，主要包括天山南北坡城市或城区以及县市城关镇或重要工业园区，共涉及59个县市。限制开发区域是指关系国家农产品供给安全和生态安全，不应该或不适宜进行大规模、高强度工业化城镇化开发的农产品主产区和重点生态功能区。其中农产品主产区分布在天山南北坡23个县市，重点生态功能区涉及53个县市。禁止开发区域是指依法设立的各级各类自然文化资源保护区域，以及其他禁止进行工业化城镇化开发、需要特殊保护的重点生态功能区，国家和自治区层面禁止开发区域共107处。</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本工程属于</w:t>
      </w:r>
      <w:r>
        <w:rPr>
          <w:rFonts w:hint="eastAsia" w:ascii="Times New Roman" w:hAnsi="Times New Roman" w:eastAsia="宋体" w:cs="Times New Roman"/>
          <w:color w:val="auto"/>
          <w:highlight w:val="none"/>
          <w:lang w:val="en-US" w:eastAsia="zh-CN"/>
        </w:rPr>
        <w:t>页岩油</w:t>
      </w:r>
      <w:r>
        <w:rPr>
          <w:rFonts w:hint="default" w:ascii="Times New Roman" w:hAnsi="Times New Roman" w:eastAsia="宋体" w:cs="Times New Roman"/>
          <w:color w:val="auto"/>
          <w:highlight w:val="none"/>
          <w:lang w:eastAsia="zh-CN"/>
        </w:rPr>
        <w:t>开采项目，属于</w:t>
      </w:r>
      <w:r>
        <w:rPr>
          <w:rFonts w:hint="eastAsia" w:ascii="Times New Roman" w:hAnsi="Times New Roman" w:eastAsia="宋体" w:cs="Times New Roman"/>
          <w:color w:val="auto"/>
          <w:highlight w:val="none"/>
          <w:lang w:val="en-US" w:eastAsia="zh-CN"/>
        </w:rPr>
        <w:t>风城油田作业区</w:t>
      </w:r>
      <w:r>
        <w:rPr>
          <w:rFonts w:hint="default" w:ascii="Times New Roman" w:hAnsi="Times New Roman" w:eastAsia="宋体" w:cs="Times New Roman"/>
          <w:color w:val="auto"/>
          <w:highlight w:val="none"/>
          <w:lang w:eastAsia="zh-CN"/>
        </w:rPr>
        <w:t>管辖</w:t>
      </w:r>
      <w:r>
        <w:rPr>
          <w:rFonts w:hint="default" w:ascii="Times New Roman" w:hAnsi="Times New Roman" w:eastAsia="宋体" w:cs="Times New Roman"/>
          <w:color w:val="auto"/>
          <w:highlight w:val="none"/>
          <w:lang w:val="zh-CN" w:eastAsia="zh-CN"/>
        </w:rPr>
        <w:t>，</w:t>
      </w:r>
      <w:r>
        <w:rPr>
          <w:rFonts w:hint="default" w:ascii="Times New Roman" w:hAnsi="Times New Roman" w:eastAsia="宋体" w:cs="Times New Roman"/>
          <w:color w:val="auto"/>
          <w:highlight w:val="none"/>
          <w:lang w:eastAsia="zh-CN"/>
        </w:rPr>
        <w:t>行政区隶属</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default" w:ascii="Times New Roman" w:hAnsi="Times New Roman" w:eastAsia="宋体" w:cs="Times New Roman"/>
          <w:color w:val="auto"/>
          <w:highlight w:val="none"/>
          <w:lang w:eastAsia="zh-CN"/>
        </w:rPr>
        <w:t>管辖</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项目区位于</w:t>
      </w:r>
      <w:r>
        <w:rPr>
          <w:rFonts w:hint="default" w:ascii="Times New Roman" w:hAnsi="Times New Roman" w:eastAsia="宋体" w:cs="Times New Roman"/>
          <w:color w:val="auto"/>
          <w:highlight w:val="none"/>
          <w:lang w:eastAsia="zh-CN"/>
        </w:rPr>
        <w:t>《新疆维吾尔自治区主体功能区规划》中的重点开发区，功能定位是：我国面向中亚、西亚地区对外开放的陆路交通枢纽和重要门户，全国重要的能源基地，我国进口资源的国际大通道，西北地区重要的国际商贸中心、物流中心和对外合作加工基地，石油天然气化工、煤电、煤化工、机电工业及纺织工业基地。本</w:t>
      </w:r>
      <w:r>
        <w:rPr>
          <w:rFonts w:hint="eastAsia" w:ascii="Times New Roman" w:hAnsi="Times New Roman" w:eastAsia="宋体" w:cs="Times New Roman"/>
          <w:color w:val="auto"/>
          <w:highlight w:val="none"/>
          <w:lang w:val="en-US" w:eastAsia="zh-CN"/>
        </w:rPr>
        <w:t>工程</w:t>
      </w:r>
      <w:r>
        <w:rPr>
          <w:rFonts w:hint="default" w:ascii="Times New Roman" w:hAnsi="Times New Roman" w:eastAsia="宋体" w:cs="Times New Roman"/>
          <w:color w:val="auto"/>
          <w:highlight w:val="none"/>
          <w:lang w:eastAsia="zh-CN"/>
        </w:rPr>
        <w:t>为油气开采项目，符合要求。</w:t>
      </w:r>
    </w:p>
    <w:p>
      <w:pPr>
        <w:pStyle w:val="57"/>
        <w:keepNext w:val="0"/>
        <w:keepLines w:val="0"/>
        <w:pageBreakBefore w:val="0"/>
        <w:widowControl/>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与《新疆生态环境保护“十四五”规划》符合性分析</w:t>
      </w:r>
    </w:p>
    <w:p>
      <w:pPr>
        <w:pStyle w:val="57"/>
        <w:keepNext w:val="0"/>
        <w:keepLines w:val="0"/>
        <w:pageBreakBefore w:val="0"/>
        <w:widowControl/>
        <w:kinsoku/>
        <w:wordWrap/>
        <w:overflowPunct/>
        <w:topLinePunct w:val="0"/>
        <w:autoSpaceDE/>
        <w:autoSpaceDN/>
        <w:bidi w:val="0"/>
        <w:adjustRightInd/>
        <w:snapToGrid/>
        <w:spacing w:line="48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eastAsia="zh-CN"/>
        </w:rPr>
        <w:t>本工程运营期采取的各项环保措施与《新疆生态环境保护“十四五”规划》中要求的相符性分析详见表3.</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lang w:eastAsia="zh-CN"/>
        </w:rPr>
        <w:t>。</w:t>
      </w:r>
    </w:p>
    <w:p>
      <w:pPr>
        <w:pStyle w:val="10"/>
        <w:keepNext w:val="0"/>
        <w:keepLines w:val="0"/>
        <w:pageBreakBefore w:val="0"/>
        <w:widowControl/>
        <w:kinsoku/>
        <w:wordWrap/>
        <w:overflowPunct/>
        <w:topLinePunct w:val="0"/>
        <w:autoSpaceDE/>
        <w:autoSpaceDN/>
        <w:bidi w:val="0"/>
        <w:adjustRightInd/>
        <w:snapToGrid/>
        <w:spacing w:line="480" w:lineRule="exact"/>
        <w:ind w:left="0" w:leftChars="0" w:firstLine="0" w:firstLineChars="0"/>
        <w:jc w:val="center"/>
        <w:textAlignment w:val="auto"/>
        <w:rPr>
          <w:rFonts w:hint="default" w:ascii="Times New Roman" w:hAnsi="Times New Roman" w:cs="Times New Roman"/>
          <w:color w:val="auto"/>
          <w:highlight w:val="none"/>
          <w:shd w:val="clear" w:color="auto" w:fill="auto"/>
          <w:lang w:val="en-US" w:eastAsia="zh-CN"/>
        </w:rPr>
      </w:pPr>
      <w:r>
        <w:rPr>
          <w:rFonts w:hint="default" w:ascii="Times New Roman" w:hAnsi="Times New Roman" w:eastAsia="黑体" w:cs="Times New Roman"/>
          <w:b/>
          <w:color w:val="auto"/>
          <w:kern w:val="0"/>
          <w:sz w:val="21"/>
          <w:szCs w:val="21"/>
          <w:highlight w:val="none"/>
          <w:shd w:val="clear" w:color="auto" w:fill="auto"/>
          <w:lang w:val="en-US" w:eastAsia="zh-CN" w:bidi="ar-SA"/>
        </w:rPr>
        <w:t>表3.</w:t>
      </w:r>
      <w:r>
        <w:rPr>
          <w:rFonts w:hint="eastAsia" w:ascii="Times New Roman" w:hAnsi="Times New Roman" w:cs="Times New Roman"/>
          <w:b/>
          <w:color w:val="auto"/>
          <w:kern w:val="0"/>
          <w:sz w:val="21"/>
          <w:szCs w:val="21"/>
          <w:highlight w:val="none"/>
          <w:shd w:val="clear" w:color="auto" w:fill="auto"/>
          <w:lang w:val="en-US" w:eastAsia="zh-CN" w:bidi="ar-SA"/>
        </w:rPr>
        <w:t>4</w:t>
      </w:r>
      <w:r>
        <w:rPr>
          <w:rFonts w:hint="default" w:ascii="Times New Roman" w:hAnsi="Times New Roman" w:eastAsia="黑体" w:cs="Times New Roman"/>
          <w:b/>
          <w:color w:val="auto"/>
          <w:kern w:val="0"/>
          <w:sz w:val="21"/>
          <w:szCs w:val="21"/>
          <w:highlight w:val="none"/>
          <w:shd w:val="clear" w:color="auto" w:fill="auto"/>
          <w:lang w:val="en-US" w:eastAsia="zh-CN" w:bidi="ar-SA"/>
        </w:rPr>
        <w:t>-</w:t>
      </w:r>
      <w:r>
        <w:rPr>
          <w:rFonts w:hint="eastAsia" w:ascii="Times New Roman" w:hAnsi="Times New Roman" w:cs="Times New Roman"/>
          <w:b/>
          <w:color w:val="auto"/>
          <w:kern w:val="0"/>
          <w:sz w:val="21"/>
          <w:szCs w:val="21"/>
          <w:highlight w:val="none"/>
          <w:shd w:val="clear" w:color="auto" w:fill="auto"/>
          <w:lang w:val="en-US" w:eastAsia="zh-CN" w:bidi="ar-SA"/>
        </w:rPr>
        <w:t>8</w:t>
      </w:r>
      <w:r>
        <w:rPr>
          <w:rFonts w:hint="default" w:ascii="Times New Roman" w:hAnsi="Times New Roman" w:eastAsia="黑体" w:cs="Times New Roman"/>
          <w:b/>
          <w:color w:val="auto"/>
          <w:kern w:val="0"/>
          <w:sz w:val="21"/>
          <w:szCs w:val="21"/>
          <w:highlight w:val="none"/>
          <w:shd w:val="clear" w:color="auto" w:fill="auto"/>
          <w:lang w:val="en-US" w:eastAsia="zh-CN" w:bidi="ar-SA"/>
        </w:rPr>
        <w:t>与《新疆生态环境保护“十四五”规划》符合性分析</w:t>
      </w:r>
    </w:p>
    <w:tbl>
      <w:tblPr>
        <w:tblStyle w:val="34"/>
        <w:tblW w:w="86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47"/>
        <w:gridCol w:w="4218"/>
        <w:gridCol w:w="3054"/>
        <w:gridCol w:w="7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序号</w:t>
            </w:r>
          </w:p>
        </w:tc>
        <w:tc>
          <w:tcPr>
            <w:tcW w:w="4218"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规划要求</w:t>
            </w:r>
          </w:p>
        </w:tc>
        <w:tc>
          <w:tcPr>
            <w:tcW w:w="3054" w:type="dxa"/>
            <w:tcBorders>
              <w:tl2br w:val="nil"/>
              <w:tr2bl w:val="nil"/>
            </w:tcBorders>
            <w:noWrap w:val="0"/>
            <w:vAlign w:val="center"/>
          </w:tcPr>
          <w:p>
            <w:pPr>
              <w:widowControl w:val="0"/>
              <w:spacing w:line="0" w:lineRule="atLeast"/>
              <w:jc w:val="center"/>
              <w:rPr>
                <w:rFonts w:hint="default" w:ascii="Times New Roman" w:hAnsi="Times New Roman" w:eastAsia="宋体" w:cs="Times New Roman"/>
                <w:color w:val="auto"/>
                <w:kern w:val="2"/>
                <w:sz w:val="21"/>
                <w:szCs w:val="21"/>
                <w:highlight w:val="none"/>
                <w:shd w:val="clear" w:color="auto" w:fill="auto"/>
                <w:lang w:eastAsia="zh-CN"/>
              </w:rPr>
            </w:pPr>
            <w:r>
              <w:rPr>
                <w:rFonts w:hint="default" w:ascii="Times New Roman" w:hAnsi="Times New Roman" w:cs="Times New Roman"/>
                <w:color w:val="auto"/>
                <w:kern w:val="2"/>
                <w:sz w:val="21"/>
                <w:szCs w:val="21"/>
                <w:highlight w:val="none"/>
                <w:shd w:val="clear" w:color="auto" w:fill="auto"/>
                <w:lang w:eastAsia="zh-CN"/>
              </w:rPr>
              <w:t>本工程</w:t>
            </w:r>
          </w:p>
        </w:tc>
        <w:tc>
          <w:tcPr>
            <w:tcW w:w="739"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spacing w:val="-20"/>
                <w:kern w:val="2"/>
                <w:sz w:val="21"/>
                <w:szCs w:val="21"/>
                <w:highlight w:val="none"/>
                <w:shd w:val="clear" w:color="auto" w:fill="auto"/>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1</w:t>
            </w:r>
          </w:p>
        </w:tc>
        <w:tc>
          <w:tcPr>
            <w:tcW w:w="4218"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加强重点行业VOCs治理。实施VOCs排放总量控制，重点推进石油天然气开采、石化、化工、包装印刷、工业涂装、油品储运销等重点行业排放源以及机动车等移动源VOCs污染防治，加强重点行业、重点企业的精细化管控；全面推进使用低VOCs含量涂料、油墨、胶粘剂、清洗剂等；加强汽修行业VOCs综合治理，加大餐饮油烟污染治理力度，持续削减VOCs排放量</w:t>
            </w:r>
          </w:p>
        </w:tc>
        <w:tc>
          <w:tcPr>
            <w:tcW w:w="3054" w:type="dxa"/>
            <w:tcBorders>
              <w:tl2br w:val="nil"/>
              <w:tr2bl w:val="nil"/>
            </w:tcBorders>
            <w:noWrap w:val="0"/>
            <w:vAlign w:val="center"/>
          </w:tcPr>
          <w:p>
            <w:pPr>
              <w:widowControl w:val="0"/>
              <w:spacing w:line="0" w:lineRule="atLeast"/>
              <w:jc w:val="center"/>
              <w:rPr>
                <w:rFonts w:hint="eastAsia" w:ascii="Times New Roman" w:hAnsi="Times New Roman" w:eastAsia="宋体" w:cs="Times New Roman"/>
                <w:color w:val="auto"/>
                <w:kern w:val="2"/>
                <w:sz w:val="21"/>
                <w:szCs w:val="21"/>
                <w:highlight w:val="none"/>
                <w:shd w:val="clear" w:color="auto" w:fill="auto"/>
                <w:lang w:eastAsia="zh-CN"/>
              </w:rPr>
            </w:pPr>
            <w:r>
              <w:rPr>
                <w:rFonts w:hint="default" w:ascii="Times New Roman" w:hAnsi="Times New Roman" w:cs="Times New Roman"/>
                <w:color w:val="auto"/>
                <w:kern w:val="2"/>
                <w:sz w:val="21"/>
                <w:szCs w:val="21"/>
                <w:highlight w:val="none"/>
                <w:shd w:val="clear" w:color="auto" w:fill="auto"/>
                <w:lang w:eastAsia="zh-CN"/>
              </w:rPr>
              <w:t>本工程</w:t>
            </w:r>
            <w:r>
              <w:rPr>
                <w:rFonts w:hint="default" w:ascii="Times New Roman" w:hAnsi="Times New Roman" w:cs="Times New Roman"/>
                <w:color w:val="auto"/>
                <w:kern w:val="2"/>
                <w:sz w:val="21"/>
                <w:szCs w:val="21"/>
                <w:highlight w:val="none"/>
                <w:shd w:val="clear" w:color="auto" w:fill="auto"/>
              </w:rPr>
              <w:t>无组织废气排放涉及VOC</w:t>
            </w:r>
            <w:r>
              <w:rPr>
                <w:rFonts w:hint="default" w:ascii="Times New Roman" w:hAnsi="Times New Roman" w:cs="Times New Roman"/>
                <w:color w:val="auto"/>
                <w:kern w:val="2"/>
                <w:sz w:val="21"/>
                <w:szCs w:val="21"/>
                <w:highlight w:val="none"/>
                <w:shd w:val="clear" w:color="auto" w:fill="auto"/>
                <w:vertAlign w:val="subscript"/>
              </w:rPr>
              <w:t>S</w:t>
            </w:r>
            <w:r>
              <w:rPr>
                <w:rFonts w:hint="default" w:ascii="Times New Roman" w:hAnsi="Times New Roman" w:cs="Times New Roman"/>
                <w:color w:val="auto"/>
                <w:kern w:val="2"/>
                <w:sz w:val="21"/>
                <w:szCs w:val="21"/>
                <w:highlight w:val="none"/>
                <w:shd w:val="clear" w:color="auto" w:fill="auto"/>
              </w:rPr>
              <w:t>排放，报告中已针对无组织排放提出相应措施</w:t>
            </w:r>
            <w:r>
              <w:rPr>
                <w:rFonts w:hint="eastAsia" w:ascii="Times New Roman" w:hAnsi="Times New Roman" w:cs="Times New Roman"/>
                <w:color w:val="auto"/>
                <w:kern w:val="2"/>
                <w:sz w:val="21"/>
                <w:szCs w:val="21"/>
                <w:highlight w:val="none"/>
                <w:shd w:val="clear" w:color="auto" w:fill="auto"/>
                <w:lang w:eastAsia="zh-CN"/>
              </w:rPr>
              <w:t>。</w:t>
            </w:r>
          </w:p>
        </w:tc>
        <w:tc>
          <w:tcPr>
            <w:tcW w:w="739"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符合</w:t>
            </w:r>
          </w:p>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2</w:t>
            </w:r>
          </w:p>
        </w:tc>
        <w:tc>
          <w:tcPr>
            <w:tcW w:w="4218"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有序实施建设用地风险管控和治理修复。推动全疆重点行业企业用地土壤污染状况调查成果应用，提升土壤环境监管能力。严格落实建设用地土壤污染风险管控和修复名录制度。以用途变更为住宅、公共管理与公共服务用地的地块为重点，严格建设用地准入管理和风险管控。严控土壤重金属污染，加强油（气）田开发土壤污染防治，以历史遗留工业企业污染场地为重点，开展风险管控与修复工程。推广绿色修复理念，强化修复过程二次污染防控。</w:t>
            </w:r>
          </w:p>
        </w:tc>
        <w:tc>
          <w:tcPr>
            <w:tcW w:w="3054"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lang w:eastAsia="zh-CN"/>
              </w:rPr>
              <w:t>本工程</w:t>
            </w:r>
            <w:r>
              <w:rPr>
                <w:rFonts w:hint="default" w:ascii="Times New Roman" w:hAnsi="Times New Roman" w:cs="Times New Roman"/>
                <w:color w:val="auto"/>
                <w:kern w:val="2"/>
                <w:sz w:val="21"/>
                <w:szCs w:val="21"/>
                <w:highlight w:val="none"/>
                <w:shd w:val="clear" w:color="auto" w:fill="auto"/>
              </w:rPr>
              <w:t>在正常状况下不会造成土壤环境质量超标，不会增加土壤环境风险；</w:t>
            </w:r>
            <w:r>
              <w:rPr>
                <w:rFonts w:hint="default" w:ascii="Times New Roman" w:hAnsi="Times New Roman" w:cs="Times New Roman"/>
                <w:color w:val="auto"/>
                <w:kern w:val="2"/>
                <w:sz w:val="21"/>
                <w:szCs w:val="21"/>
                <w:highlight w:val="none"/>
                <w:shd w:val="clear" w:color="auto" w:fill="auto"/>
                <w:lang w:eastAsia="zh-CN"/>
              </w:rPr>
              <w:t>本工程</w:t>
            </w:r>
            <w:r>
              <w:rPr>
                <w:rFonts w:hint="default" w:ascii="Times New Roman" w:hAnsi="Times New Roman" w:cs="Times New Roman"/>
                <w:color w:val="auto"/>
                <w:kern w:val="2"/>
                <w:sz w:val="21"/>
                <w:szCs w:val="21"/>
                <w:highlight w:val="none"/>
                <w:shd w:val="clear" w:color="auto" w:fill="auto"/>
              </w:rPr>
              <w:t>运营后采取源头控制、过程防控措施；土壤满足《土壤环境质量</w:t>
            </w:r>
            <w:r>
              <w:rPr>
                <w:rFonts w:hint="default" w:ascii="Times New Roman" w:hAnsi="Times New Roman" w:cs="Times New Roman"/>
                <w:color w:val="auto"/>
                <w:kern w:val="2"/>
                <w:sz w:val="21"/>
                <w:szCs w:val="21"/>
                <w:highlight w:val="none"/>
                <w:shd w:val="clear" w:color="auto" w:fill="auto"/>
                <w:lang w:val="en-US" w:eastAsia="zh-CN"/>
              </w:rPr>
              <w:t xml:space="preserve"> </w:t>
            </w:r>
            <w:r>
              <w:rPr>
                <w:rFonts w:hint="default" w:ascii="Times New Roman" w:hAnsi="Times New Roman" w:cs="Times New Roman"/>
                <w:color w:val="auto"/>
                <w:kern w:val="2"/>
                <w:sz w:val="21"/>
                <w:szCs w:val="21"/>
                <w:highlight w:val="none"/>
                <w:shd w:val="clear" w:color="auto" w:fill="auto"/>
              </w:rPr>
              <w:t>建设用地土壤污染风险管控标准（试行）》（GB36600-2018）中第二类用地土壤污染风险筛选值，石油烃类执行表2第二类用地筛选值。</w:t>
            </w:r>
          </w:p>
        </w:tc>
        <w:tc>
          <w:tcPr>
            <w:tcW w:w="739"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符合</w:t>
            </w:r>
          </w:p>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3</w:t>
            </w:r>
          </w:p>
        </w:tc>
        <w:tc>
          <w:tcPr>
            <w:tcW w:w="4218"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强化危险废物全过程环境监管。建立健全各类危险废物重点监管单位清单，全面实行危险废物清单化管理。督促各类危险废物产生单位和经营单位依法申报危险废物产生处置情况，报备管理计划，做好信息公开工作，规范运行危险废物转移</w:t>
            </w:r>
            <w:r>
              <w:rPr>
                <w:rFonts w:hint="eastAsia" w:ascii="Times New Roman" w:hAnsi="Times New Roman" w:cs="Times New Roman"/>
                <w:color w:val="auto"/>
                <w:kern w:val="2"/>
                <w:sz w:val="21"/>
                <w:szCs w:val="21"/>
                <w:highlight w:val="none"/>
                <w:shd w:val="clear" w:color="auto" w:fill="auto"/>
                <w:lang w:val="en-US" w:eastAsia="zh-CN"/>
              </w:rPr>
              <w:t>电子</w:t>
            </w:r>
            <w:r>
              <w:rPr>
                <w:rFonts w:hint="default" w:ascii="Times New Roman" w:hAnsi="Times New Roman" w:cs="Times New Roman"/>
                <w:color w:val="auto"/>
                <w:kern w:val="2"/>
                <w:sz w:val="21"/>
                <w:szCs w:val="21"/>
                <w:highlight w:val="none"/>
                <w:shd w:val="clear" w:color="auto" w:fill="auto"/>
              </w:rPr>
              <w:t>联单。</w:t>
            </w:r>
          </w:p>
        </w:tc>
        <w:tc>
          <w:tcPr>
            <w:tcW w:w="3054"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lang w:eastAsia="zh-CN"/>
              </w:rPr>
              <w:t>本工程</w:t>
            </w:r>
            <w:r>
              <w:rPr>
                <w:rFonts w:hint="default" w:ascii="Times New Roman" w:hAnsi="Times New Roman" w:cs="Times New Roman"/>
                <w:color w:val="auto"/>
                <w:kern w:val="2"/>
                <w:sz w:val="21"/>
                <w:szCs w:val="21"/>
                <w:highlight w:val="none"/>
                <w:shd w:val="clear" w:color="auto" w:fill="auto"/>
              </w:rPr>
              <w:t>产生的危险废物严格落实《危险废物环境管理指南</w:t>
            </w:r>
            <w:r>
              <w:rPr>
                <w:rFonts w:hint="default" w:ascii="Times New Roman" w:hAnsi="Times New Roman" w:cs="Times New Roman"/>
                <w:color w:val="auto"/>
                <w:kern w:val="2"/>
                <w:sz w:val="21"/>
                <w:szCs w:val="21"/>
                <w:highlight w:val="none"/>
                <w:shd w:val="clear" w:color="auto" w:fill="auto"/>
                <w:lang w:val="en-US" w:eastAsia="zh-CN"/>
              </w:rPr>
              <w:t xml:space="preserve"> </w:t>
            </w:r>
            <w:r>
              <w:rPr>
                <w:rFonts w:hint="default" w:ascii="Times New Roman" w:hAnsi="Times New Roman" w:cs="Times New Roman"/>
                <w:color w:val="auto"/>
                <w:kern w:val="2"/>
                <w:sz w:val="21"/>
                <w:szCs w:val="21"/>
                <w:highlight w:val="none"/>
                <w:shd w:val="clear" w:color="auto" w:fill="auto"/>
              </w:rPr>
              <w:t>陆上石油天然气开采》（生态环境部公告2021年第74号）、《危险废物转移管理办法》（生态环境部令第23号）中相关管理要求。</w:t>
            </w:r>
          </w:p>
        </w:tc>
        <w:tc>
          <w:tcPr>
            <w:tcW w:w="739"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符合</w:t>
            </w:r>
          </w:p>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647"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4</w:t>
            </w:r>
          </w:p>
        </w:tc>
        <w:tc>
          <w:tcPr>
            <w:tcW w:w="4218" w:type="dxa"/>
            <w:tcBorders>
              <w:tl2br w:val="nil"/>
              <w:tr2bl w:val="nil"/>
            </w:tcBorders>
            <w:noWrap w:val="0"/>
            <w:vAlign w:val="center"/>
          </w:tcPr>
          <w:p>
            <w:pPr>
              <w:widowControl w:val="0"/>
              <w:spacing w:line="0" w:lineRule="atLeast"/>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rPr>
              <w:t>实施最严格的生态保护制度。坚决遏制“两高”项目盲目发展，严格执行能源、矿产资源开发自治区人民政府“一支笔”审批制度、环境保护“一票否决”制度，落实“三线一单”生态环境分区管控要求，守住生态保护红线、环境质量底线和资源利用上线，实施生态环境准入清单管控。</w:t>
            </w:r>
          </w:p>
        </w:tc>
        <w:tc>
          <w:tcPr>
            <w:tcW w:w="3054" w:type="dxa"/>
            <w:tcBorders>
              <w:tl2br w:val="nil"/>
              <w:tr2bl w:val="nil"/>
            </w:tcBorders>
            <w:noWrap w:val="0"/>
            <w:vAlign w:val="center"/>
          </w:tcPr>
          <w:p>
            <w:pPr>
              <w:widowControl w:val="0"/>
              <w:spacing w:line="0" w:lineRule="atLeast"/>
              <w:jc w:val="center"/>
              <w:rPr>
                <w:rFonts w:hint="default" w:ascii="Times New Roman" w:hAnsi="Times New Roman" w:eastAsia="宋体" w:cs="Times New Roman"/>
                <w:color w:val="auto"/>
                <w:kern w:val="2"/>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lang w:eastAsia="zh-CN"/>
              </w:rPr>
              <w:t>本工程</w:t>
            </w:r>
            <w:r>
              <w:rPr>
                <w:rFonts w:hint="default" w:ascii="Times New Roman" w:hAnsi="Times New Roman" w:eastAsia="宋体" w:cs="Times New Roman"/>
                <w:color w:val="auto"/>
                <w:kern w:val="2"/>
                <w:sz w:val="21"/>
                <w:szCs w:val="21"/>
                <w:highlight w:val="none"/>
                <w:shd w:val="clear" w:color="auto" w:fill="auto"/>
              </w:rPr>
              <w:t>位于新疆维吾尔自治区</w:t>
            </w:r>
            <w:r>
              <w:rPr>
                <w:rFonts w:hint="eastAsia" w:ascii="Times New Roman" w:hAnsi="Times New Roman" w:eastAsia="宋体" w:cs="Times New Roman"/>
                <w:color w:val="auto"/>
                <w:kern w:val="2"/>
                <w:sz w:val="21"/>
                <w:szCs w:val="21"/>
                <w:highlight w:val="none"/>
                <w:shd w:val="clear" w:color="auto" w:fill="auto"/>
                <w:lang w:val="en-US" w:eastAsia="zh-CN"/>
              </w:rPr>
              <w:t>塔城地区和布克赛尔自治县</w:t>
            </w:r>
            <w:r>
              <w:rPr>
                <w:rFonts w:hint="default" w:ascii="Times New Roman" w:hAnsi="Times New Roman" w:eastAsia="宋体" w:cs="Times New Roman"/>
                <w:color w:val="auto"/>
                <w:kern w:val="2"/>
                <w:sz w:val="21"/>
                <w:szCs w:val="21"/>
                <w:highlight w:val="none"/>
                <w:shd w:val="clear" w:color="auto" w:fill="auto"/>
              </w:rPr>
              <w:t>，为油气开发项目，不属于“两高”项目以及不符合产业准入标准和政策的落后项目，符合</w:t>
            </w:r>
            <w:r>
              <w:rPr>
                <w:rFonts w:hint="eastAsia" w:ascii="Times New Roman" w:hAnsi="Times New Roman" w:eastAsia="宋体" w:cs="Times New Roman"/>
                <w:color w:val="auto"/>
                <w:kern w:val="2"/>
                <w:sz w:val="21"/>
                <w:szCs w:val="21"/>
                <w:highlight w:val="none"/>
                <w:shd w:val="clear" w:color="auto" w:fill="auto"/>
                <w:lang w:val="en-US" w:eastAsia="zh-CN"/>
              </w:rPr>
              <w:t>克拉玛依市、塔城地区</w:t>
            </w:r>
            <w:r>
              <w:rPr>
                <w:rFonts w:hint="default" w:ascii="Times New Roman" w:hAnsi="Times New Roman" w:eastAsia="宋体" w:cs="Times New Roman"/>
                <w:color w:val="auto"/>
                <w:kern w:val="2"/>
                <w:sz w:val="21"/>
                <w:szCs w:val="21"/>
                <w:highlight w:val="none"/>
                <w:shd w:val="clear" w:color="auto" w:fill="auto"/>
              </w:rPr>
              <w:t>生态环境分区管控要求。</w:t>
            </w:r>
          </w:p>
        </w:tc>
        <w:tc>
          <w:tcPr>
            <w:tcW w:w="739" w:type="dxa"/>
            <w:tcBorders>
              <w:tl2br w:val="nil"/>
              <w:tr2bl w:val="nil"/>
            </w:tcBorders>
            <w:noWrap w:val="0"/>
            <w:vAlign w:val="center"/>
          </w:tcPr>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r>
              <w:rPr>
                <w:rFonts w:hint="default" w:ascii="Times New Roman" w:hAnsi="Times New Roman" w:cs="Times New Roman"/>
                <w:color w:val="auto"/>
                <w:kern w:val="2"/>
                <w:sz w:val="21"/>
                <w:szCs w:val="21"/>
                <w:highlight w:val="none"/>
                <w:shd w:val="clear" w:color="auto" w:fill="auto"/>
              </w:rPr>
              <w:t>符合</w:t>
            </w:r>
          </w:p>
          <w:p>
            <w:pPr>
              <w:widowControl w:val="0"/>
              <w:spacing w:line="0" w:lineRule="atLeast"/>
              <w:jc w:val="center"/>
              <w:rPr>
                <w:rFonts w:hint="default" w:ascii="Times New Roman" w:hAnsi="Times New Roman" w:cs="Times New Roman"/>
                <w:color w:val="auto"/>
                <w:kern w:val="2"/>
                <w:sz w:val="21"/>
                <w:szCs w:val="21"/>
                <w:highlight w:val="none"/>
                <w:shd w:val="clear" w:color="auto" w:fill="auto"/>
              </w:rPr>
            </w:pPr>
          </w:p>
        </w:tc>
      </w:tr>
    </w:tbl>
    <w:p>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eastAsia" w:cs="Times New Roman"/>
          <w:color w:val="auto"/>
          <w:highlight w:val="none"/>
          <w:shd w:val="clear" w:color="auto" w:fill="auto"/>
          <w:lang w:eastAsia="zh-CN"/>
        </w:rPr>
        <w:t>（</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与《新疆维吾尔自治区水土保持规划（2018—2030年）》符合性分析</w:t>
      </w:r>
    </w:p>
    <w:p>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①</w:t>
      </w:r>
      <w:r>
        <w:rPr>
          <w:rFonts w:hint="eastAsia" w:ascii="Times New Roman" w:hAnsi="Times New Roman" w:eastAsia="宋体" w:cs="Times New Roman"/>
          <w:color w:val="auto"/>
          <w:highlight w:val="none"/>
          <w:lang w:eastAsia="zh-CN"/>
        </w:rPr>
        <w:t>水土保持分区</w:t>
      </w:r>
    </w:p>
    <w:p>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bookmarkStart w:id="440" w:name="OLE_LINK120"/>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bookmarkEnd w:id="440"/>
      <w:r>
        <w:rPr>
          <w:rFonts w:hint="default" w:ascii="Times New Roman" w:hAnsi="Times New Roman" w:eastAsia="宋体" w:cs="Times New Roman"/>
          <w:color w:val="auto"/>
          <w:highlight w:val="none"/>
          <w:lang w:eastAsia="zh-CN"/>
        </w:rPr>
        <w:t>境内，</w:t>
      </w:r>
      <w:r>
        <w:rPr>
          <w:rFonts w:hint="default" w:ascii="Times New Roman" w:hAnsi="Times New Roman" w:cs="Times New Roman"/>
          <w:color w:val="auto"/>
          <w:highlight w:val="none"/>
        </w:rPr>
        <w:t>工程区中心西南</w:t>
      </w:r>
      <w:r>
        <w:rPr>
          <w:rFonts w:hint="eastAsia" w:cs="Times New Roman"/>
          <w:color w:val="auto"/>
          <w:highlight w:val="none"/>
          <w:lang w:val="en-US" w:eastAsia="zh-CN"/>
        </w:rPr>
        <w:t>距离</w:t>
      </w:r>
      <w:r>
        <w:rPr>
          <w:rFonts w:hint="eastAsia" w:cs="Times New Roman"/>
          <w:color w:val="auto"/>
          <w:highlight w:val="none"/>
          <w:lang w:eastAsia="zh-CN"/>
        </w:rPr>
        <w:t>和布克赛尔蒙古自治县</w:t>
      </w:r>
      <w:r>
        <w:rPr>
          <w:rFonts w:hint="default" w:ascii="Times New Roman" w:hAnsi="Times New Roman" w:cs="Times New Roman"/>
          <w:color w:val="auto"/>
          <w:highlight w:val="none"/>
        </w:rPr>
        <w:t>城中心约</w:t>
      </w:r>
      <w:r>
        <w:rPr>
          <w:rFonts w:hint="eastAsia" w:cs="Times New Roman"/>
          <w:color w:val="auto"/>
          <w:highlight w:val="none"/>
          <w:lang w:val="en-US" w:eastAsia="zh-CN"/>
        </w:rPr>
        <w:t>76.5</w:t>
      </w:r>
      <w:r>
        <w:rPr>
          <w:rFonts w:hint="default" w:ascii="Times New Roman" w:hAnsi="Times New Roman" w:cs="Times New Roman"/>
          <w:color w:val="auto"/>
          <w:highlight w:val="none"/>
        </w:rPr>
        <w:t>km</w:t>
      </w:r>
      <w:r>
        <w:rPr>
          <w:rFonts w:hint="eastAsia" w:cs="Times New Roman"/>
          <w:color w:val="auto"/>
          <w:highlight w:val="none"/>
          <w:lang w:eastAsia="zh-CN"/>
        </w:rPr>
        <w:t>，西侧距离克拉玛依市乌尔禾区32.1km</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位于</w:t>
      </w:r>
      <w:r>
        <w:rPr>
          <w:rFonts w:hint="default" w:ascii="Times New Roman" w:hAnsi="Times New Roman" w:eastAsia="宋体" w:cs="Times New Roman"/>
          <w:color w:val="auto"/>
          <w:highlight w:val="none"/>
          <w:lang w:eastAsia="zh-CN"/>
        </w:rPr>
        <w:t>古尔班通古特沙漠</w:t>
      </w:r>
      <w:r>
        <w:rPr>
          <w:rFonts w:hint="eastAsia" w:ascii="Times New Roman" w:hAnsi="Times New Roman" w:eastAsia="宋体" w:cs="Times New Roman"/>
          <w:color w:val="auto"/>
          <w:highlight w:val="none"/>
          <w:lang w:val="en-US" w:eastAsia="zh-CN"/>
        </w:rPr>
        <w:t>北缘</w:t>
      </w:r>
      <w:r>
        <w:rPr>
          <w:rFonts w:hint="default" w:ascii="Times New Roman" w:hAnsi="Times New Roman" w:eastAsia="宋体" w:cs="Times New Roman"/>
          <w:color w:val="auto"/>
          <w:highlight w:val="none"/>
          <w:lang w:eastAsia="zh-CN"/>
        </w:rPr>
        <w:t>，水土流失类型为风力侵蚀。</w:t>
      </w:r>
    </w:p>
    <w:p>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根据《新疆维吾尔自治区水土保持规划（2018</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2030年）》，本工程</w:t>
      </w:r>
      <w:r>
        <w:rPr>
          <w:rFonts w:hint="default" w:ascii="Times New Roman" w:hAnsi="Times New Roman" w:eastAsia="宋体" w:cs="Times New Roman"/>
          <w:color w:val="auto"/>
          <w:highlight w:val="none"/>
          <w:lang w:val="en-US" w:eastAsia="zh-CN"/>
        </w:rPr>
        <w:t>位于克拉玛依市乌尔禾区、塔城地区和布克赛尔蒙古自治县和新疆生产建设兵团第七师胡杨河市，</w:t>
      </w:r>
      <w:r>
        <w:rPr>
          <w:rFonts w:hint="eastAsia" w:cs="Times New Roman"/>
          <w:color w:val="auto"/>
          <w:highlight w:val="none"/>
          <w:lang w:val="en-US" w:eastAsia="zh-CN"/>
        </w:rPr>
        <w:t>其中塔城地区和布克赛尔蒙古自治县</w:t>
      </w:r>
      <w:r>
        <w:rPr>
          <w:rFonts w:hint="default" w:ascii="Times New Roman" w:hAnsi="Times New Roman" w:eastAsia="宋体" w:cs="Times New Roman"/>
          <w:color w:val="auto"/>
          <w:highlight w:val="none"/>
          <w:lang w:eastAsia="zh-CN"/>
        </w:rPr>
        <w:t>属于自治区级水土流失重点治理区II2天山北坡诸小河流域重点治理区。</w:t>
      </w:r>
    </w:p>
    <w:p>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1）</w:t>
      </w:r>
      <w:r>
        <w:rPr>
          <w:rFonts w:hint="default" w:ascii="Times New Roman" w:hAnsi="Times New Roman" w:eastAsia="宋体" w:cs="Times New Roman"/>
          <w:color w:val="auto"/>
          <w:highlight w:val="none"/>
          <w:lang w:val="en-US" w:eastAsia="zh-CN"/>
        </w:rPr>
        <w:t>全国、自治区水土保持区划中</w:t>
      </w:r>
      <w:r>
        <w:rPr>
          <w:rFonts w:hint="eastAsia" w:ascii="Times New Roman" w:hAnsi="Times New Roman" w:eastAsia="宋体" w:cs="Times New Roman"/>
          <w:color w:val="auto"/>
          <w:highlight w:val="none"/>
          <w:lang w:val="en-US" w:eastAsia="zh-CN"/>
        </w:rPr>
        <w:t>和布克赛尔蒙古自治县</w:t>
      </w:r>
      <w:r>
        <w:rPr>
          <w:rFonts w:hint="default" w:ascii="Times New Roman" w:hAnsi="Times New Roman" w:eastAsia="宋体" w:cs="Times New Roman"/>
          <w:color w:val="auto"/>
          <w:highlight w:val="none"/>
          <w:lang w:val="en-US" w:eastAsia="zh-CN"/>
        </w:rPr>
        <w:t>划分情况</w:t>
      </w:r>
      <w:r>
        <w:rPr>
          <w:rFonts w:hint="eastAsia" w:ascii="Times New Roman" w:hAnsi="Times New Roman" w:eastAsia="宋体" w:cs="Times New Roman"/>
          <w:color w:val="auto"/>
          <w:highlight w:val="none"/>
          <w:lang w:eastAsia="zh-CN"/>
        </w:rPr>
        <w:t xml:space="preserve"> </w:t>
      </w:r>
    </w:p>
    <w:p>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根据《全国水土保持规划（2015</w:t>
      </w:r>
      <w:r>
        <w:rPr>
          <w:rFonts w:hint="eastAsia" w:cs="Times New Roman"/>
          <w:color w:val="auto"/>
          <w:highlight w:val="none"/>
          <w:lang w:eastAsia="zh-CN"/>
        </w:rPr>
        <w:t>—</w:t>
      </w:r>
      <w:r>
        <w:rPr>
          <w:rFonts w:hint="default" w:ascii="Times New Roman" w:hAnsi="Times New Roman" w:eastAsia="宋体" w:cs="Times New Roman"/>
          <w:color w:val="auto"/>
          <w:highlight w:val="none"/>
          <w:lang w:eastAsia="zh-CN"/>
        </w:rPr>
        <w:t>2030年）》（国函〔2015〕160号），全国水土保持区划采用三级分区体系，一级区为总体格局区，二级区为区域协调区，三级区为基本功能区。全国水土保持区划共划分为8个一级区、40个二级区、115个三级区。</w:t>
      </w:r>
    </w:p>
    <w:p>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新疆在全国水土保持区划中位于北方风沙区（新甘蒙高原盆地区）一级分区，包含北疆山地盆地区和南疆山地盆地区两个二级分区，准噶尔盆地北部水源涵养生态维护区、天山北坡人居环境农田防护区、伊犁河谷减灾蓄水区、吐哈盆地生态维护防沙区、塔里木盆地北部农田防护水源涵养区、塔里木盆地南部农田防护防沙区、塔里木盆地西部农田防护减灾区七个三级区。</w:t>
      </w:r>
    </w:p>
    <w:p>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kern w:val="24"/>
          <w:sz w:val="24"/>
          <w:szCs w:val="22"/>
          <w:highlight w:val="none"/>
          <w:shd w:val="clear" w:color="auto" w:fill="auto"/>
          <w:lang w:val="en-US" w:eastAsia="zh-CN"/>
        </w:rPr>
      </w:pPr>
      <w:r>
        <w:rPr>
          <w:rFonts w:hint="eastAsia" w:ascii="Times New Roman" w:hAnsi="Times New Roman" w:eastAsia="宋体" w:cs="Times New Roman"/>
          <w:color w:val="auto"/>
          <w:highlight w:val="none"/>
          <w:lang w:eastAsia="zh-CN"/>
        </w:rPr>
        <w:t>和布克赛尔蒙古自治</w:t>
      </w:r>
      <w:r>
        <w:rPr>
          <w:rFonts w:hint="eastAsia" w:ascii="Times New Roman" w:hAnsi="Times New Roman" w:eastAsia="宋体" w:cs="Times New Roman"/>
          <w:color w:val="auto"/>
          <w:highlight w:val="none"/>
          <w:lang w:val="en-US" w:eastAsia="zh-CN"/>
        </w:rPr>
        <w:t>县</w:t>
      </w:r>
      <w:r>
        <w:rPr>
          <w:rFonts w:hint="default" w:ascii="Times New Roman" w:hAnsi="Times New Roman" w:eastAsia="宋体" w:cs="Times New Roman"/>
          <w:color w:val="auto"/>
          <w:highlight w:val="none"/>
          <w:lang w:eastAsia="zh-CN"/>
        </w:rPr>
        <w:t>属于新疆七个三级区中的准噶尔盆地北部水源涵养生态维护区。</w:t>
      </w:r>
      <w:r>
        <w:rPr>
          <w:rFonts w:hint="default" w:ascii="Times New Roman" w:hAnsi="Times New Roman" w:eastAsia="宋体" w:cs="Times New Roman"/>
          <w:color w:val="auto"/>
          <w:highlight w:val="none"/>
          <w:lang w:val="en-US" w:eastAsia="zh-CN"/>
        </w:rPr>
        <w:t>分区情况见表3.</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9</w:t>
      </w:r>
      <w:r>
        <w:rPr>
          <w:rFonts w:hint="default" w:ascii="Times New Roman" w:hAnsi="Times New Roman" w:eastAsia="宋体" w:cs="Times New Roman"/>
          <w:color w:val="auto"/>
          <w:highlight w:val="none"/>
          <w:lang w:val="en-US" w:eastAsia="zh-CN"/>
        </w:rPr>
        <w:t>。</w:t>
      </w:r>
    </w:p>
    <w:p>
      <w:pPr>
        <w:keepNext w:val="0"/>
        <w:keepLines w:val="0"/>
        <w:pageBreakBefore w:val="0"/>
        <w:widowControl/>
        <w:kinsoku/>
        <w:wordWrap/>
        <w:overflowPunct/>
        <w:topLinePunct w:val="0"/>
        <w:autoSpaceDE/>
        <w:autoSpaceDN/>
        <w:bidi w:val="0"/>
        <w:spacing w:line="480" w:lineRule="exact"/>
        <w:ind w:firstLine="422" w:firstLineChars="200"/>
        <w:jc w:val="center"/>
        <w:textAlignment w:val="auto"/>
        <w:rPr>
          <w:rStyle w:val="105"/>
          <w:rFonts w:hint="default" w:ascii="Times New Roman" w:hAnsi="Times New Roman" w:eastAsia="宋体" w:cs="Times New Roman"/>
          <w:b/>
          <w:color w:val="auto"/>
          <w:highlight w:val="none"/>
          <w:shd w:val="clear" w:color="auto" w:fill="auto"/>
          <w:lang w:val="en-US" w:eastAsia="zh-CN"/>
        </w:rPr>
      </w:pPr>
      <w:r>
        <w:rPr>
          <w:rStyle w:val="105"/>
          <w:rFonts w:hint="default" w:ascii="Times New Roman" w:hAnsi="Times New Roman" w:eastAsia="宋体" w:cs="Times New Roman"/>
          <w:b/>
          <w:color w:val="auto"/>
          <w:highlight w:val="none"/>
          <w:shd w:val="clear" w:color="auto" w:fill="auto"/>
          <w:lang w:val="en-US" w:eastAsia="zh-CN"/>
        </w:rPr>
        <w:t>表3.</w:t>
      </w:r>
      <w:r>
        <w:rPr>
          <w:rStyle w:val="105"/>
          <w:rFonts w:hint="eastAsia" w:ascii="Times New Roman" w:hAnsi="Times New Roman" w:cs="Times New Roman"/>
          <w:b/>
          <w:color w:val="auto"/>
          <w:highlight w:val="none"/>
          <w:shd w:val="clear" w:color="auto" w:fill="auto"/>
          <w:lang w:val="en-US" w:eastAsia="zh-CN"/>
        </w:rPr>
        <w:t>4</w:t>
      </w:r>
      <w:r>
        <w:rPr>
          <w:rStyle w:val="105"/>
          <w:rFonts w:hint="default" w:ascii="Times New Roman" w:hAnsi="Times New Roman" w:eastAsia="宋体" w:cs="Times New Roman"/>
          <w:b/>
          <w:color w:val="auto"/>
          <w:highlight w:val="none"/>
          <w:shd w:val="clear" w:color="auto" w:fill="auto"/>
          <w:lang w:val="en-US" w:eastAsia="zh-CN"/>
        </w:rPr>
        <w:t>-</w:t>
      </w:r>
      <w:r>
        <w:rPr>
          <w:rStyle w:val="105"/>
          <w:rFonts w:hint="eastAsia" w:ascii="Times New Roman" w:hAnsi="Times New Roman" w:eastAsia="宋体" w:cs="Times New Roman"/>
          <w:b/>
          <w:color w:val="auto"/>
          <w:highlight w:val="none"/>
          <w:shd w:val="clear" w:color="auto" w:fill="auto"/>
          <w:lang w:val="en-US" w:eastAsia="zh-CN"/>
        </w:rPr>
        <w:t>9</w:t>
      </w:r>
      <w:r>
        <w:rPr>
          <w:rStyle w:val="105"/>
          <w:rFonts w:hint="default" w:ascii="Times New Roman" w:hAnsi="Times New Roman" w:eastAsia="宋体" w:cs="Times New Roman"/>
          <w:b/>
          <w:color w:val="auto"/>
          <w:highlight w:val="none"/>
          <w:shd w:val="clear" w:color="auto" w:fill="auto"/>
          <w:lang w:val="en-US" w:eastAsia="zh-CN"/>
        </w:rPr>
        <w:t xml:space="preserve">  </w:t>
      </w:r>
      <w:r>
        <w:rPr>
          <w:rStyle w:val="105"/>
          <w:rFonts w:hint="eastAsia" w:cs="Times New Roman"/>
          <w:b/>
          <w:color w:val="auto"/>
          <w:highlight w:val="none"/>
          <w:shd w:val="clear" w:color="auto" w:fill="auto"/>
          <w:lang w:val="en-US" w:eastAsia="zh-CN"/>
        </w:rPr>
        <w:t>和布克赛尔蒙古自治县在国家级水土保持分区情况</w:t>
      </w:r>
    </w:p>
    <w:tbl>
      <w:tblPr>
        <w:tblStyle w:val="35"/>
        <w:tblW w:w="853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223"/>
        <w:gridCol w:w="1628"/>
        <w:gridCol w:w="2065"/>
        <w:gridCol w:w="36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3" w:type="dxa"/>
            <w:tcBorders>
              <w:tl2br w:val="nil"/>
              <w:tr2bl w:val="nil"/>
            </w:tcBorders>
            <w:noWrap w:val="0"/>
            <w:vAlign w:val="center"/>
          </w:tcPr>
          <w:p>
            <w:pPr>
              <w:pStyle w:val="101"/>
              <w:keepNext w:val="0"/>
              <w:keepLines w:val="0"/>
              <w:suppressLineNumbers w:val="0"/>
              <w:bidi w:val="0"/>
              <w:spacing w:before="0" w:beforeAutospacing="0" w:after="0" w:afterAutospacing="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一级区</w:t>
            </w:r>
          </w:p>
        </w:tc>
        <w:tc>
          <w:tcPr>
            <w:tcW w:w="1628" w:type="dxa"/>
            <w:tcBorders>
              <w:tl2br w:val="nil"/>
              <w:tr2bl w:val="nil"/>
            </w:tcBorders>
            <w:noWrap w:val="0"/>
            <w:vAlign w:val="center"/>
          </w:tcPr>
          <w:p>
            <w:pPr>
              <w:pStyle w:val="101"/>
              <w:keepNext w:val="0"/>
              <w:keepLines w:val="0"/>
              <w:suppressLineNumbers w:val="0"/>
              <w:bidi w:val="0"/>
              <w:spacing w:before="0" w:beforeAutospacing="0" w:after="0" w:afterAutospacing="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二级区</w:t>
            </w:r>
          </w:p>
        </w:tc>
        <w:tc>
          <w:tcPr>
            <w:tcW w:w="2065" w:type="dxa"/>
            <w:tcBorders>
              <w:tl2br w:val="nil"/>
              <w:tr2bl w:val="nil"/>
            </w:tcBorders>
            <w:noWrap w:val="0"/>
            <w:vAlign w:val="center"/>
          </w:tcPr>
          <w:p>
            <w:pPr>
              <w:pStyle w:val="101"/>
              <w:keepNext w:val="0"/>
              <w:keepLines w:val="0"/>
              <w:suppressLineNumbers w:val="0"/>
              <w:bidi w:val="0"/>
              <w:spacing w:before="0" w:beforeAutospacing="0" w:after="0" w:afterAutospacing="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三级区</w:t>
            </w:r>
          </w:p>
        </w:tc>
        <w:tc>
          <w:tcPr>
            <w:tcW w:w="3622" w:type="dxa"/>
            <w:tcBorders>
              <w:tl2br w:val="nil"/>
              <w:tr2bl w:val="nil"/>
            </w:tcBorders>
            <w:noWrap w:val="0"/>
            <w:vAlign w:val="center"/>
          </w:tcPr>
          <w:p>
            <w:pPr>
              <w:pStyle w:val="101"/>
              <w:keepNext w:val="0"/>
              <w:keepLines w:val="0"/>
              <w:suppressLineNumbers w:val="0"/>
              <w:bidi w:val="0"/>
              <w:spacing w:before="0" w:beforeAutospacing="0" w:after="0" w:afterAutospacing="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涉及范围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23" w:type="dxa"/>
            <w:tcBorders>
              <w:tl2br w:val="nil"/>
              <w:tr2bl w:val="nil"/>
            </w:tcBorders>
            <w:noWrap w:val="0"/>
            <w:vAlign w:val="center"/>
          </w:tcPr>
          <w:p>
            <w:pPr>
              <w:pStyle w:val="101"/>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fldChar w:fldCharType="begin"/>
            </w:r>
            <w:r>
              <w:rPr>
                <w:rFonts w:hint="default" w:ascii="Times New Roman" w:hAnsi="Times New Roman" w:eastAsia="宋体" w:cs="Times New Roman"/>
                <w:color w:val="auto"/>
                <w:sz w:val="21"/>
                <w:szCs w:val="21"/>
                <w:highlight w:val="none"/>
                <w:shd w:val="clear" w:color="auto" w:fill="auto"/>
                <w:lang w:val="en-US" w:eastAsia="zh-CN"/>
              </w:rPr>
              <w:instrText xml:space="preserve"> = 2 \* ROMAN \* MERGEFORMAT </w:instrText>
            </w:r>
            <w:r>
              <w:rPr>
                <w:rFonts w:hint="default" w:ascii="Times New Roman" w:hAnsi="Times New Roman" w:eastAsia="宋体" w:cs="Times New Roman"/>
                <w:color w:val="auto"/>
                <w:sz w:val="21"/>
                <w:szCs w:val="21"/>
                <w:highlight w:val="none"/>
                <w:shd w:val="clear" w:color="auto" w:fill="auto"/>
                <w:lang w:val="en-US" w:eastAsia="zh-CN"/>
              </w:rPr>
              <w:fldChar w:fldCharType="separate"/>
            </w:r>
            <w:r>
              <w:rPr>
                <w:rFonts w:hint="default" w:ascii="Times New Roman" w:hAnsi="Times New Roman" w:cs="Times New Roman"/>
                <w:color w:val="auto"/>
                <w:sz w:val="21"/>
                <w:szCs w:val="21"/>
                <w:highlight w:val="none"/>
                <w:shd w:val="clear" w:color="auto" w:fill="auto"/>
              </w:rPr>
              <w:t>II</w:t>
            </w:r>
            <w:r>
              <w:rPr>
                <w:rFonts w:hint="default" w:ascii="Times New Roman" w:hAnsi="Times New Roman" w:eastAsia="宋体" w:cs="Times New Roman"/>
                <w:color w:val="auto"/>
                <w:sz w:val="21"/>
                <w:szCs w:val="21"/>
                <w:highlight w:val="none"/>
                <w:shd w:val="clear" w:color="auto" w:fill="auto"/>
                <w:lang w:val="en-US" w:eastAsia="zh-CN"/>
              </w:rPr>
              <w:fldChar w:fldCharType="end"/>
            </w:r>
            <w:r>
              <w:rPr>
                <w:rFonts w:hint="eastAsia" w:cs="Times New Roman"/>
                <w:color w:val="auto"/>
                <w:sz w:val="21"/>
                <w:szCs w:val="21"/>
                <w:highlight w:val="none"/>
                <w:shd w:val="clear" w:color="auto" w:fill="auto"/>
                <w:lang w:val="en-US" w:eastAsia="zh-CN"/>
              </w:rPr>
              <w:t>北方风沙区</w:t>
            </w:r>
          </w:p>
        </w:tc>
        <w:tc>
          <w:tcPr>
            <w:tcW w:w="1628" w:type="dxa"/>
            <w:tcBorders>
              <w:tl2br w:val="nil"/>
              <w:tr2bl w:val="nil"/>
            </w:tcBorders>
            <w:noWrap w:val="0"/>
            <w:vAlign w:val="center"/>
          </w:tcPr>
          <w:p>
            <w:pPr>
              <w:pStyle w:val="101"/>
              <w:keepNext w:val="0"/>
              <w:keepLines w:val="0"/>
              <w:suppressLineNumbers w:val="0"/>
              <w:bidi w:val="0"/>
              <w:spacing w:before="0" w:beforeAutospacing="0" w:after="0" w:afterAutospacing="0"/>
              <w:ind w:left="0" w:leftChars="0" w:right="0" w:rightChars="0" w:firstLine="0" w:firstLineChars="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fldChar w:fldCharType="begin"/>
            </w:r>
            <w:r>
              <w:rPr>
                <w:rFonts w:hint="default" w:ascii="Times New Roman" w:hAnsi="Times New Roman" w:eastAsia="宋体" w:cs="Times New Roman"/>
                <w:color w:val="auto"/>
                <w:sz w:val="21"/>
                <w:szCs w:val="21"/>
                <w:highlight w:val="none"/>
                <w:shd w:val="clear" w:color="auto" w:fill="auto"/>
                <w:lang w:val="en-US" w:eastAsia="zh-CN"/>
              </w:rPr>
              <w:instrText xml:space="preserve"> = 2 \* ROMAN \* MERGEFORMAT </w:instrText>
            </w:r>
            <w:r>
              <w:rPr>
                <w:rFonts w:hint="default" w:ascii="Times New Roman" w:hAnsi="Times New Roman" w:eastAsia="宋体" w:cs="Times New Roman"/>
                <w:color w:val="auto"/>
                <w:sz w:val="21"/>
                <w:szCs w:val="21"/>
                <w:highlight w:val="none"/>
                <w:shd w:val="clear" w:color="auto" w:fill="auto"/>
                <w:lang w:val="en-US" w:eastAsia="zh-CN"/>
              </w:rPr>
              <w:fldChar w:fldCharType="separate"/>
            </w:r>
            <w:r>
              <w:rPr>
                <w:rFonts w:hint="default" w:ascii="Times New Roman" w:hAnsi="Times New Roman" w:cs="Times New Roman"/>
                <w:color w:val="auto"/>
                <w:sz w:val="21"/>
                <w:szCs w:val="21"/>
                <w:highlight w:val="none"/>
                <w:shd w:val="clear" w:color="auto" w:fill="auto"/>
              </w:rPr>
              <w:t>II</w:t>
            </w:r>
            <w:r>
              <w:rPr>
                <w:rFonts w:hint="default" w:ascii="Times New Roman" w:hAnsi="Times New Roman" w:eastAsia="宋体" w:cs="Times New Roman"/>
                <w:color w:val="auto"/>
                <w:sz w:val="21"/>
                <w:szCs w:val="21"/>
                <w:highlight w:val="none"/>
                <w:shd w:val="clear" w:color="auto" w:fill="auto"/>
                <w:lang w:val="en-US" w:eastAsia="zh-CN"/>
              </w:rPr>
              <w:fldChar w:fldCharType="end"/>
            </w:r>
            <w:r>
              <w:rPr>
                <w:rFonts w:hint="eastAsia" w:cs="Times New Roman"/>
                <w:color w:val="auto"/>
                <w:sz w:val="21"/>
                <w:szCs w:val="21"/>
                <w:highlight w:val="none"/>
                <w:shd w:val="clear" w:color="auto" w:fill="auto"/>
                <w:lang w:val="en-US" w:eastAsia="zh-CN"/>
              </w:rPr>
              <w:t>-3北疆山地盆地区</w:t>
            </w:r>
          </w:p>
        </w:tc>
        <w:tc>
          <w:tcPr>
            <w:tcW w:w="2065" w:type="dxa"/>
            <w:tcBorders>
              <w:tl2br w:val="nil"/>
              <w:tr2bl w:val="nil"/>
            </w:tcBorders>
            <w:noWrap w:val="0"/>
            <w:vAlign w:val="center"/>
          </w:tcPr>
          <w:p>
            <w:pPr>
              <w:pStyle w:val="101"/>
              <w:keepNext w:val="0"/>
              <w:keepLines w:val="0"/>
              <w:suppressLineNumbers w:val="0"/>
              <w:bidi w:val="0"/>
              <w:spacing w:before="0" w:beforeAutospacing="0" w:after="0" w:afterAutospacing="0"/>
              <w:ind w:left="0" w:leftChars="0" w:right="0" w:rightChars="0" w:firstLine="0" w:firstLineChars="0"/>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cs="Times New Roman"/>
                <w:color w:val="auto"/>
                <w:sz w:val="21"/>
                <w:szCs w:val="21"/>
                <w:highlight w:val="none"/>
                <w:shd w:val="clear" w:color="auto" w:fill="auto"/>
                <w:lang w:val="en-US" w:eastAsia="zh-CN"/>
              </w:rPr>
              <w:t>Ⅱ-</w:t>
            </w:r>
            <w:r>
              <w:rPr>
                <w:rFonts w:hint="eastAsia" w:cs="Times New Roman"/>
                <w:color w:val="auto"/>
                <w:sz w:val="21"/>
                <w:szCs w:val="21"/>
                <w:highlight w:val="none"/>
                <w:shd w:val="clear" w:color="auto" w:fill="auto"/>
                <w:lang w:val="en-US" w:eastAsia="zh-CN"/>
              </w:rPr>
              <w:t>3</w:t>
            </w:r>
            <w:r>
              <w:rPr>
                <w:rFonts w:hint="default" w:cs="Times New Roman"/>
                <w:color w:val="auto"/>
                <w:sz w:val="21"/>
                <w:szCs w:val="21"/>
                <w:highlight w:val="none"/>
                <w:shd w:val="clear" w:color="auto" w:fill="auto"/>
                <w:lang w:val="en-US" w:eastAsia="zh-CN"/>
              </w:rPr>
              <w:t>-1</w:t>
            </w:r>
            <w:r>
              <w:rPr>
                <w:rFonts w:hint="eastAsia" w:cs="Times New Roman"/>
                <w:color w:val="auto"/>
                <w:sz w:val="21"/>
                <w:szCs w:val="21"/>
                <w:highlight w:val="none"/>
                <w:shd w:val="clear" w:color="auto" w:fill="auto"/>
                <w:lang w:val="en-US" w:eastAsia="zh-CN"/>
              </w:rPr>
              <w:t>hw</w:t>
            </w:r>
            <w:r>
              <w:rPr>
                <w:rFonts w:hint="default" w:cs="Times New Roman"/>
                <w:color w:val="auto"/>
                <w:sz w:val="21"/>
                <w:szCs w:val="21"/>
                <w:highlight w:val="none"/>
                <w:shd w:val="clear" w:color="auto" w:fill="auto"/>
                <w:lang w:val="en-US" w:eastAsia="zh-CN"/>
              </w:rPr>
              <w:t>准噶尔盆地北部水源涵养生态维护区</w:t>
            </w:r>
          </w:p>
        </w:tc>
        <w:tc>
          <w:tcPr>
            <w:tcW w:w="3622" w:type="dxa"/>
            <w:tcBorders>
              <w:tl2br w:val="nil"/>
              <w:tr2bl w:val="nil"/>
            </w:tcBorders>
            <w:noWrap w:val="0"/>
            <w:vAlign w:val="center"/>
          </w:tcPr>
          <w:p>
            <w:pPr>
              <w:pStyle w:val="101"/>
              <w:keepNext w:val="0"/>
              <w:keepLines w:val="0"/>
              <w:suppressLineNumbers w:val="0"/>
              <w:bidi w:val="0"/>
              <w:spacing w:before="0" w:beforeAutospacing="0" w:after="0" w:afterAutospacing="0"/>
              <w:ind w:left="0" w:leftChars="0" w:right="0" w:rightChars="0" w:firstLine="0" w:firstLineChars="0"/>
              <w:jc w:val="center"/>
              <w:rPr>
                <w:rFonts w:hint="eastAsia"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乌苏市、沙湾县、</w:t>
            </w:r>
            <w:r>
              <w:rPr>
                <w:rFonts w:hint="eastAsia" w:cs="Times New Roman"/>
                <w:b/>
                <w:bCs/>
                <w:color w:val="auto"/>
                <w:kern w:val="0"/>
                <w:sz w:val="21"/>
                <w:szCs w:val="21"/>
                <w:highlight w:val="none"/>
                <w:shd w:val="clear" w:color="auto" w:fill="auto"/>
                <w:lang w:val="en-US" w:eastAsia="zh-CN" w:bidi="ar"/>
              </w:rPr>
              <w:t>和布克赛尔蒙古自治县</w:t>
            </w:r>
            <w:r>
              <w:rPr>
                <w:rFonts w:hint="eastAsia" w:cs="Times New Roman"/>
                <w:color w:val="auto"/>
                <w:kern w:val="0"/>
                <w:sz w:val="21"/>
                <w:szCs w:val="21"/>
                <w:highlight w:val="none"/>
                <w:shd w:val="clear" w:color="auto" w:fill="auto"/>
                <w:lang w:val="en-US" w:eastAsia="zh-CN" w:bidi="ar"/>
              </w:rPr>
              <w:t>、塔城市、额敏县、托里县、裕民县</w:t>
            </w:r>
          </w:p>
        </w:tc>
      </w:tr>
    </w:tbl>
    <w:p>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2）和布克赛尔蒙古自治县</w:t>
      </w:r>
      <w:r>
        <w:rPr>
          <w:rFonts w:hint="default" w:ascii="Times New Roman" w:hAnsi="Times New Roman" w:eastAsia="宋体" w:cs="Times New Roman"/>
          <w:color w:val="auto"/>
          <w:highlight w:val="none"/>
          <w:lang w:val="en-US" w:eastAsia="zh-CN"/>
        </w:rPr>
        <w:t>水土保持</w:t>
      </w:r>
      <w:r>
        <w:rPr>
          <w:rFonts w:hint="eastAsia" w:ascii="Times New Roman" w:hAnsi="Times New Roman" w:eastAsia="宋体" w:cs="Times New Roman"/>
          <w:color w:val="auto"/>
          <w:highlight w:val="none"/>
          <w:lang w:val="en-US" w:eastAsia="zh-CN"/>
        </w:rPr>
        <w:t>规划中的</w:t>
      </w:r>
      <w:r>
        <w:rPr>
          <w:rFonts w:hint="default" w:ascii="Times New Roman" w:hAnsi="Times New Roman" w:eastAsia="宋体" w:cs="Times New Roman"/>
          <w:color w:val="auto"/>
          <w:highlight w:val="none"/>
          <w:lang w:val="en-US" w:eastAsia="zh-CN"/>
        </w:rPr>
        <w:t>分区</w:t>
      </w:r>
      <w:r>
        <w:rPr>
          <w:rFonts w:hint="eastAsia" w:ascii="Times New Roman" w:hAnsi="Times New Roman" w:eastAsia="宋体" w:cs="Times New Roman"/>
          <w:color w:val="auto"/>
          <w:highlight w:val="none"/>
          <w:lang w:val="en-US" w:eastAsia="zh-CN"/>
        </w:rPr>
        <w:t>情况</w:t>
      </w:r>
    </w:p>
    <w:p>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依托国家三级区划和省级区划，按照</w:t>
      </w:r>
      <w:r>
        <w:rPr>
          <w:rFonts w:hint="eastAsia" w:ascii="Times New Roman" w:hAnsi="Times New Roman" w:eastAsia="宋体" w:cs="Times New Roman"/>
          <w:color w:val="auto"/>
          <w:highlight w:val="none"/>
          <w:lang w:val="en-US" w:eastAsia="zh-CN"/>
        </w:rPr>
        <w:t>县区</w:t>
      </w:r>
      <w:r>
        <w:rPr>
          <w:rFonts w:hint="default" w:ascii="Times New Roman" w:hAnsi="Times New Roman" w:eastAsia="宋体" w:cs="Times New Roman"/>
          <w:color w:val="auto"/>
          <w:highlight w:val="none"/>
          <w:lang w:val="en-US" w:eastAsia="zh-CN"/>
        </w:rPr>
        <w:t>地形地貌、土壤侵蚀、水土保持基础功能等，根据辖区地貌形态和水土流失程度及治理方向的相似性，本次规划采用地貌类型为主导因素，按照“地理位置+优势地貌类型+主导基础功能”三因素命名法，依据区内相似性和区间差异性原则。</w:t>
      </w:r>
      <w:r>
        <w:rPr>
          <w:rFonts w:hint="eastAsia" w:ascii="Times New Roman" w:hAnsi="Times New Roman" w:eastAsia="宋体" w:cs="Times New Roman"/>
          <w:color w:val="auto"/>
          <w:highlight w:val="none"/>
          <w:lang w:val="en-US" w:eastAsia="zh-CN"/>
        </w:rPr>
        <w:t>和布克赛尔蒙古自治县</w:t>
      </w:r>
      <w:r>
        <w:rPr>
          <w:rFonts w:hint="default" w:ascii="Times New Roman" w:hAnsi="Times New Roman" w:eastAsia="宋体" w:cs="Times New Roman"/>
          <w:color w:val="auto"/>
          <w:highlight w:val="none"/>
          <w:lang w:val="en-US" w:eastAsia="zh-CN"/>
        </w:rPr>
        <w:t>水土保持分区表详见表3.</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10</w:t>
      </w:r>
      <w:r>
        <w:rPr>
          <w:rFonts w:hint="default" w:ascii="Times New Roman" w:hAnsi="Times New Roman" w:eastAsia="宋体" w:cs="Times New Roman"/>
          <w:color w:val="auto"/>
          <w:highlight w:val="none"/>
          <w:lang w:val="en-US" w:eastAsia="zh-CN"/>
        </w:rPr>
        <w:t>。</w:t>
      </w:r>
    </w:p>
    <w:p>
      <w:pPr>
        <w:keepNext w:val="0"/>
        <w:keepLines w:val="0"/>
        <w:pageBreakBefore w:val="0"/>
        <w:widowControl/>
        <w:kinsoku/>
        <w:wordWrap/>
        <w:overflowPunct/>
        <w:topLinePunct w:val="0"/>
        <w:autoSpaceDE/>
        <w:autoSpaceDN/>
        <w:bidi w:val="0"/>
        <w:spacing w:line="480" w:lineRule="exact"/>
        <w:ind w:firstLine="422" w:firstLineChars="200"/>
        <w:jc w:val="center"/>
        <w:textAlignment w:val="auto"/>
        <w:rPr>
          <w:rStyle w:val="105"/>
          <w:rFonts w:hint="default" w:ascii="Times New Roman" w:hAnsi="Times New Roman" w:eastAsia="宋体" w:cs="Times New Roman"/>
          <w:b/>
          <w:color w:val="auto"/>
          <w:highlight w:val="none"/>
          <w:shd w:val="clear" w:color="auto" w:fill="auto"/>
          <w:lang w:val="en-US" w:eastAsia="zh-CN"/>
        </w:rPr>
      </w:pPr>
      <w:r>
        <w:rPr>
          <w:rStyle w:val="105"/>
          <w:rFonts w:hint="default" w:ascii="Times New Roman" w:hAnsi="Times New Roman" w:eastAsia="宋体" w:cs="Times New Roman"/>
          <w:b/>
          <w:color w:val="auto"/>
          <w:highlight w:val="none"/>
          <w:shd w:val="clear" w:color="auto" w:fill="auto"/>
          <w:lang w:val="en-US" w:eastAsia="zh-CN"/>
        </w:rPr>
        <w:t>表3.</w:t>
      </w:r>
      <w:r>
        <w:rPr>
          <w:rStyle w:val="105"/>
          <w:rFonts w:hint="eastAsia" w:ascii="Times New Roman" w:hAnsi="Times New Roman" w:eastAsia="宋体" w:cs="Times New Roman"/>
          <w:b/>
          <w:color w:val="auto"/>
          <w:highlight w:val="none"/>
          <w:shd w:val="clear" w:color="auto" w:fill="auto"/>
          <w:lang w:val="en-US" w:eastAsia="zh-CN"/>
        </w:rPr>
        <w:t>4</w:t>
      </w:r>
      <w:r>
        <w:rPr>
          <w:rStyle w:val="105"/>
          <w:rFonts w:hint="default" w:ascii="Times New Roman" w:hAnsi="Times New Roman" w:eastAsia="宋体" w:cs="Times New Roman"/>
          <w:b/>
          <w:color w:val="auto"/>
          <w:highlight w:val="none"/>
          <w:shd w:val="clear" w:color="auto" w:fill="auto"/>
          <w:lang w:val="en-US" w:eastAsia="zh-CN"/>
        </w:rPr>
        <w:t>-</w:t>
      </w:r>
      <w:r>
        <w:rPr>
          <w:rStyle w:val="105"/>
          <w:rFonts w:hint="eastAsia" w:ascii="Times New Roman" w:hAnsi="Times New Roman" w:eastAsia="宋体" w:cs="Times New Roman"/>
          <w:b/>
          <w:color w:val="auto"/>
          <w:highlight w:val="none"/>
          <w:shd w:val="clear" w:color="auto" w:fill="auto"/>
          <w:lang w:val="en-US" w:eastAsia="zh-CN"/>
        </w:rPr>
        <w:t>10</w:t>
      </w:r>
      <w:r>
        <w:rPr>
          <w:rStyle w:val="105"/>
          <w:rFonts w:hint="default" w:ascii="Times New Roman" w:hAnsi="Times New Roman" w:eastAsia="宋体" w:cs="Times New Roman"/>
          <w:b/>
          <w:color w:val="auto"/>
          <w:highlight w:val="none"/>
          <w:shd w:val="clear" w:color="auto" w:fill="auto"/>
          <w:lang w:val="en-US" w:eastAsia="zh-CN"/>
        </w:rPr>
        <w:t xml:space="preserve">   </w:t>
      </w:r>
      <w:r>
        <w:rPr>
          <w:rStyle w:val="105"/>
          <w:rFonts w:hint="eastAsia" w:ascii="Times New Roman" w:hAnsi="Times New Roman" w:eastAsia="宋体" w:cs="Times New Roman"/>
          <w:b/>
          <w:color w:val="auto"/>
          <w:highlight w:val="none"/>
          <w:shd w:val="clear" w:color="auto" w:fill="auto"/>
          <w:lang w:val="en-US" w:eastAsia="zh-CN"/>
        </w:rPr>
        <w:t>和布克赛尔蒙古自治县</w:t>
      </w:r>
      <w:r>
        <w:rPr>
          <w:rStyle w:val="105"/>
          <w:rFonts w:hint="default" w:ascii="Times New Roman" w:hAnsi="Times New Roman" w:eastAsia="宋体" w:cs="Times New Roman"/>
          <w:b/>
          <w:color w:val="auto"/>
          <w:highlight w:val="none"/>
          <w:shd w:val="clear" w:color="auto" w:fill="auto"/>
          <w:lang w:val="en-US" w:eastAsia="zh-CN"/>
        </w:rPr>
        <w:t>水土保持分区表</w:t>
      </w:r>
    </w:p>
    <w:tbl>
      <w:tblPr>
        <w:tblStyle w:val="34"/>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024"/>
        <w:gridCol w:w="1029"/>
        <w:gridCol w:w="1033"/>
        <w:gridCol w:w="1579"/>
        <w:gridCol w:w="397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default" w:ascii="Times New Roman" w:hAnsi="Times New Roman" w:eastAsia="宋体" w:cs="Times New Roman"/>
                <w:color w:val="auto"/>
                <w:kern w:val="0"/>
                <w:sz w:val="21"/>
                <w:highlight w:val="none"/>
                <w:shd w:val="clear" w:color="auto" w:fill="auto"/>
                <w:lang w:val="en-US" w:eastAsia="zh-CN"/>
              </w:rPr>
              <w:t>一级区名称及代码</w:t>
            </w:r>
          </w:p>
        </w:tc>
        <w:tc>
          <w:tcPr>
            <w:tcW w:w="595" w:type="pct"/>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default" w:ascii="Times New Roman" w:hAnsi="Times New Roman" w:eastAsia="宋体" w:cs="Times New Roman"/>
                <w:color w:val="auto"/>
                <w:kern w:val="0"/>
                <w:sz w:val="21"/>
                <w:highlight w:val="none"/>
                <w:shd w:val="clear" w:color="auto" w:fill="auto"/>
                <w:lang w:val="en-US" w:eastAsia="zh-CN"/>
              </w:rPr>
              <w:t>二级区名称及代码</w:t>
            </w:r>
          </w:p>
        </w:tc>
        <w:tc>
          <w:tcPr>
            <w:tcW w:w="597" w:type="pct"/>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default" w:ascii="Times New Roman" w:hAnsi="Times New Roman" w:eastAsia="宋体" w:cs="Times New Roman"/>
                <w:color w:val="auto"/>
                <w:kern w:val="0"/>
                <w:sz w:val="21"/>
                <w:highlight w:val="none"/>
                <w:shd w:val="clear" w:color="auto" w:fill="auto"/>
                <w:lang w:val="en-US" w:eastAsia="zh-CN"/>
              </w:rPr>
              <w:t>三级区名称及代码</w:t>
            </w:r>
          </w:p>
        </w:tc>
        <w:tc>
          <w:tcPr>
            <w:tcW w:w="913" w:type="pct"/>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四级区名称及代码</w:t>
            </w:r>
          </w:p>
        </w:tc>
        <w:tc>
          <w:tcPr>
            <w:tcW w:w="2301" w:type="pct"/>
            <w:tcBorders>
              <w:tl2br w:val="nil"/>
              <w:tr2bl w:val="nil"/>
            </w:tcBorders>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区域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restart"/>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default" w:ascii="Times New Roman" w:hAnsi="Times New Roman" w:eastAsia="宋体" w:cs="Times New Roman"/>
                <w:color w:val="auto"/>
                <w:kern w:val="0"/>
                <w:sz w:val="21"/>
                <w:highlight w:val="none"/>
                <w:shd w:val="clear" w:color="auto" w:fill="auto"/>
                <w:lang w:val="en-US" w:eastAsia="zh-CN"/>
              </w:rPr>
              <w:t>北方风沙区（新甘蒙高原盆地区）Ⅱ</w:t>
            </w:r>
          </w:p>
        </w:tc>
        <w:tc>
          <w:tcPr>
            <w:tcW w:w="595" w:type="pct"/>
            <w:vMerge w:val="restart"/>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北</w:t>
            </w:r>
            <w:r>
              <w:rPr>
                <w:rFonts w:hint="default" w:ascii="Times New Roman" w:hAnsi="Times New Roman" w:eastAsia="宋体" w:cs="Times New Roman"/>
                <w:color w:val="auto"/>
                <w:kern w:val="0"/>
                <w:sz w:val="21"/>
                <w:highlight w:val="none"/>
                <w:shd w:val="clear" w:color="auto" w:fill="auto"/>
                <w:lang w:val="en-US" w:eastAsia="zh-CN"/>
              </w:rPr>
              <w:t>疆山地盆地区（Ⅱ-</w:t>
            </w:r>
            <w:r>
              <w:rPr>
                <w:rFonts w:hint="eastAsia" w:ascii="Times New Roman" w:hAnsi="Times New Roman" w:eastAsia="宋体" w:cs="Times New Roman"/>
                <w:color w:val="auto"/>
                <w:kern w:val="0"/>
                <w:sz w:val="21"/>
                <w:highlight w:val="none"/>
                <w:shd w:val="clear" w:color="auto" w:fill="auto"/>
                <w:lang w:val="en-US" w:eastAsia="zh-CN"/>
              </w:rPr>
              <w:t>3</w:t>
            </w:r>
            <w:r>
              <w:rPr>
                <w:rFonts w:hint="default" w:ascii="Times New Roman" w:hAnsi="Times New Roman" w:eastAsia="宋体" w:cs="Times New Roman"/>
                <w:color w:val="auto"/>
                <w:kern w:val="0"/>
                <w:sz w:val="21"/>
                <w:highlight w:val="none"/>
                <w:shd w:val="clear" w:color="auto" w:fill="auto"/>
                <w:lang w:val="en-US" w:eastAsia="zh-CN"/>
              </w:rPr>
              <w:t>）</w:t>
            </w:r>
          </w:p>
        </w:tc>
        <w:tc>
          <w:tcPr>
            <w:tcW w:w="597" w:type="pct"/>
            <w:vMerge w:val="restart"/>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准噶尔</w:t>
            </w:r>
            <w:r>
              <w:rPr>
                <w:rFonts w:hint="default" w:ascii="Times New Roman" w:hAnsi="Times New Roman" w:eastAsia="宋体" w:cs="Times New Roman"/>
                <w:color w:val="auto"/>
                <w:kern w:val="0"/>
                <w:sz w:val="21"/>
                <w:highlight w:val="none"/>
                <w:shd w:val="clear" w:color="auto" w:fill="auto"/>
                <w:lang w:val="en-US" w:eastAsia="zh-CN"/>
              </w:rPr>
              <w:t>盆地北部水源涵养</w:t>
            </w:r>
            <w:r>
              <w:rPr>
                <w:rFonts w:hint="eastAsia" w:ascii="Times New Roman" w:hAnsi="Times New Roman" w:eastAsia="宋体" w:cs="Times New Roman"/>
                <w:color w:val="auto"/>
                <w:kern w:val="0"/>
                <w:sz w:val="21"/>
                <w:highlight w:val="none"/>
                <w:shd w:val="clear" w:color="auto" w:fill="auto"/>
                <w:lang w:val="en-US" w:eastAsia="zh-CN"/>
              </w:rPr>
              <w:t>生态维护</w:t>
            </w:r>
            <w:r>
              <w:rPr>
                <w:rFonts w:hint="default" w:ascii="Times New Roman" w:hAnsi="Times New Roman" w:eastAsia="宋体" w:cs="Times New Roman"/>
                <w:color w:val="auto"/>
                <w:kern w:val="0"/>
                <w:sz w:val="21"/>
                <w:highlight w:val="none"/>
                <w:shd w:val="clear" w:color="auto" w:fill="auto"/>
                <w:lang w:val="en-US" w:eastAsia="zh-CN"/>
              </w:rPr>
              <w:t>区</w:t>
            </w:r>
            <w:r>
              <w:rPr>
                <w:rFonts w:hint="default" w:ascii="Times New Roman" w:hAnsi="Times New Roman" w:eastAsia="宋体" w:cs="Times New Roman"/>
                <w:color w:val="auto"/>
                <w:spacing w:val="-11"/>
                <w:kern w:val="0"/>
                <w:sz w:val="21"/>
                <w:highlight w:val="none"/>
                <w:shd w:val="clear" w:color="auto" w:fill="auto"/>
                <w:lang w:val="en-US" w:eastAsia="zh-CN"/>
              </w:rPr>
              <w:t>（Ⅱ-</w:t>
            </w:r>
            <w:r>
              <w:rPr>
                <w:rFonts w:hint="eastAsia" w:ascii="Times New Roman" w:hAnsi="Times New Roman" w:eastAsia="宋体" w:cs="Times New Roman"/>
                <w:color w:val="auto"/>
                <w:spacing w:val="-11"/>
                <w:kern w:val="0"/>
                <w:sz w:val="21"/>
                <w:highlight w:val="none"/>
                <w:shd w:val="clear" w:color="auto" w:fill="auto"/>
                <w:lang w:val="en-US" w:eastAsia="zh-CN"/>
              </w:rPr>
              <w:t>3</w:t>
            </w:r>
            <w:r>
              <w:rPr>
                <w:rFonts w:hint="default" w:ascii="Times New Roman" w:hAnsi="Times New Roman" w:eastAsia="宋体" w:cs="Times New Roman"/>
                <w:color w:val="auto"/>
                <w:spacing w:val="-11"/>
                <w:kern w:val="0"/>
                <w:sz w:val="21"/>
                <w:highlight w:val="none"/>
                <w:shd w:val="clear" w:color="auto" w:fill="auto"/>
                <w:lang w:val="en-US" w:eastAsia="zh-CN"/>
              </w:rPr>
              <w:t>-1</w:t>
            </w:r>
            <w:r>
              <w:rPr>
                <w:rFonts w:hint="eastAsia" w:ascii="Times New Roman" w:hAnsi="Times New Roman" w:eastAsia="宋体" w:cs="Times New Roman"/>
                <w:color w:val="auto"/>
                <w:spacing w:val="-11"/>
                <w:kern w:val="0"/>
                <w:sz w:val="21"/>
                <w:highlight w:val="none"/>
                <w:shd w:val="clear" w:color="auto" w:fill="auto"/>
                <w:lang w:val="en-US" w:eastAsia="zh-CN"/>
              </w:rPr>
              <w:t>hw</w:t>
            </w:r>
            <w:r>
              <w:rPr>
                <w:rFonts w:hint="default" w:ascii="Times New Roman" w:hAnsi="Times New Roman" w:eastAsia="宋体" w:cs="Times New Roman"/>
                <w:color w:val="auto"/>
                <w:spacing w:val="-11"/>
                <w:kern w:val="0"/>
                <w:sz w:val="21"/>
                <w:highlight w:val="none"/>
                <w:shd w:val="clear" w:color="auto" w:fill="auto"/>
                <w:lang w:val="en-US" w:eastAsia="zh-CN"/>
              </w:rPr>
              <w:t>）</w:t>
            </w:r>
          </w:p>
        </w:tc>
        <w:tc>
          <w:tcPr>
            <w:tcW w:w="913" w:type="pct"/>
            <w:vMerge w:val="restart"/>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北部山地、草原水源涵养区</w:t>
            </w:r>
          </w:p>
        </w:tc>
        <w:tc>
          <w:tcPr>
            <w:tcW w:w="2301" w:type="pct"/>
            <w:tcBorders>
              <w:tl2br w:val="nil"/>
              <w:tr2bl w:val="nil"/>
            </w:tcBorders>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1-1中低山冻融侵蚀预防保护区；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5"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597"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913"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2301" w:type="pct"/>
            <w:tcBorders>
              <w:tl2br w:val="nil"/>
              <w:tr2bl w:val="nil"/>
            </w:tcBorders>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spacing w:val="-11"/>
                <w:kern w:val="0"/>
                <w:sz w:val="21"/>
                <w:highlight w:val="none"/>
                <w:shd w:val="clear" w:color="auto" w:fill="auto"/>
                <w:lang w:val="en-US" w:eastAsia="zh-CN"/>
              </w:rPr>
              <w:t>1-2和布克谷地风力、水力混合侵蚀治理区；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5"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597"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913"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p>
        </w:tc>
        <w:tc>
          <w:tcPr>
            <w:tcW w:w="2301" w:type="pct"/>
            <w:tcBorders>
              <w:tl2br w:val="nil"/>
              <w:tr2bl w:val="nil"/>
            </w:tcBorders>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1-3北部丘陵风力、水力混合侵蚀治理区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5"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7"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913" w:type="pct"/>
            <w:tcBorders>
              <w:tl2br w:val="nil"/>
              <w:tr2bl w:val="nil"/>
            </w:tcBorders>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中部谷地丘陵平原荒漠—绿洲产业发展区</w:t>
            </w:r>
          </w:p>
        </w:tc>
        <w:tc>
          <w:tcPr>
            <w:tcW w:w="2301" w:type="pct"/>
            <w:tcBorders>
              <w:tl2br w:val="nil"/>
              <w:tr2bl w:val="nil"/>
            </w:tcBorders>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2-1绿洲区人工生态建设风力侵蚀治理区；</w:t>
            </w:r>
          </w:p>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2-2白杨河流域风力、水力侵蚀治理区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592"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5"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597" w:type="pct"/>
            <w:vMerge w:val="continue"/>
            <w:tcBorders>
              <w:tl2br w:val="nil"/>
              <w:tr2bl w:val="nil"/>
            </w:tcBorders>
            <w:shd w:val="clear" w:color="auto" w:fill="FFFFFF"/>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p>
        </w:tc>
        <w:tc>
          <w:tcPr>
            <w:tcW w:w="913" w:type="pct"/>
            <w:tcBorders>
              <w:tl2br w:val="nil"/>
              <w:tr2bl w:val="nil"/>
            </w:tcBorders>
            <w:shd w:val="clear" w:color="auto" w:fill="D7D7D7"/>
            <w:noWrap w:val="0"/>
            <w:tcMar>
              <w:top w:w="15" w:type="dxa"/>
              <w:left w:w="15" w:type="dxa"/>
              <w:right w:w="15" w:type="dxa"/>
            </w:tcMar>
            <w:vAlign w:val="center"/>
          </w:tcPr>
          <w:p>
            <w:pPr>
              <w:pStyle w:val="101"/>
              <w:keepNext w:val="0"/>
              <w:keepLines w:val="0"/>
              <w:suppressLineNumbers w:val="0"/>
              <w:bidi w:val="0"/>
              <w:spacing w:before="0" w:beforeAutospacing="0" w:after="0" w:afterAutospacing="0" w:line="280" w:lineRule="exact"/>
              <w:ind w:left="0" w:leftChars="0" w:right="0" w:rightChars="0" w:firstLine="0" w:firstLineChars="0"/>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荒漠平原风力侵蚀预防保护区</w:t>
            </w:r>
          </w:p>
        </w:tc>
        <w:tc>
          <w:tcPr>
            <w:tcW w:w="2301" w:type="pct"/>
            <w:tcBorders>
              <w:tl2br w:val="nil"/>
              <w:tr2bl w:val="nil"/>
            </w:tcBorders>
            <w:noWrap w:val="0"/>
            <w:tcMar>
              <w:top w:w="15" w:type="dxa"/>
              <w:left w:w="15" w:type="dxa"/>
              <w:right w:w="15" w:type="dxa"/>
            </w:tcMar>
            <w:vAlign w:val="center"/>
          </w:tcPr>
          <w:p>
            <w:pPr>
              <w:pStyle w:val="101"/>
              <w:keepNext w:val="0"/>
              <w:keepLines w:val="0"/>
              <w:suppressLineNumbers w:val="0"/>
              <w:shd w:val="clear" w:color="auto" w:fill="D7D7D7"/>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3-1盐湖风力侵蚀预防保护区；</w:t>
            </w:r>
          </w:p>
          <w:p>
            <w:pPr>
              <w:pStyle w:val="101"/>
              <w:keepNext w:val="0"/>
              <w:keepLines w:val="0"/>
              <w:suppressLineNumbers w:val="0"/>
              <w:bidi w:val="0"/>
              <w:spacing w:before="0" w:beforeAutospacing="0" w:after="0" w:afterAutospacing="0" w:line="280" w:lineRule="exact"/>
              <w:ind w:left="0" w:leftChars="0" w:right="0" w:rightChars="0" w:firstLine="0" w:firstLineChars="0"/>
              <w:rPr>
                <w:rFonts w:hint="eastAsia"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3-2沙漠风力侵蚀预防保护区；</w:t>
            </w:r>
          </w:p>
          <w:p>
            <w:pPr>
              <w:pStyle w:val="101"/>
              <w:keepNext w:val="0"/>
              <w:keepLines w:val="0"/>
              <w:suppressLineNumbers w:val="0"/>
              <w:bidi w:val="0"/>
              <w:spacing w:before="0" w:beforeAutospacing="0" w:after="0" w:afterAutospacing="0" w:line="280" w:lineRule="exact"/>
              <w:ind w:left="0" w:leftChars="0" w:right="0" w:rightChars="0" w:firstLine="0" w:firstLineChars="0"/>
              <w:jc w:val="left"/>
              <w:rPr>
                <w:rFonts w:hint="default" w:ascii="Times New Roman" w:hAnsi="Times New Roman" w:eastAsia="宋体" w:cs="Times New Roman"/>
                <w:color w:val="auto"/>
                <w:kern w:val="0"/>
                <w:sz w:val="21"/>
                <w:highlight w:val="none"/>
                <w:shd w:val="clear" w:color="auto" w:fill="auto"/>
                <w:lang w:val="en-US" w:eastAsia="zh-CN"/>
              </w:rPr>
            </w:pPr>
            <w:r>
              <w:rPr>
                <w:rFonts w:hint="eastAsia" w:ascii="Times New Roman" w:hAnsi="Times New Roman" w:eastAsia="宋体" w:cs="Times New Roman"/>
                <w:color w:val="auto"/>
                <w:kern w:val="0"/>
                <w:sz w:val="21"/>
                <w:highlight w:val="none"/>
                <w:shd w:val="clear" w:color="auto" w:fill="auto"/>
                <w:lang w:val="en-US" w:eastAsia="zh-CN"/>
              </w:rPr>
              <w:t>3-3荒漠平原风力侵蚀预防保护区；</w:t>
            </w:r>
          </w:p>
        </w:tc>
      </w:tr>
    </w:tbl>
    <w:p>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②水土流失治理分区</w:t>
      </w:r>
    </w:p>
    <w:p>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土流失重点预防区的定量指标主要包括地形坡度、集中连片面积、林草覆盖率、轻度以下水土流失面积占总土地面积的比例。定性因素主要考虑水土保持功能的重要性，水土流失潜在危险危害程度，是否处于江河源头区、饮用水源保护区、自然保护区、风景名胜区、重要湿地、水功能区中的自然保护区和重要源头水保护区。</w:t>
      </w:r>
    </w:p>
    <w:p>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水土流失重点治理区的定量指标包括水土流失面积占总土地面积的比例，中度以上水土流失面积占水土流失面积的比例。定性因素主要考虑水土流失危害程度、水土流失治理的紧迫性、民生要求的迫切性。</w:t>
      </w:r>
    </w:p>
    <w:p>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w:t>
      </w:r>
      <w:r>
        <w:rPr>
          <w:rFonts w:hint="default" w:ascii="Times New Roman" w:hAnsi="Times New Roman" w:eastAsia="宋体" w:cs="Times New Roman"/>
          <w:color w:val="auto"/>
          <w:highlight w:val="none"/>
          <w:lang w:val="en-US" w:eastAsia="zh-CN"/>
        </w:rPr>
        <w:t>新水〔2019〕4号</w:t>
      </w:r>
      <w:r>
        <w:rPr>
          <w:rFonts w:hint="eastAsia" w:ascii="Times New Roman" w:hAnsi="Times New Roman" w:eastAsia="宋体" w:cs="Times New Roman"/>
          <w:color w:val="auto"/>
          <w:highlight w:val="none"/>
          <w:lang w:val="en-US" w:eastAsia="zh-CN"/>
        </w:rPr>
        <w:t>），项目所在区域和布克赛尔蒙古自治县属于天山北坡诸小河流域</w:t>
      </w:r>
      <w:r>
        <w:rPr>
          <w:rFonts w:hint="default" w:ascii="Times New Roman" w:hAnsi="Times New Roman" w:eastAsia="宋体" w:cs="Times New Roman"/>
          <w:color w:val="auto"/>
          <w:highlight w:val="none"/>
          <w:lang w:val="en-US" w:eastAsia="zh-CN"/>
        </w:rPr>
        <w:t>重点治理区</w:t>
      </w:r>
      <w:r>
        <w:rPr>
          <w:rFonts w:hint="eastAsia" w:ascii="Times New Roman" w:hAnsi="Times New Roman" w:eastAsia="宋体" w:cs="Times New Roman"/>
          <w:color w:val="auto"/>
          <w:highlight w:val="none"/>
          <w:lang w:val="en-US" w:eastAsia="zh-CN"/>
        </w:rPr>
        <w:t>。</w:t>
      </w:r>
    </w:p>
    <w:p>
      <w:pPr>
        <w:keepNext w:val="0"/>
        <w:keepLines w:val="0"/>
        <w:pageBreakBefore w:val="0"/>
        <w:widowControl/>
        <w:kinsoku/>
        <w:wordWrap/>
        <w:overflowPunct/>
        <w:topLinePunct w:val="0"/>
        <w:autoSpaceDE/>
        <w:autoSpaceDN/>
        <w:bidi w:val="0"/>
        <w:spacing w:line="480" w:lineRule="exact"/>
        <w:ind w:firstLine="422" w:firstLineChars="200"/>
        <w:jc w:val="center"/>
        <w:textAlignment w:val="auto"/>
        <w:rPr>
          <w:rStyle w:val="105"/>
          <w:rFonts w:hint="default" w:ascii="Times New Roman" w:hAnsi="Times New Roman" w:eastAsia="宋体" w:cs="Times New Roman"/>
          <w:b/>
          <w:color w:val="auto"/>
          <w:highlight w:val="none"/>
          <w:shd w:val="clear" w:color="auto" w:fill="auto"/>
          <w:lang w:val="en-US" w:eastAsia="zh-CN"/>
        </w:rPr>
      </w:pPr>
      <w:r>
        <w:rPr>
          <w:rStyle w:val="105"/>
          <w:rFonts w:hint="eastAsia" w:ascii="Times New Roman" w:hAnsi="Times New Roman" w:eastAsia="宋体" w:cs="Times New Roman"/>
          <w:b/>
          <w:color w:val="auto"/>
          <w:highlight w:val="none"/>
          <w:shd w:val="clear" w:color="auto" w:fill="auto"/>
          <w:lang w:val="en-US" w:eastAsia="zh-CN"/>
        </w:rPr>
        <w:t>表3.4-11  自治区级水土流失重点预防区和重点治理区划分表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355"/>
        <w:gridCol w:w="1291"/>
        <w:gridCol w:w="387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522" w:type="dxa"/>
            <w:gridSpan w:val="3"/>
            <w:tcBorders>
              <w:tl2br w:val="nil"/>
              <w:tr2bl w:val="nil"/>
            </w:tcBorders>
            <w:noWrap w:val="0"/>
            <w:vAlign w:val="center"/>
          </w:tcPr>
          <w:p>
            <w:pPr>
              <w:jc w:val="center"/>
              <w:rPr>
                <w:color w:val="auto"/>
                <w:szCs w:val="21"/>
                <w:highlight w:val="none"/>
                <w:shd w:val="clear" w:color="auto" w:fill="auto"/>
              </w:rPr>
            </w:pPr>
            <w:r>
              <w:rPr>
                <w:color w:val="auto"/>
                <w:szCs w:val="21"/>
                <w:highlight w:val="none"/>
                <w:shd w:val="clear" w:color="auto" w:fill="auto"/>
              </w:rPr>
              <w:t>Ⅱ重点</w:t>
            </w:r>
            <w:r>
              <w:rPr>
                <w:rFonts w:hint="eastAsia"/>
                <w:color w:val="auto"/>
                <w:szCs w:val="21"/>
                <w:highlight w:val="none"/>
                <w:shd w:val="clear" w:color="auto" w:fill="auto"/>
              </w:rPr>
              <w:t>治理</w:t>
            </w:r>
            <w:r>
              <w:rPr>
                <w:color w:val="auto"/>
                <w:szCs w:val="21"/>
                <w:highlight w:val="none"/>
                <w:shd w:val="clear" w:color="auto" w:fill="auto"/>
              </w:rPr>
              <w:t>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355" w:type="dxa"/>
            <w:tcBorders>
              <w:tl2br w:val="nil"/>
              <w:tr2bl w:val="nil"/>
            </w:tcBorders>
            <w:noWrap w:val="0"/>
            <w:vAlign w:val="center"/>
          </w:tcPr>
          <w:p>
            <w:pPr>
              <w:pStyle w:val="101"/>
              <w:keepNext w:val="0"/>
              <w:keepLines w:val="0"/>
              <w:suppressLineNumbers w:val="0"/>
              <w:bidi w:val="0"/>
              <w:spacing w:before="0" w:beforeAutospacing="0" w:after="0" w:afterAutospacing="0"/>
              <w:ind w:left="-42" w:leftChars="-20" w:right="-42" w:rightChars="-20"/>
              <w:jc w:val="center"/>
              <w:rPr>
                <w:color w:val="auto"/>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fldChar w:fldCharType="begin"/>
            </w:r>
            <w:r>
              <w:rPr>
                <w:rFonts w:hint="default" w:ascii="Times New Roman" w:hAnsi="Times New Roman" w:eastAsia="宋体" w:cs="Times New Roman"/>
                <w:color w:val="auto"/>
                <w:sz w:val="21"/>
                <w:szCs w:val="21"/>
                <w:highlight w:val="none"/>
                <w:shd w:val="clear" w:color="auto" w:fill="auto"/>
                <w:lang w:val="en-US" w:eastAsia="zh-CN"/>
              </w:rPr>
              <w:instrText xml:space="preserve"> = 2 \* ROMAN \* MERGEFORMAT </w:instrText>
            </w:r>
            <w:r>
              <w:rPr>
                <w:rFonts w:hint="default" w:ascii="Times New Roman" w:hAnsi="Times New Roman" w:eastAsia="宋体" w:cs="Times New Roman"/>
                <w:color w:val="auto"/>
                <w:sz w:val="21"/>
                <w:szCs w:val="21"/>
                <w:highlight w:val="none"/>
                <w:shd w:val="clear" w:color="auto" w:fill="auto"/>
                <w:lang w:val="en-US" w:eastAsia="zh-CN"/>
              </w:rPr>
              <w:fldChar w:fldCharType="separate"/>
            </w:r>
            <w:r>
              <w:rPr>
                <w:rFonts w:hint="default" w:ascii="Times New Roman" w:hAnsi="Times New Roman" w:cs="Times New Roman"/>
                <w:color w:val="auto"/>
                <w:sz w:val="21"/>
                <w:szCs w:val="21"/>
                <w:highlight w:val="none"/>
                <w:shd w:val="clear" w:color="auto" w:fill="auto"/>
              </w:rPr>
              <w:t>II</w:t>
            </w:r>
            <w:r>
              <w:rPr>
                <w:rFonts w:hint="default" w:ascii="Times New Roman" w:hAnsi="Times New Roman" w:eastAsia="宋体" w:cs="Times New Roman"/>
                <w:color w:val="auto"/>
                <w:sz w:val="21"/>
                <w:szCs w:val="21"/>
                <w:highlight w:val="none"/>
                <w:shd w:val="clear" w:color="auto" w:fill="auto"/>
                <w:lang w:val="en-US" w:eastAsia="zh-CN"/>
              </w:rPr>
              <w:fldChar w:fldCharType="end"/>
            </w:r>
            <w:r>
              <w:rPr>
                <w:rFonts w:hint="default" w:ascii="Times New Roman" w:hAnsi="Times New Roman" w:cs="Times New Roman"/>
                <w:color w:val="auto"/>
                <w:sz w:val="21"/>
                <w:szCs w:val="21"/>
                <w:highlight w:val="none"/>
                <w:shd w:val="clear" w:color="auto" w:fill="auto"/>
                <w:vertAlign w:val="subscript"/>
                <w:lang w:val="en-US" w:eastAsia="zh-CN"/>
              </w:rPr>
              <w:t>3</w:t>
            </w:r>
            <w:r>
              <w:rPr>
                <w:rFonts w:hint="eastAsia" w:cs="Times New Roman"/>
                <w:color w:val="auto"/>
                <w:sz w:val="21"/>
                <w:szCs w:val="21"/>
                <w:highlight w:val="none"/>
                <w:shd w:val="clear" w:color="auto" w:fill="auto"/>
                <w:lang w:val="en-US" w:eastAsia="zh-CN"/>
              </w:rPr>
              <w:t>天山北坡诸小河流域</w:t>
            </w:r>
            <w:r>
              <w:rPr>
                <w:rFonts w:hint="default" w:ascii="Times New Roman" w:hAnsi="Times New Roman" w:cs="Times New Roman"/>
                <w:color w:val="auto"/>
                <w:sz w:val="21"/>
                <w:szCs w:val="21"/>
                <w:highlight w:val="none"/>
                <w:shd w:val="clear" w:color="auto" w:fill="auto"/>
                <w:lang w:val="en-US" w:eastAsia="zh-CN"/>
              </w:rPr>
              <w:t>重点治理区</w:t>
            </w:r>
          </w:p>
        </w:tc>
        <w:tc>
          <w:tcPr>
            <w:tcW w:w="1291" w:type="dxa"/>
            <w:tcBorders>
              <w:tl2br w:val="nil"/>
              <w:tr2bl w:val="nil"/>
            </w:tcBorders>
            <w:noWrap w:val="0"/>
            <w:vAlign w:val="center"/>
          </w:tcPr>
          <w:p>
            <w:pPr>
              <w:pStyle w:val="101"/>
              <w:keepNext w:val="0"/>
              <w:keepLines w:val="0"/>
              <w:suppressLineNumbers w:val="0"/>
              <w:bidi w:val="0"/>
              <w:spacing w:before="0" w:beforeAutospacing="0" w:after="0" w:afterAutospacing="0"/>
              <w:ind w:left="-42" w:leftChars="-20" w:right="-42" w:rightChars="-20"/>
              <w:jc w:val="center"/>
              <w:rPr>
                <w:color w:val="auto"/>
                <w:szCs w:val="21"/>
                <w:highlight w:val="none"/>
                <w:shd w:val="clear" w:color="auto" w:fill="auto"/>
              </w:rPr>
            </w:pPr>
            <w:r>
              <w:rPr>
                <w:rFonts w:hint="eastAsia" w:cs="Times New Roman"/>
                <w:color w:val="auto"/>
                <w:sz w:val="21"/>
                <w:szCs w:val="21"/>
                <w:highlight w:val="none"/>
                <w:shd w:val="clear" w:color="auto" w:fill="auto"/>
                <w:lang w:val="en-US" w:eastAsia="zh-CN"/>
              </w:rPr>
              <w:t>塔城地区</w:t>
            </w:r>
          </w:p>
        </w:tc>
        <w:tc>
          <w:tcPr>
            <w:tcW w:w="3876" w:type="dxa"/>
            <w:tcBorders>
              <w:tl2br w:val="nil"/>
              <w:tr2bl w:val="nil"/>
            </w:tcBorders>
            <w:noWrap w:val="0"/>
            <w:vAlign w:val="center"/>
          </w:tcPr>
          <w:p>
            <w:pPr>
              <w:pStyle w:val="101"/>
              <w:keepNext w:val="0"/>
              <w:keepLines w:val="0"/>
              <w:suppressLineNumbers w:val="0"/>
              <w:bidi w:val="0"/>
              <w:spacing w:before="0" w:beforeAutospacing="0" w:after="0" w:afterAutospacing="0"/>
              <w:ind w:left="-42" w:leftChars="-20" w:right="-42" w:rightChars="-20"/>
              <w:jc w:val="center"/>
              <w:rPr>
                <w:color w:val="auto"/>
                <w:szCs w:val="21"/>
                <w:highlight w:val="none"/>
                <w:shd w:val="clear" w:color="auto" w:fill="auto"/>
              </w:rPr>
            </w:pPr>
            <w:r>
              <w:rPr>
                <w:rFonts w:hint="eastAsia" w:cs="Times New Roman"/>
                <w:color w:val="auto"/>
                <w:sz w:val="21"/>
                <w:szCs w:val="21"/>
                <w:highlight w:val="none"/>
                <w:shd w:val="clear" w:color="auto" w:fill="auto"/>
                <w:lang w:val="en-US" w:eastAsia="zh-CN"/>
              </w:rPr>
              <w:t>乌苏市、沙湾县、</w:t>
            </w:r>
            <w:r>
              <w:rPr>
                <w:rFonts w:hint="eastAsia" w:cs="Times New Roman"/>
                <w:b/>
                <w:bCs/>
                <w:color w:val="auto"/>
                <w:kern w:val="0"/>
                <w:sz w:val="21"/>
                <w:szCs w:val="21"/>
                <w:highlight w:val="none"/>
                <w:shd w:val="clear" w:color="auto" w:fill="auto"/>
                <w:lang w:val="en-US" w:eastAsia="zh-CN" w:bidi="ar"/>
              </w:rPr>
              <w:t>和布克赛尔蒙古自治县</w:t>
            </w:r>
            <w:r>
              <w:rPr>
                <w:rFonts w:hint="eastAsia" w:cs="Times New Roman"/>
                <w:color w:val="auto"/>
                <w:kern w:val="0"/>
                <w:sz w:val="21"/>
                <w:szCs w:val="21"/>
                <w:highlight w:val="none"/>
                <w:shd w:val="clear" w:color="auto" w:fill="auto"/>
                <w:lang w:val="en-US" w:eastAsia="zh-CN" w:bidi="ar"/>
              </w:rPr>
              <w:t>、塔城市、额敏县、托里县、裕民县</w:t>
            </w:r>
          </w:p>
        </w:tc>
      </w:tr>
    </w:tbl>
    <w:p>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③本工程与《新疆维吾尔自治区水土保持规划（2018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2030年）》的可行性分析</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1）3-1盐湖风力侵蚀预防保护区现状情况</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该区域位于县域境内西南部，与克拉玛依市接壤，准噶尔盆地西缘沿玛纳斯湖</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艾里克湖一带。该区域属于限制开发区，应以生态保育为导向，在国家主体功能区划中天山北坡经济带建设中专门提到，加强克拉玛依一玛纳斯湖一艾里克湖沙漠西部防护区生态防护体系建设要求。在科学研究，有序规划调度基础上，借鉴干旱区内陆河流生态治理的经验，构建一条阻隔古尔班通古特沙漠入侵的绿色生态隔离带。同时该区域的哈尔扎克荒漠梭梭林保护区位于玛纳斯湖水体收缩后的古湖盆沉积区上，具有典型的“荒漠森林”自然原生态景观，该区靠近克拉玛依地区，是北疆地区沙尘暴的重要策源之一，作为古尔班通古特沙漠植被的建群种，林地的保护对生态环境的保护起着举足轻重的作用，同时该区域的生态演化趋势也具有极高的科学研究价值，应尽力避免梭梭林的大面积退化死亡现象。</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2）管理要求</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禁止毁荒建林、在绿洲</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荒漠过渡带以及在无水源保障区域造人工林。禁止樵采、挖药、猎捕和车辆乱压等随意破坏地表的活动。严格控制灌溉面积，保障生态用水。规范矿产资源开发、交通运输及水利工程建设活动，不得扰动或破坏工程区外地表形态，不得阻隔野生动物迁徙。</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实施生态修复，推进周边防沙治沙工程，封育保护荒漠林，加大天然植被保护，恢复自然植被，遏制沙漠化趋势，保障绿洲生态安全。该区交通条件优越，具有发展沙区特色经济林的优越的自然地理条件，适合发展肉蓉、葡萄、沙棘等经济树种，把察和特农业综合开发区与生态环境建设有机结合起来，以增加沙区林草种植为主，优先建设哈尔扎克梭梭林自然保护区工程，建设防风固沙林，防风治沙遏制荒漠化扩大。</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以防风固沙林建设和生物多样性保护为重点，在稳定和保护现有生态公益林地的同时，加大抚育力度，通过封育等人工措施提高林地覆盖率。优化森林生态系统结构，增强森林防风固沙、保持水土的功能，构建和布克赛尔蒙古自治县重要生态屏障，最大限度地减少沙尘暴、浮尘等自然灾害危害。</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cs="Times New Roman"/>
          <w:color w:val="auto"/>
          <w:sz w:val="24"/>
          <w:szCs w:val="24"/>
          <w:highlight w:val="none"/>
          <w:shd w:val="clear" w:color="auto" w:fill="auto"/>
          <w:lang w:eastAsia="zh-CN"/>
        </w:rPr>
      </w:pPr>
      <w:r>
        <w:rPr>
          <w:rFonts w:hint="eastAsia" w:ascii="Times New Roman" w:hAnsi="Times New Roman" w:eastAsia="宋体" w:cs="Times New Roman"/>
          <w:color w:val="auto"/>
          <w:highlight w:val="none"/>
          <w:lang w:val="en-US" w:eastAsia="zh-CN"/>
        </w:rPr>
        <w:t>本工程属于页岩油开采项目，不属于高耗能高污染项目。</w:t>
      </w:r>
      <w:r>
        <w:rPr>
          <w:rFonts w:hint="default" w:ascii="Times New Roman" w:hAnsi="Times New Roman" w:eastAsia="宋体" w:cs="Times New Roman"/>
          <w:color w:val="auto"/>
          <w:highlight w:val="none"/>
          <w:lang w:val="en-US" w:eastAsia="zh-CN"/>
        </w:rPr>
        <w:t>本工程水土流失防治将采用北方风沙区建设类项目一级标准，并适当提高防治目标值。工程主体设计中应进一步优化施工工艺，加强防治措施以减小因工程建设带来的不利影响，从而减少水土流失。</w:t>
      </w:r>
      <w:r>
        <w:rPr>
          <w:rFonts w:hint="eastAsia" w:ascii="Times New Roman" w:hAnsi="Times New Roman" w:eastAsia="宋体" w:cs="Times New Roman"/>
          <w:color w:val="auto"/>
          <w:highlight w:val="none"/>
          <w:lang w:val="en-US" w:eastAsia="zh-CN"/>
        </w:rPr>
        <w:t>本工程</w:t>
      </w:r>
      <w:r>
        <w:rPr>
          <w:rFonts w:hint="default" w:ascii="Times New Roman" w:hAnsi="Times New Roman" w:eastAsia="宋体" w:cs="Times New Roman"/>
          <w:color w:val="auto"/>
          <w:highlight w:val="none"/>
          <w:lang w:val="en-US" w:eastAsia="zh-CN"/>
        </w:rPr>
        <w:t>按照水土保持方案的要求，严格执行各项水土保持措施。</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val="en-US" w:eastAsia="zh-CN"/>
        </w:rPr>
        <w:t>与《新疆油田公司“十四五”发展规划》及</w:t>
      </w:r>
      <w:r>
        <w:rPr>
          <w:rFonts w:hint="eastAsia" w:ascii="Times New Roman" w:hAnsi="Times New Roman" w:eastAsia="宋体" w:cs="Times New Roman"/>
          <w:color w:val="auto"/>
          <w:highlight w:val="none"/>
          <w:lang w:val="en-US" w:eastAsia="zh-CN"/>
        </w:rPr>
        <w:t>规划环评、审查意见</w:t>
      </w:r>
      <w:r>
        <w:rPr>
          <w:rFonts w:hint="default" w:ascii="Times New Roman" w:hAnsi="Times New Roman" w:eastAsia="宋体" w:cs="Times New Roman"/>
          <w:color w:val="auto"/>
          <w:highlight w:val="none"/>
          <w:lang w:val="en-US" w:eastAsia="zh-CN"/>
        </w:rPr>
        <w:t>符合性分析</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根据《关于进一步加强石油天然气行业环境影响评价管理的通知》（环办环评函</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2019</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910号）相关要求，</w:t>
      </w:r>
      <w:r>
        <w:rPr>
          <w:rFonts w:hint="eastAsia" w:ascii="Times New Roman" w:hAnsi="Times New Roman" w:eastAsia="宋体" w:cs="Times New Roman"/>
          <w:color w:val="auto"/>
          <w:highlight w:val="none"/>
          <w:lang w:val="en-US" w:eastAsia="zh-CN"/>
        </w:rPr>
        <w:t>新疆油田分公司委托南京国环科技股份有限公司编制了《新疆油田公司“十四五”发展规划》。</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2022年12月1日，《新疆油田公司“十四五”发展规划环境影响报告书》已取得新疆维吾尔自治区生态环境厅审查意见（新环审〔2022〕252号，详见附件）。</w:t>
      </w:r>
    </w:p>
    <w:p>
      <w:pPr>
        <w:pStyle w:val="57"/>
        <w:keepNext w:val="0"/>
        <w:keepLines w:val="0"/>
        <w:pageBreakBefore w:val="0"/>
        <w:widowControl/>
        <w:kinsoku/>
        <w:wordWrap/>
        <w:overflowPunct/>
        <w:topLinePunct w:val="0"/>
        <w:autoSpaceDE/>
        <w:autoSpaceDN/>
        <w:bidi w:val="0"/>
        <w:snapToGrid/>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本工程位于夏子街油田丰探1井区，</w:t>
      </w:r>
      <w:r>
        <w:rPr>
          <w:rFonts w:hint="default" w:ascii="Times New Roman" w:hAnsi="Times New Roman" w:eastAsia="宋体" w:cs="Times New Roman"/>
          <w:color w:val="auto"/>
          <w:highlight w:val="none"/>
          <w:lang w:val="en-US" w:eastAsia="zh-CN"/>
        </w:rPr>
        <w:t>与《新疆油田公司“十四五”发展规划》及规划环评提出的要求的符合性分析，见下表3.</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12</w:t>
      </w:r>
      <w:r>
        <w:rPr>
          <w:rFonts w:hint="default" w:ascii="Times New Roman" w:hAnsi="Times New Roman" w:eastAsia="宋体" w:cs="Times New Roman"/>
          <w:color w:val="auto"/>
          <w:highlight w:val="none"/>
          <w:lang w:val="en-US" w:eastAsia="zh-CN"/>
        </w:rPr>
        <w:t>。</w:t>
      </w:r>
    </w:p>
    <w:p>
      <w:pPr>
        <w:keepNext w:val="0"/>
        <w:keepLines w:val="0"/>
        <w:pageBreakBefore w:val="0"/>
        <w:widowControl/>
        <w:kinsoku/>
        <w:wordWrap/>
        <w:overflowPunct/>
        <w:topLinePunct w:val="0"/>
        <w:autoSpaceDE/>
        <w:autoSpaceDN/>
        <w:bidi w:val="0"/>
        <w:snapToGrid/>
        <w:spacing w:line="480" w:lineRule="exact"/>
        <w:ind w:firstLine="422" w:firstLineChars="200"/>
        <w:jc w:val="center"/>
        <w:textAlignment w:val="auto"/>
        <w:rPr>
          <w:rStyle w:val="105"/>
          <w:rFonts w:hint="default" w:ascii="Times New Roman" w:hAnsi="Times New Roman" w:eastAsia="宋体" w:cs="Times New Roman"/>
          <w:b/>
          <w:color w:val="auto"/>
          <w:highlight w:val="none"/>
          <w:shd w:val="clear" w:color="auto" w:fill="auto"/>
        </w:rPr>
      </w:pPr>
      <w:bookmarkStart w:id="441" w:name="_Hlk120543458"/>
      <w:r>
        <w:rPr>
          <w:rStyle w:val="105"/>
          <w:rFonts w:hint="default" w:ascii="Times New Roman" w:hAnsi="Times New Roman" w:eastAsia="宋体" w:cs="Times New Roman"/>
          <w:b/>
          <w:color w:val="auto"/>
          <w:highlight w:val="none"/>
          <w:shd w:val="clear" w:color="auto" w:fill="auto"/>
        </w:rPr>
        <w:t>表3.</w:t>
      </w:r>
      <w:r>
        <w:rPr>
          <w:rStyle w:val="105"/>
          <w:rFonts w:hint="eastAsia" w:ascii="Times New Roman" w:hAnsi="Times New Roman" w:eastAsia="宋体" w:cs="Times New Roman"/>
          <w:b/>
          <w:color w:val="auto"/>
          <w:highlight w:val="none"/>
          <w:shd w:val="clear" w:color="auto" w:fill="auto"/>
          <w:lang w:val="en-US" w:eastAsia="zh-CN"/>
        </w:rPr>
        <w:t>4</w:t>
      </w:r>
      <w:r>
        <w:rPr>
          <w:rStyle w:val="105"/>
          <w:rFonts w:hint="default" w:ascii="Times New Roman" w:hAnsi="Times New Roman" w:eastAsia="宋体" w:cs="Times New Roman"/>
          <w:b/>
          <w:color w:val="auto"/>
          <w:highlight w:val="none"/>
          <w:shd w:val="clear" w:color="auto" w:fill="auto"/>
        </w:rPr>
        <w:t>-</w:t>
      </w:r>
      <w:bookmarkEnd w:id="441"/>
      <w:r>
        <w:rPr>
          <w:rStyle w:val="105"/>
          <w:rFonts w:hint="eastAsia" w:ascii="Times New Roman" w:hAnsi="Times New Roman" w:eastAsia="宋体" w:cs="Times New Roman"/>
          <w:b/>
          <w:color w:val="auto"/>
          <w:highlight w:val="none"/>
          <w:shd w:val="clear" w:color="auto" w:fill="auto"/>
          <w:lang w:val="en-US" w:eastAsia="zh-CN"/>
        </w:rPr>
        <w:t>12</w:t>
      </w:r>
      <w:r>
        <w:rPr>
          <w:rStyle w:val="105"/>
          <w:rFonts w:hint="default" w:ascii="Times New Roman" w:hAnsi="Times New Roman" w:eastAsia="宋体" w:cs="Times New Roman"/>
          <w:b/>
          <w:color w:val="auto"/>
          <w:highlight w:val="none"/>
          <w:shd w:val="clear" w:color="auto" w:fill="auto"/>
        </w:rPr>
        <w:t>与《新疆油田公司“十四五”发展规划》及规划环评、审查意见符合性分析</w:t>
      </w:r>
    </w:p>
    <w:tbl>
      <w:tblPr>
        <w:tblStyle w:val="34"/>
        <w:tblW w:w="5415" w:type="pct"/>
        <w:tblInd w:w="-317"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503"/>
        <w:gridCol w:w="5579"/>
        <w:gridCol w:w="32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26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内容</w:t>
            </w:r>
          </w:p>
        </w:tc>
        <w:tc>
          <w:tcPr>
            <w:tcW w:w="29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规划内容及规划环评审查意见</w:t>
            </w:r>
          </w:p>
        </w:tc>
        <w:tc>
          <w:tcPr>
            <w:tcW w:w="1752"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eastAsia="宋体" w:cs="Times New Roman"/>
                <w:color w:val="auto"/>
                <w:spacing w:val="0"/>
                <w:sz w:val="21"/>
                <w:szCs w:val="21"/>
                <w:highlight w:val="none"/>
                <w:shd w:val="clear" w:color="auto" w:fill="auto"/>
                <w:lang w:val="en-US" w:eastAsia="zh-CN"/>
              </w:rPr>
              <w:t>符合性分析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restar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kern w:val="0"/>
                <w:sz w:val="21"/>
                <w:szCs w:val="21"/>
                <w:highlight w:val="none"/>
                <w:shd w:val="clear" w:color="auto" w:fill="auto"/>
                <w:lang w:bidi="ar"/>
              </w:rPr>
            </w:pPr>
            <w:r>
              <w:rPr>
                <w:rFonts w:hint="default" w:ascii="Times New Roman" w:hAnsi="Times New Roman" w:cs="Times New Roman"/>
                <w:color w:val="auto"/>
                <w:spacing w:val="0"/>
                <w:kern w:val="0"/>
                <w:sz w:val="21"/>
                <w:szCs w:val="21"/>
                <w:highlight w:val="none"/>
                <w:shd w:val="clear" w:color="auto" w:fill="auto"/>
                <w:lang w:bidi="ar"/>
              </w:rPr>
              <w:t>规划</w:t>
            </w:r>
          </w:p>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内容</w:t>
            </w:r>
          </w:p>
        </w:tc>
        <w:tc>
          <w:tcPr>
            <w:tcW w:w="2978"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both"/>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规划基准年为2020年，规划期为2021年</w:t>
            </w:r>
            <w:r>
              <w:rPr>
                <w:rFonts w:hint="eastAsia" w:cs="Times New Roman"/>
                <w:color w:val="auto"/>
                <w:spacing w:val="0"/>
                <w:kern w:val="0"/>
                <w:sz w:val="21"/>
                <w:szCs w:val="21"/>
                <w:highlight w:val="none"/>
                <w:shd w:val="clear" w:color="auto" w:fill="auto"/>
                <w:lang w:eastAsia="zh-CN" w:bidi="ar"/>
              </w:rPr>
              <w:t>—</w:t>
            </w:r>
            <w:r>
              <w:rPr>
                <w:rFonts w:hint="default" w:ascii="Times New Roman" w:hAnsi="Times New Roman" w:cs="Times New Roman"/>
                <w:color w:val="auto"/>
                <w:spacing w:val="0"/>
                <w:kern w:val="0"/>
                <w:sz w:val="21"/>
                <w:szCs w:val="21"/>
                <w:highlight w:val="none"/>
                <w:shd w:val="clear" w:color="auto" w:fill="auto"/>
                <w:lang w:bidi="ar"/>
              </w:rPr>
              <w:t>2025年。《规划》</w:t>
            </w:r>
            <w:r>
              <w:rPr>
                <w:rFonts w:hint="default" w:ascii="Times New Roman" w:hAnsi="Times New Roman" w:cs="Times New Roman"/>
                <w:color w:val="auto"/>
                <w:spacing w:val="0"/>
                <w:kern w:val="0"/>
                <w:sz w:val="21"/>
                <w:szCs w:val="21"/>
                <w:highlight w:val="none"/>
                <w:shd w:val="clear" w:color="auto" w:fill="auto"/>
                <w:lang w:val="en-US" w:eastAsia="zh-CN" w:bidi="ar"/>
              </w:rPr>
              <w:t>将新疆油田开发区域</w:t>
            </w:r>
            <w:r>
              <w:rPr>
                <w:rFonts w:hint="default" w:ascii="Times New Roman" w:hAnsi="Times New Roman" w:eastAsia="宋体" w:cs="Times New Roman"/>
                <w:color w:val="auto"/>
                <w:spacing w:val="0"/>
                <w:kern w:val="0"/>
                <w:sz w:val="21"/>
                <w:szCs w:val="21"/>
                <w:highlight w:val="none"/>
                <w:shd w:val="clear" w:color="auto" w:fill="auto"/>
                <w:lang w:val="en-US" w:eastAsia="zh-CN" w:bidi="ar"/>
              </w:rPr>
              <w:t>主要分为四大片区：西北缘区块、腹部区块、东部区块、南缘区块，规划面积10956.40km</w:t>
            </w:r>
            <w:r>
              <w:rPr>
                <w:rFonts w:hint="default" w:ascii="Times New Roman" w:hAnsi="Times New Roman" w:eastAsia="宋体" w:cs="Times New Roman"/>
                <w:color w:val="auto"/>
                <w:spacing w:val="0"/>
                <w:kern w:val="0"/>
                <w:sz w:val="21"/>
                <w:szCs w:val="21"/>
                <w:highlight w:val="none"/>
                <w:shd w:val="clear" w:color="auto" w:fill="auto"/>
                <w:vertAlign w:val="superscript"/>
                <w:lang w:val="en-US" w:eastAsia="zh-CN" w:bidi="ar"/>
              </w:rPr>
              <w:t>2</w:t>
            </w:r>
            <w:r>
              <w:rPr>
                <w:rFonts w:hint="default" w:ascii="Times New Roman" w:hAnsi="Times New Roman" w:cs="Times New Roman"/>
                <w:color w:val="auto"/>
                <w:spacing w:val="0"/>
                <w:kern w:val="0"/>
                <w:sz w:val="21"/>
                <w:szCs w:val="21"/>
                <w:highlight w:val="none"/>
                <w:shd w:val="clear" w:color="auto" w:fill="auto"/>
                <w:lang w:bidi="ar"/>
              </w:rPr>
              <w:t>。</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eastAsia="宋体" w:cs="Times New Roman"/>
                <w:color w:val="auto"/>
                <w:spacing w:val="0"/>
                <w:sz w:val="21"/>
                <w:szCs w:val="21"/>
                <w:highlight w:val="none"/>
                <w:shd w:val="clear" w:color="auto" w:fill="auto"/>
                <w:lang w:val="en-US" w:eastAsia="zh-CN"/>
              </w:rPr>
              <w:t>本工程位于</w:t>
            </w:r>
            <w:r>
              <w:rPr>
                <w:rFonts w:hint="eastAsia" w:ascii="Times New Roman" w:hAnsi="Times New Roman" w:eastAsia="宋体" w:cs="Times New Roman"/>
                <w:color w:val="auto"/>
                <w:spacing w:val="0"/>
                <w:sz w:val="21"/>
                <w:szCs w:val="21"/>
                <w:highlight w:val="none"/>
                <w:shd w:val="clear" w:color="auto" w:fill="auto"/>
                <w:lang w:val="en-US" w:eastAsia="zh-CN"/>
              </w:rPr>
              <w:t>克拉玛依市乌尔禾区、</w:t>
            </w:r>
            <w:r>
              <w:rPr>
                <w:rFonts w:hint="default" w:ascii="Times New Roman" w:hAnsi="Times New Roman" w:eastAsia="宋体" w:cs="Times New Roman"/>
                <w:color w:val="auto"/>
                <w:spacing w:val="0"/>
                <w:sz w:val="21"/>
                <w:szCs w:val="21"/>
                <w:highlight w:val="none"/>
                <w:shd w:val="clear" w:color="auto" w:fill="auto"/>
                <w:lang w:val="en-US" w:eastAsia="zh-CN"/>
              </w:rPr>
              <w:t>塔城地区和布克赛尔蒙古自治县</w:t>
            </w:r>
            <w:r>
              <w:rPr>
                <w:rFonts w:hint="eastAsia" w:ascii="Times New Roman" w:hAnsi="Times New Roman" w:eastAsia="宋体" w:cs="Times New Roman"/>
                <w:color w:val="auto"/>
                <w:spacing w:val="0"/>
                <w:sz w:val="21"/>
                <w:szCs w:val="21"/>
                <w:highlight w:val="none"/>
                <w:shd w:val="clear" w:color="auto" w:fill="auto"/>
                <w:lang w:val="en-US" w:eastAsia="zh-CN"/>
              </w:rPr>
              <w:t>和新疆生产建设兵团第七师胡杨河市</w:t>
            </w:r>
            <w:r>
              <w:rPr>
                <w:rFonts w:hint="default" w:ascii="Times New Roman" w:hAnsi="Times New Roman" w:eastAsia="宋体" w:cs="Times New Roman"/>
                <w:color w:val="auto"/>
                <w:spacing w:val="0"/>
                <w:sz w:val="21"/>
                <w:szCs w:val="21"/>
                <w:highlight w:val="none"/>
                <w:shd w:val="clear" w:color="auto" w:fill="auto"/>
                <w:lang w:val="en-US" w:eastAsia="zh-CN"/>
              </w:rPr>
              <w:t>，属于</w:t>
            </w:r>
            <w:r>
              <w:rPr>
                <w:rFonts w:hint="eastAsia" w:ascii="Times New Roman" w:hAnsi="Times New Roman" w:eastAsia="宋体" w:cs="Times New Roman"/>
                <w:color w:val="auto"/>
                <w:spacing w:val="0"/>
                <w:sz w:val="21"/>
                <w:szCs w:val="21"/>
                <w:highlight w:val="none"/>
                <w:shd w:val="clear" w:color="auto" w:fill="auto"/>
                <w:lang w:val="en-US" w:eastAsia="zh-CN"/>
              </w:rPr>
              <w:t>西北缘</w:t>
            </w:r>
            <w:r>
              <w:rPr>
                <w:rFonts w:hint="default" w:ascii="Times New Roman" w:hAnsi="Times New Roman" w:eastAsia="宋体" w:cs="Times New Roman"/>
                <w:color w:val="auto"/>
                <w:spacing w:val="0"/>
                <w:sz w:val="21"/>
                <w:szCs w:val="21"/>
                <w:highlight w:val="none"/>
                <w:shd w:val="clear" w:color="auto" w:fill="auto"/>
                <w:lang w:val="en-US" w:eastAsia="zh-CN"/>
              </w:rPr>
              <w:t>区块规划新增区块。</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center"/>
              <w:textAlignment w:val="center"/>
              <w:rPr>
                <w:rFonts w:hint="default" w:ascii="Times New Roman" w:hAnsi="Times New Roman" w:cs="Times New Roman"/>
                <w:color w:val="auto"/>
                <w:spacing w:val="0"/>
                <w:kern w:val="0"/>
                <w:sz w:val="21"/>
                <w:szCs w:val="21"/>
                <w:highlight w:val="none"/>
                <w:shd w:val="clear" w:color="auto" w:fill="auto"/>
                <w:lang w:bidi="ar"/>
              </w:rPr>
            </w:pPr>
          </w:p>
        </w:tc>
        <w:tc>
          <w:tcPr>
            <w:tcW w:w="2978" w:type="pct"/>
            <w:tcBorders>
              <w:tl2br w:val="nil"/>
              <w:tr2bl w:val="nil"/>
            </w:tcBorders>
            <w:noWrap/>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rPr>
                <w:rFonts w:hint="default" w:ascii="Times New Roman" w:hAnsi="Times New Roman" w:eastAsia="宋体" w:cs="Times New Roman"/>
                <w:color w:val="auto"/>
                <w:spacing w:val="0"/>
                <w:kern w:val="0"/>
                <w:sz w:val="21"/>
                <w:szCs w:val="21"/>
                <w:highlight w:val="none"/>
                <w:shd w:val="clear" w:color="auto" w:fill="auto"/>
                <w:lang w:val="en-US" w:eastAsia="zh-CN" w:bidi="ar"/>
              </w:rPr>
            </w:pPr>
            <w:r>
              <w:rPr>
                <w:rFonts w:hint="default" w:ascii="Times New Roman" w:hAnsi="Times New Roman" w:eastAsia="宋体" w:cs="Times New Roman"/>
                <w:color w:val="auto"/>
                <w:spacing w:val="0"/>
                <w:kern w:val="0"/>
                <w:sz w:val="21"/>
                <w:szCs w:val="21"/>
                <w:highlight w:val="none"/>
                <w:shd w:val="clear" w:color="auto" w:fill="auto"/>
                <w:lang w:val="en-US" w:eastAsia="zh-CN" w:bidi="ar"/>
              </w:rPr>
              <w:t>新疆油田公司“十四五”发展规划实施五大重点工程，玛湖500万吨上产工程、吉木萨尔页岩油建产工程、稀油老区稳产工程、稠油350万吨工程和天然气加快发展工程</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，其中老油田区块稀油新建产能</w:t>
            </w:r>
            <w:r>
              <w:rPr>
                <w:rFonts w:hint="default" w:ascii="Times New Roman" w:hAnsi="Times New Roman" w:eastAsia="宋体" w:cs="Times New Roman"/>
                <w:color w:val="auto"/>
                <w:spacing w:val="0"/>
                <w:kern w:val="0"/>
                <w:sz w:val="21"/>
                <w:szCs w:val="21"/>
                <w:highlight w:val="none"/>
                <w:shd w:val="clear" w:color="auto" w:fill="auto"/>
                <w:lang w:val="en-US" w:eastAsia="zh-CN" w:bidi="ar"/>
              </w:rPr>
              <w:t>413.8</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万吨（含措施产能</w:t>
            </w:r>
            <w:r>
              <w:rPr>
                <w:rFonts w:hint="default" w:ascii="Times New Roman" w:hAnsi="Times New Roman" w:eastAsia="宋体" w:cs="Times New Roman"/>
                <w:color w:val="auto"/>
                <w:spacing w:val="0"/>
                <w:kern w:val="0"/>
                <w:sz w:val="21"/>
                <w:szCs w:val="21"/>
                <w:highlight w:val="none"/>
                <w:shd w:val="clear" w:color="auto" w:fill="auto"/>
                <w:lang w:val="en-US" w:eastAsia="zh-CN" w:bidi="ar"/>
              </w:rPr>
              <w:t>100</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万吨）。</w:t>
            </w:r>
          </w:p>
        </w:tc>
        <w:tc>
          <w:tcPr>
            <w:tcW w:w="1752" w:type="pct"/>
            <w:tcBorders>
              <w:tl2br w:val="nil"/>
              <w:tr2bl w:val="nil"/>
            </w:tcBorders>
            <w:noWrap w:val="0"/>
            <w:vAlign w:val="center"/>
          </w:tcPr>
          <w:p>
            <w:pPr>
              <w:keepNext w:val="0"/>
              <w:keepLines w:val="0"/>
              <w:pageBreakBefore w:val="0"/>
              <w:widowControl/>
              <w:suppressLineNumbers w:val="0"/>
              <w:kinsoku/>
              <w:wordWrap/>
              <w:overflowPunct/>
              <w:topLinePunct w:val="0"/>
              <w:autoSpaceDE/>
              <w:autoSpaceDN/>
              <w:bidi w:val="0"/>
              <w:adjustRightInd/>
              <w:snapToGrid/>
              <w:spacing w:line="240" w:lineRule="exact"/>
              <w:jc w:val="left"/>
              <w:rPr>
                <w:rFonts w:hint="default"/>
                <w:color w:val="auto"/>
                <w:spacing w:val="0"/>
                <w:sz w:val="21"/>
                <w:szCs w:val="21"/>
                <w:highlight w:val="none"/>
                <w:shd w:val="clear" w:color="auto" w:fill="auto"/>
                <w:lang w:val="en-US" w:eastAsia="zh-CN"/>
              </w:rPr>
            </w:pPr>
            <w:r>
              <w:rPr>
                <w:rFonts w:hint="default" w:ascii="Times New Roman" w:hAnsi="Times New Roman" w:eastAsia="宋体" w:cs="Times New Roman"/>
                <w:color w:val="auto"/>
                <w:spacing w:val="0"/>
                <w:kern w:val="0"/>
                <w:sz w:val="21"/>
                <w:szCs w:val="21"/>
                <w:highlight w:val="none"/>
                <w:shd w:val="clear" w:color="auto" w:fill="auto"/>
                <w:lang w:val="en-US" w:eastAsia="zh-CN" w:bidi="ar"/>
              </w:rPr>
              <w:t>本工程位于</w:t>
            </w:r>
            <w:r>
              <w:rPr>
                <w:rFonts w:hint="eastAsia" w:ascii="Times New Roman" w:hAnsi="Times New Roman" w:eastAsia="宋体" w:cs="Times New Roman"/>
                <w:color w:val="auto"/>
                <w:spacing w:val="0"/>
                <w:kern w:val="0"/>
                <w:sz w:val="21"/>
                <w:szCs w:val="21"/>
                <w:highlight w:val="none"/>
                <w:shd w:val="clear" w:color="auto" w:fill="auto"/>
                <w:lang w:val="en-US" w:eastAsia="zh-CN" w:bidi="ar"/>
              </w:rPr>
              <w:t>夏子街油田丰探1井区</w:t>
            </w:r>
            <w:r>
              <w:rPr>
                <w:rFonts w:hint="default" w:ascii="Times New Roman" w:hAnsi="Times New Roman" w:eastAsia="宋体" w:cs="Times New Roman"/>
                <w:color w:val="auto"/>
                <w:spacing w:val="0"/>
                <w:kern w:val="0"/>
                <w:sz w:val="21"/>
                <w:szCs w:val="21"/>
                <w:highlight w:val="none"/>
                <w:shd w:val="clear" w:color="auto" w:fill="auto"/>
                <w:lang w:val="en-US" w:eastAsia="zh-CN" w:bidi="ar"/>
              </w:rPr>
              <w:t>，属于新疆油田重点开发的稀油区块，《新疆油田公司“十四五”发展规划》的油气开发的目标。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规划环评结论</w:t>
            </w:r>
          </w:p>
        </w:tc>
        <w:tc>
          <w:tcPr>
            <w:tcW w:w="2978"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新疆油田公司</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十四五</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 xml:space="preserve">发展规划的发展思路清晰，发展目标明确，油气开发总体部署和规划方案结合新疆油田的开发现状和勘探开发规划进行合理布局，并对老油气田进行全面优化升级，与国家国民经济与社会发展 </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十四五</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规划纲要等相符，与新疆维吾尔自治区国民经济与社会发展</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十四五</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规划及行业规划等相符、符合相关环境保护规划及污染防治行动计划中的相关要求。在落实本评价提出规划优化调整建议、环境管理及污染防治减缓措施的前提下，规划实施过程对区域大气环境、水环境、声环境、土壤环境、生态环境等产生的不利影响可以得到有效减缓或控制，环境风险可以接受。从环境保护角度分析，新疆油田公司</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十四五</w:t>
            </w:r>
            <w:r>
              <w:rPr>
                <w:rFonts w:hint="default" w:ascii="Times New Roman" w:hAnsi="Times New Roman" w:eastAsia="宋体" w:cs="Times New Roman"/>
                <w:color w:val="auto"/>
                <w:spacing w:val="0"/>
                <w:sz w:val="21"/>
                <w:szCs w:val="21"/>
                <w:highlight w:val="none"/>
                <w:shd w:val="clear" w:color="auto" w:fill="auto"/>
                <w:lang w:val="en-US" w:eastAsia="zh-CN"/>
              </w:rPr>
              <w:t>”</w:t>
            </w:r>
            <w:r>
              <w:rPr>
                <w:rFonts w:hint="eastAsia" w:ascii="Times New Roman" w:hAnsi="Times New Roman" w:eastAsia="宋体" w:cs="Times New Roman"/>
                <w:color w:val="auto"/>
                <w:spacing w:val="0"/>
                <w:sz w:val="21"/>
                <w:szCs w:val="21"/>
                <w:highlight w:val="none"/>
                <w:shd w:val="clear" w:color="auto" w:fill="auto"/>
                <w:lang w:val="en-US" w:eastAsia="zh-CN"/>
              </w:rPr>
              <w:t>发展规划总体可行。</w:t>
            </w:r>
          </w:p>
        </w:tc>
        <w:tc>
          <w:tcPr>
            <w:tcW w:w="17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left"/>
              <w:rPr>
                <w:rFonts w:hint="default" w:ascii="Times New Roman" w:hAnsi="Times New Roman" w:cs="Times New Roman"/>
                <w:color w:val="auto"/>
                <w:spacing w:val="0"/>
                <w:sz w:val="21"/>
                <w:szCs w:val="21"/>
                <w:highlight w:val="none"/>
                <w:shd w:val="clear" w:color="auto" w:fill="auto"/>
              </w:rPr>
            </w:pPr>
            <w:r>
              <w:rPr>
                <w:rFonts w:hint="eastAsia" w:ascii="Times New Roman" w:hAnsi="Times New Roman" w:cs="Times New Roman"/>
                <w:color w:val="auto"/>
                <w:spacing w:val="0"/>
                <w:sz w:val="21"/>
                <w:szCs w:val="21"/>
                <w:highlight w:val="none"/>
                <w:shd w:val="clear" w:color="auto" w:fill="auto"/>
                <w:lang w:val="en-US" w:eastAsia="zh-CN"/>
              </w:rPr>
              <w:t>本工程环评对建设期间，运营期废气、废水、噪声、固废等污染物提出了防治措施，建设单位在施工和运营期间应严格落实环评提出的各项污染防治措施。</w:t>
            </w:r>
            <w:r>
              <w:rPr>
                <w:rFonts w:hint="eastAsia" w:ascii="Times New Roman" w:hAnsi="Times New Roman" w:cs="Times New Roman"/>
                <w:color w:val="auto"/>
                <w:spacing w:val="0"/>
                <w:kern w:val="0"/>
                <w:sz w:val="21"/>
                <w:szCs w:val="21"/>
                <w:highlight w:val="none"/>
                <w:shd w:val="clear" w:color="auto" w:fill="auto"/>
                <w:lang w:val="en-US" w:eastAsia="zh-CN" w:bidi="ar"/>
              </w:rPr>
              <w:t>工程需</w:t>
            </w:r>
            <w:r>
              <w:rPr>
                <w:rFonts w:hint="default" w:ascii="Times New Roman" w:hAnsi="Times New Roman" w:cs="Times New Roman"/>
                <w:color w:val="auto"/>
                <w:spacing w:val="0"/>
                <w:kern w:val="0"/>
                <w:sz w:val="21"/>
                <w:szCs w:val="21"/>
                <w:highlight w:val="none"/>
                <w:shd w:val="clear" w:color="auto" w:fill="auto"/>
                <w:lang w:bidi="ar"/>
              </w:rPr>
              <w:t>严格按照绿色矿山的开发要求，采取严格的生态保护和修复措施，对生态环境造成的影响降到最低。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规划环评审查意见</w:t>
            </w:r>
          </w:p>
        </w:tc>
        <w:tc>
          <w:tcPr>
            <w:tcW w:w="2978"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一</w:t>
            </w: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严守生态保护红线，加强空间管控。加强规划区内环境敏感区和重要环境保护目标的生态环境保护工作，开展项目环评时应将油气开发对环境敏感区影响作为重点评价内容，并采取合理、有效的保护措施，确保规划涉及环境敏感区和重要环境保护目标不因油气开发而造成环境污染和生态破坏。</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val="en-US" w:eastAsia="zh-CN"/>
              </w:rPr>
            </w:pPr>
            <w:bookmarkStart w:id="442" w:name="OLE_LINK107"/>
            <w:r>
              <w:rPr>
                <w:rFonts w:hint="default" w:ascii="Times New Roman" w:hAnsi="Times New Roman" w:eastAsia="宋体" w:cs="Times New Roman"/>
                <w:color w:val="auto"/>
                <w:spacing w:val="0"/>
                <w:sz w:val="21"/>
                <w:szCs w:val="21"/>
                <w:highlight w:val="none"/>
                <w:u w:val="none"/>
                <w:shd w:val="clear" w:color="auto" w:fill="auto"/>
                <w:lang w:val="en-US" w:eastAsia="zh-CN" w:bidi="ar-SA"/>
              </w:rPr>
              <w:t>根据《关于印发＜新疆维吾尔自治区“三线一单”生态环境分区管控方案＞的通知》（新政发〔2021〕18号）、《关于印发〈塔城地区“三线一单”生态环境分区管控方案（2023版）〉的通知》《关于印发〈克拉玛依“三线一单”生态环境分区管控方案（2023版）〉的通知》《新疆生产建设兵团2023年度生态环境分区管控动态更新成果公告》，本工程位于克拉玛依市乌尔禾一般管控单元02（环境管控单元编码为ZH65020530002）、乌尔禾一般管控单元03（环境管控单元编码为ZH65020530003）、和布克赛尔蒙古自治县一般管控单元01（环境管控单元编码为ZH65422630001）以及第七师胡杨河市重点管控单元（环境管控单元编码为ZH65771020001），不涉及生态红线</w:t>
            </w:r>
            <w:bookmarkEnd w:id="442"/>
            <w:r>
              <w:rPr>
                <w:rFonts w:hint="default" w:ascii="Times New Roman" w:hAnsi="Times New Roman" w:eastAsia="宋体" w:cs="Times New Roman"/>
                <w:color w:val="auto"/>
                <w:spacing w:val="0"/>
                <w:sz w:val="21"/>
                <w:szCs w:val="21"/>
                <w:highlight w:val="none"/>
                <w:u w:val="none"/>
                <w:shd w:val="clear" w:color="auto" w:fill="auto"/>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pPr>
              <w:keepNext w:val="0"/>
              <w:keepLines w:val="0"/>
              <w:pageBreakBefore w:val="0"/>
              <w:kinsoku/>
              <w:wordWrap/>
              <w:overflowPunct/>
              <w:topLinePunct w:val="0"/>
              <w:autoSpaceDE/>
              <w:autoSpaceDN/>
              <w:bidi w:val="0"/>
              <w:adjustRightInd/>
              <w:snapToGrid/>
              <w:spacing w:line="240" w:lineRule="exact"/>
              <w:jc w:val="left"/>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二</w:t>
            </w: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合理确定开发方案，优化开发布局。根据区域主体功能定位，结合区域资源环境特征、生态保护红线等相关管控要求</w:t>
            </w:r>
            <w:r>
              <w:rPr>
                <w:rFonts w:hint="eastAsia" w:ascii="Times New Roman" w:hAnsi="Times New Roman" w:eastAsia="宋体" w:cs="Times New Roman"/>
                <w:color w:val="auto"/>
                <w:spacing w:val="0"/>
                <w:sz w:val="21"/>
                <w:szCs w:val="21"/>
                <w:highlight w:val="none"/>
                <w:shd w:val="clear" w:color="auto" w:fill="auto"/>
                <w:lang w:val="en-US" w:eastAsia="zh-CN"/>
              </w:rPr>
              <w:t>，</w:t>
            </w:r>
            <w:r>
              <w:rPr>
                <w:rFonts w:hint="default" w:ascii="Times New Roman" w:hAnsi="Times New Roman" w:eastAsia="宋体" w:cs="Times New Roman"/>
                <w:color w:val="auto"/>
                <w:spacing w:val="0"/>
                <w:sz w:val="21"/>
                <w:szCs w:val="21"/>
                <w:highlight w:val="none"/>
                <w:shd w:val="clear" w:color="auto" w:fill="auto"/>
                <w:lang w:val="en-US" w:eastAsia="zh-CN"/>
              </w:rPr>
              <w:t>依据生态环境影响评价结果，从穿越位置、穿越方式、施工场地 设置、管线工艺设计、环境风险防范等方面对规划建设油气长输 管道工程及油气田内部集输管道工程选址选线提出要求，进一步 优化石油天然气开</w:t>
            </w:r>
            <w:r>
              <w:rPr>
                <w:rFonts w:hint="eastAsia" w:ascii="Times New Roman" w:hAnsi="Times New Roman" w:eastAsia="宋体" w:cs="Times New Roman"/>
                <w:color w:val="auto"/>
                <w:spacing w:val="0"/>
                <w:sz w:val="21"/>
                <w:szCs w:val="21"/>
                <w:highlight w:val="none"/>
                <w:shd w:val="clear" w:color="auto" w:fill="auto"/>
                <w:lang w:val="en-US" w:eastAsia="zh-CN"/>
              </w:rPr>
              <w:t>采</w:t>
            </w:r>
            <w:r>
              <w:rPr>
                <w:rFonts w:hint="default" w:ascii="Times New Roman" w:hAnsi="Times New Roman" w:eastAsia="宋体" w:cs="Times New Roman"/>
                <w:color w:val="auto"/>
                <w:spacing w:val="0"/>
                <w:sz w:val="21"/>
                <w:szCs w:val="21"/>
                <w:highlight w:val="none"/>
                <w:shd w:val="clear" w:color="auto" w:fill="auto"/>
                <w:lang w:val="en-US" w:eastAsia="zh-CN"/>
              </w:rPr>
              <w:t>规模、开发布局和建设时序，优先避让环境敏感区，远离沿线居民。</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项目区域和管道沿线内均不涉及依法划定的自然保护区、饮用水源保护区森林公园及其他需要特别保护的环境敏感区和生态红线，严格按照绿色矿山的开发要求，采取严格的生态保护和修复措施。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eastAsia="zh-CN"/>
              </w:rPr>
            </w:pP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（三）</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严格生态环境保护，强化各类污染物防治。对油气开采产生的废弃油基泥浆、含油钻屑及其他固体废物，提出减量化的源头控制措施、资源化的利用路径、无害化的处理要求，按照国家和地方有关固体废物的管理规定进行处置，提高废弃油基泥浆和含油钻屑及其处理产物的综合利用率。根据油气开采产业政策和生态环境保护政策要求，严格落实资源环境指标要求，进一步控制污染物排放以及能源消耗水平。油气开采、输送、储存、净化等过程及非正常工况应加强挥发性有机物等污染物排放控制，确保满足区域环境空气质量要求。加强开采废水污染控制，涉及回注 的应经处理满足《碎屑岩油藏注水水质推荐指标及分析方法》</w:t>
            </w:r>
            <w:r>
              <w:rPr>
                <w:rFonts w:hint="default" w:ascii="Times New Roman" w:hAnsi="Times New Roman" w:eastAsia="宋体" w:cs="Times New Roman"/>
                <w:color w:val="auto"/>
                <w:spacing w:val="0"/>
                <w:sz w:val="21"/>
                <w:szCs w:val="21"/>
                <w:highlight w:val="none"/>
                <w:u w:val="none"/>
                <w:shd w:val="clear" w:color="auto" w:fill="auto"/>
                <w:lang w:val="en-US" w:eastAsia="en-US" w:bidi="ar-SA"/>
              </w:rPr>
              <w:t>（SY/T5329）</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等相关标准要求，采取切实可行的地下水污染防治和监控措施，防止造成地下水污染。油气开采过程中产生的固体 废物，应当遵循减量化、资源化、无害化原则，合规处置。加强伴生气、落地油、采出水等回收利用，提高综合利用水平。</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both"/>
              <w:textAlignment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eastAsia" w:ascii="Times New Roman" w:hAnsi="Times New Roman" w:cs="Times New Roman"/>
                <w:color w:val="auto"/>
                <w:spacing w:val="0"/>
                <w:sz w:val="21"/>
                <w:szCs w:val="21"/>
                <w:highlight w:val="none"/>
                <w:shd w:val="clear" w:color="auto" w:fill="auto"/>
                <w:lang w:val="en-US" w:eastAsia="zh-CN"/>
              </w:rPr>
              <w:t>本工程环评对建设期间，运营期废气、废水、噪声、固废等污染物提出了防治措施，建设单位在施工和运营期间应严格落实环评提出的各项污染防治措施。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cs="Times New Roman"/>
                <w:b/>
                <w:bCs/>
                <w:color w:val="auto"/>
                <w:spacing w:val="0"/>
                <w:sz w:val="21"/>
                <w:szCs w:val="21"/>
                <w:highlight w:val="none"/>
                <w:shd w:val="clear" w:color="auto" w:fill="auto"/>
              </w:rPr>
            </w:pPr>
            <w:r>
              <w:rPr>
                <w:rFonts w:hint="eastAsia" w:ascii="Times New Roman" w:hAnsi="Times New Roman" w:cs="Times New Roman"/>
                <w:color w:val="auto"/>
                <w:spacing w:val="0"/>
                <w:kern w:val="0"/>
                <w:sz w:val="21"/>
                <w:szCs w:val="21"/>
                <w:highlight w:val="none"/>
                <w:shd w:val="clear" w:color="auto" w:fill="auto"/>
                <w:lang w:eastAsia="zh-CN" w:bidi="ar"/>
              </w:rPr>
              <w:t>（</w:t>
            </w: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四）</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加强生态环境系统治理，维护生态安全。坚持节约优先、保护优先、自然恢复为主，统筹推进山水林田湖草沙一体化保护和系统治理，守住自然生态安全边界。严格控制油气田开发 扰动范围，加大生态治理力度，结合油气开采绿色矿山建设等相 关要求，落实各项生态环境保护措施，保障区域生态功能不退化。油气开发应同步制定并落实生态保护和修复方案，综合考虑防沙治沙等相关要求，因地制宜开展生态恢复治理工作</w:t>
            </w: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w:t>
            </w:r>
          </w:p>
        </w:tc>
        <w:tc>
          <w:tcPr>
            <w:tcW w:w="1752" w:type="pc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both"/>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0"/>
                <w:kern w:val="0"/>
                <w:sz w:val="21"/>
                <w:szCs w:val="21"/>
                <w:highlight w:val="none"/>
                <w:shd w:val="clear" w:color="auto" w:fill="auto"/>
                <w:lang w:bidi="ar"/>
              </w:rPr>
              <w:t>项目区</w:t>
            </w:r>
            <w:r>
              <w:rPr>
                <w:rFonts w:hint="eastAsia" w:ascii="Times New Roman" w:hAnsi="Times New Roman" w:cs="Times New Roman"/>
                <w:color w:val="auto"/>
                <w:spacing w:val="0"/>
                <w:kern w:val="0"/>
                <w:sz w:val="21"/>
                <w:szCs w:val="21"/>
                <w:highlight w:val="none"/>
                <w:shd w:val="clear" w:color="auto" w:fill="auto"/>
                <w:lang w:val="en-US" w:eastAsia="zh-CN" w:bidi="ar"/>
              </w:rPr>
              <w:t>井场、站场</w:t>
            </w:r>
            <w:r>
              <w:rPr>
                <w:rFonts w:hint="default" w:ascii="Times New Roman" w:hAnsi="Times New Roman" w:cs="Times New Roman"/>
                <w:color w:val="auto"/>
                <w:spacing w:val="0"/>
                <w:kern w:val="0"/>
                <w:sz w:val="21"/>
                <w:szCs w:val="21"/>
                <w:highlight w:val="none"/>
                <w:shd w:val="clear" w:color="auto" w:fill="auto"/>
                <w:lang w:bidi="ar"/>
              </w:rPr>
              <w:t>和管道沿线内均不涉及依法划定的自然保护区、饮用水源保护区、森林公园及其他需要特别保护的环境敏感区和生态红线，严格按照绿色矿山的开发要求，采取严格的生态保护和修复措施。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color w:val="auto"/>
                <w:spacing w:val="0"/>
                <w:sz w:val="21"/>
                <w:szCs w:val="21"/>
                <w:highlight w:val="none"/>
                <w:u w:val="none"/>
                <w:shd w:val="clear" w:color="auto" w:fill="auto"/>
                <w:lang w:val="en-US" w:eastAsia="zh-CN" w:bidi="ar-SA"/>
              </w:rPr>
            </w:pP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（五）</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加强规划区现有环境问题治理，严格落实《报告书》 提出的现有环境问题的整改要求。按照标准规范要求恢复现有废弃场地生态环境，及时恢复公益林区域历史遗留临时占地。继续加强各类管线的环保隐 患治理工程，以进一步降低管线刺漏等风险事故的发生频率。细化完善环境管理制度，积极通过开展清洁生产审核等方式提高油气开发清洁生产水平。</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eastAsia="宋体" w:cs="Times New Roman"/>
                <w:color w:val="auto"/>
                <w:spacing w:val="0"/>
                <w:sz w:val="21"/>
                <w:szCs w:val="21"/>
                <w:highlight w:val="none"/>
                <w:u w:val="none"/>
                <w:shd w:val="clear" w:color="auto" w:fill="auto"/>
                <w:lang w:val="en-US" w:eastAsia="zh-CN" w:bidi="ar-SA"/>
              </w:rPr>
            </w:pP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风城油田作业区已</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细化完善环境管理制度，积极通过开展清洁生产审核</w:t>
            </w: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268" w:type="pct"/>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2978" w:type="pct"/>
            <w:tcBorders>
              <w:tl2br w:val="nil"/>
              <w:tr2bl w:val="nil"/>
            </w:tcBorders>
            <w:noWrap/>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cs="Times New Roman"/>
                <w:color w:val="auto"/>
                <w:spacing w:val="0"/>
                <w:sz w:val="21"/>
                <w:szCs w:val="21"/>
                <w:highlight w:val="none"/>
                <w:shd w:val="clear" w:color="auto" w:fill="auto"/>
              </w:rPr>
            </w:pPr>
            <w:r>
              <w:rPr>
                <w:rFonts w:hint="eastAsia" w:ascii="Times New Roman" w:hAnsi="Times New Roman" w:eastAsia="宋体" w:cs="Times New Roman"/>
                <w:color w:val="auto"/>
                <w:spacing w:val="0"/>
                <w:sz w:val="21"/>
                <w:szCs w:val="21"/>
                <w:highlight w:val="none"/>
                <w:u w:val="none"/>
                <w:shd w:val="clear" w:color="auto" w:fill="auto"/>
                <w:lang w:val="en-US" w:eastAsia="zh-CN" w:bidi="ar-SA"/>
              </w:rPr>
              <w:t>（六）</w:t>
            </w:r>
            <w:r>
              <w:rPr>
                <w:rFonts w:hint="default" w:ascii="Times New Roman" w:hAnsi="Times New Roman" w:eastAsia="宋体" w:cs="Times New Roman"/>
                <w:color w:val="auto"/>
                <w:spacing w:val="0"/>
                <w:sz w:val="21"/>
                <w:szCs w:val="21"/>
                <w:highlight w:val="none"/>
                <w:u w:val="none"/>
                <w:shd w:val="clear" w:color="auto" w:fill="auto"/>
                <w:lang w:val="en-US" w:eastAsia="zh-CN" w:bidi="ar-SA"/>
              </w:rPr>
              <w:t>加强油气开发事中事后环境管理。油气企业应切实落实生态环境保护主体责任，进一步健全生态环境管理和应急管理体系，确保各项生态环境保护和应急防控措施落实到位。建立环境空气、水环境、土壤环境、生态等监测体系，开展长期跟踪监测。根据监测结果，及时优化开发方案，并采取有效的生态环境 保护措施。</w:t>
            </w:r>
          </w:p>
        </w:tc>
        <w:tc>
          <w:tcPr>
            <w:tcW w:w="1752" w:type="pct"/>
            <w:tcBorders>
              <w:tl2br w:val="nil"/>
              <w:tr2bl w:val="nil"/>
            </w:tcBorders>
            <w:noWrap w:val="0"/>
            <w:vAlign w:val="center"/>
          </w:tcPr>
          <w:p>
            <w:pPr>
              <w:keepNext w:val="0"/>
              <w:keepLines w:val="0"/>
              <w:pageBreakBefore w:val="0"/>
              <w:widowControl/>
              <w:kinsoku/>
              <w:wordWrap/>
              <w:overflowPunct/>
              <w:topLinePunct w:val="0"/>
              <w:autoSpaceDE/>
              <w:autoSpaceDN/>
              <w:bidi w:val="0"/>
              <w:adjustRightInd/>
              <w:snapToGrid/>
              <w:spacing w:line="240" w:lineRule="exact"/>
              <w:jc w:val="left"/>
              <w:textAlignment w:val="center"/>
              <w:rPr>
                <w:rFonts w:hint="default" w:ascii="Times New Roman" w:hAnsi="Times New Roman" w:cs="Times New Roman"/>
                <w:color w:val="auto"/>
                <w:spacing w:val="0"/>
                <w:kern w:val="0"/>
                <w:sz w:val="21"/>
                <w:szCs w:val="21"/>
                <w:highlight w:val="none"/>
                <w:shd w:val="clear" w:color="auto" w:fill="auto"/>
                <w:lang w:bidi="ar"/>
              </w:rPr>
            </w:pPr>
            <w:r>
              <w:rPr>
                <w:rFonts w:hint="default" w:ascii="Times New Roman" w:hAnsi="Times New Roman" w:cs="Times New Roman"/>
                <w:color w:val="auto"/>
                <w:spacing w:val="0"/>
                <w:kern w:val="0"/>
                <w:sz w:val="21"/>
                <w:szCs w:val="21"/>
                <w:highlight w:val="none"/>
                <w:shd w:val="clear" w:color="auto" w:fill="auto"/>
                <w:lang w:bidi="ar"/>
              </w:rPr>
              <w:t>本工程环评要求开展运营期环境监测计划，对区域地下水、土壤、大气环境（非甲烷总烃）等的监测，对环境污染隐患做到及早发现、及时处理，制定事故状态下环境风险应急预案和应急处理措施，强化环境风险防范和应急处理能力，严防污染事故发生，不定期开展环境突发事件应急演练。</w:t>
            </w:r>
          </w:p>
        </w:tc>
      </w:tr>
    </w:tbl>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lang w:val="en-US" w:eastAsia="zh-CN"/>
        </w:rPr>
        <w:t>《新疆维吾尔自治区环境保护条例》</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highlight w:val="none"/>
          <w:lang w:val="en-US" w:eastAsia="zh-CN"/>
        </w:rPr>
        <w:t>本</w:t>
      </w:r>
      <w:r>
        <w:rPr>
          <w:rFonts w:hint="eastAsia" w:ascii="Times New Roman" w:hAnsi="Times New Roman" w:eastAsia="宋体" w:cs="Times New Roman"/>
          <w:color w:val="auto"/>
          <w:highlight w:val="none"/>
          <w:lang w:val="en-US" w:eastAsia="zh-CN"/>
        </w:rPr>
        <w:t>工程</w:t>
      </w:r>
      <w:r>
        <w:rPr>
          <w:rFonts w:hint="default" w:ascii="Times New Roman" w:hAnsi="Times New Roman" w:eastAsia="宋体" w:cs="Times New Roman"/>
          <w:color w:val="auto"/>
          <w:highlight w:val="none"/>
          <w:lang w:val="en-US" w:eastAsia="zh-CN"/>
        </w:rPr>
        <w:t>位于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bookmarkStart w:id="443" w:name="OLE_LINK116"/>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bookmarkEnd w:id="443"/>
      <w:r>
        <w:rPr>
          <w:rFonts w:hint="default" w:ascii="Times New Roman" w:hAnsi="Times New Roman" w:eastAsia="宋体" w:cs="Times New Roman"/>
          <w:color w:val="auto"/>
          <w:highlight w:val="none"/>
          <w:lang w:val="en-US" w:eastAsia="zh-CN"/>
        </w:rPr>
        <w:t>境内，不涉及依法划定的自然保护区、饮用水源保护区、风景名胜区、森林公园及其他需要特别保护的环境敏感区，距离生态保护红线较远。本工程符合国土空间规划的</w:t>
      </w:r>
      <w:r>
        <w:rPr>
          <w:rFonts w:hint="eastAsia" w:ascii="Times New Roman" w:hAnsi="Times New Roman" w:eastAsia="宋体" w:cs="Times New Roman"/>
          <w:color w:val="auto"/>
          <w:highlight w:val="none"/>
          <w:lang w:val="en-US" w:eastAsia="zh-CN"/>
        </w:rPr>
        <w:t>油田</w:t>
      </w:r>
      <w:r>
        <w:rPr>
          <w:rFonts w:hint="default" w:ascii="Times New Roman" w:hAnsi="Times New Roman" w:eastAsia="宋体" w:cs="Times New Roman"/>
          <w:color w:val="auto"/>
          <w:highlight w:val="none"/>
          <w:lang w:val="en-US" w:eastAsia="zh-CN"/>
        </w:rPr>
        <w:t>开发建设工程</w:t>
      </w:r>
      <w:r>
        <w:rPr>
          <w:rFonts w:hint="eastAsia" w:cs="Times New Roman"/>
          <w:color w:val="auto"/>
          <w:highlight w:val="none"/>
          <w:lang w:val="en-US" w:eastAsia="zh-CN"/>
        </w:rPr>
        <w:t>；对</w:t>
      </w:r>
      <w:r>
        <w:rPr>
          <w:rFonts w:hint="default" w:ascii="Times New Roman" w:hAnsi="Times New Roman" w:eastAsia="宋体" w:cs="Times New Roman"/>
          <w:color w:val="auto"/>
          <w:highlight w:val="none"/>
          <w:lang w:val="en-US" w:eastAsia="zh-CN"/>
        </w:rPr>
        <w:t>开发过程中的生产废水进行综合利用，节约了水资源；油气集输常温，不消耗燃料，不消耗燃料。本工程占地类型为</w:t>
      </w:r>
      <w:r>
        <w:rPr>
          <w:rFonts w:hint="eastAsia" w:ascii="Times New Roman" w:hAnsi="Times New Roman" w:eastAsia="宋体" w:cs="Times New Roman"/>
          <w:color w:val="auto"/>
          <w:highlight w:val="none"/>
          <w:lang w:val="en-US" w:eastAsia="zh-CN"/>
        </w:rPr>
        <w:t>其他草地、裸地、采矿用地、灌木林地、盐碱地等</w:t>
      </w:r>
      <w:r>
        <w:rPr>
          <w:rFonts w:hint="default" w:ascii="Times New Roman" w:hAnsi="Times New Roman" w:eastAsia="宋体" w:cs="Times New Roman"/>
          <w:color w:val="auto"/>
          <w:highlight w:val="none"/>
          <w:lang w:val="en-US" w:eastAsia="zh-CN"/>
        </w:rPr>
        <w:t>，土地资源消耗符合要求。因此，本工程符合《新疆维吾尔自治区环境保护条例》的要求。</w:t>
      </w:r>
    </w:p>
    <w:p>
      <w:pPr>
        <w:pStyle w:val="53"/>
        <w:rPr>
          <w:rFonts w:eastAsia="宋体"/>
          <w:color w:val="auto"/>
          <w:highlight w:val="none"/>
        </w:rPr>
      </w:pPr>
      <w:r>
        <w:rPr>
          <w:color w:val="auto"/>
          <w:highlight w:val="none"/>
        </w:rPr>
        <w:fldChar w:fldCharType="begin"/>
      </w:r>
      <w:r>
        <w:rPr>
          <w:color w:val="auto"/>
          <w:highlight w:val="none"/>
        </w:rPr>
        <w:instrText xml:space="preserve"> HYPERLINK \l "_Toc27194" </w:instrText>
      </w:r>
      <w:r>
        <w:rPr>
          <w:color w:val="auto"/>
          <w:highlight w:val="none"/>
        </w:rPr>
        <w:fldChar w:fldCharType="separate"/>
      </w:r>
      <w:r>
        <w:rPr>
          <w:rFonts w:hint="eastAsia" w:eastAsia="宋体"/>
          <w:color w:val="auto"/>
          <w:highlight w:val="none"/>
        </w:rPr>
        <w:t>3.</w:t>
      </w:r>
      <w:r>
        <w:rPr>
          <w:rFonts w:hint="eastAsia" w:eastAsia="宋体"/>
          <w:color w:val="auto"/>
          <w:highlight w:val="none"/>
          <w:lang w:val="en-US" w:eastAsia="zh-CN"/>
        </w:rPr>
        <w:t>4</w:t>
      </w:r>
      <w:r>
        <w:rPr>
          <w:rFonts w:hint="eastAsia" w:eastAsia="宋体"/>
          <w:color w:val="auto"/>
          <w:highlight w:val="none"/>
        </w:rPr>
        <w:t>.3 生态环境分区管控符合性分析</w:t>
      </w:r>
      <w:r>
        <w:rPr>
          <w:rFonts w:hint="eastAsia" w:eastAsia="宋体"/>
          <w:color w:val="auto"/>
          <w:highlight w:val="none"/>
        </w:rPr>
        <w:fldChar w:fldCharType="end"/>
      </w:r>
    </w:p>
    <w:p>
      <w:pPr>
        <w:pStyle w:val="57"/>
        <w:rPr>
          <w:rFonts w:hint="eastAsia"/>
          <w:snapToGrid w:val="0"/>
          <w:color w:val="auto"/>
          <w:highlight w:val="none"/>
        </w:rPr>
      </w:pPr>
      <w:r>
        <w:rPr>
          <w:rFonts w:hint="eastAsia"/>
          <w:color w:val="auto"/>
          <w:highlight w:val="none"/>
        </w:rPr>
        <w:t>本工程与《新疆维吾尔自治区生态环境分区管控动态更新成果》（新环环评发</w:t>
      </w:r>
      <w:r>
        <w:rPr>
          <w:rFonts w:hint="eastAsia"/>
          <w:color w:val="auto"/>
          <w:highlight w:val="none"/>
          <w:lang w:eastAsia="zh-CN"/>
        </w:rPr>
        <w:t>〔</w:t>
      </w:r>
      <w:r>
        <w:rPr>
          <w:rFonts w:hint="eastAsia"/>
          <w:color w:val="auto"/>
          <w:highlight w:val="none"/>
        </w:rPr>
        <w:t>2024</w:t>
      </w:r>
      <w:r>
        <w:rPr>
          <w:rFonts w:hint="eastAsia"/>
          <w:color w:val="auto"/>
          <w:highlight w:val="none"/>
          <w:lang w:eastAsia="zh-CN"/>
        </w:rPr>
        <w:t>〕</w:t>
      </w:r>
      <w:r>
        <w:rPr>
          <w:rFonts w:hint="eastAsia"/>
          <w:color w:val="auto"/>
          <w:highlight w:val="none"/>
        </w:rPr>
        <w:t>157 号）、</w:t>
      </w:r>
      <w:r>
        <w:rPr>
          <w:rFonts w:hint="eastAsia"/>
          <w:color w:val="auto"/>
          <w:highlight w:val="none"/>
          <w:lang w:eastAsia="zh-CN"/>
        </w:rPr>
        <w:t>《</w:t>
      </w:r>
      <w:r>
        <w:rPr>
          <w:rFonts w:hint="eastAsia"/>
          <w:color w:val="auto"/>
          <w:highlight w:val="none"/>
        </w:rPr>
        <w:t>关于印发</w:t>
      </w:r>
      <w:r>
        <w:rPr>
          <w:rFonts w:hint="eastAsia"/>
          <w:color w:val="auto"/>
          <w:highlight w:val="none"/>
          <w:lang w:eastAsia="zh-CN"/>
        </w:rPr>
        <w:t>〈</w:t>
      </w:r>
      <w:r>
        <w:rPr>
          <w:rFonts w:hint="eastAsia"/>
          <w:color w:val="auto"/>
          <w:highlight w:val="none"/>
        </w:rPr>
        <w:t>塔城地区“三线一单”生态环境分区管控方案（2023版）</w:t>
      </w:r>
      <w:r>
        <w:rPr>
          <w:rFonts w:hint="eastAsia"/>
          <w:color w:val="auto"/>
          <w:highlight w:val="none"/>
          <w:lang w:eastAsia="zh-CN"/>
        </w:rPr>
        <w:t>〉</w:t>
      </w:r>
      <w:r>
        <w:rPr>
          <w:rFonts w:hint="eastAsia"/>
          <w:color w:val="auto"/>
          <w:highlight w:val="none"/>
        </w:rPr>
        <w:t>的通知</w:t>
      </w:r>
      <w:r>
        <w:rPr>
          <w:rFonts w:hint="eastAsia"/>
          <w:color w:val="auto"/>
          <w:highlight w:val="none"/>
          <w:lang w:eastAsia="zh-CN"/>
        </w:rPr>
        <w:t>》（</w:t>
      </w:r>
      <w:r>
        <w:rPr>
          <w:rFonts w:hint="eastAsia"/>
          <w:color w:val="auto"/>
          <w:highlight w:val="none"/>
        </w:rPr>
        <w:t>塔行办发〔2024〕38号</w:t>
      </w:r>
      <w:r>
        <w:rPr>
          <w:rFonts w:hint="eastAsia"/>
          <w:color w:val="auto"/>
          <w:highlight w:val="none"/>
          <w:lang w:eastAsia="zh-CN"/>
        </w:rPr>
        <w:t>）、《</w:t>
      </w:r>
      <w:r>
        <w:rPr>
          <w:rFonts w:hint="eastAsia"/>
          <w:color w:val="auto"/>
          <w:highlight w:val="none"/>
        </w:rPr>
        <w:t>关于印发</w:t>
      </w:r>
      <w:r>
        <w:rPr>
          <w:rFonts w:hint="eastAsia"/>
          <w:color w:val="auto"/>
          <w:highlight w:val="none"/>
          <w:lang w:eastAsia="zh-CN"/>
        </w:rPr>
        <w:t>〈</w:t>
      </w:r>
      <w:r>
        <w:rPr>
          <w:rFonts w:hint="eastAsia"/>
          <w:color w:val="auto"/>
          <w:highlight w:val="none"/>
        </w:rPr>
        <w:t>克拉玛依“三线一单”生态环境分区管控方案（2023版）</w:t>
      </w:r>
      <w:r>
        <w:rPr>
          <w:rFonts w:hint="eastAsia"/>
          <w:color w:val="auto"/>
          <w:highlight w:val="none"/>
          <w:lang w:eastAsia="zh-CN"/>
        </w:rPr>
        <w:t>〉</w:t>
      </w:r>
      <w:r>
        <w:rPr>
          <w:rFonts w:hint="eastAsia"/>
          <w:color w:val="auto"/>
          <w:highlight w:val="none"/>
        </w:rPr>
        <w:t>的通知</w:t>
      </w:r>
      <w:r>
        <w:rPr>
          <w:rFonts w:hint="eastAsia"/>
          <w:color w:val="auto"/>
          <w:highlight w:val="none"/>
          <w:lang w:eastAsia="zh-CN"/>
        </w:rPr>
        <w:t>》（</w:t>
      </w:r>
      <w:r>
        <w:rPr>
          <w:rFonts w:hint="eastAsia"/>
          <w:color w:val="auto"/>
          <w:highlight w:val="none"/>
        </w:rPr>
        <w:t>新克政发〔2024〕22号</w:t>
      </w:r>
      <w:r>
        <w:rPr>
          <w:rFonts w:hint="eastAsia"/>
          <w:color w:val="auto"/>
          <w:highlight w:val="none"/>
          <w:lang w:eastAsia="zh-CN"/>
        </w:rPr>
        <w:t>）、</w:t>
      </w:r>
      <w:r>
        <w:rPr>
          <w:rFonts w:hint="eastAsia" w:cs="Times New Roman"/>
          <w:bCs/>
          <w:color w:val="auto"/>
          <w:highlight w:val="none"/>
          <w:lang w:val="en-US" w:eastAsia="zh-CN"/>
        </w:rPr>
        <w:t>《新疆生产建设兵团2023年度生态环境分区管控动态更新成果公告》</w:t>
      </w:r>
      <w:r>
        <w:rPr>
          <w:rFonts w:hint="eastAsia"/>
          <w:color w:val="auto"/>
          <w:highlight w:val="none"/>
        </w:rPr>
        <w:t>符合性分析分别见表3.</w:t>
      </w:r>
      <w:r>
        <w:rPr>
          <w:rFonts w:hint="eastAsia"/>
          <w:color w:val="auto"/>
          <w:highlight w:val="none"/>
          <w:lang w:val="en-US" w:eastAsia="zh-CN"/>
        </w:rPr>
        <w:t>4</w:t>
      </w:r>
      <w:r>
        <w:rPr>
          <w:rFonts w:hint="eastAsia"/>
          <w:color w:val="auto"/>
          <w:highlight w:val="none"/>
        </w:rPr>
        <w:t>-1</w:t>
      </w:r>
      <w:r>
        <w:rPr>
          <w:rFonts w:hint="eastAsia"/>
          <w:color w:val="auto"/>
          <w:highlight w:val="none"/>
          <w:lang w:val="en-US" w:eastAsia="zh-CN"/>
        </w:rPr>
        <w:t>3、</w:t>
      </w:r>
      <w:r>
        <w:rPr>
          <w:rFonts w:hint="eastAsia"/>
          <w:color w:val="auto"/>
          <w:highlight w:val="none"/>
        </w:rPr>
        <w:t>3.5-</w:t>
      </w:r>
      <w:r>
        <w:rPr>
          <w:rFonts w:hint="eastAsia"/>
          <w:color w:val="auto"/>
          <w:highlight w:val="none"/>
          <w:lang w:val="en-US" w:eastAsia="zh-CN"/>
        </w:rPr>
        <w:t>14</w:t>
      </w:r>
      <w:r>
        <w:rPr>
          <w:rFonts w:hint="eastAsia"/>
          <w:color w:val="auto"/>
          <w:highlight w:val="none"/>
        </w:rPr>
        <w:t>及图3.</w:t>
      </w:r>
      <w:r>
        <w:rPr>
          <w:rFonts w:hint="eastAsia"/>
          <w:color w:val="auto"/>
          <w:highlight w:val="none"/>
          <w:lang w:val="en-US" w:eastAsia="zh-CN"/>
        </w:rPr>
        <w:t>4</w:t>
      </w:r>
      <w:r>
        <w:rPr>
          <w:rFonts w:hint="eastAsia"/>
          <w:color w:val="auto"/>
          <w:highlight w:val="none"/>
        </w:rPr>
        <w:t>-1、3.</w:t>
      </w:r>
      <w:r>
        <w:rPr>
          <w:rFonts w:hint="eastAsia"/>
          <w:color w:val="auto"/>
          <w:highlight w:val="none"/>
          <w:lang w:val="en-US" w:eastAsia="zh-CN"/>
        </w:rPr>
        <w:t>4</w:t>
      </w:r>
      <w:r>
        <w:rPr>
          <w:rFonts w:hint="eastAsia"/>
          <w:color w:val="auto"/>
          <w:highlight w:val="none"/>
        </w:rPr>
        <w:t>-2。根据分析结果，本工程建设符合生态环境分区管控要求</w:t>
      </w:r>
      <w:r>
        <w:rPr>
          <w:color w:val="auto"/>
          <w:highlight w:val="none"/>
        </w:rPr>
        <w:t>。</w:t>
      </w:r>
    </w:p>
    <w:p>
      <w:pPr>
        <w:pStyle w:val="54"/>
        <w:ind w:firstLine="482"/>
        <w:rPr>
          <w:rFonts w:hint="eastAsia"/>
          <w:snapToGrid w:val="0"/>
          <w:color w:val="auto"/>
          <w:highlight w:val="none"/>
        </w:rPr>
      </w:pPr>
    </w:p>
    <w:p>
      <w:pPr>
        <w:pStyle w:val="54"/>
        <w:ind w:firstLine="482"/>
        <w:rPr>
          <w:rFonts w:hint="eastAsia"/>
          <w:snapToGrid w:val="0"/>
          <w:color w:val="auto"/>
          <w:highlight w:val="none"/>
        </w:rPr>
      </w:pPr>
    </w:p>
    <w:p>
      <w:pPr>
        <w:pStyle w:val="54"/>
        <w:ind w:firstLine="482"/>
        <w:rPr>
          <w:snapToGrid w:val="0"/>
          <w:color w:val="auto"/>
          <w:highlight w:val="none"/>
        </w:rPr>
      </w:pPr>
      <w:r>
        <w:rPr>
          <w:rFonts w:hint="eastAsia"/>
          <w:snapToGrid w:val="0"/>
          <w:color w:val="auto"/>
          <w:highlight w:val="none"/>
        </w:rPr>
        <w:t>表3.</w:t>
      </w:r>
      <w:r>
        <w:rPr>
          <w:rFonts w:hint="eastAsia"/>
          <w:snapToGrid w:val="0"/>
          <w:color w:val="auto"/>
          <w:highlight w:val="none"/>
          <w:lang w:val="en-US" w:eastAsia="zh-CN"/>
        </w:rPr>
        <w:t>4</w:t>
      </w:r>
      <w:r>
        <w:rPr>
          <w:rFonts w:hint="eastAsia"/>
          <w:snapToGrid w:val="0"/>
          <w:color w:val="auto"/>
          <w:highlight w:val="none"/>
        </w:rPr>
        <w:t>-1</w:t>
      </w:r>
      <w:r>
        <w:rPr>
          <w:rFonts w:hint="eastAsia"/>
          <w:snapToGrid w:val="0"/>
          <w:color w:val="auto"/>
          <w:highlight w:val="none"/>
          <w:lang w:val="en-US" w:eastAsia="zh-CN"/>
        </w:rPr>
        <w:t>3</w:t>
      </w:r>
      <w:r>
        <w:rPr>
          <w:rFonts w:hint="eastAsia"/>
          <w:snapToGrid w:val="0"/>
          <w:color w:val="auto"/>
          <w:highlight w:val="none"/>
        </w:rPr>
        <w:t xml:space="preserve"> 本工程与</w:t>
      </w:r>
      <w:r>
        <w:rPr>
          <w:rFonts w:hint="eastAsia"/>
          <w:color w:val="auto"/>
          <w:highlight w:val="none"/>
        </w:rPr>
        <w:t>《新疆维吾尔自治区生态环境分区管控动态更新成果》</w:t>
      </w:r>
      <w:r>
        <w:rPr>
          <w:rFonts w:hint="eastAsia"/>
          <w:snapToGrid w:val="0"/>
          <w:color w:val="auto"/>
          <w:highlight w:val="none"/>
        </w:rPr>
        <w:t>符合性分析</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24"/>
        <w:gridCol w:w="3791"/>
        <w:gridCol w:w="3796"/>
        <w:gridCol w:w="62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353"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名称</w:t>
            </w:r>
          </w:p>
        </w:tc>
        <w:tc>
          <w:tcPr>
            <w:tcW w:w="2145"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文件要求</w:t>
            </w:r>
          </w:p>
        </w:tc>
        <w:tc>
          <w:tcPr>
            <w:tcW w:w="2148"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符合性分析</w:t>
            </w:r>
          </w:p>
        </w:tc>
        <w:tc>
          <w:tcPr>
            <w:tcW w:w="35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生态保护红线</w:t>
            </w:r>
          </w:p>
        </w:tc>
        <w:tc>
          <w:tcPr>
            <w:tcW w:w="2145"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生态保护红线是生态空间范围内具有特殊重要生态功能必须实行强制性严格保护的区域。相关环评应将生态空间管控作为重要内容，区域涉及生态保护红线的，在环评结论和审查意见中应落实生态保护红线的管理要求，提出相应对策措施。除受自然条件限制、确实无法避让的铁路、公路、航道、防洪、管道、干渠、通讯、输变电等重要基础设施项目外，在生态保护红线范围内，严控各类开发建设活动，依法不予审批新建工业项目和矿产开发项目的环评文件。</w:t>
            </w:r>
          </w:p>
        </w:tc>
        <w:tc>
          <w:tcPr>
            <w:tcW w:w="2148"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经初步核查，拟建工程</w:t>
            </w:r>
            <w:r>
              <w:rPr>
                <w:color w:val="auto"/>
                <w:highlight w:val="none"/>
              </w:rPr>
              <w:t>不在划定的生态保护红线内</w:t>
            </w:r>
            <w:r>
              <w:rPr>
                <w:rFonts w:hint="eastAsia"/>
                <w:color w:val="auto"/>
                <w:highlight w:val="none"/>
              </w:rPr>
              <w:t>，</w:t>
            </w:r>
            <w:r>
              <w:rPr>
                <w:color w:val="auto"/>
                <w:highlight w:val="none"/>
              </w:rPr>
              <w:t>符合生态保护红线</w:t>
            </w:r>
            <w:r>
              <w:rPr>
                <w:rFonts w:hint="eastAsia"/>
                <w:color w:val="auto"/>
                <w:highlight w:val="none"/>
              </w:rPr>
              <w:t>管理</w:t>
            </w:r>
            <w:r>
              <w:rPr>
                <w:color w:val="auto"/>
                <w:highlight w:val="none"/>
              </w:rPr>
              <w:t>要求。</w:t>
            </w:r>
            <w:r>
              <w:rPr>
                <w:rFonts w:hint="eastAsia"/>
                <w:color w:val="auto"/>
                <w:highlight w:val="none"/>
              </w:rPr>
              <w:t>项目</w:t>
            </w:r>
            <w:r>
              <w:rPr>
                <w:color w:val="auto"/>
                <w:highlight w:val="none"/>
              </w:rPr>
              <w:t>与生态保护红线位置关系图见图3.</w:t>
            </w:r>
            <w:r>
              <w:rPr>
                <w:rFonts w:hint="eastAsia"/>
                <w:color w:val="auto"/>
                <w:highlight w:val="none"/>
              </w:rPr>
              <w:t>5</w:t>
            </w:r>
            <w:r>
              <w:rPr>
                <w:color w:val="auto"/>
                <w:highlight w:val="none"/>
              </w:rPr>
              <w:t>-1。</w:t>
            </w:r>
          </w:p>
        </w:tc>
        <w:tc>
          <w:tcPr>
            <w:tcW w:w="35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环境质量底线</w:t>
            </w:r>
          </w:p>
        </w:tc>
        <w:tc>
          <w:tcPr>
            <w:tcW w:w="2145"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环境质量底线是国家和地方设置的大气、水和土壤环境质量目标，也是改善环境质量的基准线。有关环评应落实区域环境质量目标管理要求，提出区域或者行业污染物排放总量管控建议以及优化区域或行业发展布局、结构和规模的对策措施。项目环评应对照区域环境质量目标，深入分析预测项目建设对环境质量的影响，强化污染防治措施和污染物排放控制要求。</w:t>
            </w:r>
          </w:p>
        </w:tc>
        <w:tc>
          <w:tcPr>
            <w:tcW w:w="2148"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拟建工程采出水输送至</w:t>
            </w:r>
            <w:r>
              <w:rPr>
                <w:rFonts w:hint="eastAsia" w:cs="Times New Roman"/>
                <w:color w:val="auto"/>
                <w:highlight w:val="none"/>
                <w:lang w:eastAsia="zh-CN"/>
              </w:rPr>
              <w:t>风城二号稠油处理站</w:t>
            </w:r>
            <w:r>
              <w:rPr>
                <w:rFonts w:hint="eastAsia" w:ascii="Times New Roman" w:hAnsi="Times New Roman" w:eastAsia="宋体" w:cs="Times New Roman"/>
                <w:color w:val="auto"/>
                <w:highlight w:val="none"/>
              </w:rPr>
              <w:t>采出水处理单元处理达标后回注地层；井下作业废水收集后送</w:t>
            </w:r>
            <w:r>
              <w:rPr>
                <w:rFonts w:hint="eastAsia"/>
                <w:color w:val="auto"/>
                <w:highlight w:val="none"/>
                <w:lang w:val="en-US" w:eastAsia="zh-CN"/>
              </w:rPr>
              <w:t>风城二号稠油联合站</w:t>
            </w:r>
            <w:r>
              <w:rPr>
                <w:rFonts w:hint="eastAsia" w:ascii="Times New Roman" w:hAnsi="Times New Roman" w:eastAsia="宋体" w:cs="Times New Roman"/>
                <w:color w:val="auto"/>
                <w:highlight w:val="none"/>
              </w:rPr>
              <w:t>处理；同时采取切实可行的地下水污染防治和监控措施，防止造成地下水污染；拟建工程所在区域属于大气环境质量不达标区域，拟建工程油气采取密闭集输工艺，拟建工程已提出持续改善、防风固沙、生态修复的要求，项目实施后建设单位应不断强化大气污染源防治措施，改善区域环境空气质量。拟建工程在正常状况下不会造成土壤环境质量超标，不会增加土壤环境风险</w:t>
            </w:r>
          </w:p>
        </w:tc>
        <w:tc>
          <w:tcPr>
            <w:tcW w:w="35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资源利用上线</w:t>
            </w:r>
          </w:p>
        </w:tc>
        <w:tc>
          <w:tcPr>
            <w:tcW w:w="2145"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资源是环境的载体，资源利用上线是各地区能源、水、土地等资源消耗不得突破的“天花板”。相关环评应依据有关资源利用上线，对规划实施以及规划内项目的资源开发利用，区分不同行业，从能源资源开发等量或减量替代、开采方式和规模控制、利用效率和保护措施等方面提出建议，为规划编制和审批决策提供重要依据。</w:t>
            </w:r>
          </w:p>
        </w:tc>
        <w:tc>
          <w:tcPr>
            <w:tcW w:w="2148"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lang w:val="en-US" w:eastAsia="zh-CN"/>
              </w:rPr>
              <w:t>本</w:t>
            </w:r>
            <w:r>
              <w:rPr>
                <w:rFonts w:hint="eastAsia"/>
                <w:color w:val="auto"/>
                <w:highlight w:val="none"/>
              </w:rPr>
              <w:t>工程采出水输送至</w:t>
            </w:r>
            <w:r>
              <w:rPr>
                <w:rFonts w:hint="eastAsia"/>
                <w:color w:val="auto"/>
                <w:highlight w:val="none"/>
                <w:lang w:eastAsia="zh-CN"/>
              </w:rPr>
              <w:t>风城二号稠油处理站</w:t>
            </w:r>
            <w:r>
              <w:rPr>
                <w:rFonts w:hint="eastAsia"/>
                <w:color w:val="auto"/>
                <w:highlight w:val="none"/>
              </w:rPr>
              <w:t>采出水处理单元处理达标后回注地层；井下作业废水收集后送</w:t>
            </w:r>
            <w:r>
              <w:rPr>
                <w:rFonts w:hint="eastAsia"/>
                <w:color w:val="auto"/>
                <w:highlight w:val="none"/>
                <w:lang w:val="en-US" w:eastAsia="zh-CN"/>
              </w:rPr>
              <w:t>风城二号稠油联合站</w:t>
            </w:r>
            <w:r>
              <w:rPr>
                <w:rFonts w:hint="eastAsia"/>
                <w:color w:val="auto"/>
                <w:highlight w:val="none"/>
              </w:rPr>
              <w:t>处理，不外排；油气集输不消耗天然气，井场用电接自区域电网，能源利用均在区域供电负荷范围内，消耗未超出区域负荷上限；井场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永久占地面积较小，管线埋地敷设，敷设完成后回填管沟，对土地资源占用较少，土地资源消耗符合要求；拟建工程开发符合资源利用上线要求</w:t>
            </w:r>
          </w:p>
        </w:tc>
        <w:tc>
          <w:tcPr>
            <w:tcW w:w="35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53"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生态环境</w:t>
            </w:r>
            <w:r>
              <w:rPr>
                <w:color w:val="auto"/>
                <w:highlight w:val="none"/>
              </w:rPr>
              <w:t>准入清单</w:t>
            </w:r>
          </w:p>
        </w:tc>
        <w:tc>
          <w:tcPr>
            <w:tcW w:w="2145"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自治区</w:t>
            </w:r>
            <w:r>
              <w:rPr>
                <w:rFonts w:ascii="Times New Roman" w:hAnsi="Times New Roman" w:eastAsia="宋体" w:cs="Times New Roman"/>
                <w:color w:val="auto"/>
                <w:highlight w:val="none"/>
              </w:rPr>
              <w:t>环境管控单元分为优先保护单元、重点管控单元和一般管控单元三类，实施分类管控。</w:t>
            </w:r>
            <w:r>
              <w:rPr>
                <w:rFonts w:hint="eastAsia" w:ascii="Times New Roman" w:hAnsi="Times New Roman" w:eastAsia="宋体" w:cs="Times New Roman"/>
                <w:color w:val="auto"/>
                <w:highlight w:val="none"/>
              </w:rPr>
              <w:t>其中一般管控单元</w:t>
            </w:r>
            <w:r>
              <w:rPr>
                <w:rFonts w:ascii="Times New Roman" w:hAnsi="Times New Roman" w:eastAsia="宋体" w:cs="Times New Roman"/>
                <w:color w:val="auto"/>
                <w:highlight w:val="none"/>
              </w:rPr>
              <w:t>主要</w:t>
            </w:r>
            <w:r>
              <w:rPr>
                <w:rFonts w:hint="eastAsia" w:ascii="Times New Roman" w:hAnsi="Times New Roman" w:eastAsia="宋体" w:cs="Times New Roman"/>
                <w:color w:val="auto"/>
                <w:highlight w:val="none"/>
              </w:rPr>
              <w:t>为</w:t>
            </w:r>
            <w:r>
              <w:rPr>
                <w:rFonts w:ascii="Times New Roman" w:hAnsi="Times New Roman" w:eastAsia="宋体" w:cs="Times New Roman"/>
                <w:color w:val="auto"/>
                <w:highlight w:val="none"/>
              </w:rPr>
              <w:t>优先保护单元和重点管控单元之外</w:t>
            </w:r>
            <w:r>
              <w:rPr>
                <w:rFonts w:hint="eastAsia" w:ascii="Times New Roman" w:hAnsi="Times New Roman" w:eastAsia="宋体" w:cs="Times New Roman"/>
                <w:color w:val="auto"/>
                <w:highlight w:val="none"/>
              </w:rPr>
              <w:t>的其他</w:t>
            </w:r>
            <w:r>
              <w:rPr>
                <w:rFonts w:ascii="Times New Roman" w:hAnsi="Times New Roman" w:eastAsia="宋体" w:cs="Times New Roman"/>
                <w:color w:val="auto"/>
                <w:highlight w:val="none"/>
              </w:rPr>
              <w:t>区域。一般管控单元主要落实生态环境保护基本要求，推动区域环境质量持续改善。</w:t>
            </w:r>
          </w:p>
        </w:tc>
        <w:tc>
          <w:tcPr>
            <w:tcW w:w="2148"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本项目</w:t>
            </w:r>
            <w:r>
              <w:rPr>
                <w:rFonts w:hint="eastAsia" w:ascii="Times New Roman" w:hAnsi="Times New Roman" w:eastAsia="宋体" w:cs="Times New Roman"/>
                <w:color w:val="auto"/>
                <w:highlight w:val="none"/>
              </w:rPr>
              <w:t>为</w:t>
            </w:r>
            <w:r>
              <w:rPr>
                <w:rFonts w:hint="eastAsia" w:cs="Times New Roman"/>
                <w:color w:val="auto"/>
                <w:highlight w:val="none"/>
                <w:lang w:val="en-US" w:eastAsia="zh-CN"/>
              </w:rPr>
              <w:t>页岩油开采</w:t>
            </w:r>
            <w:r>
              <w:rPr>
                <w:rFonts w:hint="eastAsia" w:ascii="Times New Roman" w:hAnsi="Times New Roman" w:eastAsia="宋体" w:cs="Times New Roman"/>
                <w:color w:val="auto"/>
                <w:highlight w:val="none"/>
              </w:rPr>
              <w:t>项目，</w:t>
            </w:r>
            <w:r>
              <w:rPr>
                <w:rFonts w:ascii="Times New Roman" w:hAnsi="Times New Roman" w:eastAsia="宋体" w:cs="Times New Roman"/>
                <w:color w:val="auto"/>
                <w:highlight w:val="none"/>
              </w:rPr>
              <w:t>属于《产业结构</w:t>
            </w:r>
            <w:r>
              <w:rPr>
                <w:rFonts w:hint="eastAsia" w:ascii="Times New Roman" w:hAnsi="Times New Roman" w:eastAsia="宋体" w:cs="Times New Roman"/>
                <w:color w:val="auto"/>
                <w:highlight w:val="none"/>
              </w:rPr>
              <w:t>调整指导目录（2024年本）》中“鼓励类”，符合国家相关产业政策。</w:t>
            </w:r>
            <w:r>
              <w:rPr>
                <w:rFonts w:hint="eastAsia" w:ascii="Times New Roman" w:hAnsi="Times New Roman" w:eastAsia="宋体" w:cs="Times New Roman"/>
                <w:color w:val="auto"/>
                <w:highlight w:val="none"/>
                <w:lang w:val="en-US" w:eastAsia="zh-CN"/>
              </w:rPr>
              <w:t>本工程</w:t>
            </w:r>
            <w:r>
              <w:rPr>
                <w:rFonts w:hint="default" w:ascii="Times New Roman" w:hAnsi="Times New Roman" w:eastAsia="宋体" w:cs="Times New Roman"/>
                <w:color w:val="auto"/>
                <w:highlight w:val="none"/>
                <w:lang w:val="en-US" w:eastAsia="zh-CN"/>
              </w:rPr>
              <w:t>位于克拉玛依市乌尔禾一般管控单元02（环境管控单元编码为ZH65020530002）、乌尔禾一般管控单元03（环境管控单元编码为ZH65020530003）</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和布克赛尔蒙古自治县一般管控单元01（环境管控单元编码为ZH65422630001）</w:t>
            </w:r>
            <w:r>
              <w:rPr>
                <w:rFonts w:hint="eastAsia" w:ascii="Times New Roman" w:hAnsi="Times New Roman" w:eastAsia="宋体" w:cs="Times New Roman"/>
                <w:color w:val="auto"/>
                <w:highlight w:val="none"/>
                <w:lang w:val="en-US" w:eastAsia="zh-CN"/>
              </w:rPr>
              <w:t>以及第七师胡杨河市重点管控单元（</w:t>
            </w:r>
            <w:r>
              <w:rPr>
                <w:rFonts w:hint="eastAsia" w:ascii="Times New Roman" w:hAnsi="Times New Roman" w:eastAsia="宋体" w:cs="Times New Roman"/>
                <w:color w:val="auto"/>
                <w:highlight w:val="none"/>
              </w:rPr>
              <w:t>环境管控单元编码为ZH65</w:t>
            </w:r>
            <w:r>
              <w:rPr>
                <w:rFonts w:hint="eastAsia" w:ascii="Times New Roman" w:hAnsi="Times New Roman" w:eastAsia="宋体" w:cs="Times New Roman"/>
                <w:color w:val="auto"/>
                <w:highlight w:val="none"/>
                <w:lang w:val="en-US" w:eastAsia="zh-CN"/>
              </w:rPr>
              <w:t>771020001）</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见图3.5-2。项目建设过程中以生态环境保护优先为原则</w:t>
            </w:r>
            <w:r>
              <w:rPr>
                <w:rFonts w:hint="eastAsia" w:cs="Times New Roman"/>
                <w:color w:val="auto"/>
                <w:highlight w:val="none"/>
                <w:lang w:eastAsia="zh-CN"/>
              </w:rPr>
              <w:t>，在</w:t>
            </w:r>
            <w:r>
              <w:rPr>
                <w:rFonts w:hint="eastAsia" w:ascii="Times New Roman" w:hAnsi="Times New Roman" w:eastAsia="宋体" w:cs="Times New Roman"/>
                <w:color w:val="auto"/>
                <w:highlight w:val="none"/>
              </w:rPr>
              <w:t>开发建设过程中严格执行相关法律、法规要求，严守生态环境质量底线，生态功能不会降低。拟建工程实施后通过采取完善的污染治理措施，可确保污染得到</w:t>
            </w:r>
            <w:r>
              <w:rPr>
                <w:rFonts w:hint="eastAsia" w:cs="Times New Roman"/>
                <w:color w:val="auto"/>
                <w:highlight w:val="none"/>
                <w:lang w:eastAsia="zh-CN"/>
              </w:rPr>
              <w:t>有效</w:t>
            </w:r>
            <w:r>
              <w:rPr>
                <w:rFonts w:hint="eastAsia" w:ascii="Times New Roman" w:hAnsi="Times New Roman" w:eastAsia="宋体" w:cs="Times New Roman"/>
                <w:color w:val="auto"/>
                <w:highlight w:val="none"/>
              </w:rPr>
              <w:t>控制，对站址周围大气环境、地表水环境、地下水环境影响可接受，从声环境、土壤环境影响角度项目可行。</w:t>
            </w:r>
          </w:p>
        </w:tc>
        <w:tc>
          <w:tcPr>
            <w:tcW w:w="35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符合</w:t>
            </w:r>
          </w:p>
        </w:tc>
      </w:tr>
    </w:tbl>
    <w:p>
      <w:pPr>
        <w:pStyle w:val="54"/>
        <w:keepNext w:val="0"/>
        <w:keepLines w:val="0"/>
        <w:pageBreakBefore w:val="0"/>
        <w:kinsoku/>
        <w:wordWrap/>
        <w:overflowPunct/>
        <w:topLinePunct w:val="0"/>
        <w:autoSpaceDE/>
        <w:autoSpaceDN/>
        <w:bidi w:val="0"/>
        <w:spacing w:line="240" w:lineRule="auto"/>
        <w:ind w:left="0" w:leftChars="0" w:firstLine="0" w:firstLineChars="0"/>
        <w:jc w:val="center"/>
        <w:rPr>
          <w:color w:val="auto"/>
          <w:highlight w:val="none"/>
        </w:rPr>
      </w:pPr>
      <w:r>
        <w:rPr>
          <w:color w:val="auto"/>
          <w:highlight w:val="none"/>
        </w:rPr>
        <w:t>表3.</w:t>
      </w:r>
      <w:r>
        <w:rPr>
          <w:rFonts w:hint="eastAsia"/>
          <w:color w:val="auto"/>
          <w:highlight w:val="none"/>
          <w:lang w:val="en-US" w:eastAsia="zh-CN"/>
        </w:rPr>
        <w:t>4</w:t>
      </w:r>
      <w:r>
        <w:rPr>
          <w:color w:val="auto"/>
          <w:highlight w:val="none"/>
        </w:rPr>
        <w:t>-</w:t>
      </w:r>
      <w:r>
        <w:rPr>
          <w:rFonts w:hint="eastAsia"/>
          <w:color w:val="auto"/>
          <w:highlight w:val="none"/>
          <w:lang w:val="en-US" w:eastAsia="zh-CN"/>
        </w:rPr>
        <w:t>14</w:t>
      </w:r>
      <w:r>
        <w:rPr>
          <w:color w:val="auto"/>
          <w:highlight w:val="none"/>
        </w:rPr>
        <w:t xml:space="preserve">    </w:t>
      </w:r>
      <w:bookmarkStart w:id="444" w:name="_Toc16726"/>
      <w:r>
        <w:rPr>
          <w:rFonts w:hint="eastAsia"/>
          <w:color w:val="auto"/>
          <w:highlight w:val="none"/>
        </w:rPr>
        <w:t>本工程与环境管控单元符合性分析一览表</w:t>
      </w:r>
      <w:bookmarkEnd w:id="444"/>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28" w:type="dxa"/>
          <w:left w:w="108" w:type="dxa"/>
          <w:bottom w:w="28" w:type="dxa"/>
          <w:right w:w="108" w:type="dxa"/>
        </w:tblCellMar>
      </w:tblPr>
      <w:tblGrid>
        <w:gridCol w:w="1698"/>
        <w:gridCol w:w="2177"/>
        <w:gridCol w:w="1841"/>
        <w:gridCol w:w="2233"/>
        <w:gridCol w:w="8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单元编码</w:t>
            </w:r>
          </w:p>
        </w:tc>
        <w:tc>
          <w:tcPr>
            <w:tcW w:w="123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单元名称</w:t>
            </w:r>
          </w:p>
        </w:tc>
        <w:tc>
          <w:tcPr>
            <w:tcW w:w="104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单元属性</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单元特征</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环境要素属性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bookmarkStart w:id="445" w:name="OLE_LINK101"/>
            <w:r>
              <w:rPr>
                <w:rFonts w:hint="eastAsia"/>
                <w:color w:val="auto"/>
                <w:highlight w:val="none"/>
              </w:rPr>
              <w:t>ZH65422630001</w:t>
            </w:r>
            <w:bookmarkEnd w:id="445"/>
          </w:p>
        </w:tc>
        <w:tc>
          <w:tcPr>
            <w:tcW w:w="123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bookmarkStart w:id="446" w:name="OLE_LINK68"/>
            <w:r>
              <w:rPr>
                <w:rFonts w:hint="eastAsia"/>
                <w:color w:val="auto"/>
                <w:highlight w:val="none"/>
                <w:lang w:eastAsia="zh-CN"/>
              </w:rPr>
              <w:t>和布克赛尔蒙古自治县</w:t>
            </w:r>
            <w:r>
              <w:rPr>
                <w:rFonts w:hint="eastAsia"/>
                <w:color w:val="auto"/>
                <w:highlight w:val="none"/>
              </w:rPr>
              <w:t>一般管控单元</w:t>
            </w:r>
            <w:bookmarkEnd w:id="446"/>
          </w:p>
        </w:tc>
        <w:tc>
          <w:tcPr>
            <w:tcW w:w="104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一般管控单元</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sz w:val="21"/>
                <w:szCs w:val="21"/>
              </w:rPr>
              <w:t>农村地区、分布有永久基本农田。</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维度</w:t>
            </w:r>
          </w:p>
        </w:tc>
        <w:tc>
          <w:tcPr>
            <w:tcW w:w="2274" w:type="pct"/>
            <w:gridSpan w:val="2"/>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管控要求</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本工程</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空间布局约束</w:t>
            </w: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1.限制进行大规模高强度工业化城镇化开发，建立集镇居住商业区、耕地保护区与工业功能区等集聚区块之间的防护带。严格执行畜禽养殖禁养区规定，根据区域用地和消纳水平，合理确定养殖规模。</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lang w:val="en-US" w:eastAsia="zh-CN"/>
              </w:rPr>
              <w:t>本工程</w:t>
            </w:r>
            <w:r>
              <w:rPr>
                <w:rFonts w:hint="eastAsia"/>
                <w:color w:val="auto"/>
                <w:highlight w:val="none"/>
              </w:rPr>
              <w:t>不涉及</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永久基本农田经依法划定后，任何单位和个人不得擅自占用或者改变其用途。国家能源、交通、水利、军事设施等重点建设项目选址确实难以避让基本农田，涉及农用地转用或者土地征收的，必须经国务院批准。</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，不占用耕地等；项目对开发活动严格控制，尽可能减少对生态系统的干扰。</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污染物排放</w:t>
            </w:r>
          </w:p>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w:t>
            </w: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1.排污企业一般管控要求：满足总量控制、排污许可、排放标准等相关管理制度要求。</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农业面源和生活污染源一般管控要求：因地制宜推进农村厕所革命，分类分区推进农村生活污水治理，全面提升农村生活垃圾治理水平，建立健全农村人居环境长效管护机制。实施化肥农药减量增效行动和农膜回收、秸秆综合利用行动。加强种养结合，整县推进畜禽粪污资源化利用。</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环境风险防控</w:t>
            </w: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1.涉及县级及以上集中式饮用水水源地的河流以及其他重要环境敏感目标的河流，按照“一河一策一图”环境应急响应方案实施应急演练，视情加强闸坝、应急池、物资库等工程建设。</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lang w:val="en-US" w:eastAsia="zh-CN"/>
              </w:rPr>
              <w:t>夏子街油田</w:t>
            </w:r>
            <w:r>
              <w:rPr>
                <w:color w:val="auto"/>
                <w:highlight w:val="none"/>
              </w:rPr>
              <w:t>已</w:t>
            </w:r>
            <w:r>
              <w:rPr>
                <w:rFonts w:hint="eastAsia"/>
                <w:color w:val="auto"/>
                <w:highlight w:val="none"/>
              </w:rPr>
              <w:t>对区域存在的</w:t>
            </w:r>
            <w:r>
              <w:rPr>
                <w:color w:val="auto"/>
                <w:highlight w:val="none"/>
              </w:rPr>
              <w:t>历史遗留污染场地</w:t>
            </w:r>
            <w:r>
              <w:rPr>
                <w:rFonts w:hint="eastAsia"/>
                <w:color w:val="auto"/>
                <w:highlight w:val="none"/>
              </w:rPr>
              <w:t>进行治理</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2.严格地表水型水源地上游和地下水型水源地集水区高污染高风险行业环境准入。</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实施农用地土壤镉等重金属污染源头防治行动。依法推行农用地分类管理制度，强化受污染耕地安全利用和风险管控。因地制宜制定实施安全利用方案，鼓励采取种植结构调整等措施，确保受污染耕地全部实现安全利用。严格落实粮食收购和销售出库质量安全检验制度和追溯制度</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企业事业单位应当依照《中华人民共和国突发事件应对法》的规定，制定突发环境事件应急预案，做好突发环境事件的风险控制、应急准备、应急处置和事后恢复等工作。各类工业园区和工业聚集区应设立环境应急管理机构，编制环境风险应急预案，并具备环境风险应急救援能力。</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资源利用效率</w:t>
            </w: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至2025年塔城地区超采区地下水位年均下降速率控制在0.67m/a左右，至2030年超采区全部实现地下水采补平衡，地下水位下降速率控制在0.2m/a，至2035年，塔城地区超采区全域保持地下水采补平衡或补大于采，地下水水位逐渐恢复，水位恢复速率在0.1m/a以上。</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bookmarkStart w:id="447" w:name="OLE_LINK18"/>
            <w:r>
              <w:rPr>
                <w:rFonts w:hint="eastAsia"/>
                <w:color w:val="auto"/>
                <w:highlight w:val="none"/>
              </w:rPr>
              <w:t>--</w:t>
            </w:r>
            <w:bookmarkEnd w:id="447"/>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2.积极落实引调水工程，增加可利用地表水，提高水资源利用效率，增加再生水回用规模，对无法保证水源的耕地推行轮作休耕制度，节约利用水资源。</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3.结合高标准农田建设，加大田间节水设施建设力度，提高农业用水效率。塔城地区（不含兵团）2025年、2030年农田灌溉水有效利用系数控制指标分别为0.64、0.68。</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单元编码</w:t>
            </w:r>
          </w:p>
        </w:tc>
        <w:tc>
          <w:tcPr>
            <w:tcW w:w="123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单元名称</w:t>
            </w:r>
          </w:p>
        </w:tc>
        <w:tc>
          <w:tcPr>
            <w:tcW w:w="104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单元属性</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单元特征</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环境要素属性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default"/>
                <w:color w:val="auto"/>
                <w:highlight w:val="none"/>
                <w:lang w:val="en-US"/>
              </w:rPr>
            </w:pPr>
            <w:bookmarkStart w:id="448" w:name="OLE_LINK103"/>
            <w:r>
              <w:rPr>
                <w:rFonts w:hint="eastAsia" w:ascii="Times New Roman" w:hAnsi="Times New Roman" w:eastAsia="宋体" w:cs="Times New Roman"/>
                <w:bCs/>
                <w:color w:val="auto"/>
                <w:sz w:val="21"/>
                <w:szCs w:val="21"/>
                <w:highlight w:val="none"/>
                <w:lang w:val="en-US" w:eastAsia="zh-CN" w:bidi="ar-SA"/>
              </w:rPr>
              <w:t>ZH65020530002</w:t>
            </w:r>
            <w:bookmarkEnd w:id="448"/>
          </w:p>
        </w:tc>
        <w:tc>
          <w:tcPr>
            <w:tcW w:w="123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bookmarkStart w:id="449" w:name="OLE_LINK102"/>
            <w:r>
              <w:rPr>
                <w:rFonts w:hint="eastAsia"/>
                <w:color w:val="auto"/>
                <w:highlight w:val="none"/>
                <w:lang w:val="en-US" w:eastAsia="zh-CN"/>
              </w:rPr>
              <w:t>乌尔禾区</w:t>
            </w:r>
            <w:r>
              <w:rPr>
                <w:rFonts w:hint="eastAsia"/>
                <w:color w:val="auto"/>
                <w:highlight w:val="none"/>
              </w:rPr>
              <w:t>一般管控单元</w:t>
            </w:r>
            <w:bookmarkEnd w:id="449"/>
          </w:p>
        </w:tc>
        <w:tc>
          <w:tcPr>
            <w:tcW w:w="104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highlight w:val="none"/>
              </w:rPr>
              <w:t>一般管控单元</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color w:val="auto"/>
                <w:sz w:val="21"/>
                <w:szCs w:val="21"/>
              </w:rPr>
              <w:t>农村地区、分布有永久基本农田。</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维度</w:t>
            </w:r>
          </w:p>
        </w:tc>
        <w:tc>
          <w:tcPr>
            <w:tcW w:w="2274" w:type="pct"/>
            <w:gridSpan w:val="2"/>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管控要求</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本工程</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空间布局约束</w:t>
            </w:r>
          </w:p>
        </w:tc>
        <w:tc>
          <w:tcPr>
            <w:tcW w:w="2274"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1.执行克拉玛依市总体管控要求中空间布局约束要求</w:t>
            </w:r>
            <w:r>
              <w:rPr>
                <w:rFonts w:hint="default" w:ascii="Times New Roman" w:hAnsi="Times New Roman" w:eastAsia="宋体" w:cs="宋体"/>
                <w:bCs/>
                <w:color w:val="auto"/>
                <w:kern w:val="0"/>
                <w:sz w:val="21"/>
                <w:szCs w:val="21"/>
                <w:highlight w:val="none"/>
                <w:lang w:val="en-US" w:eastAsia="zh-CN" w:bidi="ar-SA"/>
              </w:rPr>
              <w:t>。</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kern w:val="0"/>
                <w:sz w:val="21"/>
                <w:szCs w:val="21"/>
                <w:highlight w:val="none"/>
                <w:lang w:val="en-US" w:eastAsia="zh-CN" w:bidi="ar-SA"/>
              </w:rPr>
              <w:t>1.1严格按照自治区明确的“三高”项目范围执行，严格执行有关政策、标准，确保“三高”项目在克拉玛依市无处藏身。</w:t>
            </w:r>
            <w:r>
              <w:rPr>
                <w:rFonts w:hint="eastAsia" w:ascii="Times New Roman" w:hAnsi="Times New Roman" w:eastAsia="宋体" w:cs="宋体"/>
                <w:bCs/>
                <w:color w:val="auto"/>
                <w:kern w:val="0"/>
                <w:sz w:val="21"/>
                <w:szCs w:val="21"/>
                <w:highlight w:val="none"/>
                <w:lang w:val="en-US" w:eastAsia="zh-CN" w:bidi="ar-SA"/>
              </w:rPr>
              <w:t>石化行业、</w:t>
            </w:r>
            <w:r>
              <w:rPr>
                <w:rFonts w:hint="eastAsia" w:ascii="Times New Roman" w:hAnsi="Times New Roman" w:eastAsia="宋体" w:cs="宋体"/>
                <w:bCs/>
                <w:color w:val="auto"/>
                <w:sz w:val="21"/>
                <w:szCs w:val="21"/>
                <w:highlight w:val="none"/>
                <w:lang w:val="en-US" w:eastAsia="zh-CN" w:bidi="ar-SA"/>
              </w:rPr>
              <w:t>建材行业、火电行业、装备行业、纺织服务行业、轻工行业、</w:t>
            </w:r>
            <w:r>
              <w:rPr>
                <w:rFonts w:hint="default" w:ascii="Times New Roman" w:hAnsi="Times New Roman" w:eastAsia="宋体" w:cs="宋体"/>
                <w:bCs/>
                <w:color w:val="auto"/>
                <w:sz w:val="21"/>
                <w:szCs w:val="21"/>
                <w:highlight w:val="none"/>
                <w:lang w:val="en-US" w:eastAsia="zh-CN" w:bidi="ar-SA"/>
              </w:rPr>
              <w:t>铜版纸生产线</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电子制造业</w:t>
            </w:r>
            <w:r>
              <w:rPr>
                <w:rFonts w:hint="eastAsia" w:ascii="Times New Roman" w:hAnsi="Times New Roman" w:eastAsia="宋体" w:cs="宋体"/>
                <w:bCs/>
                <w:color w:val="auto"/>
                <w:sz w:val="21"/>
                <w:szCs w:val="21"/>
                <w:highlight w:val="none"/>
                <w:lang w:val="en-US" w:eastAsia="zh-CN" w:bidi="ar-SA"/>
              </w:rPr>
              <w:t>管控要求。</w:t>
            </w:r>
          </w:p>
        </w:tc>
        <w:tc>
          <w:tcPr>
            <w:tcW w:w="1264" w:type="pct"/>
            <w:vMerge w:val="restar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，属于国家产业政策鼓励类项目，符合国家产业政策，不属于“三高”</w:t>
            </w:r>
            <w:r>
              <w:rPr>
                <w:rFonts w:hint="default" w:ascii="Times New Roman" w:hAnsi="Times New Roman" w:eastAsia="宋体" w:cs="宋体"/>
                <w:bCs/>
                <w:color w:val="auto"/>
                <w:sz w:val="21"/>
                <w:szCs w:val="21"/>
                <w:highlight w:val="none"/>
                <w:lang w:val="en-US" w:eastAsia="zh-CN" w:bidi="ar-SA"/>
              </w:rPr>
              <w:t>及淘汰类、限制类化工项目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1.2</w:t>
            </w:r>
            <w:r>
              <w:rPr>
                <w:rFonts w:hint="eastAsia" w:ascii="Times New Roman" w:hAnsi="Times New Roman" w:eastAsia="宋体" w:cs="宋体"/>
                <w:bCs/>
                <w:color w:val="auto"/>
                <w:sz w:val="21"/>
                <w:szCs w:val="21"/>
                <w:highlight w:val="none"/>
                <w:lang w:val="en-US" w:eastAsia="zh-CN" w:bidi="ar-SA"/>
              </w:rPr>
              <w:t>严禁新建、扩建</w:t>
            </w:r>
            <w:r>
              <w:rPr>
                <w:rFonts w:hint="default" w:ascii="Times New Roman" w:hAnsi="Times New Roman" w:eastAsia="宋体" w:cs="宋体"/>
                <w:bCs/>
                <w:color w:val="auto"/>
                <w:sz w:val="21"/>
                <w:szCs w:val="21"/>
                <w:highlight w:val="none"/>
                <w:lang w:val="en-US" w:eastAsia="zh-CN" w:bidi="ar-SA"/>
              </w:rPr>
              <w:t>“三高”项目及淘汰类、限制类化工项目，禁止新增钢铁、电解铝、水泥、平板玻璃、轮胎等产能严重过剩行业的项目。</w:t>
            </w:r>
          </w:p>
        </w:tc>
        <w:tc>
          <w:tcPr>
            <w:tcW w:w="1264" w:type="pct"/>
            <w:vMerge w:val="continue"/>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1.3</w:t>
            </w:r>
            <w:r>
              <w:rPr>
                <w:rFonts w:hint="eastAsia" w:ascii="Times New Roman" w:hAnsi="Times New Roman" w:eastAsia="宋体" w:cs="宋体"/>
                <w:bCs/>
                <w:color w:val="auto"/>
                <w:sz w:val="21"/>
                <w:szCs w:val="21"/>
                <w:highlight w:val="none"/>
                <w:lang w:val="en-US" w:eastAsia="zh-CN" w:bidi="ar-SA"/>
              </w:rPr>
              <w:t>独山子区禁止新（改、扩）建未落实二氧化硫（</w:t>
            </w:r>
            <w:r>
              <w:rPr>
                <w:rFonts w:hint="default" w:ascii="Times New Roman" w:hAnsi="Times New Roman" w:eastAsia="宋体" w:cs="宋体"/>
                <w:bCs/>
                <w:color w:val="auto"/>
                <w:sz w:val="21"/>
                <w:szCs w:val="21"/>
                <w:highlight w:val="none"/>
                <w:lang w:val="en-US" w:eastAsia="zh-CN" w:bidi="ar-SA"/>
              </w:rPr>
              <w:t>SO</w:t>
            </w:r>
            <w:r>
              <w:rPr>
                <w:rFonts w:hint="default" w:ascii="Times New Roman" w:hAnsi="Times New Roman" w:eastAsia="宋体" w:cs="宋体"/>
                <w:bCs/>
                <w:color w:val="auto"/>
                <w:sz w:val="21"/>
                <w:szCs w:val="21"/>
                <w:highlight w:val="none"/>
                <w:vertAlign w:val="subscript"/>
                <w:lang w:val="en-US" w:eastAsia="zh-CN" w:bidi="ar-SA"/>
              </w:rPr>
              <w:t>2</w:t>
            </w:r>
            <w:r>
              <w:rPr>
                <w:rFonts w:hint="default" w:ascii="Times New Roman" w:hAnsi="Times New Roman" w:eastAsia="宋体" w:cs="宋体"/>
                <w:bCs/>
                <w:color w:val="auto"/>
                <w:sz w:val="21"/>
                <w:szCs w:val="21"/>
                <w:highlight w:val="none"/>
                <w:lang w:val="en-US" w:eastAsia="zh-CN" w:bidi="ar-SA"/>
              </w:rPr>
              <w:t>）、氮氧化物（NOx）等主要大气污染物总量指标“倍量替代”的项目。克拉玛依区、高新区（白碱滩区）、</w:t>
            </w:r>
            <w:r>
              <w:rPr>
                <w:rFonts w:hint="eastAsia" w:ascii="Times New Roman" w:hAnsi="Times New Roman" w:eastAsia="宋体" w:cs="宋体"/>
                <w:bCs/>
                <w:color w:val="auto"/>
                <w:sz w:val="21"/>
                <w:szCs w:val="21"/>
                <w:highlight w:val="none"/>
                <w:lang w:val="en-US" w:eastAsia="zh-CN" w:bidi="ar-SA"/>
              </w:rPr>
              <w:t>克拉玛依区</w:t>
            </w:r>
            <w:r>
              <w:rPr>
                <w:rFonts w:hint="default" w:ascii="Times New Roman" w:hAnsi="Times New Roman" w:eastAsia="宋体" w:cs="宋体"/>
                <w:bCs/>
                <w:color w:val="auto"/>
                <w:sz w:val="21"/>
                <w:szCs w:val="21"/>
                <w:highlight w:val="none"/>
                <w:lang w:val="en-US" w:eastAsia="zh-CN" w:bidi="ar-SA"/>
              </w:rPr>
              <w:t>以自治区人民政府批复的《克拉玛依区域大气污染防治总体规划》（新政函〔2014〕202号）所划定的范围为准，禁止新（改、扩）建未落实二氧化硫（SO</w:t>
            </w:r>
            <w:r>
              <w:rPr>
                <w:rFonts w:hint="default" w:ascii="Times New Roman" w:hAnsi="Times New Roman" w:eastAsia="宋体" w:cs="宋体"/>
                <w:bCs/>
                <w:color w:val="auto"/>
                <w:sz w:val="21"/>
                <w:szCs w:val="21"/>
                <w:highlight w:val="none"/>
                <w:vertAlign w:val="subscript"/>
                <w:lang w:val="en-US" w:eastAsia="zh-CN" w:bidi="ar-SA"/>
              </w:rPr>
              <w:t>2</w:t>
            </w:r>
            <w:r>
              <w:rPr>
                <w:rFonts w:hint="default" w:ascii="Times New Roman" w:hAnsi="Times New Roman" w:eastAsia="宋体" w:cs="宋体"/>
                <w:bCs/>
                <w:color w:val="auto"/>
                <w:sz w:val="21"/>
                <w:szCs w:val="21"/>
                <w:highlight w:val="none"/>
                <w:lang w:val="en-US" w:eastAsia="zh-CN" w:bidi="ar-SA"/>
              </w:rPr>
              <w:t>）、氮氧化物（NOx）等主要大气污染物总量指标等量替代的项目。</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1.5</w:t>
            </w:r>
            <w:r>
              <w:rPr>
                <w:rFonts w:hint="eastAsia" w:ascii="Times New Roman" w:hAnsi="Times New Roman" w:eastAsia="宋体" w:cs="宋体"/>
                <w:bCs/>
                <w:color w:val="auto"/>
                <w:sz w:val="21"/>
                <w:szCs w:val="21"/>
                <w:highlight w:val="none"/>
                <w:lang w:val="en-US" w:eastAsia="zh-CN" w:bidi="ar-SA"/>
              </w:rPr>
              <w:t>对土地、环保、工商、质监等手续不全或不符合国家、自治区产业政策的重污染项目立即关停淘汰，做到</w:t>
            </w:r>
            <w:r>
              <w:rPr>
                <w:rFonts w:hint="default" w:ascii="Times New Roman" w:hAnsi="Times New Roman" w:eastAsia="宋体" w:cs="宋体"/>
                <w:bCs/>
                <w:color w:val="auto"/>
                <w:sz w:val="21"/>
                <w:szCs w:val="21"/>
                <w:highlight w:val="none"/>
                <w:lang w:val="en-US" w:eastAsia="zh-CN" w:bidi="ar-SA"/>
              </w:rPr>
              <w:t>“两断三清”。其他手续完备，不符合产业布局规划的小微企业，督促其搬迁入驻园区，污染物排放不达标的污染企业停产整改。</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1.6</w:t>
            </w:r>
            <w:r>
              <w:rPr>
                <w:rFonts w:hint="eastAsia" w:ascii="Times New Roman" w:hAnsi="Times New Roman" w:eastAsia="宋体" w:cs="宋体"/>
                <w:bCs/>
                <w:color w:val="auto"/>
                <w:sz w:val="21"/>
                <w:szCs w:val="21"/>
                <w:highlight w:val="none"/>
                <w:lang w:val="en-US" w:eastAsia="zh-CN" w:bidi="ar-SA"/>
              </w:rPr>
              <w:t>严格限制石化、化工等高</w:t>
            </w:r>
            <w:r>
              <w:rPr>
                <w:rFonts w:hint="default" w:ascii="Times New Roman" w:hAnsi="Times New Roman" w:eastAsia="宋体" w:cs="宋体"/>
                <w:bCs/>
                <w:color w:val="auto"/>
                <w:sz w:val="21"/>
                <w:szCs w:val="21"/>
                <w:highlight w:val="none"/>
                <w:lang w:val="en-US" w:eastAsia="zh-CN" w:bidi="ar-SA"/>
              </w:rPr>
              <w:t>VOCs排放建设项目。新建涉VOCs排放的工业企业要入园区。未纳入《石化产业规划布局方案》的新建炼化项目一律不得建设。</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，属于国家产业政策鼓励类项目，符合国家产业政策，不属于石化、化工等高</w:t>
            </w:r>
            <w:r>
              <w:rPr>
                <w:rFonts w:hint="default" w:ascii="Times New Roman" w:hAnsi="Times New Roman" w:eastAsia="宋体" w:cs="宋体"/>
                <w:bCs/>
                <w:color w:val="auto"/>
                <w:sz w:val="21"/>
                <w:szCs w:val="21"/>
                <w:highlight w:val="none"/>
                <w:lang w:val="en-US" w:eastAsia="zh-CN" w:bidi="ar-SA"/>
              </w:rPr>
              <w:t>VOCs排放建设项目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sz w:val="21"/>
                <w:szCs w:val="20"/>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1.8</w:t>
            </w:r>
            <w:r>
              <w:rPr>
                <w:rFonts w:hint="eastAsia" w:ascii="Times New Roman" w:hAnsi="Times New Roman" w:eastAsia="宋体" w:cs="宋体"/>
                <w:bCs/>
                <w:color w:val="auto"/>
                <w:sz w:val="21"/>
                <w:szCs w:val="21"/>
                <w:highlight w:val="none"/>
                <w:lang w:val="en-US" w:eastAsia="zh-CN" w:bidi="ar-SA"/>
              </w:rPr>
              <w:t>新建污染企业必须全部进入相应的工业集聚区。严格城市规划蓝线管理，城市规划区范围内应保留一定比例的水域面积，新建项</w:t>
            </w:r>
            <w:r>
              <w:rPr>
                <w:rFonts w:hint="default" w:ascii="Times New Roman" w:hAnsi="Times New Roman" w:eastAsia="宋体" w:cs="宋体"/>
                <w:bCs/>
                <w:color w:val="auto"/>
                <w:sz w:val="21"/>
                <w:szCs w:val="21"/>
                <w:highlight w:val="none"/>
                <w:lang w:val="en-US" w:eastAsia="zh-CN" w:bidi="ar-SA"/>
              </w:rPr>
              <w:t>目一律不得违规占用水域。</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2.执行克拉玛依市一般管控单元分类管控要求中空间布局约束的相应管控要求。</w:t>
            </w:r>
          </w:p>
          <w:p>
            <w:pPr>
              <w:pStyle w:val="24"/>
              <w:keepNext w:val="0"/>
              <w:keepLines w:val="0"/>
              <w:pageBreakBefore w:val="0"/>
              <w:numPr>
                <w:ilvl w:val="0"/>
                <w:numId w:val="0"/>
              </w:numPr>
              <w:kinsoku/>
              <w:wordWrap/>
              <w:overflowPunct/>
              <w:topLinePunct w:val="0"/>
              <w:autoSpaceDE/>
              <w:autoSpaceDN/>
              <w:bidi w:val="0"/>
              <w:spacing w:line="240" w:lineRule="auto"/>
              <w:ind w:left="0" w:leftChars="0" w:firstLine="0" w:firstLineChars="0"/>
              <w:rPr>
                <w:rFonts w:hint="eastAsia"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C1-1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建立集镇居住商业区、耕地保护区与工业功能区等集聚区块之间的防护带。严格执行畜禽养殖禁养区规定，根据区域用地和消纳水平，合理确定养殖规模。加强基本农田保护，严格限制非农项目占用耕地。</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，属于国家产业政策鼓励类项目，符合国家产业政策，不属于“三高”</w:t>
            </w:r>
            <w:r>
              <w:rPr>
                <w:rFonts w:hint="default" w:ascii="Times New Roman" w:hAnsi="Times New Roman" w:eastAsia="宋体" w:cs="宋体"/>
                <w:bCs/>
                <w:color w:val="auto"/>
                <w:sz w:val="21"/>
                <w:szCs w:val="21"/>
                <w:highlight w:val="none"/>
                <w:lang w:val="en-US" w:eastAsia="zh-CN" w:bidi="ar-SA"/>
              </w:rPr>
              <w:t>及淘汰类、限制类化工项目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3.永久基本农田一经划定，必须严格落实《基本农田保护条例》要求，严格占用永久基本农田建设项目的审查论证，涉及占用永久基本农田的，报国务院审批。</w:t>
            </w:r>
          </w:p>
        </w:tc>
        <w:tc>
          <w:tcPr>
            <w:tcW w:w="1264"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本工程占地类型为其他草地、裸地、采矿用地、灌木林地、盐碱地，不占用耕地等；项目对开发活动严格控制，尽可能减少对生态系统的干扰。</w:t>
            </w:r>
          </w:p>
        </w:tc>
        <w:tc>
          <w:tcPr>
            <w:tcW w:w="500" w:type="pct"/>
            <w:tcBorders>
              <w:tl2br w:val="nil"/>
              <w:tr2bl w:val="nil"/>
            </w:tcBorders>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污染物排放</w:t>
            </w:r>
          </w:p>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w:t>
            </w: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1.</w:t>
            </w:r>
            <w:r>
              <w:rPr>
                <w:rFonts w:hint="default" w:ascii="Times New Roman" w:hAnsi="Times New Roman" w:eastAsia="宋体" w:cs="宋体"/>
                <w:bCs/>
                <w:color w:val="auto"/>
                <w:sz w:val="21"/>
                <w:szCs w:val="21"/>
                <w:highlight w:val="none"/>
                <w:lang w:val="en-US" w:eastAsia="zh-CN" w:bidi="ar-SA"/>
              </w:rPr>
              <w:t>执行克拉玛依市总体管控要求中污染物排放管控要求。</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2.1</w:t>
            </w:r>
            <w:r>
              <w:rPr>
                <w:rFonts w:hint="eastAsia" w:ascii="Times New Roman" w:hAnsi="Times New Roman" w:eastAsia="宋体" w:cs="宋体"/>
                <w:bCs/>
                <w:color w:val="auto"/>
                <w:sz w:val="21"/>
                <w:szCs w:val="21"/>
                <w:highlight w:val="none"/>
                <w:lang w:val="en-US" w:eastAsia="zh-CN" w:bidi="ar-SA"/>
              </w:rPr>
              <w:t>重点行业污染物排放管控（石化行业、火电行业、装备行业、纺织服务行业、轻工行业）。</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，属于国家产业政策鼓励类项目，符合国家产业政策，不属于石化行业、火电行业、装备行业、纺织服务行业、轻工行业等</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2.2</w:t>
            </w:r>
            <w:r>
              <w:rPr>
                <w:rFonts w:hint="eastAsia" w:ascii="Times New Roman" w:hAnsi="Times New Roman" w:eastAsia="宋体" w:cs="宋体"/>
                <w:bCs/>
                <w:color w:val="auto"/>
                <w:sz w:val="21"/>
                <w:szCs w:val="21"/>
                <w:highlight w:val="none"/>
                <w:lang w:val="en-US" w:eastAsia="zh-CN" w:bidi="ar-SA"/>
              </w:rPr>
              <w:t>所有新（改、扩）建项目应执行最严格的大气污染物排放标准。全市二氧化硫、氮氧化物、颗粒物、挥发性有机物（</w:t>
            </w:r>
            <w:r>
              <w:rPr>
                <w:rFonts w:hint="default" w:ascii="Times New Roman" w:hAnsi="Times New Roman" w:eastAsia="宋体" w:cs="宋体"/>
                <w:bCs/>
                <w:color w:val="auto"/>
                <w:sz w:val="21"/>
                <w:szCs w:val="21"/>
                <w:highlight w:val="none"/>
                <w:lang w:val="en-US" w:eastAsia="zh-CN" w:bidi="ar-SA"/>
              </w:rPr>
              <w:t>VOCs）全面执行大气污染物特别排放限值。</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2.3</w:t>
            </w:r>
            <w:r>
              <w:rPr>
                <w:rFonts w:hint="eastAsia" w:ascii="Times New Roman" w:hAnsi="Times New Roman" w:eastAsia="宋体" w:cs="宋体"/>
                <w:bCs/>
                <w:color w:val="auto"/>
                <w:sz w:val="21"/>
                <w:szCs w:val="21"/>
                <w:highlight w:val="none"/>
                <w:lang w:val="en-US" w:eastAsia="zh-CN" w:bidi="ar-SA"/>
              </w:rPr>
              <w:t>钢铁、水泥、煤炭、垃圾焚烧等重点行业完成治理设施升级改造，实现达标排放。</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2.4</w:t>
            </w:r>
            <w:r>
              <w:rPr>
                <w:rFonts w:hint="eastAsia" w:ascii="Times New Roman" w:hAnsi="Times New Roman" w:eastAsia="宋体" w:cs="宋体"/>
                <w:bCs/>
                <w:color w:val="auto"/>
                <w:sz w:val="21"/>
                <w:szCs w:val="21"/>
                <w:highlight w:val="none"/>
                <w:lang w:val="en-US" w:eastAsia="zh-CN" w:bidi="ar-SA"/>
              </w:rPr>
              <w:t>新建、改建、扩建重点行业建设项目实行主要污染物排放减量置换……</w:t>
            </w:r>
            <w:r>
              <w:rPr>
                <w:rFonts w:hint="default" w:ascii="Times New Roman" w:hAnsi="Times New Roman" w:eastAsia="宋体" w:cs="宋体"/>
                <w:bCs/>
                <w:color w:val="auto"/>
                <w:sz w:val="21"/>
                <w:szCs w:val="21"/>
                <w:highlight w:val="none"/>
                <w:lang w:val="en-US" w:eastAsia="zh-CN" w:bidi="ar-SA"/>
              </w:rPr>
              <w:t>暂停审批新增重点水污染物排放总量的项目。</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2.5</w:t>
            </w:r>
            <w:r>
              <w:rPr>
                <w:rFonts w:hint="eastAsia" w:ascii="Times New Roman" w:hAnsi="Times New Roman" w:eastAsia="宋体" w:cs="宋体"/>
                <w:bCs/>
                <w:color w:val="auto"/>
                <w:sz w:val="21"/>
                <w:szCs w:val="21"/>
                <w:highlight w:val="none"/>
                <w:lang w:val="en-US" w:eastAsia="zh-CN" w:bidi="ar-SA"/>
              </w:rPr>
              <w:t>重点加强对石油开采、石油石化等废水排放量大的行业进行提标改造，采取综合利用、技术改造、污染治理等措施对重点工业废</w:t>
            </w:r>
            <w:r>
              <w:rPr>
                <w:rFonts w:hint="default" w:ascii="Times New Roman" w:hAnsi="Times New Roman" w:eastAsia="宋体" w:cs="宋体"/>
                <w:bCs/>
                <w:color w:val="auto"/>
                <w:sz w:val="21"/>
                <w:szCs w:val="21"/>
                <w:highlight w:val="none"/>
                <w:lang w:val="en-US" w:eastAsia="zh-CN" w:bidi="ar-SA"/>
              </w:rPr>
              <w:t>水污染源实施综合治理。</w:t>
            </w:r>
          </w:p>
        </w:tc>
        <w:tc>
          <w:tcPr>
            <w:tcW w:w="1264"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lang w:val="en-US" w:eastAsia="zh-CN"/>
              </w:rPr>
              <w:t>本</w:t>
            </w:r>
            <w:r>
              <w:rPr>
                <w:rFonts w:hint="eastAsia"/>
                <w:color w:val="auto"/>
                <w:highlight w:val="none"/>
              </w:rPr>
              <w:t>工程采出水输送至</w:t>
            </w:r>
            <w:r>
              <w:rPr>
                <w:rFonts w:hint="eastAsia"/>
                <w:color w:val="auto"/>
                <w:highlight w:val="none"/>
                <w:lang w:eastAsia="zh-CN"/>
              </w:rPr>
              <w:t>风城二号稠油处理站</w:t>
            </w:r>
            <w:r>
              <w:rPr>
                <w:rFonts w:hint="eastAsia"/>
                <w:color w:val="auto"/>
                <w:highlight w:val="none"/>
              </w:rPr>
              <w:t>采出水处理单元处理达标后回注地层；井下作业废水收集后送</w:t>
            </w:r>
            <w:r>
              <w:rPr>
                <w:rFonts w:hint="eastAsia"/>
                <w:color w:val="auto"/>
                <w:highlight w:val="none"/>
                <w:lang w:val="en-US" w:eastAsia="zh-CN"/>
              </w:rPr>
              <w:t>风城二号稠油联合站</w:t>
            </w:r>
            <w:r>
              <w:rPr>
                <w:rFonts w:hint="eastAsia"/>
                <w:color w:val="auto"/>
                <w:highlight w:val="none"/>
              </w:rPr>
              <w:t>处理，不外排</w:t>
            </w:r>
            <w:r>
              <w:rPr>
                <w:rFonts w:hint="eastAsia"/>
                <w:color w:val="auto"/>
                <w:highlight w:val="none"/>
                <w:lang w:eastAsia="zh-CN"/>
              </w:rPr>
              <w:t>。</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2.7</w:t>
            </w:r>
            <w:r>
              <w:rPr>
                <w:rFonts w:hint="eastAsia" w:ascii="Times New Roman" w:hAnsi="Times New Roman" w:eastAsia="宋体" w:cs="宋体"/>
                <w:bCs/>
                <w:color w:val="auto"/>
                <w:sz w:val="21"/>
                <w:szCs w:val="21"/>
                <w:highlight w:val="none"/>
                <w:lang w:val="en-US" w:eastAsia="zh-CN" w:bidi="ar-SA"/>
              </w:rPr>
              <w:t>严禁向沙漠、滩涂、盐碱地、沼泽地等非法排污、倾倒有毒有害物质。加强对油气田等矿产资源开采活动影响区域内低覆盖度草地、人工牧草地、林地的</w:t>
            </w:r>
            <w:r>
              <w:rPr>
                <w:rFonts w:hint="default" w:ascii="Times New Roman" w:hAnsi="Times New Roman" w:eastAsia="宋体" w:cs="宋体"/>
                <w:bCs/>
                <w:color w:val="auto"/>
                <w:sz w:val="21"/>
                <w:szCs w:val="21"/>
                <w:highlight w:val="none"/>
                <w:lang w:val="en-US" w:eastAsia="zh-CN" w:bidi="ar-SA"/>
              </w:rPr>
              <w:t>环境监管，发现土壤污染问题的，及时督促有关企业采取防治措施。</w:t>
            </w:r>
          </w:p>
        </w:tc>
        <w:tc>
          <w:tcPr>
            <w:tcW w:w="1264"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pacing w:val="-11"/>
                <w:sz w:val="21"/>
                <w:highlight w:val="none"/>
                <w:lang w:val="en-US" w:eastAsia="zh-CN"/>
              </w:rPr>
              <w:t>本工程水基钻井泥浆及岩屑经泥浆不落地系统处理后，液相泥浆进罐收集，循环使用，完井后剩余泥浆由钻井液分公司回收；分离后的固相暂存于岩屑储罐，委托第三方处置单位进行处理，处理后经检测满足《油气田钻井固体废物综合利用污染控制要求》（DB65/T3997-2017）中相关标准要求后综合利用；油基钻井泥浆及岩屑经泥浆不落地系统处理后，液相泥浆进罐收集，循环使用，完井后剩余泥浆由钻井液分公司回收；分离后的固相暂存于专用油基岩屑储罐，委托有相应危险废物处理资质的单位进行无害化处理。</w:t>
            </w:r>
            <w:r>
              <w:rPr>
                <w:rFonts w:hint="default" w:ascii="Times New Roman" w:hAnsi="Times New Roman" w:eastAsia="宋体" w:cs="Times New Roman"/>
                <w:color w:val="auto"/>
                <w:spacing w:val="-11"/>
                <w:sz w:val="21"/>
                <w:highlight w:val="none"/>
                <w:lang w:val="en-US" w:eastAsia="zh-CN"/>
              </w:rPr>
              <w:t>施工废料主要包括管材边角料、焊接作业中产生的废焊渣等，首先考虑回收利用，不可回收利用部分拉运至</w:t>
            </w:r>
            <w:r>
              <w:rPr>
                <w:rFonts w:hint="eastAsia" w:ascii="Times New Roman" w:hAnsi="Times New Roman" w:eastAsia="宋体" w:cs="Times New Roman"/>
                <w:color w:val="auto"/>
                <w:spacing w:val="-11"/>
                <w:sz w:val="21"/>
                <w:highlight w:val="none"/>
                <w:lang w:val="en-US" w:eastAsia="zh-CN"/>
              </w:rPr>
              <w:t>克拉玛依市建筑垃圾填埋场填埋处置。</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2.执行克拉玛依市一般管控单元分类管控要求中污染物排放管控的相应管控要求。</w:t>
            </w:r>
          </w:p>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C2-1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加强农业面源污染治理，严格控制化肥农药施加量，逐步削减农业面源污染物排放量</w:t>
            </w:r>
            <w:r>
              <w:rPr>
                <w:rFonts w:hint="eastAsia" w:ascii="Times New Roman" w:hAnsi="Times New Roman" w:cs="Times New Roman"/>
                <w:color w:val="auto"/>
                <w:sz w:val="21"/>
                <w:szCs w:val="21"/>
                <w:highlight w:val="none"/>
                <w:lang w:val="en-US" w:eastAsia="zh-CN"/>
              </w:rPr>
              <w:t>。</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环境风险防控</w:t>
            </w:r>
          </w:p>
        </w:tc>
        <w:tc>
          <w:tcPr>
            <w:tcW w:w="2274" w:type="pct"/>
            <w:gridSpan w:val="2"/>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1.执行克拉玛依市总体管控要求中环境风险防控要求。</w:t>
            </w:r>
          </w:p>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3.3 建设区域环境应急中心。加强石油石化行业和石化工业园区环境风险管理，强化企事业环境风险防范的主体责任，实现健康发展与环境安全。</w:t>
            </w:r>
          </w:p>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3.4 推进化学品环境风险管控，开展化学物质环境风险评估，加大对新污染物环境风险管控力度。加强石油石化行业和石化工业园区环境风险管控，强化企事业单位环境风险防范的主体责任，科学把握发展与安全关系，实现健康发展与环境安全。完善现有环境应急信息平台建设，实现环境应急信息共享，建立市、区两级环保部门、企业之间应急工作的实时沟通体系。依托克拉玛依的区位和资源优势，积极争取上级政策资金支持，推进辐射北疆西北部区域环境应急中心建设。</w:t>
            </w:r>
          </w:p>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3.5 不断完善风险源企业名录，做好应急预案备案。严格按照自治区生态环境厅有关风险源企业筛选要求，对危废产生及处置、危险化学品、加油（气）站及石油、化工等环境风险源进行重点筛选，确定风险源企业。严格按照应急预案管理规定，督促企业修编应急预案，不断强化企事业单位应急预案管理。</w:t>
            </w:r>
          </w:p>
        </w:tc>
        <w:tc>
          <w:tcPr>
            <w:tcW w:w="1264" w:type="pct"/>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2.执行克拉玛依市一般管控单元分类管控要求中环境风险防控的相应管控要求。</w:t>
            </w:r>
          </w:p>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C.3-1</w:t>
            </w: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加强生态公益林保护与建设，防止水土流失。禁止向农用地排放重金属或者其他有毒有害物质含量超标的污水、污泥，以及可能造成土壤污染的尾矿、矿渣等。加强农田土壤、灌溉水的监测及评价，对周边或区域环境风险源进行评估。</w:t>
            </w:r>
          </w:p>
        </w:tc>
        <w:tc>
          <w:tcPr>
            <w:tcW w:w="1264" w:type="pct"/>
            <w:vMerge w:val="restar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宋体"/>
                <w:bCs/>
                <w:color w:val="auto"/>
                <w:sz w:val="21"/>
                <w:szCs w:val="21"/>
                <w:highlight w:val="none"/>
                <w:lang w:val="en-US" w:eastAsia="zh-CN" w:bidi="ar-SA"/>
              </w:rPr>
              <w:t>3.确保耕地土壤环境安全，严控重金属类污染物和挥发性有机污染物等有毒物质排放。</w:t>
            </w:r>
          </w:p>
        </w:tc>
        <w:tc>
          <w:tcPr>
            <w:tcW w:w="1264" w:type="pct"/>
            <w:vMerge w:val="continue"/>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企业事业单位应当依照《中华人民共和国突发事件应对法》的规定，制定突发环境事件应急预案，做好突发环境事件的风险控制、应急准备、应急处置和事后恢复等工作。各类工业园区和工业聚集区应设立环境应急管理机构，编制环境风险应急预案，并具备环境风险应急救援能力。</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资源利用效率</w:t>
            </w:r>
          </w:p>
        </w:tc>
        <w:tc>
          <w:tcPr>
            <w:tcW w:w="2274" w:type="pct"/>
            <w:gridSpan w:val="2"/>
            <w:tcBorders>
              <w:tl2br w:val="nil"/>
              <w:tr2bl w:val="nil"/>
            </w:tcBorders>
            <w:shd w:val="clear" w:color="auto" w:fill="auto"/>
            <w:vAlign w:val="center"/>
          </w:tcPr>
          <w:p>
            <w:pPr>
              <w:pStyle w:val="41"/>
              <w:keepNext w:val="0"/>
              <w:keepLines w:val="0"/>
              <w:pageBreakBefore w:val="0"/>
              <w:numPr>
                <w:ilvl w:val="0"/>
                <w:numId w:val="0"/>
              </w:numPr>
              <w:kinsoku/>
              <w:wordWrap/>
              <w:overflowPunct/>
              <w:topLinePunct w:val="0"/>
              <w:autoSpaceDE/>
              <w:autoSpaceDN/>
              <w:bidi w:val="0"/>
              <w:spacing w:line="240" w:lineRule="auto"/>
              <w:jc w:val="both"/>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1.</w:t>
            </w:r>
            <w:r>
              <w:rPr>
                <w:rFonts w:hint="eastAsia" w:ascii="Times New Roman" w:hAnsi="Times New Roman" w:eastAsia="宋体" w:cs="Times New Roman"/>
                <w:color w:val="auto"/>
                <w:highlight w:val="none"/>
              </w:rPr>
              <w:t>执行克拉玛依市总体管控要求中</w:t>
            </w:r>
            <w:r>
              <w:rPr>
                <w:rFonts w:hint="eastAsia" w:ascii="Times New Roman" w:hAnsi="Times New Roman" w:eastAsia="宋体" w:cs="Times New Roman"/>
                <w:color w:val="auto"/>
                <w:highlight w:val="none"/>
                <w:lang w:val="en-US" w:eastAsia="zh-CN"/>
              </w:rPr>
              <w:t>资源开发利用</w:t>
            </w:r>
            <w:r>
              <w:rPr>
                <w:rFonts w:hint="eastAsia" w:ascii="Times New Roman" w:hAnsi="Times New Roman" w:eastAsia="宋体" w:cs="Times New Roman"/>
                <w:color w:val="auto"/>
                <w:highlight w:val="none"/>
              </w:rPr>
              <w:t>要求。</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4</w:t>
            </w:r>
            <w:r>
              <w:rPr>
                <w:rFonts w:hint="default" w:ascii="Times New Roman" w:hAnsi="Times New Roman" w:eastAsia="宋体" w:cs="宋体"/>
                <w:bCs/>
                <w:color w:val="auto"/>
                <w:sz w:val="21"/>
                <w:szCs w:val="21"/>
                <w:highlight w:val="none"/>
                <w:lang w:val="en-US" w:eastAsia="zh-CN" w:bidi="ar-SA"/>
              </w:rPr>
              <w:t>.1</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、白碱滩区、</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、独山子区用水总量控制目标（万m</w:t>
            </w:r>
            <w:r>
              <w:rPr>
                <w:rFonts w:hint="default" w:ascii="Times New Roman" w:hAnsi="Times New Roman" w:eastAsia="宋体" w:cs="宋体"/>
                <w:bCs/>
                <w:color w:val="auto"/>
                <w:sz w:val="21"/>
                <w:szCs w:val="21"/>
                <w:highlight w:val="none"/>
                <w:vertAlign w:val="superscript"/>
                <w:lang w:val="en-US" w:eastAsia="zh-CN" w:bidi="ar-SA"/>
              </w:rPr>
              <w:t>3</w:t>
            </w:r>
            <w:r>
              <w:rPr>
                <w:rFonts w:hint="default" w:ascii="Times New Roman" w:hAnsi="Times New Roman" w:eastAsia="宋体" w:cs="宋体"/>
                <w:bCs/>
                <w:color w:val="auto"/>
                <w:sz w:val="21"/>
                <w:szCs w:val="21"/>
                <w:highlight w:val="none"/>
                <w:lang w:val="en-US" w:eastAsia="zh-CN" w:bidi="ar-SA"/>
              </w:rPr>
              <w:t>）2020年分别为</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2030年分别为（克白3035、乌400、独5700）。</w:t>
            </w:r>
          </w:p>
          <w:p>
            <w:pPr>
              <w:pStyle w:val="41"/>
              <w:keepNext w:val="0"/>
              <w:keepLines w:val="0"/>
              <w:pageBreakBefore w:val="0"/>
              <w:numPr>
                <w:ilvl w:val="0"/>
                <w:numId w:val="1"/>
              </w:numPr>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4.2</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、白碱滩区、</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、独山子区耕地保有量（公顷）2020年分别为</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2030年分别为（克33926.97、白29146.75、乌16507.90、独6741.09）。</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2.执行克拉玛依市一般管控单元分类管控要求中</w:t>
            </w:r>
            <w:r>
              <w:rPr>
                <w:rFonts w:hint="eastAsia" w:ascii="Times New Roman" w:hAnsi="Times New Roman" w:eastAsia="宋体" w:cs="Times New Roman"/>
                <w:color w:val="auto"/>
                <w:highlight w:val="none"/>
                <w:lang w:val="en-US" w:eastAsia="zh-CN"/>
              </w:rPr>
              <w:t>资源开发利用</w:t>
            </w:r>
            <w:r>
              <w:rPr>
                <w:rFonts w:hint="eastAsia" w:ascii="Times New Roman" w:hAnsi="Times New Roman" w:eastAsia="宋体" w:cs="Times New Roman"/>
                <w:color w:val="auto"/>
                <w:highlight w:val="none"/>
              </w:rPr>
              <w:t>的相应管控要求。</w:t>
            </w:r>
          </w:p>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C.4-1</w:t>
            </w: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实行水资源消耗总量和强度双控，推进农业节水，提高农业用水效率。优化能源结构，加强能源清洁利用。</w:t>
            </w:r>
          </w:p>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C.4-4</w:t>
            </w:r>
            <w:r>
              <w:rPr>
                <w:rFonts w:hint="eastAsia" w:cs="宋体"/>
                <w:bCs/>
                <w:color w:val="auto"/>
                <w:sz w:val="21"/>
                <w:szCs w:val="21"/>
                <w:highlight w:val="none"/>
                <w:lang w:val="en-US" w:eastAsia="zh-CN" w:bidi="ar-SA"/>
              </w:rPr>
              <w:t>〕</w:t>
            </w:r>
            <w:r>
              <w:rPr>
                <w:rFonts w:hint="eastAsia" w:ascii="Times New Roman" w:hAnsi="Times New Roman" w:eastAsia="宋体" w:cs="宋体"/>
                <w:bCs/>
                <w:color w:val="auto"/>
                <w:sz w:val="21"/>
                <w:szCs w:val="21"/>
                <w:highlight w:val="none"/>
                <w:lang w:val="en-US" w:eastAsia="zh-CN" w:bidi="ar-SA"/>
              </w:rPr>
              <w:t>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综合利用农业生产废弃物，提高化肥、农药利用率。严格控制开采深层承压水，地热水、矿泉水开发应严格实行取水许可和采矿许可。加强地下水超采区综合治理与修复，实行地下水开采量与水位双控制度</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本项目不涉及</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单元编码</w:t>
            </w:r>
          </w:p>
        </w:tc>
        <w:tc>
          <w:tcPr>
            <w:tcW w:w="123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单元名称</w:t>
            </w:r>
          </w:p>
        </w:tc>
        <w:tc>
          <w:tcPr>
            <w:tcW w:w="104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单元属性</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单元特征</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环境要素属性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color w:val="auto"/>
                <w:highlight w:val="none"/>
              </w:rPr>
            </w:pPr>
            <w:bookmarkStart w:id="450" w:name="OLE_LINK104"/>
            <w:r>
              <w:rPr>
                <w:rFonts w:hint="eastAsia" w:ascii="Times New Roman" w:hAnsi="Times New Roman" w:eastAsia="宋体" w:cs="Times New Roman"/>
                <w:bCs/>
                <w:color w:val="auto"/>
                <w:sz w:val="21"/>
                <w:szCs w:val="21"/>
                <w:highlight w:val="none"/>
                <w:lang w:val="en-US" w:eastAsia="zh-CN" w:bidi="ar-SA"/>
              </w:rPr>
              <w:t>ZH65020530003</w:t>
            </w:r>
            <w:bookmarkEnd w:id="450"/>
          </w:p>
        </w:tc>
        <w:tc>
          <w:tcPr>
            <w:tcW w:w="1232"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left"/>
              <w:rPr>
                <w:color w:val="auto"/>
                <w:highlight w:val="none"/>
              </w:rPr>
            </w:pPr>
            <w:r>
              <w:rPr>
                <w:rFonts w:hint="eastAsia" w:ascii="Times New Roman" w:hAnsi="Times New Roman" w:eastAsia="宋体" w:cs="宋体"/>
                <w:bCs/>
                <w:color w:val="auto"/>
                <w:sz w:val="21"/>
                <w:szCs w:val="21"/>
                <w:highlight w:val="none"/>
                <w:lang w:val="en-US" w:eastAsia="zh-CN" w:bidi="ar-SA"/>
              </w:rPr>
              <w:t>乌尔禾区环境一般管控单元03</w:t>
            </w:r>
          </w:p>
        </w:tc>
        <w:tc>
          <w:tcPr>
            <w:tcW w:w="1042"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color w:val="auto"/>
                <w:highlight w:val="none"/>
              </w:rPr>
            </w:pPr>
            <w:r>
              <w:rPr>
                <w:rFonts w:hint="eastAsia" w:ascii="Times New Roman" w:hAnsi="Times New Roman" w:eastAsia="宋体" w:cs="宋体"/>
                <w:bCs/>
                <w:color w:val="auto"/>
                <w:sz w:val="21"/>
                <w:szCs w:val="21"/>
                <w:highlight w:val="none"/>
                <w:lang w:val="en-US" w:eastAsia="zh-CN" w:bidi="ar-SA"/>
              </w:rPr>
              <w:t>一般管控单元</w:t>
            </w:r>
          </w:p>
        </w:tc>
        <w:tc>
          <w:tcPr>
            <w:tcW w:w="1264" w:type="pct"/>
            <w:tcBorders>
              <w:tl2br w:val="nil"/>
              <w:tr2bl w:val="nil"/>
            </w:tcBorders>
            <w:vAlign w:val="center"/>
          </w:tcPr>
          <w:p>
            <w:pPr>
              <w:keepNext w:val="0"/>
              <w:keepLines w:val="0"/>
              <w:pageBreakBefore w:val="0"/>
              <w:widowControl w:val="0"/>
              <w:kinsoku/>
              <w:wordWrap/>
              <w:overflowPunct/>
              <w:topLinePunct w:val="0"/>
              <w:autoSpaceDE/>
              <w:autoSpaceDN/>
              <w:bidi w:val="0"/>
              <w:spacing w:line="240" w:lineRule="auto"/>
              <w:ind w:firstLine="0" w:firstLineChars="0"/>
              <w:jc w:val="center"/>
              <w:rPr>
                <w:color w:val="auto"/>
                <w:highlight w:val="none"/>
              </w:rPr>
            </w:pPr>
            <w:r>
              <w:rPr>
                <w:rFonts w:hint="eastAsia" w:ascii="Times New Roman" w:hAnsi="Times New Roman" w:eastAsia="宋体" w:cs="宋体"/>
                <w:bCs/>
                <w:color w:val="auto"/>
                <w:sz w:val="21"/>
                <w:szCs w:val="21"/>
                <w:highlight w:val="none"/>
                <w:lang w:val="en-US" w:eastAsia="zh-CN" w:bidi="ar-SA"/>
              </w:rPr>
              <w:t>乡镇区域，单元内无工业园区</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维度</w:t>
            </w:r>
          </w:p>
        </w:tc>
        <w:tc>
          <w:tcPr>
            <w:tcW w:w="2274" w:type="pct"/>
            <w:gridSpan w:val="2"/>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管控要求</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本工程</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空间布局约束</w:t>
            </w:r>
          </w:p>
        </w:tc>
        <w:tc>
          <w:tcPr>
            <w:tcW w:w="2274" w:type="pct"/>
            <w:gridSpan w:val="2"/>
            <w:tcBorders>
              <w:tl2br w:val="nil"/>
              <w:tr2bl w:val="nil"/>
            </w:tcBorders>
            <w:shd w:val="clear" w:color="auto" w:fill="auto"/>
            <w:vAlign w:val="center"/>
          </w:tcPr>
          <w:p>
            <w:pPr>
              <w:keepNext w:val="0"/>
              <w:keepLines w:val="0"/>
              <w:pageBreakBefore w:val="0"/>
              <w:widowControl/>
              <w:suppressLineNumbers w:val="0"/>
              <w:kinsoku/>
              <w:wordWrap/>
              <w:overflowPunct/>
              <w:topLinePunct w:val="0"/>
              <w:autoSpaceDE/>
              <w:autoSpaceDN/>
              <w:bidi w:val="0"/>
              <w:spacing w:line="240" w:lineRule="auto"/>
              <w:jc w:val="left"/>
              <w:rPr>
                <w:rFonts w:hint="eastAsia" w:ascii="Times New Roman" w:hAnsi="Times New Roman" w:eastAsia="宋体" w:cs="宋体"/>
                <w:bCs/>
                <w:color w:val="auto"/>
                <w:kern w:val="0"/>
                <w:sz w:val="21"/>
                <w:szCs w:val="21"/>
                <w:highlight w:val="none"/>
                <w:lang w:val="en-US" w:eastAsia="zh-CN" w:bidi="ar-SA"/>
              </w:rPr>
            </w:pPr>
            <w:r>
              <w:rPr>
                <w:rFonts w:hint="eastAsia" w:ascii="Times New Roman" w:hAnsi="Times New Roman" w:eastAsia="宋体" w:cs="宋体"/>
                <w:bCs/>
                <w:color w:val="auto"/>
                <w:kern w:val="0"/>
                <w:sz w:val="21"/>
                <w:szCs w:val="21"/>
                <w:highlight w:val="none"/>
                <w:lang w:val="en-US" w:eastAsia="zh-CN" w:bidi="ar-SA"/>
              </w:rPr>
              <w:t>1.执行克拉玛依市总体管控要求中空间布局约束要求</w:t>
            </w:r>
            <w:r>
              <w:rPr>
                <w:rFonts w:hint="default" w:ascii="Times New Roman" w:hAnsi="Times New Roman" w:eastAsia="宋体" w:cs="宋体"/>
                <w:bCs/>
                <w:color w:val="auto"/>
                <w:kern w:val="0"/>
                <w:sz w:val="21"/>
                <w:szCs w:val="21"/>
                <w:highlight w:val="none"/>
                <w:lang w:val="en-US" w:eastAsia="zh-CN" w:bidi="ar-SA"/>
              </w:rPr>
              <w:t>。</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kern w:val="0"/>
                <w:sz w:val="21"/>
                <w:szCs w:val="21"/>
                <w:highlight w:val="none"/>
                <w:lang w:val="en-US" w:eastAsia="zh-CN" w:bidi="ar-SA"/>
              </w:rPr>
              <w:t>1.1严格按照自治区明确的“三高”项目范围执行，严格执行有关政策、标准，确保“三高”项目在克拉玛依市无处藏身。</w:t>
            </w:r>
            <w:r>
              <w:rPr>
                <w:rFonts w:hint="eastAsia" w:ascii="Times New Roman" w:hAnsi="Times New Roman" w:eastAsia="宋体" w:cs="宋体"/>
                <w:bCs/>
                <w:color w:val="auto"/>
                <w:kern w:val="0"/>
                <w:sz w:val="21"/>
                <w:szCs w:val="21"/>
                <w:highlight w:val="none"/>
                <w:lang w:val="en-US" w:eastAsia="zh-CN" w:bidi="ar-SA"/>
              </w:rPr>
              <w:t>石化行业、</w:t>
            </w:r>
            <w:r>
              <w:rPr>
                <w:rFonts w:hint="eastAsia" w:ascii="Times New Roman" w:hAnsi="Times New Roman" w:eastAsia="宋体" w:cs="宋体"/>
                <w:bCs/>
                <w:color w:val="auto"/>
                <w:sz w:val="21"/>
                <w:szCs w:val="21"/>
                <w:highlight w:val="none"/>
                <w:lang w:val="en-US" w:eastAsia="zh-CN" w:bidi="ar-SA"/>
              </w:rPr>
              <w:t>建材行业、火电行业、装备行业、纺织服务行业、轻工行业、</w:t>
            </w:r>
            <w:r>
              <w:rPr>
                <w:rFonts w:hint="default" w:ascii="Times New Roman" w:hAnsi="Times New Roman" w:eastAsia="宋体" w:cs="宋体"/>
                <w:bCs/>
                <w:color w:val="auto"/>
                <w:sz w:val="21"/>
                <w:szCs w:val="21"/>
                <w:highlight w:val="none"/>
                <w:lang w:val="en-US" w:eastAsia="zh-CN" w:bidi="ar-SA"/>
              </w:rPr>
              <w:t>铜版纸生产线</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电子制造业</w:t>
            </w:r>
            <w:r>
              <w:rPr>
                <w:rFonts w:hint="eastAsia" w:ascii="Times New Roman" w:hAnsi="Times New Roman" w:eastAsia="宋体" w:cs="宋体"/>
                <w:bCs/>
                <w:color w:val="auto"/>
                <w:sz w:val="21"/>
                <w:szCs w:val="21"/>
                <w:highlight w:val="none"/>
                <w:lang w:val="en-US" w:eastAsia="zh-CN" w:bidi="ar-SA"/>
              </w:rPr>
              <w:t>管控要求。</w:t>
            </w:r>
          </w:p>
        </w:tc>
        <w:tc>
          <w:tcPr>
            <w:tcW w:w="1264" w:type="pct"/>
            <w:vMerge w:val="restar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，属于国家产业政策鼓励类项目，符合国家产业政策，不属于“三高”</w:t>
            </w:r>
            <w:r>
              <w:rPr>
                <w:rFonts w:hint="default" w:ascii="Times New Roman" w:hAnsi="Times New Roman" w:eastAsia="宋体" w:cs="宋体"/>
                <w:bCs/>
                <w:color w:val="auto"/>
                <w:sz w:val="21"/>
                <w:szCs w:val="21"/>
                <w:highlight w:val="none"/>
                <w:lang w:val="en-US" w:eastAsia="zh-CN" w:bidi="ar-SA"/>
              </w:rPr>
              <w:t>及淘汰类、限制类化工项目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1.2</w:t>
            </w:r>
            <w:r>
              <w:rPr>
                <w:rFonts w:hint="eastAsia" w:ascii="Times New Roman" w:hAnsi="Times New Roman" w:eastAsia="宋体" w:cs="宋体"/>
                <w:bCs/>
                <w:color w:val="auto"/>
                <w:sz w:val="21"/>
                <w:szCs w:val="21"/>
                <w:highlight w:val="none"/>
                <w:lang w:val="en-US" w:eastAsia="zh-CN" w:bidi="ar-SA"/>
              </w:rPr>
              <w:t>严禁新建、扩建</w:t>
            </w:r>
            <w:r>
              <w:rPr>
                <w:rFonts w:hint="default" w:ascii="Times New Roman" w:hAnsi="Times New Roman" w:eastAsia="宋体" w:cs="宋体"/>
                <w:bCs/>
                <w:color w:val="auto"/>
                <w:sz w:val="21"/>
                <w:szCs w:val="21"/>
                <w:highlight w:val="none"/>
                <w:lang w:val="en-US" w:eastAsia="zh-CN" w:bidi="ar-SA"/>
              </w:rPr>
              <w:t>“三高”项目及淘汰类、限制类化工项目，禁止新增钢铁、电解铝、水泥、平板玻璃、轮胎等产能严重过剩行业的项目。</w:t>
            </w:r>
          </w:p>
        </w:tc>
        <w:tc>
          <w:tcPr>
            <w:tcW w:w="1264" w:type="pct"/>
            <w:vMerge w:val="continue"/>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1.3</w:t>
            </w:r>
            <w:r>
              <w:rPr>
                <w:rFonts w:hint="eastAsia" w:ascii="Times New Roman" w:hAnsi="Times New Roman" w:eastAsia="宋体" w:cs="宋体"/>
                <w:bCs/>
                <w:color w:val="auto"/>
                <w:sz w:val="21"/>
                <w:szCs w:val="21"/>
                <w:highlight w:val="none"/>
                <w:lang w:val="en-US" w:eastAsia="zh-CN" w:bidi="ar-SA"/>
              </w:rPr>
              <w:t>独山子区禁止新（改、扩）建未落实二氧化硫（</w:t>
            </w:r>
            <w:r>
              <w:rPr>
                <w:rFonts w:hint="default" w:ascii="Times New Roman" w:hAnsi="Times New Roman" w:eastAsia="宋体" w:cs="宋体"/>
                <w:bCs/>
                <w:color w:val="auto"/>
                <w:sz w:val="21"/>
                <w:szCs w:val="21"/>
                <w:highlight w:val="none"/>
                <w:lang w:val="en-US" w:eastAsia="zh-CN" w:bidi="ar-SA"/>
              </w:rPr>
              <w:t>SO</w:t>
            </w:r>
            <w:r>
              <w:rPr>
                <w:rFonts w:hint="default" w:ascii="Times New Roman" w:hAnsi="Times New Roman" w:eastAsia="宋体" w:cs="宋体"/>
                <w:bCs/>
                <w:color w:val="auto"/>
                <w:sz w:val="21"/>
                <w:szCs w:val="21"/>
                <w:highlight w:val="none"/>
                <w:vertAlign w:val="subscript"/>
                <w:lang w:val="en-US" w:eastAsia="zh-CN" w:bidi="ar-SA"/>
              </w:rPr>
              <w:t>2</w:t>
            </w:r>
            <w:r>
              <w:rPr>
                <w:rFonts w:hint="default" w:ascii="Times New Roman" w:hAnsi="Times New Roman" w:eastAsia="宋体" w:cs="宋体"/>
                <w:bCs/>
                <w:color w:val="auto"/>
                <w:sz w:val="21"/>
                <w:szCs w:val="21"/>
                <w:highlight w:val="none"/>
                <w:lang w:val="en-US" w:eastAsia="zh-CN" w:bidi="ar-SA"/>
              </w:rPr>
              <w:t>）、氮氧化物（NOx）等主要大气污染物总量指标“倍量替代”的项目。克拉玛依区、高新区（白碱滩区）、</w:t>
            </w:r>
            <w:r>
              <w:rPr>
                <w:rFonts w:hint="eastAsia" w:ascii="Times New Roman" w:hAnsi="Times New Roman" w:eastAsia="宋体" w:cs="宋体"/>
                <w:bCs/>
                <w:color w:val="auto"/>
                <w:sz w:val="21"/>
                <w:szCs w:val="21"/>
                <w:highlight w:val="none"/>
                <w:lang w:val="en-US" w:eastAsia="zh-CN" w:bidi="ar-SA"/>
              </w:rPr>
              <w:t>克拉玛依区</w:t>
            </w:r>
            <w:r>
              <w:rPr>
                <w:rFonts w:hint="default" w:ascii="Times New Roman" w:hAnsi="Times New Roman" w:eastAsia="宋体" w:cs="宋体"/>
                <w:bCs/>
                <w:color w:val="auto"/>
                <w:sz w:val="21"/>
                <w:szCs w:val="21"/>
                <w:highlight w:val="none"/>
                <w:lang w:val="en-US" w:eastAsia="zh-CN" w:bidi="ar-SA"/>
              </w:rPr>
              <w:t>以自治区人民政府批复的《克拉玛依区域大气污染防治总体规划》（新政函〔2014〕202号）所划定的范围为准，禁止新（改、扩）建未落实二氧化硫（SO</w:t>
            </w:r>
            <w:r>
              <w:rPr>
                <w:rFonts w:hint="default" w:ascii="Times New Roman" w:hAnsi="Times New Roman" w:eastAsia="宋体" w:cs="宋体"/>
                <w:bCs/>
                <w:color w:val="auto"/>
                <w:sz w:val="21"/>
                <w:szCs w:val="21"/>
                <w:highlight w:val="none"/>
                <w:vertAlign w:val="subscript"/>
                <w:lang w:val="en-US" w:eastAsia="zh-CN" w:bidi="ar-SA"/>
              </w:rPr>
              <w:t>2</w:t>
            </w:r>
            <w:r>
              <w:rPr>
                <w:rFonts w:hint="default" w:ascii="Times New Roman" w:hAnsi="Times New Roman" w:eastAsia="宋体" w:cs="宋体"/>
                <w:bCs/>
                <w:color w:val="auto"/>
                <w:sz w:val="21"/>
                <w:szCs w:val="21"/>
                <w:highlight w:val="none"/>
                <w:lang w:val="en-US" w:eastAsia="zh-CN" w:bidi="ar-SA"/>
              </w:rPr>
              <w:t>）、氮氧化物（NOx）等主要大气污染物总量指标等量替代的项目。</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1.5</w:t>
            </w:r>
            <w:r>
              <w:rPr>
                <w:rFonts w:hint="eastAsia" w:ascii="Times New Roman" w:hAnsi="Times New Roman" w:eastAsia="宋体" w:cs="宋体"/>
                <w:bCs/>
                <w:color w:val="auto"/>
                <w:sz w:val="21"/>
                <w:szCs w:val="21"/>
                <w:highlight w:val="none"/>
                <w:lang w:val="en-US" w:eastAsia="zh-CN" w:bidi="ar-SA"/>
              </w:rPr>
              <w:t>对土地、环保、工商、质监等手续不全或不符合国家、自治区产业政策的重污染项目立即关停淘汰，做到</w:t>
            </w:r>
            <w:r>
              <w:rPr>
                <w:rFonts w:hint="default" w:ascii="Times New Roman" w:hAnsi="Times New Roman" w:eastAsia="宋体" w:cs="宋体"/>
                <w:bCs/>
                <w:color w:val="auto"/>
                <w:sz w:val="21"/>
                <w:szCs w:val="21"/>
                <w:highlight w:val="none"/>
                <w:lang w:val="en-US" w:eastAsia="zh-CN" w:bidi="ar-SA"/>
              </w:rPr>
              <w:t>“两断三清”。其他手续完备，不符合产业布局规划的小微企业，督促其搬迁入驻园区，污染物排放不达标的污染企业停产整改。</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1.6</w:t>
            </w:r>
            <w:r>
              <w:rPr>
                <w:rFonts w:hint="eastAsia" w:ascii="Times New Roman" w:hAnsi="Times New Roman" w:eastAsia="宋体" w:cs="宋体"/>
                <w:bCs/>
                <w:color w:val="auto"/>
                <w:sz w:val="21"/>
                <w:szCs w:val="21"/>
                <w:highlight w:val="none"/>
                <w:lang w:val="en-US" w:eastAsia="zh-CN" w:bidi="ar-SA"/>
              </w:rPr>
              <w:t>严格限制</w:t>
            </w:r>
            <w:bookmarkStart w:id="451" w:name="OLE_LINK19"/>
            <w:r>
              <w:rPr>
                <w:rFonts w:hint="eastAsia" w:ascii="Times New Roman" w:hAnsi="Times New Roman" w:eastAsia="宋体" w:cs="宋体"/>
                <w:bCs/>
                <w:color w:val="auto"/>
                <w:sz w:val="21"/>
                <w:szCs w:val="21"/>
                <w:highlight w:val="none"/>
                <w:lang w:val="en-US" w:eastAsia="zh-CN" w:bidi="ar-SA"/>
              </w:rPr>
              <w:t>石化、化工</w:t>
            </w:r>
            <w:bookmarkEnd w:id="451"/>
            <w:r>
              <w:rPr>
                <w:rFonts w:hint="eastAsia" w:ascii="Times New Roman" w:hAnsi="Times New Roman" w:eastAsia="宋体" w:cs="宋体"/>
                <w:bCs/>
                <w:color w:val="auto"/>
                <w:sz w:val="21"/>
                <w:szCs w:val="21"/>
                <w:highlight w:val="none"/>
                <w:lang w:val="en-US" w:eastAsia="zh-CN" w:bidi="ar-SA"/>
              </w:rPr>
              <w:t>等高</w:t>
            </w:r>
            <w:r>
              <w:rPr>
                <w:rFonts w:hint="default" w:ascii="Times New Roman" w:hAnsi="Times New Roman" w:eastAsia="宋体" w:cs="宋体"/>
                <w:bCs/>
                <w:color w:val="auto"/>
                <w:sz w:val="21"/>
                <w:szCs w:val="21"/>
                <w:highlight w:val="none"/>
                <w:lang w:val="en-US" w:eastAsia="zh-CN" w:bidi="ar-SA"/>
              </w:rPr>
              <w:t>VOCs排放建设项目。新建涉VOCs排放的工业企业要入园区。未纳入《石化产业规划布局方案》的新建炼化项目一律不得建设。</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，属于国家产业政策鼓励类项目，符合国家产业政策，不属于石化、化工等高</w:t>
            </w:r>
            <w:r>
              <w:rPr>
                <w:rFonts w:hint="default" w:ascii="Times New Roman" w:hAnsi="Times New Roman" w:eastAsia="宋体" w:cs="宋体"/>
                <w:bCs/>
                <w:color w:val="auto"/>
                <w:sz w:val="21"/>
                <w:szCs w:val="21"/>
                <w:highlight w:val="none"/>
                <w:lang w:val="en-US" w:eastAsia="zh-CN" w:bidi="ar-SA"/>
              </w:rPr>
              <w:t>VOCs排放建设项目</w:t>
            </w:r>
            <w:r>
              <w:rPr>
                <w:rFonts w:hint="eastAsia" w:ascii="Times New Roman" w:hAnsi="Times New Roman" w:eastAsia="宋体" w:cs="宋体"/>
                <w:bCs/>
                <w:color w:val="auto"/>
                <w:sz w:val="21"/>
                <w:szCs w:val="21"/>
                <w:highlight w:val="none"/>
                <w:lang w:val="en-US" w:eastAsia="zh-CN" w:bidi="ar-SA"/>
              </w:rPr>
              <w:t>；</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1.8</w:t>
            </w:r>
            <w:r>
              <w:rPr>
                <w:rFonts w:hint="eastAsia" w:ascii="Times New Roman" w:hAnsi="Times New Roman" w:eastAsia="宋体" w:cs="宋体"/>
                <w:bCs/>
                <w:color w:val="auto"/>
                <w:sz w:val="21"/>
                <w:szCs w:val="21"/>
                <w:highlight w:val="none"/>
                <w:lang w:val="en-US" w:eastAsia="zh-CN" w:bidi="ar-SA"/>
              </w:rPr>
              <w:t>新建污染企业必须全部进入相应的工业集聚区。严格城市规划蓝线管理，城市规划区范围内应保留一定比例的水域面积，新建项</w:t>
            </w:r>
            <w:r>
              <w:rPr>
                <w:rFonts w:hint="default" w:ascii="Times New Roman" w:hAnsi="Times New Roman" w:eastAsia="宋体" w:cs="宋体"/>
                <w:bCs/>
                <w:color w:val="auto"/>
                <w:sz w:val="21"/>
                <w:szCs w:val="21"/>
                <w:highlight w:val="none"/>
                <w:lang w:val="en-US" w:eastAsia="zh-CN" w:bidi="ar-SA"/>
              </w:rPr>
              <w:t>目一律不得违规占用水域。</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color w:val="auto"/>
              </w:rPr>
            </w:pPr>
          </w:p>
        </w:tc>
        <w:tc>
          <w:tcPr>
            <w:tcW w:w="2274" w:type="pct"/>
            <w:gridSpan w:val="2"/>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2.执行克拉玛依市一般管控单元分类管控要求中空间布局约束的相应管控要求。</w:t>
            </w:r>
          </w:p>
          <w:p>
            <w:pPr>
              <w:pStyle w:val="24"/>
              <w:keepNext w:val="0"/>
              <w:keepLines w:val="0"/>
              <w:pageBreakBefore w:val="0"/>
              <w:numPr>
                <w:ilvl w:val="0"/>
                <w:numId w:val="0"/>
              </w:numPr>
              <w:kinsoku/>
              <w:wordWrap/>
              <w:overflowPunct/>
              <w:topLinePunct w:val="0"/>
              <w:autoSpaceDE/>
              <w:autoSpaceDN/>
              <w:bidi w:val="0"/>
              <w:spacing w:line="240" w:lineRule="auto"/>
              <w:ind w:left="0" w:leftChars="0" w:firstLine="0" w:firstLineChars="0"/>
              <w:rPr>
                <w:rFonts w:hint="default" w:ascii="Times New Roman" w:hAnsi="Times New Roman" w:eastAsia="宋体" w:cs="Times New Roman"/>
                <w:color w:val="auto"/>
                <w:sz w:val="21"/>
                <w:szCs w:val="21"/>
                <w:highlight w:val="none"/>
                <w:lang w:val="en-US" w:eastAsia="zh-CN" w:bidi="ar-SA"/>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C1-1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建立集镇居住商业区、耕地保护区与工业功能区等集聚区块之间的防护带。严格执行畜禽养殖禁养区规定，根据区域用地和消纳水平，合理确定养殖规模。加强基本农田保护，严格限制非农项目占用耕地。</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Times New Roman"/>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，不占用耕地等；项目对开发活动严格控制，尽可能减少对生态系统的干扰。</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default" w:ascii="Times New Roman" w:hAnsi="Times New Roman" w:eastAsia="宋体" w:cs="宋体"/>
                <w:bCs/>
                <w:color w:val="auto"/>
                <w:sz w:val="21"/>
                <w:szCs w:val="21"/>
                <w:highlight w:val="none"/>
                <w:lang w:val="en-US" w:eastAsia="zh-CN" w:bidi="ar-SA"/>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污染物排放</w:t>
            </w:r>
          </w:p>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w:t>
            </w: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1.</w:t>
            </w:r>
            <w:r>
              <w:rPr>
                <w:rFonts w:hint="default" w:ascii="Times New Roman" w:hAnsi="Times New Roman" w:eastAsia="宋体" w:cs="宋体"/>
                <w:bCs/>
                <w:color w:val="auto"/>
                <w:sz w:val="21"/>
                <w:szCs w:val="21"/>
                <w:highlight w:val="none"/>
                <w:lang w:val="en-US" w:eastAsia="zh-CN" w:bidi="ar-SA"/>
              </w:rPr>
              <w:t>执行克拉玛依市总体管控要求中污染物排放管控要求。</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2.1</w:t>
            </w:r>
            <w:r>
              <w:rPr>
                <w:rFonts w:hint="eastAsia" w:ascii="Times New Roman" w:hAnsi="Times New Roman" w:eastAsia="宋体" w:cs="宋体"/>
                <w:bCs/>
                <w:color w:val="auto"/>
                <w:sz w:val="21"/>
                <w:szCs w:val="21"/>
                <w:highlight w:val="none"/>
                <w:lang w:val="en-US" w:eastAsia="zh-CN" w:bidi="ar-SA"/>
              </w:rPr>
              <w:t>重点行业污染物排放管控（石化行业、火电行业、装备行业、纺织服务行业、轻工行业）。</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default"/>
                <w:color w:val="auto"/>
                <w:highlight w:val="none"/>
                <w:lang w:val="en-US"/>
              </w:rPr>
            </w:pPr>
            <w:r>
              <w:rPr>
                <w:rFonts w:hint="default" w:ascii="Arial" w:hAnsi="宋体" w:eastAsia="Arial" w:cs="Arial"/>
                <w:bCs/>
                <w:color w:val="auto"/>
                <w:sz w:val="21"/>
                <w:szCs w:val="21"/>
                <w:highlight w:val="none"/>
                <w:lang w:val="en-US" w:eastAsia="zh-CN" w:bidi="ar-SA"/>
              </w:rPr>
              <w:t>本</w:t>
            </w:r>
            <w:r>
              <w:rPr>
                <w:rFonts w:hint="default" w:ascii="Times New Roman" w:hAnsi="Times New Roman" w:eastAsia="宋体" w:cs="宋体"/>
                <w:bCs/>
                <w:color w:val="auto"/>
                <w:sz w:val="21"/>
                <w:szCs w:val="21"/>
                <w:highlight w:val="none"/>
                <w:lang w:val="en-US" w:eastAsia="zh-CN" w:bidi="ar-SA"/>
              </w:rPr>
              <w:t>工程为</w:t>
            </w:r>
            <w:r>
              <w:rPr>
                <w:rFonts w:hint="eastAsia" w:ascii="Times New Roman" w:hAnsi="Times New Roman" w:eastAsia="宋体" w:cs="宋体"/>
                <w:bCs/>
                <w:color w:val="auto"/>
                <w:sz w:val="21"/>
                <w:szCs w:val="21"/>
                <w:highlight w:val="none"/>
                <w:lang w:val="en-US" w:eastAsia="zh-CN" w:bidi="ar-SA"/>
              </w:rPr>
              <w:t>页岩油开采</w:t>
            </w:r>
            <w:r>
              <w:rPr>
                <w:rFonts w:hint="default" w:ascii="Times New Roman" w:hAnsi="Times New Roman" w:eastAsia="宋体" w:cs="宋体"/>
                <w:bCs/>
                <w:color w:val="auto"/>
                <w:sz w:val="21"/>
                <w:szCs w:val="21"/>
                <w:highlight w:val="none"/>
                <w:lang w:val="en-US" w:eastAsia="zh-CN" w:bidi="ar-SA"/>
              </w:rPr>
              <w:t>项目</w:t>
            </w:r>
            <w:r>
              <w:rPr>
                <w:rFonts w:hint="eastAsia" w:ascii="Times New Roman" w:hAnsi="Times New Roman" w:eastAsia="宋体" w:cs="宋体"/>
                <w:bCs/>
                <w:color w:val="auto"/>
                <w:sz w:val="21"/>
                <w:szCs w:val="21"/>
                <w:highlight w:val="none"/>
                <w:lang w:val="en-US" w:eastAsia="zh-CN" w:bidi="ar-SA"/>
              </w:rPr>
              <w:t>，属于国家产业政策鼓励类项目，符合国家产业政策，不属于石化行业、火电行业、装备行业、纺织服务行业、轻工行业等</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bookmarkStart w:id="452" w:name="OLE_LINK20" w:colFirst="2" w:colLast="3"/>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2.2</w:t>
            </w:r>
            <w:r>
              <w:rPr>
                <w:rFonts w:hint="eastAsia" w:ascii="Times New Roman" w:hAnsi="Times New Roman" w:eastAsia="宋体" w:cs="宋体"/>
                <w:bCs/>
                <w:color w:val="auto"/>
                <w:sz w:val="21"/>
                <w:szCs w:val="21"/>
                <w:highlight w:val="none"/>
                <w:lang w:val="en-US" w:eastAsia="zh-CN" w:bidi="ar-SA"/>
              </w:rPr>
              <w:t>所有新（改、扩）建项目应执行最严格的大气污染物排放标准。全市二氧化硫、氮氧化物、颗粒物、挥发性有机物（</w:t>
            </w:r>
            <w:r>
              <w:rPr>
                <w:rFonts w:hint="default" w:ascii="Times New Roman" w:hAnsi="Times New Roman" w:eastAsia="宋体" w:cs="宋体"/>
                <w:bCs/>
                <w:color w:val="auto"/>
                <w:sz w:val="21"/>
                <w:szCs w:val="21"/>
                <w:highlight w:val="none"/>
                <w:lang w:val="en-US" w:eastAsia="zh-CN" w:bidi="ar-SA"/>
              </w:rPr>
              <w:t>VOCs）全面执行大气污染物特别排放限值。</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bookmarkEnd w:id="45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2.3</w:t>
            </w:r>
            <w:r>
              <w:rPr>
                <w:rFonts w:hint="eastAsia" w:ascii="Times New Roman" w:hAnsi="Times New Roman" w:eastAsia="宋体" w:cs="宋体"/>
                <w:bCs/>
                <w:color w:val="auto"/>
                <w:sz w:val="21"/>
                <w:szCs w:val="21"/>
                <w:highlight w:val="none"/>
                <w:lang w:val="en-US" w:eastAsia="zh-CN" w:bidi="ar-SA"/>
              </w:rPr>
              <w:t>钢铁、水泥、煤炭、垃圾焚烧等重点行业完成治理设施升级改造，实现达标排放。</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2.4</w:t>
            </w:r>
            <w:r>
              <w:rPr>
                <w:rFonts w:hint="eastAsia" w:ascii="Times New Roman" w:hAnsi="Times New Roman" w:eastAsia="宋体" w:cs="宋体"/>
                <w:bCs/>
                <w:color w:val="auto"/>
                <w:sz w:val="21"/>
                <w:szCs w:val="21"/>
                <w:highlight w:val="none"/>
                <w:lang w:val="en-US" w:eastAsia="zh-CN" w:bidi="ar-SA"/>
              </w:rPr>
              <w:t>新建、改建、扩建重点行业建设项目实行主要污染物排放减量置换……</w:t>
            </w:r>
            <w:r>
              <w:rPr>
                <w:rFonts w:hint="default" w:ascii="Times New Roman" w:hAnsi="Times New Roman" w:eastAsia="宋体" w:cs="宋体"/>
                <w:bCs/>
                <w:color w:val="auto"/>
                <w:sz w:val="21"/>
                <w:szCs w:val="21"/>
                <w:highlight w:val="none"/>
                <w:lang w:val="en-US" w:eastAsia="zh-CN" w:bidi="ar-SA"/>
              </w:rPr>
              <w:t>暂停审批新增重点水污染物排放总量的项目。</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2.5</w:t>
            </w:r>
            <w:r>
              <w:rPr>
                <w:rFonts w:hint="eastAsia" w:ascii="Times New Roman" w:hAnsi="Times New Roman" w:eastAsia="宋体" w:cs="宋体"/>
                <w:bCs/>
                <w:color w:val="auto"/>
                <w:sz w:val="21"/>
                <w:szCs w:val="21"/>
                <w:highlight w:val="none"/>
                <w:lang w:val="en-US" w:eastAsia="zh-CN" w:bidi="ar-SA"/>
              </w:rPr>
              <w:t>重点加强对石油开采、石油石化等废水排放量大的行业进行提标改造，采取综合利用、技术改造、污染治理等措施对重点工业废</w:t>
            </w:r>
            <w:r>
              <w:rPr>
                <w:rFonts w:hint="default" w:ascii="Times New Roman" w:hAnsi="Times New Roman" w:eastAsia="宋体" w:cs="宋体"/>
                <w:bCs/>
                <w:color w:val="auto"/>
                <w:sz w:val="21"/>
                <w:szCs w:val="21"/>
                <w:highlight w:val="none"/>
                <w:lang w:val="en-US" w:eastAsia="zh-CN" w:bidi="ar-SA"/>
              </w:rPr>
              <w:t>水污染源实施综合治理。</w:t>
            </w:r>
          </w:p>
        </w:tc>
        <w:tc>
          <w:tcPr>
            <w:tcW w:w="1264"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lang w:eastAsia="zh-CN"/>
              </w:rPr>
            </w:pPr>
            <w:r>
              <w:rPr>
                <w:rFonts w:hint="eastAsia"/>
                <w:color w:val="auto"/>
                <w:highlight w:val="none"/>
                <w:lang w:val="en-US" w:eastAsia="zh-CN"/>
              </w:rPr>
              <w:t>本</w:t>
            </w:r>
            <w:r>
              <w:rPr>
                <w:rFonts w:hint="eastAsia"/>
                <w:color w:val="auto"/>
                <w:highlight w:val="none"/>
              </w:rPr>
              <w:t>工程采出水输送至</w:t>
            </w:r>
            <w:r>
              <w:rPr>
                <w:rFonts w:hint="eastAsia"/>
                <w:color w:val="auto"/>
                <w:highlight w:val="none"/>
                <w:lang w:eastAsia="zh-CN"/>
              </w:rPr>
              <w:t>风城二号稠油处理站</w:t>
            </w:r>
            <w:r>
              <w:rPr>
                <w:rFonts w:hint="eastAsia"/>
                <w:color w:val="auto"/>
                <w:highlight w:val="none"/>
              </w:rPr>
              <w:t>采出水处理单元处理达标后回注地层；井下作业废水收集后送</w:t>
            </w:r>
            <w:r>
              <w:rPr>
                <w:rFonts w:hint="eastAsia"/>
                <w:color w:val="auto"/>
                <w:highlight w:val="none"/>
                <w:lang w:val="en-US" w:eastAsia="zh-CN"/>
              </w:rPr>
              <w:t>风城二号稠油联合站</w:t>
            </w:r>
            <w:r>
              <w:rPr>
                <w:rFonts w:hint="eastAsia"/>
                <w:color w:val="auto"/>
                <w:highlight w:val="none"/>
              </w:rPr>
              <w:t>处理，不外排</w:t>
            </w:r>
            <w:r>
              <w:rPr>
                <w:rFonts w:hint="eastAsia"/>
                <w:color w:val="auto"/>
                <w:highlight w:val="none"/>
                <w:lang w:eastAsia="zh-CN"/>
              </w:rPr>
              <w:t>。</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2.7</w:t>
            </w:r>
            <w:r>
              <w:rPr>
                <w:rFonts w:hint="eastAsia" w:ascii="Times New Roman" w:hAnsi="Times New Roman" w:eastAsia="宋体" w:cs="宋体"/>
                <w:bCs/>
                <w:color w:val="auto"/>
                <w:sz w:val="21"/>
                <w:szCs w:val="21"/>
                <w:highlight w:val="none"/>
                <w:lang w:val="en-US" w:eastAsia="zh-CN" w:bidi="ar-SA"/>
              </w:rPr>
              <w:t>严禁向沙漠、滩涂、盐碱地、沼泽地等非法排污、倾倒有毒有害物质。加强对油气田等矿产资源开采活动影响区域内低覆盖度草地、人工牧草地、林地的</w:t>
            </w:r>
            <w:r>
              <w:rPr>
                <w:rFonts w:hint="default" w:ascii="Times New Roman" w:hAnsi="Times New Roman" w:eastAsia="宋体" w:cs="宋体"/>
                <w:bCs/>
                <w:color w:val="auto"/>
                <w:sz w:val="21"/>
                <w:szCs w:val="21"/>
                <w:highlight w:val="none"/>
                <w:lang w:val="en-US" w:eastAsia="zh-CN" w:bidi="ar-SA"/>
              </w:rPr>
              <w:t>环境监管，发现土壤污染问题的，及时督促有关企业采取防治措施。</w:t>
            </w:r>
          </w:p>
        </w:tc>
        <w:tc>
          <w:tcPr>
            <w:tcW w:w="1264"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spacing w:val="-11"/>
                <w:sz w:val="21"/>
                <w:highlight w:val="none"/>
                <w:lang w:val="en-US" w:eastAsia="zh-CN"/>
              </w:rPr>
              <w:t>本工程水基钻井泥浆及岩屑经泥浆不落地系统处理后，液相泥浆进罐收集，循环使用，完井后剩余泥浆由钻井液分公司回收；分离后的固相暂存于岩屑储罐，委托第三方处置单位进行处理，处理后经检测满足《油气田钻井固体废物综合利用污染控制要求》（DB65/T3997-2017）中相关标准要求后综合利用；油基钻井泥浆及岩屑经泥浆不落地系统处理后，液相泥浆进罐收集，循环使用，完井后剩余泥浆由钻井液分公司回收；分离后的固相暂存于专用油基岩屑储罐，委托有相应危险废物处理资质的单位进行无害化处理。</w:t>
            </w:r>
            <w:r>
              <w:rPr>
                <w:rFonts w:hint="default" w:ascii="Times New Roman" w:hAnsi="Times New Roman" w:eastAsia="宋体" w:cs="Times New Roman"/>
                <w:color w:val="auto"/>
                <w:spacing w:val="-11"/>
                <w:sz w:val="21"/>
                <w:highlight w:val="none"/>
                <w:lang w:val="en-US" w:eastAsia="zh-CN"/>
              </w:rPr>
              <w:t>施工废料主要包括管材边角料、焊接作业中产生的废焊渣等，首先考虑回收利用，不可回收利用部分拉运至</w:t>
            </w:r>
            <w:r>
              <w:rPr>
                <w:rFonts w:hint="eastAsia" w:ascii="Times New Roman" w:hAnsi="Times New Roman" w:eastAsia="宋体" w:cs="Times New Roman"/>
                <w:color w:val="auto"/>
                <w:spacing w:val="-11"/>
                <w:sz w:val="21"/>
                <w:highlight w:val="none"/>
                <w:lang w:val="en-US" w:eastAsia="zh-CN"/>
              </w:rPr>
              <w:t>克拉玛依市建筑垃圾填埋场填埋处置。</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numPr>
                <w:ilvl w:val="0"/>
                <w:numId w:val="0"/>
              </w:numPr>
              <w:kinsoku/>
              <w:wordWrap/>
              <w:overflowPunct/>
              <w:topLinePunct w:val="0"/>
              <w:autoSpaceDE/>
              <w:autoSpaceDN/>
              <w:bidi w:val="0"/>
              <w:spacing w:line="240" w:lineRule="auto"/>
              <w:jc w:val="both"/>
              <w:rPr>
                <w:rFonts w:hint="eastAsia"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2.执行克拉玛依市一般管控单元分类管控要求中污染物排放管控的相应管控要求。</w:t>
            </w:r>
          </w:p>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C2-1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加强农业面源污染治理，严格控制化肥农药施加量，逐步削减农业面源污染物排放量</w:t>
            </w:r>
            <w:r>
              <w:rPr>
                <w:rFonts w:hint="eastAsia" w:ascii="Times New Roman" w:hAnsi="Times New Roman" w:cs="Times New Roman"/>
                <w:color w:val="auto"/>
                <w:sz w:val="21"/>
                <w:szCs w:val="21"/>
                <w:highlight w:val="none"/>
                <w:lang w:val="en-US" w:eastAsia="zh-CN"/>
              </w:rPr>
              <w:t>。</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sz w:val="21"/>
                <w:szCs w:val="21"/>
                <w:highlight w:val="none"/>
                <w:lang w:val="en-US" w:eastAsia="zh-CN" w:bidi="ar-SA"/>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环境风险防控</w:t>
            </w: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1.涉及县级及以上集中式饮用水水源地的河流以及其他重要环境敏感目标的河流，按照“一河一策一图”环境应急响应方案实施应急演练，视情加强闸坝、应急池、物资库等工程建设。</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2.严格地表水型水源地上游和地下水型水源地集水区高污染高风险行业环境准入。</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实施农用地土壤镉等重金属污染源头防治行动。依法推行农用地分类管理制度，强化受污染耕地安全利用和风险管控。因地制宜制定实施安全利用方案，鼓励采取种植结构调整等措施，确保受污染耕地全部实现安全利用。严格落实粮食收购和销售出库质量安全检验制度和追溯制度</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企业事业单位应当依照《中华人民共和国突发事件应对法》的规定，制定突发环境事件应急预案，做好突发环境事件的风险控制、应急准备、应急处置和事后恢复等工作。各类工业园区和工业聚集区应设立环境应急管理机构，编制环境风险应急预案，并具备环境风险应急救援能力。</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资源利用效率</w:t>
            </w: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1</w:t>
            </w:r>
            <w:r>
              <w:rPr>
                <w:rFonts w:hint="default" w:ascii="Times New Roman" w:hAnsi="Times New Roman" w:eastAsia="宋体" w:cs="宋体"/>
                <w:bCs/>
                <w:color w:val="auto"/>
                <w:sz w:val="21"/>
                <w:szCs w:val="21"/>
                <w:highlight w:val="none"/>
                <w:lang w:val="en-US" w:eastAsia="zh-CN" w:bidi="ar-SA"/>
              </w:rPr>
              <w:t>.执行克拉玛依市总体管控要求中资源开发利用要求。</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eastAsia" w:ascii="Times New Roman" w:hAnsi="Times New Roman" w:eastAsia="宋体" w:cs="宋体"/>
                <w:bCs/>
                <w:color w:val="auto"/>
                <w:sz w:val="21"/>
                <w:szCs w:val="21"/>
                <w:highlight w:val="none"/>
                <w:lang w:val="en-US" w:eastAsia="zh-CN" w:bidi="ar-SA"/>
              </w:rPr>
              <w:t>4</w:t>
            </w:r>
            <w:r>
              <w:rPr>
                <w:rFonts w:hint="default" w:ascii="Times New Roman" w:hAnsi="Times New Roman" w:eastAsia="宋体" w:cs="宋体"/>
                <w:bCs/>
                <w:color w:val="auto"/>
                <w:sz w:val="21"/>
                <w:szCs w:val="21"/>
                <w:highlight w:val="none"/>
                <w:lang w:val="en-US" w:eastAsia="zh-CN" w:bidi="ar-SA"/>
              </w:rPr>
              <w:t>.1</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、白碱滩区、</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、独山子区用水总量控制目标（万m</w:t>
            </w:r>
            <w:r>
              <w:rPr>
                <w:rFonts w:hint="default" w:ascii="Times New Roman" w:hAnsi="Times New Roman" w:eastAsia="宋体" w:cs="宋体"/>
                <w:bCs/>
                <w:color w:val="auto"/>
                <w:sz w:val="21"/>
                <w:szCs w:val="21"/>
                <w:highlight w:val="none"/>
                <w:vertAlign w:val="superscript"/>
                <w:lang w:val="en-US" w:eastAsia="zh-CN" w:bidi="ar-SA"/>
              </w:rPr>
              <w:t>3</w:t>
            </w:r>
            <w:r>
              <w:rPr>
                <w:rFonts w:hint="default" w:ascii="Times New Roman" w:hAnsi="Times New Roman" w:eastAsia="宋体" w:cs="宋体"/>
                <w:bCs/>
                <w:color w:val="auto"/>
                <w:sz w:val="21"/>
                <w:szCs w:val="21"/>
                <w:highlight w:val="none"/>
                <w:lang w:val="en-US" w:eastAsia="zh-CN" w:bidi="ar-SA"/>
              </w:rPr>
              <w:t>）2020年分别为</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2030年分别为（克白3035、乌400、独5700）。</w:t>
            </w:r>
          </w:p>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default" w:ascii="Times New Roman" w:hAnsi="Times New Roman" w:eastAsia="宋体" w:cs="宋体"/>
                <w:bCs/>
                <w:color w:val="auto"/>
                <w:sz w:val="21"/>
                <w:szCs w:val="21"/>
                <w:highlight w:val="none"/>
                <w:lang w:val="en-US" w:eastAsia="zh-CN" w:bidi="ar-SA"/>
              </w:rPr>
              <w:t>4.2</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、白碱滩区、</w:t>
            </w:r>
            <w:r>
              <w:rPr>
                <w:rFonts w:hint="eastAsia" w:ascii="Times New Roman" w:hAnsi="Times New Roman" w:eastAsia="宋体" w:cs="宋体"/>
                <w:bCs/>
                <w:color w:val="auto"/>
                <w:sz w:val="21"/>
                <w:szCs w:val="21"/>
                <w:highlight w:val="none"/>
                <w:lang w:val="en-US" w:eastAsia="zh-CN" w:bidi="ar-SA"/>
              </w:rPr>
              <w:t>乌尔禾区</w:t>
            </w:r>
            <w:r>
              <w:rPr>
                <w:rFonts w:hint="default" w:ascii="Times New Roman" w:hAnsi="Times New Roman" w:eastAsia="宋体" w:cs="宋体"/>
                <w:bCs/>
                <w:color w:val="auto"/>
                <w:sz w:val="21"/>
                <w:szCs w:val="21"/>
                <w:highlight w:val="none"/>
                <w:lang w:val="en-US" w:eastAsia="zh-CN" w:bidi="ar-SA"/>
              </w:rPr>
              <w:t>、独山子区耕地保有量（公顷）2020年分别为</w:t>
            </w:r>
            <w:r>
              <w:rPr>
                <w:rFonts w:hint="eastAsia" w:ascii="Times New Roman" w:hAnsi="Times New Roman" w:eastAsia="宋体" w:cs="宋体"/>
                <w:bCs/>
                <w:color w:val="auto"/>
                <w:sz w:val="21"/>
                <w:szCs w:val="21"/>
                <w:highlight w:val="none"/>
                <w:lang w:val="en-US" w:eastAsia="zh-CN" w:bidi="ar-SA"/>
              </w:rPr>
              <w:t>……</w:t>
            </w:r>
            <w:r>
              <w:rPr>
                <w:rFonts w:hint="default" w:ascii="Times New Roman" w:hAnsi="Times New Roman" w:eastAsia="宋体" w:cs="宋体"/>
                <w:bCs/>
                <w:color w:val="auto"/>
                <w:sz w:val="21"/>
                <w:szCs w:val="21"/>
                <w:highlight w:val="none"/>
                <w:lang w:val="en-US" w:eastAsia="zh-CN" w:bidi="ar-SA"/>
              </w:rPr>
              <w:t>2030年分别为（克33926.97、白29146.75、乌16507.90、独6741.09）。</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eastAsia="宋体" w:cs="宋体"/>
                <w:bCs/>
                <w:color w:val="auto"/>
                <w:sz w:val="21"/>
                <w:szCs w:val="21"/>
                <w:highlight w:val="none"/>
                <w:lang w:val="en-US" w:eastAsia="zh-CN" w:bidi="ar-SA"/>
              </w:rPr>
            </w:pPr>
            <w:r>
              <w:rPr>
                <w:rFonts w:hint="default" w:ascii="Times New Roman" w:hAnsi="Times New Roman" w:eastAsia="宋体" w:cs="宋体"/>
                <w:bCs/>
                <w:color w:val="auto"/>
                <w:sz w:val="21"/>
                <w:szCs w:val="21"/>
                <w:highlight w:val="none"/>
                <w:lang w:val="en-US" w:eastAsia="zh-CN" w:bidi="ar-SA"/>
              </w:rPr>
              <w:t>2.执行克拉玛依市一般管控单元分类管控要求中资源开发利用的相应管控要求。</w:t>
            </w:r>
          </w:p>
          <w:p>
            <w:pPr>
              <w:keepNext w:val="0"/>
              <w:keepLines w:val="0"/>
              <w:pageBreakBefore w:val="0"/>
              <w:widowControl w:val="0"/>
              <w:kinsoku/>
              <w:wordWrap/>
              <w:overflowPunct/>
              <w:topLinePunct w:val="0"/>
              <w:autoSpaceDE/>
              <w:autoSpaceDN/>
              <w:bidi w:val="0"/>
              <w:spacing w:line="240" w:lineRule="auto"/>
              <w:ind w:firstLine="0" w:firstLineChars="0"/>
              <w:jc w:val="both"/>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C.4-1</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实行水资源消耗总量和强度双控，推进农业节水，提高农业用水效率。优化能源结构，加强能源清洁利用。</w:t>
            </w:r>
          </w:p>
          <w:p>
            <w:pPr>
              <w:pStyle w:val="24"/>
              <w:keepNext w:val="0"/>
              <w:keepLines w:val="0"/>
              <w:pageBreakBefore w:val="0"/>
              <w:kinsoku/>
              <w:wordWrap/>
              <w:overflowPunct/>
              <w:topLinePunct w:val="0"/>
              <w:autoSpaceDE/>
              <w:autoSpaceDN/>
              <w:bidi w:val="0"/>
              <w:spacing w:line="240" w:lineRule="auto"/>
              <w:rPr>
                <w:rFonts w:hint="default"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C.4-2</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实施节水行动，强化农业节水增效、工业节水减排、城镇节水降损。推进污水资源化利用。</w:t>
            </w:r>
          </w:p>
          <w:p>
            <w:pPr>
              <w:pStyle w:val="25"/>
              <w:keepNext w:val="0"/>
              <w:keepLines w:val="0"/>
              <w:pageBreakBefore w:val="0"/>
              <w:kinsoku/>
              <w:wordWrap/>
              <w:overflowPunct/>
              <w:topLinePunct w:val="0"/>
              <w:autoSpaceDE/>
              <w:autoSpaceDN/>
              <w:bidi w:val="0"/>
              <w:spacing w:line="240" w:lineRule="auto"/>
              <w:rPr>
                <w:rFonts w:hint="eastAsia" w:ascii="Times New Roman" w:hAnsi="Times New Roman" w:cs="Times New Roman"/>
                <w:color w:val="auto"/>
                <w:sz w:val="21"/>
                <w:szCs w:val="21"/>
                <w:highlight w:val="none"/>
                <w:lang w:val="en-US" w:eastAsia="zh-CN"/>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C.4-3</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壮大清洁能源产业，加快非化石能源发展，实施绿电替代，优化用能结构</w:t>
            </w:r>
            <w:r>
              <w:rPr>
                <w:rFonts w:hint="eastAsia" w:ascii="Times New Roman" w:hAnsi="Times New Roman" w:cs="Times New Roman"/>
                <w:color w:val="auto"/>
                <w:sz w:val="21"/>
                <w:szCs w:val="21"/>
                <w:highlight w:val="none"/>
                <w:lang w:val="en-US" w:eastAsia="zh-CN"/>
              </w:rPr>
              <w:t>。</w:t>
            </w:r>
          </w:p>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C.4-4</w:t>
            </w:r>
            <w:r>
              <w:rPr>
                <w:rFonts w:hint="eastAsia" w:cs="Times New Roman"/>
                <w:color w:val="auto"/>
                <w:sz w:val="21"/>
                <w:szCs w:val="21"/>
                <w:highlight w:val="none"/>
                <w:lang w:val="en-US" w:eastAsia="zh-CN"/>
              </w:rPr>
              <w:t>〕</w:t>
            </w:r>
            <w:r>
              <w:rPr>
                <w:rFonts w:hint="default" w:ascii="Times New Roman" w:hAnsi="Times New Roman" w:cs="Times New Roman"/>
                <w:color w:val="auto"/>
                <w:sz w:val="21"/>
                <w:szCs w:val="21"/>
                <w:highlight w:val="none"/>
                <w:lang w:val="en-US" w:eastAsia="zh-CN"/>
              </w:rPr>
              <w:t>严格保护优先保护类农用地，确保其面积不减少、土壤环境质量不下降。加强耕地污染源源头控制，推进耕地周边涉镉等重金属行业企业排查整治。鼓励采取种植结构调整等措施，确保受污染耕地全部实现安全利用。动态调整耕地土壤环境质量类别</w:t>
            </w:r>
            <w:r>
              <w:rPr>
                <w:rFonts w:hint="eastAsia" w:ascii="Times New Roman" w:hAnsi="Times New Roman" w:cs="Times New Roman"/>
                <w:color w:val="auto"/>
                <w:sz w:val="21"/>
                <w:szCs w:val="21"/>
                <w:highlight w:val="none"/>
                <w:lang w:val="en-US" w:eastAsia="zh-CN"/>
              </w:rPr>
              <w:t>。</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本工程施工期用水通过罐车拉运，用水量较少；本工程建设过程中会消耗一定量的柴油，作业区已加快非化石能源发展，实施绿电替代，优化用能结构。</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单元编码</w:t>
            </w:r>
          </w:p>
        </w:tc>
        <w:tc>
          <w:tcPr>
            <w:tcW w:w="123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单元名称</w:t>
            </w:r>
          </w:p>
        </w:tc>
        <w:tc>
          <w:tcPr>
            <w:tcW w:w="104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单元属性</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单元特征</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环境要素属性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bCs/>
                <w:color w:val="auto"/>
                <w:highlight w:val="none"/>
                <w:lang w:val="en-US" w:eastAsia="zh-CN"/>
              </w:rPr>
            </w:pPr>
            <w:r>
              <w:rPr>
                <w:rFonts w:hint="eastAsia" w:ascii="Times New Roman" w:hAnsi="Times New Roman" w:eastAsia="宋体" w:cs="Times New Roman"/>
                <w:bCs/>
                <w:color w:val="auto"/>
                <w:highlight w:val="none"/>
                <w:lang w:val="en-US" w:eastAsia="zh-CN"/>
              </w:rPr>
              <w:t>ZH65771020001</w:t>
            </w:r>
          </w:p>
        </w:tc>
        <w:tc>
          <w:tcPr>
            <w:tcW w:w="123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s="Times New Roman"/>
                <w:bCs/>
                <w:color w:val="auto"/>
                <w:highlight w:val="none"/>
                <w:lang w:val="en-US" w:eastAsia="zh-CN"/>
              </w:rPr>
              <w:t>胡杨河市重点管控单元</w:t>
            </w:r>
          </w:p>
        </w:tc>
        <w:tc>
          <w:tcPr>
            <w:tcW w:w="1042"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s="Times New Roman"/>
                <w:bCs/>
                <w:color w:val="auto"/>
                <w:highlight w:val="none"/>
                <w:lang w:val="en-US" w:eastAsia="zh-CN"/>
              </w:rPr>
              <w:t>重点管控单元</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rFonts w:hint="default" w:eastAsia="宋体"/>
                <w:color w:val="auto"/>
                <w:highlight w:val="none"/>
                <w:lang w:val="en-US" w:eastAsia="zh-CN"/>
              </w:rPr>
            </w:pPr>
            <w:r>
              <w:rPr>
                <w:rFonts w:hint="eastAsia"/>
                <w:color w:val="auto"/>
                <w:highlight w:val="none"/>
              </w:rPr>
              <w:t>/</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bookmarkStart w:id="453" w:name="OLE_LINK105"/>
            <w:r>
              <w:rPr>
                <w:rFonts w:hint="eastAsia"/>
                <w:color w:val="auto"/>
                <w:highlight w:val="none"/>
              </w:rPr>
              <w:t>/</w:t>
            </w:r>
            <w:bookmarkEnd w:id="45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维度</w:t>
            </w:r>
          </w:p>
        </w:tc>
        <w:tc>
          <w:tcPr>
            <w:tcW w:w="2274" w:type="pct"/>
            <w:gridSpan w:val="2"/>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管控要求</w:t>
            </w:r>
          </w:p>
        </w:tc>
        <w:tc>
          <w:tcPr>
            <w:tcW w:w="1264"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本工程</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符合性</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空间布局约束</w:t>
            </w: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w:t>
            </w:r>
            <w:bookmarkStart w:id="454" w:name="OLE_LINK106"/>
            <w:r>
              <w:rPr>
                <w:rFonts w:hint="eastAsia" w:ascii="Times New Roman" w:hAnsi="Times New Roman" w:eastAsia="宋体" w:cs="Times New Roman"/>
                <w:color w:val="auto"/>
                <w:highlight w:val="none"/>
              </w:rPr>
              <w:t>执行一般生态空间</w:t>
            </w:r>
            <w:r>
              <w:rPr>
                <w:rFonts w:hint="eastAsia" w:cs="Times New Roman"/>
                <w:color w:val="auto"/>
                <w:highlight w:val="none"/>
                <w:lang w:eastAsia="zh-CN"/>
              </w:rPr>
              <w:t>－</w:t>
            </w:r>
            <w:r>
              <w:rPr>
                <w:rFonts w:hint="eastAsia" w:ascii="Times New Roman" w:hAnsi="Times New Roman" w:eastAsia="宋体" w:cs="Times New Roman"/>
                <w:color w:val="auto"/>
                <w:highlight w:val="none"/>
              </w:rPr>
              <w:t>生物多样性/防风固沙和大气环境布局敏感区相关要求</w:t>
            </w:r>
            <w:bookmarkEnd w:id="454"/>
            <w:r>
              <w:rPr>
                <w:rFonts w:hint="eastAsia" w:ascii="Times New Roman" w:hAnsi="Times New Roman" w:eastAsia="宋体" w:cs="Times New Roman"/>
                <w:color w:val="auto"/>
                <w:highlight w:val="none"/>
              </w:rPr>
              <w:t>。</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18"/>
                <w:szCs w:val="18"/>
                <w:highlight w:val="none"/>
                <w:lang w:val="en-US" w:eastAsia="zh-CN"/>
              </w:rPr>
              <w:t>本工程为页岩油开采项目，占地类型为其他草地、裸土地、灌木林地、盐碱地，选址选线合理，施工过程中严格执行报告中提出的各种措施，不会对生物多样性造成破坏。</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（2）将保护现有荒漠植被作为防沙治沙的首要任务，持续开展防沙治沙工作，保护绿洲边缘荒漠林，避免营造高耗水的人工速生林。</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18"/>
                <w:szCs w:val="18"/>
                <w:highlight w:val="none"/>
                <w:lang w:val="en-US" w:eastAsia="zh-CN"/>
              </w:rPr>
              <w:t>本工程为页岩油采项目，占地类型为工矿用地、灌木林地、其他草地、裸地，施工过程中不会发生破坏沙漠边缘的现有绿色生态保护屏障、随意开垦半荒漠土地的现象。</w:t>
            </w:r>
          </w:p>
        </w:tc>
        <w:tc>
          <w:tcPr>
            <w:tcW w:w="500"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（3）应避免大规模排放大气污染物的项目布局建设。</w:t>
            </w:r>
          </w:p>
        </w:tc>
        <w:tc>
          <w:tcPr>
            <w:tcW w:w="2233" w:type="dxa"/>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ind w:firstLine="0" w:firstLineChars="0"/>
              <w:rPr>
                <w:rFonts w:hint="eastAsia" w:ascii="Times New Roman" w:hAnsi="Times New Roman" w:eastAsia="宋体" w:cs="Times New Roman"/>
                <w:color w:val="auto"/>
                <w:highlight w:val="none"/>
              </w:rPr>
            </w:pPr>
            <w:r>
              <w:rPr>
                <w:rFonts w:hint="eastAsia"/>
                <w:color w:val="auto"/>
                <w:highlight w:val="none"/>
              </w:rPr>
              <w:t>本项目不涉及</w:t>
            </w:r>
          </w:p>
        </w:tc>
        <w:tc>
          <w:tcPr>
            <w:tcW w:w="884" w:type="dxa"/>
            <w:tcBorders>
              <w:tl2br w:val="nil"/>
              <w:tr2bl w:val="nil"/>
            </w:tcBorders>
            <w:vAlign w:val="center"/>
          </w:tcPr>
          <w:p>
            <w:pPr>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bookmarkStart w:id="455" w:name="OLE_LINK115" w:colFirst="2" w:colLast="3"/>
            <w:r>
              <w:rPr>
                <w:rFonts w:hint="eastAsia"/>
                <w:color w:val="auto"/>
                <w:highlight w:val="none"/>
              </w:rPr>
              <w:t>污染物排放</w:t>
            </w:r>
          </w:p>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管控</w:t>
            </w: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lang w:eastAsia="zh-CN"/>
              </w:rPr>
            </w:pPr>
            <w:r>
              <w:rPr>
                <w:rFonts w:hint="eastAsia"/>
                <w:color w:val="auto"/>
              </w:rPr>
              <w:t>严格落实环境保护目标责任制，强化污染物总量控制目标考核，健全重大环境事件和污染事故责任追究制度，加大问责力度。强化环境执法监督，严格污染物排放标准、环境影响评价和污染物排放许可制度，进一步健全环境监管体制。严格执行行业排放标准、清洁生产标准，降低污染物产生强度、排放强度</w:t>
            </w:r>
            <w:r>
              <w:rPr>
                <w:rFonts w:hint="eastAsia"/>
                <w:color w:val="auto"/>
                <w:lang w:eastAsia="zh-CN"/>
              </w:rPr>
              <w:t>。</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eastAsia="宋体"/>
                <w:color w:val="auto"/>
                <w:highlight w:val="none"/>
                <w:lang w:val="en-US" w:eastAsia="zh-CN"/>
              </w:rPr>
            </w:pPr>
            <w:r>
              <w:rPr>
                <w:rFonts w:hint="eastAsia"/>
                <w:color w:val="auto"/>
                <w:highlight w:val="none"/>
              </w:rPr>
              <w:t>本项目严格落实环境保护目标责任制</w:t>
            </w:r>
            <w:r>
              <w:rPr>
                <w:rFonts w:hint="eastAsia"/>
                <w:color w:val="auto"/>
                <w:highlight w:val="none"/>
                <w:lang w:eastAsia="zh-CN"/>
              </w:rPr>
              <w:t>，</w:t>
            </w:r>
            <w:r>
              <w:rPr>
                <w:rFonts w:hint="eastAsia"/>
                <w:color w:val="auto"/>
                <w:highlight w:val="none"/>
                <w:lang w:val="en-US" w:eastAsia="zh-CN"/>
              </w:rPr>
              <w:t>施工期及运营期废水、固废不外排；本工程</w:t>
            </w:r>
            <w:r>
              <w:rPr>
                <w:rFonts w:hint="eastAsia"/>
                <w:color w:val="auto"/>
              </w:rPr>
              <w:t>严格污染物排放标准、环境影响评价和污染物排放许可制度，</w:t>
            </w:r>
            <w:r>
              <w:rPr>
                <w:rFonts w:hint="eastAsia"/>
                <w:color w:val="auto"/>
                <w:lang w:val="en-US" w:eastAsia="zh-CN"/>
              </w:rPr>
              <w:t>风城油田作业区</w:t>
            </w:r>
            <w:r>
              <w:rPr>
                <w:rFonts w:hint="eastAsia"/>
                <w:color w:val="auto"/>
              </w:rPr>
              <w:t>进一步健全环境监管体制</w:t>
            </w:r>
            <w:r>
              <w:rPr>
                <w:rFonts w:hint="eastAsia"/>
                <w:color w:val="auto"/>
                <w:lang w:eastAsia="zh-CN"/>
              </w:rPr>
              <w:t>。</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bookmarkEnd w:id="455"/>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restar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环境风险防控</w:t>
            </w: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（1）执行一般生态空间</w:t>
            </w:r>
            <w:r>
              <w:rPr>
                <w:rFonts w:hint="eastAsia" w:cs="Times New Roman"/>
                <w:color w:val="auto"/>
                <w:lang w:eastAsia="zh-CN"/>
              </w:rPr>
              <w:t>－</w:t>
            </w:r>
            <w:r>
              <w:rPr>
                <w:rFonts w:hint="eastAsia" w:ascii="Times New Roman" w:hAnsi="Times New Roman" w:eastAsia="宋体" w:cs="Times New Roman"/>
                <w:color w:val="auto"/>
              </w:rPr>
              <w:t>生物多样性/防风固沙和大气环境布局敏感区环境风险防控相关要求。</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lang w:val="en-US" w:eastAsia="zh-CN"/>
              </w:rPr>
              <w:t>中国石油新疆油田分公司风城油田作业区</w:t>
            </w:r>
            <w:r>
              <w:rPr>
                <w:rFonts w:hint="eastAsia"/>
                <w:color w:val="auto"/>
                <w:highlight w:val="none"/>
              </w:rPr>
              <w:t>制定有《</w:t>
            </w:r>
            <w:r>
              <w:rPr>
                <w:rFonts w:hint="eastAsia"/>
                <w:color w:val="auto"/>
                <w:highlight w:val="none"/>
                <w:lang w:val="en-US" w:eastAsia="zh-CN"/>
              </w:rPr>
              <w:t>风城油田作业区</w:t>
            </w:r>
            <w:r>
              <w:rPr>
                <w:rFonts w:hint="eastAsia"/>
                <w:color w:val="auto"/>
                <w:highlight w:val="none"/>
              </w:rPr>
              <w:t>突发环境事件应急预案》</w:t>
            </w:r>
            <w:r>
              <w:rPr>
                <w:rFonts w:hint="eastAsia"/>
                <w:color w:val="auto"/>
                <w:highlight w:val="none"/>
                <w:lang w:eastAsia="zh-CN"/>
              </w:rPr>
              <w:t>（</w:t>
            </w:r>
            <w:r>
              <w:rPr>
                <w:rFonts w:hint="eastAsia"/>
                <w:color w:val="auto"/>
                <w:highlight w:val="none"/>
              </w:rPr>
              <w:t>备案编号</w:t>
            </w:r>
            <w:r>
              <w:rPr>
                <w:rFonts w:hint="eastAsia"/>
                <w:color w:val="auto"/>
                <w:highlight w:val="none"/>
                <w:lang w:val="en-US" w:eastAsia="zh-CN"/>
              </w:rPr>
              <w:t>650205</w:t>
            </w:r>
            <w:r>
              <w:rPr>
                <w:rFonts w:hint="eastAsia"/>
                <w:color w:val="auto"/>
                <w:highlight w:val="none"/>
                <w:lang w:eastAsia="zh-CN"/>
              </w:rPr>
              <w:t>-</w:t>
            </w:r>
            <w:r>
              <w:rPr>
                <w:rFonts w:hint="eastAsia"/>
                <w:color w:val="auto"/>
                <w:highlight w:val="none"/>
                <w:lang w:val="en-US" w:eastAsia="zh-CN"/>
              </w:rPr>
              <w:t>2023</w:t>
            </w:r>
            <w:r>
              <w:rPr>
                <w:rFonts w:hint="eastAsia"/>
                <w:color w:val="auto"/>
                <w:highlight w:val="none"/>
                <w:lang w:eastAsia="zh-CN"/>
              </w:rPr>
              <w:t>-</w:t>
            </w:r>
            <w:r>
              <w:rPr>
                <w:rFonts w:hint="eastAsia"/>
                <w:color w:val="auto"/>
                <w:highlight w:val="none"/>
                <w:lang w:val="en-US" w:eastAsia="zh-CN"/>
              </w:rPr>
              <w:t>016</w:t>
            </w:r>
            <w:r>
              <w:rPr>
                <w:rFonts w:hint="eastAsia"/>
                <w:color w:val="auto"/>
                <w:highlight w:val="none"/>
                <w:lang w:eastAsia="zh-CN"/>
              </w:rPr>
              <w:t>-L）。</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符合</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vMerge w:val="continue"/>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rPr>
            </w:pPr>
            <w:r>
              <w:rPr>
                <w:rFonts w:hint="eastAsia" w:ascii="Times New Roman" w:hAnsi="Times New Roman" w:eastAsia="宋体" w:cs="Times New Roman"/>
                <w:color w:val="auto"/>
              </w:rPr>
              <w:t>（2）执行自治区重污染天气预警分级标准，同一区域内执行统一应急预警标准。当预测到区域将出现大范围重污染天气时，按照自治区统一发布预警信息，师市要按级别同步启动应急响应，落实应急措施，实施区域应急联动。</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本项目不涉及</w:t>
            </w:r>
          </w:p>
        </w:tc>
        <w:tc>
          <w:tcPr>
            <w:tcW w:w="500" w:type="pct"/>
            <w:tcBorders>
              <w:tl2br w:val="nil"/>
              <w:tr2bl w:val="nil"/>
            </w:tcBorders>
            <w:shd w:val="clear" w:color="auto" w:fill="auto"/>
            <w:vAlign w:val="center"/>
          </w:tcPr>
          <w:p>
            <w:pPr>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28" w:type="dxa"/>
            <w:left w:w="108" w:type="dxa"/>
            <w:bottom w:w="28" w:type="dxa"/>
            <w:right w:w="108" w:type="dxa"/>
          </w:tblCellMar>
        </w:tblPrEx>
        <w:trPr>
          <w:trHeight w:val="397" w:hRule="atLeast"/>
          <w:jc w:val="center"/>
        </w:trPr>
        <w:tc>
          <w:tcPr>
            <w:tcW w:w="961" w:type="pct"/>
            <w:tcBorders>
              <w:tl2br w:val="nil"/>
              <w:tr2bl w:val="nil"/>
            </w:tcBorders>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资源利用效率</w:t>
            </w:r>
          </w:p>
        </w:tc>
        <w:tc>
          <w:tcPr>
            <w:tcW w:w="2274" w:type="pct"/>
            <w:gridSpan w:val="2"/>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rFonts w:hint="eastAsia" w:ascii="Times New Roman" w:hAnsi="Times New Roman" w:eastAsia="宋体" w:cs="Times New Roman"/>
                <w:color w:val="auto"/>
                <w:highlight w:val="none"/>
              </w:rPr>
            </w:pPr>
            <w:r>
              <w:rPr>
                <w:rFonts w:hint="eastAsia"/>
                <w:color w:val="auto"/>
              </w:rPr>
              <w:t>执行师市资源利用效率总体要求</w:t>
            </w:r>
          </w:p>
        </w:tc>
        <w:tc>
          <w:tcPr>
            <w:tcW w:w="1264"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ascii="Times New Roman" w:hAnsi="Times New Roman" w:eastAsia="宋体" w:cs="宋体"/>
                <w:bCs/>
                <w:color w:val="auto"/>
                <w:sz w:val="21"/>
                <w:szCs w:val="21"/>
                <w:highlight w:val="none"/>
                <w:lang w:val="en-US" w:eastAsia="zh-CN" w:bidi="ar-SA"/>
              </w:rPr>
              <w:t>本工程施工期用水通过罐车拉运，用水量较少；本工程建设过程中会消耗一定量的柴油，作业区已加快非化石能源发展，实施绿电替代，优化用能结构。</w:t>
            </w:r>
            <w:r>
              <w:rPr>
                <w:rFonts w:hint="eastAsia" w:ascii="Times New Roman" w:hAnsi="Times New Roman" w:eastAsia="宋体" w:cs="宋体"/>
                <w:bCs/>
                <w:color w:val="auto"/>
                <w:sz w:val="21"/>
                <w:szCs w:val="21"/>
                <w:highlight w:val="none"/>
                <w:shd w:val="clear" w:color="auto" w:fill="auto"/>
                <w:lang w:val="en-US" w:eastAsia="zh-CN"/>
              </w:rPr>
              <w:t>本工程占地</w:t>
            </w:r>
            <w:r>
              <w:rPr>
                <w:rFonts w:hint="eastAsia" w:ascii="Times New Roman" w:hAnsi="Times New Roman" w:eastAsia="宋体" w:cs="宋体"/>
                <w:bCs/>
                <w:color w:val="auto"/>
                <w:sz w:val="21"/>
                <w:szCs w:val="21"/>
                <w:highlight w:val="none"/>
                <w:shd w:val="clear" w:color="auto" w:fill="auto"/>
                <w:lang w:eastAsia="zh-CN"/>
              </w:rPr>
              <w:t>类型为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ascii="Times New Roman" w:hAnsi="Times New Roman" w:eastAsia="宋体" w:cs="宋体"/>
                <w:bCs/>
                <w:color w:val="auto"/>
                <w:sz w:val="21"/>
                <w:szCs w:val="21"/>
                <w:highlight w:val="none"/>
                <w:shd w:val="clear" w:color="auto" w:fill="auto"/>
                <w:lang w:eastAsia="zh-CN"/>
              </w:rPr>
              <w:t>，</w:t>
            </w:r>
            <w:r>
              <w:rPr>
                <w:rFonts w:hint="eastAsia" w:ascii="Times New Roman" w:hAnsi="Times New Roman" w:eastAsia="宋体" w:cs="宋体"/>
                <w:bCs/>
                <w:color w:val="auto"/>
                <w:sz w:val="21"/>
                <w:szCs w:val="21"/>
                <w:highlight w:val="none"/>
                <w:lang w:val="en-US" w:eastAsia="zh-CN" w:bidi="ar-SA"/>
              </w:rPr>
              <w:t>不占用耕地及基本农田。</w:t>
            </w:r>
          </w:p>
        </w:tc>
        <w:tc>
          <w:tcPr>
            <w:tcW w:w="500" w:type="pct"/>
            <w:tcBorders>
              <w:tl2br w:val="nil"/>
              <w:tr2bl w:val="nil"/>
            </w:tcBorders>
            <w:shd w:val="clear" w:color="auto" w:fill="auto"/>
            <w:vAlign w:val="center"/>
          </w:tcPr>
          <w:p>
            <w:pPr>
              <w:pStyle w:val="41"/>
              <w:keepNext w:val="0"/>
              <w:keepLines w:val="0"/>
              <w:pageBreakBefore w:val="0"/>
              <w:kinsoku/>
              <w:wordWrap/>
              <w:overflowPunct/>
              <w:topLinePunct w:val="0"/>
              <w:autoSpaceDE/>
              <w:autoSpaceDN/>
              <w:bidi w:val="0"/>
              <w:spacing w:line="240" w:lineRule="auto"/>
              <w:rPr>
                <w:color w:val="auto"/>
                <w:highlight w:val="none"/>
              </w:rPr>
            </w:pPr>
            <w:r>
              <w:rPr>
                <w:rFonts w:hint="eastAsia"/>
                <w:color w:val="auto"/>
                <w:highlight w:val="none"/>
              </w:rPr>
              <w:t>--</w:t>
            </w:r>
          </w:p>
        </w:tc>
      </w:tr>
    </w:tbl>
    <w:p>
      <w:pPr>
        <w:pStyle w:val="57"/>
        <w:ind w:left="0" w:leftChars="0" w:firstLine="0" w:firstLineChars="0"/>
        <w:rPr>
          <w:rFonts w:hint="eastAsia"/>
          <w:color w:val="auto"/>
          <w:szCs w:val="22"/>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color w:val="auto"/>
          <w:szCs w:val="22"/>
          <w:highlight w:val="none"/>
        </w:rPr>
        <w:t>综上所述，本工程建设符合生态环境分区管控要求。</w:t>
      </w:r>
    </w:p>
    <w:p>
      <w:pPr>
        <w:pStyle w:val="49"/>
        <w:rPr>
          <w:color w:val="auto"/>
          <w:highlight w:val="none"/>
        </w:rPr>
      </w:pPr>
      <w:bookmarkStart w:id="456" w:name="_Toc173942682"/>
      <w:bookmarkStart w:id="457" w:name="_Toc10562"/>
      <w:bookmarkStart w:id="458" w:name="_Toc173941857"/>
      <w:bookmarkStart w:id="459" w:name="_Toc173941728"/>
      <w:bookmarkStart w:id="460" w:name="_Toc21048"/>
      <w:bookmarkStart w:id="461" w:name="_Toc31153"/>
      <w:bookmarkStart w:id="462" w:name="_Hlk69382866"/>
      <w:r>
        <w:rPr>
          <w:color w:val="auto"/>
          <w:highlight w:val="none"/>
        </w:rPr>
        <w:t>3.</w:t>
      </w:r>
      <w:r>
        <w:rPr>
          <w:rFonts w:hint="eastAsia"/>
          <w:color w:val="auto"/>
          <w:highlight w:val="none"/>
        </w:rPr>
        <w:t>6</w:t>
      </w:r>
      <w:r>
        <w:rPr>
          <w:color w:val="auto"/>
          <w:highlight w:val="none"/>
        </w:rPr>
        <w:t>选址、选线合理性分析</w:t>
      </w:r>
      <w:bookmarkEnd w:id="456"/>
      <w:bookmarkEnd w:id="457"/>
      <w:bookmarkEnd w:id="458"/>
      <w:bookmarkEnd w:id="459"/>
      <w:bookmarkEnd w:id="460"/>
      <w:bookmarkEnd w:id="461"/>
    </w:p>
    <w:p>
      <w:pPr>
        <w:pStyle w:val="57"/>
        <w:rPr>
          <w:color w:val="auto"/>
          <w:highlight w:val="none"/>
          <w:lang w:val="zh-CN"/>
        </w:rPr>
      </w:pPr>
      <w:r>
        <w:rPr>
          <w:rFonts w:hint="eastAsia"/>
          <w:color w:val="auto"/>
          <w:szCs w:val="22"/>
          <w:highlight w:val="none"/>
        </w:rPr>
        <w:t>本工程</w:t>
      </w:r>
      <w:r>
        <w:rPr>
          <w:color w:val="auto"/>
          <w:szCs w:val="22"/>
          <w:highlight w:val="none"/>
        </w:rPr>
        <w:t>组成包括</w:t>
      </w:r>
      <w:r>
        <w:rPr>
          <w:rFonts w:hint="eastAsia"/>
          <w:color w:val="auto"/>
          <w:szCs w:val="22"/>
          <w:highlight w:val="none"/>
          <w:lang w:val="en-US" w:eastAsia="zh-CN"/>
        </w:rPr>
        <w:t>钻井工程、地面工程、采油</w:t>
      </w:r>
      <w:r>
        <w:rPr>
          <w:color w:val="auto"/>
          <w:szCs w:val="22"/>
          <w:highlight w:val="none"/>
        </w:rPr>
        <w:t>工程、油气集输工程以及配套的供配电、自控、通信等工程。</w:t>
      </w:r>
      <w:r>
        <w:rPr>
          <w:rFonts w:hint="eastAsia"/>
          <w:color w:val="auto"/>
          <w:highlight w:val="none"/>
          <w:lang w:val="zh-CN"/>
        </w:rPr>
        <w:t>根据现场调查和资料搜集，</w:t>
      </w:r>
      <w:r>
        <w:rPr>
          <w:rFonts w:hint="eastAsia"/>
          <w:color w:val="auto"/>
          <w:highlight w:val="none"/>
        </w:rPr>
        <w:t>本工程</w:t>
      </w:r>
      <w:r>
        <w:rPr>
          <w:rFonts w:hint="eastAsia"/>
          <w:color w:val="auto"/>
          <w:highlight w:val="none"/>
          <w:lang w:val="zh-CN"/>
        </w:rPr>
        <w:t>不占用法定生态保护区域、重要生境以及其他具有重要生态功能、对保护生物多样性具有重要意义的区域等生态敏感区，井场、</w:t>
      </w:r>
      <w:r>
        <w:rPr>
          <w:rFonts w:hint="eastAsia"/>
          <w:color w:val="auto"/>
          <w:highlight w:val="none"/>
          <w:lang w:val="en-US" w:eastAsia="zh-CN"/>
        </w:rPr>
        <w:t>站场</w:t>
      </w:r>
      <w:r>
        <w:rPr>
          <w:rFonts w:hint="eastAsia"/>
          <w:color w:val="auto"/>
          <w:highlight w:val="none"/>
          <w:lang w:val="zh-CN"/>
        </w:rPr>
        <w:t>及管线选址均已避开生态保护红线，</w:t>
      </w:r>
      <w:r>
        <w:rPr>
          <w:rFonts w:hint="eastAsia"/>
          <w:color w:val="auto"/>
          <w:highlight w:val="none"/>
        </w:rPr>
        <w:t>本工程</w:t>
      </w:r>
      <w:r>
        <w:rPr>
          <w:rFonts w:hint="eastAsia"/>
          <w:color w:val="auto"/>
          <w:highlight w:val="none"/>
          <w:lang w:val="zh-CN"/>
        </w:rPr>
        <w:t>评价范围主要的生态敏感目标为魔鬼城风景名胜区、天山北坡诸小河流域重点治理区。</w:t>
      </w:r>
    </w:p>
    <w:p>
      <w:pPr>
        <w:pStyle w:val="57"/>
        <w:rPr>
          <w:color w:val="auto"/>
          <w:highlight w:val="none"/>
          <w:lang w:val="zh-CN"/>
        </w:rPr>
      </w:pPr>
      <w:r>
        <w:rPr>
          <w:rFonts w:hint="eastAsia"/>
          <w:color w:val="auto"/>
          <w:highlight w:val="none"/>
          <w:lang w:val="zh-CN"/>
        </w:rPr>
        <w:t>本工程无法避让天山北坡诸小河流域重点治理区，建设过程中将严格执行各项水土保持措施，以减小因工程建设带来的不利影响，从而减少水土流失。</w:t>
      </w:r>
    </w:p>
    <w:p>
      <w:pPr>
        <w:pStyle w:val="57"/>
        <w:bidi w:val="0"/>
        <w:rPr>
          <w:color w:val="auto"/>
          <w:highlight w:val="none"/>
          <w:lang w:val="zh-CN"/>
        </w:rPr>
      </w:pPr>
      <w:r>
        <w:rPr>
          <w:color w:val="auto"/>
          <w:highlight w:val="none"/>
          <w:lang w:val="zh-CN"/>
        </w:rPr>
        <w:t>（1）井场选址分析</w:t>
      </w:r>
    </w:p>
    <w:p>
      <w:pPr>
        <w:pStyle w:val="57"/>
        <w:bidi w:val="0"/>
        <w:rPr>
          <w:rFonts w:hint="eastAsia" w:eastAsia="宋体"/>
          <w:color w:val="auto"/>
          <w:highlight w:val="none"/>
          <w:lang w:val="en-US" w:eastAsia="zh-CN"/>
        </w:rPr>
      </w:pPr>
      <w:r>
        <w:rPr>
          <w:rFonts w:hint="eastAsia"/>
          <w:color w:val="auto"/>
          <w:highlight w:val="none"/>
        </w:rPr>
        <w:t>拟建工程新建标准化井场</w:t>
      </w:r>
      <w:r>
        <w:rPr>
          <w:rFonts w:hint="eastAsia"/>
          <w:color w:val="auto"/>
          <w:highlight w:val="none"/>
          <w:lang w:val="en-US" w:eastAsia="zh-CN"/>
        </w:rPr>
        <w:t>18</w:t>
      </w:r>
      <w:r>
        <w:rPr>
          <w:rFonts w:hint="eastAsia"/>
          <w:color w:val="auto"/>
          <w:highlight w:val="none"/>
        </w:rPr>
        <w:t>座，</w:t>
      </w:r>
      <w:r>
        <w:rPr>
          <w:color w:val="auto"/>
          <w:highlight w:val="none"/>
        </w:rPr>
        <w:t>土地</w:t>
      </w:r>
      <w:r>
        <w:rPr>
          <w:rFonts w:hint="eastAsia"/>
          <w:color w:val="auto"/>
          <w:highlight w:val="none"/>
        </w:rPr>
        <w:t>利用现状均</w:t>
      </w:r>
      <w:r>
        <w:rPr>
          <w:color w:val="auto"/>
          <w:highlight w:val="none"/>
        </w:rPr>
        <w:t>为</w:t>
      </w:r>
      <w:r>
        <w:rPr>
          <w:rFonts w:hint="eastAsia"/>
          <w:color w:val="auto"/>
          <w:highlight w:val="none"/>
          <w:lang w:val="en-US" w:eastAsia="zh-CN"/>
        </w:rPr>
        <w:t>其他草地</w:t>
      </w:r>
      <w:r>
        <w:rPr>
          <w:color w:val="auto"/>
          <w:highlight w:val="none"/>
        </w:rPr>
        <w:t>，</w:t>
      </w:r>
      <w:r>
        <w:rPr>
          <w:rFonts w:hint="eastAsia"/>
          <w:color w:val="auto"/>
          <w:highlight w:val="none"/>
          <w:lang w:val="en-US" w:eastAsia="zh-CN"/>
        </w:rPr>
        <w:t>不涉及占用</w:t>
      </w:r>
      <w:r>
        <w:rPr>
          <w:rFonts w:hint="eastAsia"/>
          <w:color w:val="auto"/>
          <w:highlight w:val="none"/>
          <w:lang w:val="zh-CN"/>
        </w:rPr>
        <w:t>法定生态保护区域、重要生境以及其他具有重要生态功能、对保护生物多样性具有重要意义的区域等生态敏感区。</w:t>
      </w:r>
      <w:r>
        <w:rPr>
          <w:rFonts w:hint="default" w:ascii="Times New Roman" w:hAnsi="Times New Roman" w:cs="Times New Roman"/>
          <w:color w:val="auto"/>
          <w:highlight w:val="none"/>
          <w:shd w:val="clear" w:color="auto" w:fill="auto"/>
          <w:lang w:eastAsia="zh-CN"/>
        </w:rPr>
        <w:t>本工程地势平坦，钻前工程的场地平整对工程区土壤扰动较少。井场选址符合《钻前工程及井场布置技术要求》（</w:t>
      </w:r>
      <w:r>
        <w:rPr>
          <w:rFonts w:hint="eastAsia" w:ascii="Times New Roman" w:hAnsi="Times New Roman" w:cs="Times New Roman"/>
          <w:color w:val="auto"/>
          <w:highlight w:val="none"/>
          <w:shd w:val="clear" w:color="auto" w:fill="auto"/>
          <w:lang w:eastAsia="zh-CN"/>
        </w:rPr>
        <w:t>SY/T 5466-2013</w:t>
      </w:r>
      <w:r>
        <w:rPr>
          <w:rFonts w:hint="default" w:ascii="Times New Roman" w:hAnsi="Times New Roman" w:cs="Times New Roman"/>
          <w:color w:val="auto"/>
          <w:highlight w:val="none"/>
          <w:shd w:val="clear" w:color="auto" w:fill="auto"/>
          <w:lang w:eastAsia="zh-CN"/>
        </w:rPr>
        <w:t>），满足防洪、防喷、防爆、防火、防毒和防冻的各项安全要求</w:t>
      </w:r>
      <w:r>
        <w:rPr>
          <w:rFonts w:hint="eastAsia" w:ascii="Times New Roman" w:hAnsi="Times New Roman" w:cs="Times New Roman"/>
          <w:color w:val="auto"/>
          <w:highlight w:val="none"/>
          <w:shd w:val="clear" w:color="auto" w:fill="auto"/>
          <w:lang w:eastAsia="zh-CN"/>
        </w:rPr>
        <w:t>，</w:t>
      </w:r>
      <w:r>
        <w:rPr>
          <w:rFonts w:hint="eastAsia"/>
          <w:color w:val="auto"/>
          <w:highlight w:val="none"/>
        </w:rPr>
        <w:t>井场选址合理。</w:t>
      </w:r>
    </w:p>
    <w:p>
      <w:pPr>
        <w:pStyle w:val="57"/>
        <w:rPr>
          <w:color w:val="auto"/>
          <w:highlight w:val="none"/>
        </w:rPr>
      </w:pPr>
      <w:r>
        <w:rPr>
          <w:color w:val="auto"/>
          <w:highlight w:val="none"/>
        </w:rPr>
        <w:t>（</w:t>
      </w:r>
      <w:r>
        <w:rPr>
          <w:rFonts w:hint="eastAsia"/>
          <w:color w:val="auto"/>
          <w:highlight w:val="none"/>
        </w:rPr>
        <w:t>2</w:t>
      </w:r>
      <w:r>
        <w:rPr>
          <w:color w:val="auto"/>
          <w:highlight w:val="none"/>
        </w:rPr>
        <w:t>）站场选址合理性分析</w:t>
      </w:r>
    </w:p>
    <w:p>
      <w:pPr>
        <w:pStyle w:val="57"/>
        <w:rPr>
          <w:color w:val="auto"/>
          <w:highlight w:val="none"/>
        </w:rPr>
      </w:pPr>
      <w:r>
        <w:rPr>
          <w:rFonts w:hint="eastAsia"/>
          <w:color w:val="auto"/>
          <w:highlight w:val="none"/>
        </w:rPr>
        <w:t>本工程新建</w:t>
      </w:r>
      <w:r>
        <w:rPr>
          <w:rFonts w:hint="eastAsia"/>
          <w:color w:val="auto"/>
          <w:highlight w:val="none"/>
          <w:lang w:val="en-US" w:eastAsia="zh-CN"/>
        </w:rPr>
        <w:t>计量站1座、集中拉油站1座，</w:t>
      </w:r>
      <w:r>
        <w:rPr>
          <w:color w:val="auto"/>
          <w:highlight w:val="none"/>
        </w:rPr>
        <w:t>土地</w:t>
      </w:r>
      <w:r>
        <w:rPr>
          <w:rFonts w:hint="eastAsia"/>
          <w:color w:val="auto"/>
          <w:highlight w:val="none"/>
        </w:rPr>
        <w:t>利用现状均</w:t>
      </w:r>
      <w:r>
        <w:rPr>
          <w:color w:val="auto"/>
          <w:highlight w:val="none"/>
        </w:rPr>
        <w:t>为</w:t>
      </w:r>
      <w:r>
        <w:rPr>
          <w:rFonts w:hint="eastAsia"/>
          <w:color w:val="auto"/>
          <w:highlight w:val="none"/>
          <w:lang w:val="en-US" w:eastAsia="zh-CN"/>
        </w:rPr>
        <w:t>其他草地</w:t>
      </w:r>
      <w:r>
        <w:rPr>
          <w:color w:val="auto"/>
          <w:highlight w:val="none"/>
        </w:rPr>
        <w:t>，</w:t>
      </w:r>
      <w:r>
        <w:rPr>
          <w:rFonts w:hint="eastAsia"/>
          <w:color w:val="auto"/>
          <w:highlight w:val="none"/>
          <w:lang w:val="en-US" w:eastAsia="zh-CN"/>
        </w:rPr>
        <w:t>不涉及占用</w:t>
      </w:r>
      <w:r>
        <w:rPr>
          <w:rFonts w:hint="eastAsia"/>
          <w:color w:val="auto"/>
          <w:highlight w:val="none"/>
          <w:lang w:val="zh-CN"/>
        </w:rPr>
        <w:t>法定生态保护区域、重要生境以及其他具有重要生态功能、对保护生物多样性具有重要意义的区域等生态敏感区，</w:t>
      </w:r>
      <w:r>
        <w:rPr>
          <w:rFonts w:hint="eastAsia" w:ascii="宋体" w:hAnsi="宋体"/>
          <w:color w:val="auto"/>
          <w:szCs w:val="24"/>
          <w:highlight w:val="none"/>
        </w:rPr>
        <w:t>站场选址合理。</w:t>
      </w:r>
    </w:p>
    <w:p>
      <w:pPr>
        <w:pStyle w:val="57"/>
        <w:rPr>
          <w:color w:val="auto"/>
          <w:highlight w:val="none"/>
        </w:rPr>
      </w:pPr>
      <w:r>
        <w:rPr>
          <w:rFonts w:hint="eastAsia"/>
          <w:color w:val="auto"/>
          <w:highlight w:val="none"/>
        </w:rPr>
        <w:t>（3）</w:t>
      </w:r>
      <w:r>
        <w:rPr>
          <w:color w:val="auto"/>
          <w:highlight w:val="none"/>
        </w:rPr>
        <w:t>管线选线合理性分析</w:t>
      </w:r>
    </w:p>
    <w:p>
      <w:pPr>
        <w:pStyle w:val="57"/>
        <w:rPr>
          <w:rFonts w:hint="eastAsia"/>
          <w:color w:val="auto"/>
          <w:highlight w:val="none"/>
          <w:lang w:val="en-US" w:eastAsia="zh-CN"/>
        </w:rPr>
      </w:pPr>
      <w:r>
        <w:rPr>
          <w:rFonts w:hint="eastAsia"/>
          <w:color w:val="auto"/>
          <w:highlight w:val="none"/>
          <w:lang w:val="en-US" w:eastAsia="zh-CN"/>
        </w:rPr>
        <w:t>本工程新建各类集输管线34.25km，其中新建单井集输管线15km（包括7口新钻采油井和4口老井进站管线），新建集油支线3.5km，新建输气管道0.25km，新建净化油外输管线15.5km。</w:t>
      </w:r>
    </w:p>
    <w:p>
      <w:pPr>
        <w:pStyle w:val="57"/>
        <w:rPr>
          <w:rFonts w:hint="eastAsia"/>
          <w:color w:val="auto"/>
          <w:highlight w:val="none"/>
          <w:lang w:val="en-US" w:eastAsia="zh-CN"/>
        </w:rPr>
      </w:pPr>
      <w:r>
        <w:rPr>
          <w:rFonts w:hint="eastAsia"/>
          <w:color w:val="auto"/>
          <w:highlight w:val="none"/>
          <w:lang w:val="en-US" w:eastAsia="zh-CN"/>
        </w:rPr>
        <w:t>本工程新建单井集输管线15km（包括7口新钻采油井和4口老井进站管线），新建集油支线3.5km，新建输气管道0.25km，位于塔城地区</w:t>
      </w:r>
      <w:r>
        <w:rPr>
          <w:rFonts w:hint="eastAsia"/>
          <w:color w:val="auto"/>
          <w:highlight w:val="none"/>
          <w:lang w:eastAsia="zh-CN"/>
        </w:rPr>
        <w:t>和布克赛尔蒙古自治县，</w:t>
      </w:r>
      <w:r>
        <w:rPr>
          <w:rFonts w:hint="eastAsia"/>
          <w:color w:val="auto"/>
          <w:highlight w:val="none"/>
          <w:lang w:val="en-US" w:eastAsia="zh-CN"/>
        </w:rPr>
        <w:t>评价范围内</w:t>
      </w:r>
      <w:r>
        <w:rPr>
          <w:rFonts w:hint="default" w:ascii="Times New Roman" w:hAnsi="Times New Roman" w:cs="Times New Roman"/>
          <w:color w:val="auto"/>
          <w:highlight w:val="none"/>
          <w:shd w:val="clear" w:color="auto" w:fill="auto"/>
          <w:lang w:eastAsia="zh-CN"/>
        </w:rPr>
        <w:t>无自然保护区、风景名胜区、水源保护区、固定集中人群等敏感区，不涉及拟划定的生态保护红线</w:t>
      </w:r>
      <w:r>
        <w:rPr>
          <w:rFonts w:hint="eastAsia" w:ascii="Times New Roman" w:hAnsi="Times New Roman" w:cs="Times New Roman"/>
          <w:color w:val="auto"/>
          <w:highlight w:val="none"/>
          <w:shd w:val="clear" w:color="auto" w:fill="auto"/>
          <w:lang w:eastAsia="zh-CN"/>
        </w:rPr>
        <w:t>。新建集输管线采用两点之间取直的布线方式接入最近的站场，减少占地面积的同时，减少了管线开挖长度，减少对地表土壤、植被的扰动范围。施工期严格控制管线占地面积及施工范围，在管线开挖过程中，采取分层开挖、分层堆放、分层回填，减少对地表土壤、植被的生态扰动，</w:t>
      </w:r>
      <w:r>
        <w:rPr>
          <w:rFonts w:hint="eastAsia" w:ascii="Times New Roman" w:hAnsi="Times New Roman" w:cs="Times New Roman"/>
          <w:color w:val="auto"/>
          <w:highlight w:val="none"/>
          <w:shd w:val="clear" w:color="auto" w:fill="auto"/>
          <w:lang w:val="en-US" w:eastAsia="zh-CN"/>
        </w:rPr>
        <w:t>故选线合理。</w:t>
      </w:r>
    </w:p>
    <w:p>
      <w:pPr>
        <w:pStyle w:val="57"/>
        <w:rPr>
          <w:rFonts w:hint="default"/>
          <w:color w:val="auto"/>
          <w:highlight w:val="none"/>
          <w:lang w:val="en-US" w:eastAsia="zh-CN"/>
        </w:rPr>
      </w:pPr>
      <w:r>
        <w:rPr>
          <w:rFonts w:hint="eastAsia"/>
          <w:color w:val="auto"/>
          <w:highlight w:val="none"/>
          <w:lang w:val="en-US" w:eastAsia="zh-CN"/>
        </w:rPr>
        <w:t>本工程新建净化油外输管线15.5km，根据建设单位提供资料，本项目集输部分中新建风城二号稠油处理站至乌36转油站净化油外输管线走向提出了两个方案，下面对两个方案从环境方面进行比选，见表3.6-1及图3.6-1。</w:t>
      </w:r>
    </w:p>
    <w:p>
      <w:pPr>
        <w:pStyle w:val="54"/>
        <w:keepNext w:val="0"/>
        <w:keepLines w:val="0"/>
        <w:pageBreakBefore w:val="0"/>
        <w:kinsoku/>
        <w:wordWrap/>
        <w:overflowPunct/>
        <w:topLinePunct w:val="0"/>
        <w:autoSpaceDE/>
        <w:autoSpaceDN/>
        <w:bidi w:val="0"/>
        <w:spacing w:line="240" w:lineRule="auto"/>
        <w:ind w:left="0" w:leftChars="0" w:firstLine="0" w:firstLineChars="0"/>
        <w:jc w:val="center"/>
        <w:rPr>
          <w:rFonts w:ascii="黑体" w:hAnsi="黑体" w:eastAsia="黑体" w:cs="黑体"/>
          <w:color w:val="auto"/>
          <w:sz w:val="8"/>
          <w:szCs w:val="8"/>
          <w:highlight w:val="none"/>
        </w:rPr>
      </w:pPr>
      <w:r>
        <w:rPr>
          <w:rFonts w:cs="Times New Roman"/>
          <w:color w:val="auto"/>
          <w:highlight w:val="none"/>
        </w:rPr>
        <w:t xml:space="preserve">表 </w:t>
      </w:r>
      <w:r>
        <w:rPr>
          <w:rFonts w:hint="eastAsia" w:cs="Times New Roman"/>
          <w:color w:val="auto"/>
          <w:highlight w:val="none"/>
        </w:rPr>
        <w:t>3.6-1</w:t>
      </w:r>
      <w:r>
        <w:rPr>
          <w:rFonts w:cs="Times New Roman"/>
          <w:color w:val="auto"/>
          <w:highlight w:val="none"/>
        </w:rPr>
        <w:tab/>
      </w:r>
      <w:r>
        <w:rPr>
          <w:rFonts w:hint="eastAsia" w:cs="Times New Roman"/>
          <w:color w:val="auto"/>
          <w:highlight w:val="none"/>
        </w:rPr>
        <w:t>净化油外输管线</w:t>
      </w:r>
      <w:r>
        <w:rPr>
          <w:rFonts w:hint="eastAsia" w:cs="Times New Roman"/>
          <w:color w:val="auto"/>
          <w:highlight w:val="none"/>
          <w:lang w:val="en-US" w:eastAsia="zh-CN"/>
        </w:rPr>
        <w:t>走向</w:t>
      </w:r>
      <w:r>
        <w:rPr>
          <w:rFonts w:cs="Times New Roman"/>
          <w:color w:val="auto"/>
          <w:highlight w:val="none"/>
        </w:rPr>
        <w:t>比选结果</w:t>
      </w:r>
    </w:p>
    <w:tbl>
      <w:tblPr>
        <w:tblStyle w:val="34"/>
        <w:tblW w:w="5135"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1221"/>
        <w:gridCol w:w="1164"/>
        <w:gridCol w:w="3118"/>
        <w:gridCol w:w="33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pPr>
              <w:pStyle w:val="41"/>
              <w:jc w:val="center"/>
              <w:rPr>
                <w:rFonts w:hint="eastAsia" w:eastAsia="宋体"/>
                <w:color w:val="auto"/>
                <w:highlight w:val="none"/>
                <w:lang w:eastAsia="zh-CN"/>
              </w:rPr>
            </w:pPr>
            <w:r>
              <w:rPr>
                <w:rFonts w:hint="eastAsia"/>
                <w:color w:val="auto"/>
                <w:highlight w:val="none"/>
                <w:lang w:val="en-US" w:eastAsia="zh-CN"/>
              </w:rPr>
              <w:t>项目</w:t>
            </w:r>
          </w:p>
        </w:tc>
        <w:tc>
          <w:tcPr>
            <w:tcW w:w="1755" w:type="pct"/>
            <w:tcBorders>
              <w:tl2br w:val="nil"/>
              <w:tr2bl w:val="nil"/>
            </w:tcBorders>
            <w:vAlign w:val="center"/>
          </w:tcPr>
          <w:p>
            <w:pPr>
              <w:pStyle w:val="41"/>
              <w:jc w:val="center"/>
              <w:rPr>
                <w:color w:val="auto"/>
                <w:highlight w:val="none"/>
              </w:rPr>
            </w:pPr>
            <w:r>
              <w:rPr>
                <w:color w:val="auto"/>
                <w:highlight w:val="none"/>
              </w:rPr>
              <w:t>方案一（推荐）</w:t>
            </w:r>
          </w:p>
        </w:tc>
        <w:tc>
          <w:tcPr>
            <w:tcW w:w="1901" w:type="pct"/>
            <w:tcBorders>
              <w:tl2br w:val="nil"/>
              <w:tr2bl w:val="nil"/>
            </w:tcBorders>
            <w:vAlign w:val="center"/>
          </w:tcPr>
          <w:p>
            <w:pPr>
              <w:pStyle w:val="41"/>
              <w:jc w:val="center"/>
              <w:rPr>
                <w:color w:val="auto"/>
                <w:highlight w:val="none"/>
              </w:rPr>
            </w:pPr>
            <w:r>
              <w:rPr>
                <w:color w:val="auto"/>
                <w:highlight w:val="none"/>
              </w:rPr>
              <w:t>方案二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color w:val="auto"/>
                <w:highlight w:val="none"/>
              </w:rPr>
            </w:pPr>
            <w:r>
              <w:rPr>
                <w:rFonts w:hint="default" w:ascii="Times New Roman" w:hAnsi="Times New Roman" w:eastAsia="宋体" w:cs="Times New Roman"/>
                <w:color w:val="auto"/>
                <w:sz w:val="21"/>
                <w:szCs w:val="21"/>
              </w:rPr>
              <w:t>长度</w:t>
            </w:r>
          </w:p>
        </w:tc>
        <w:tc>
          <w:tcPr>
            <w:tcW w:w="1755" w:type="pct"/>
            <w:tcBorders>
              <w:tl2br w:val="nil"/>
              <w:tr2bl w:val="nil"/>
            </w:tcBorders>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15.5km</w:t>
            </w:r>
          </w:p>
        </w:tc>
        <w:tc>
          <w:tcPr>
            <w:tcW w:w="1901" w:type="pct"/>
            <w:tcBorders>
              <w:tl2br w:val="nil"/>
              <w:tr2bl w:val="nil"/>
            </w:tcBorders>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11.3km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color w:val="auto"/>
                <w:highlight w:val="none"/>
              </w:rPr>
            </w:pPr>
            <w:r>
              <w:rPr>
                <w:rFonts w:hint="eastAsia" w:ascii="Times New Roman" w:hAnsi="Times New Roman" w:eastAsia="宋体" w:cs="Times New Roman"/>
                <w:color w:val="auto"/>
                <w:sz w:val="21"/>
                <w:szCs w:val="21"/>
              </w:rPr>
              <w:t>临时占地面积</w:t>
            </w:r>
          </w:p>
        </w:tc>
        <w:tc>
          <w:tcPr>
            <w:tcW w:w="1755" w:type="pct"/>
            <w:tcBorders>
              <w:tl2br w:val="nil"/>
              <w:tr2bl w:val="nil"/>
            </w:tcBorders>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12.4hm</w:t>
            </w:r>
            <w:r>
              <w:rPr>
                <w:rFonts w:hint="eastAsia"/>
                <w:color w:val="auto"/>
                <w:highlight w:val="none"/>
                <w:vertAlign w:val="superscript"/>
                <w:lang w:val="en-US" w:eastAsia="zh-CN"/>
              </w:rPr>
              <w:t>2</w:t>
            </w:r>
          </w:p>
        </w:tc>
        <w:tc>
          <w:tcPr>
            <w:tcW w:w="1901" w:type="pct"/>
            <w:tcBorders>
              <w:tl2br w:val="nil"/>
              <w:tr2bl w:val="nil"/>
            </w:tcBorders>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9.04hm</w:t>
            </w:r>
            <w:r>
              <w:rPr>
                <w:rFonts w:hint="eastAsia"/>
                <w:color w:val="auto"/>
                <w:highlight w:val="none"/>
                <w:vertAlign w:val="superscript"/>
                <w:lang w:val="en-US" w:eastAsia="zh-CN"/>
              </w:rPr>
              <w:t>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color w:val="auto"/>
                <w:highlight w:val="none"/>
              </w:rPr>
            </w:pPr>
            <w:r>
              <w:rPr>
                <w:rFonts w:hint="default" w:ascii="Times New Roman" w:hAnsi="Times New Roman" w:eastAsia="宋体" w:cs="Times New Roman"/>
                <w:color w:val="auto"/>
                <w:sz w:val="21"/>
                <w:szCs w:val="21"/>
              </w:rPr>
              <w:t>声环境保护目标</w:t>
            </w:r>
          </w:p>
        </w:tc>
        <w:tc>
          <w:tcPr>
            <w:tcW w:w="1755" w:type="pct"/>
            <w:tcBorders>
              <w:tl2br w:val="nil"/>
              <w:tr2bl w:val="nil"/>
            </w:tcBorders>
            <w:vAlign w:val="center"/>
          </w:tcPr>
          <w:p>
            <w:pPr>
              <w:jc w:val="center"/>
              <w:rPr>
                <w:color w:val="auto"/>
                <w:highlight w:val="none"/>
              </w:rPr>
            </w:pPr>
            <w:r>
              <w:rPr>
                <w:rFonts w:hint="eastAsia"/>
                <w:color w:val="auto"/>
                <w:highlight w:val="none"/>
                <w:lang w:val="en-US" w:eastAsia="zh-CN"/>
              </w:rPr>
              <w:t>无</w:t>
            </w:r>
          </w:p>
        </w:tc>
        <w:tc>
          <w:tcPr>
            <w:tcW w:w="1901" w:type="pct"/>
            <w:tcBorders>
              <w:tl2br w:val="nil"/>
              <w:tr2bl w:val="nil"/>
            </w:tcBorders>
            <w:vAlign w:val="center"/>
          </w:tcPr>
          <w:p>
            <w:pPr>
              <w:jc w:val="center"/>
              <w:rPr>
                <w:color w:val="auto"/>
                <w:highlight w:val="none"/>
              </w:rPr>
            </w:pPr>
            <w:r>
              <w:rPr>
                <w:rFonts w:hint="eastAsia"/>
                <w:color w:val="auto"/>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vAlign w:val="center"/>
          </w:tcPr>
          <w:p>
            <w:pPr>
              <w:keepNext w:val="0"/>
              <w:keepLines w:val="0"/>
              <w:widowControl/>
              <w:suppressLineNumbers w:val="0"/>
              <w:spacing w:before="0" w:beforeAutospacing="0" w:after="0" w:afterAutospacing="0"/>
              <w:ind w:left="0" w:leftChars="0" w:right="0" w:rightChars="0"/>
              <w:jc w:val="center"/>
              <w:rPr>
                <w:color w:val="auto"/>
                <w:highlight w:val="none"/>
              </w:rPr>
            </w:pPr>
            <w:r>
              <w:rPr>
                <w:rFonts w:hint="default" w:ascii="Times New Roman" w:hAnsi="Times New Roman" w:eastAsia="宋体" w:cs="Times New Roman"/>
                <w:color w:val="auto"/>
                <w:sz w:val="21"/>
                <w:szCs w:val="21"/>
              </w:rPr>
              <w:t>环境空气保护目标</w:t>
            </w:r>
          </w:p>
        </w:tc>
        <w:tc>
          <w:tcPr>
            <w:tcW w:w="1755" w:type="pct"/>
            <w:tcBorders>
              <w:tl2br w:val="nil"/>
              <w:tr2bl w:val="nil"/>
            </w:tcBorders>
            <w:vAlign w:val="center"/>
          </w:tcPr>
          <w:p>
            <w:pPr>
              <w:jc w:val="center"/>
              <w:rPr>
                <w:color w:val="auto"/>
                <w:highlight w:val="none"/>
              </w:rPr>
            </w:pPr>
            <w:r>
              <w:rPr>
                <w:rFonts w:hint="eastAsia"/>
                <w:color w:val="auto"/>
                <w:highlight w:val="none"/>
                <w:lang w:val="en-US" w:eastAsia="zh-CN"/>
              </w:rPr>
              <w:t>无</w:t>
            </w:r>
          </w:p>
        </w:tc>
        <w:tc>
          <w:tcPr>
            <w:tcW w:w="1901" w:type="pct"/>
            <w:tcBorders>
              <w:tl2br w:val="nil"/>
              <w:tr2bl w:val="nil"/>
            </w:tcBorders>
            <w:vAlign w:val="center"/>
          </w:tcPr>
          <w:p>
            <w:pPr>
              <w:jc w:val="center"/>
              <w:rPr>
                <w:color w:val="auto"/>
                <w:highlight w:val="none"/>
              </w:rPr>
            </w:pPr>
            <w:r>
              <w:rPr>
                <w:rFonts w:hint="eastAsia"/>
                <w:color w:val="auto"/>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3" w:type="pct"/>
            <w:gridSpan w:val="2"/>
            <w:tcBorders>
              <w:tl2br w:val="nil"/>
              <w:tr2bl w:val="nil"/>
            </w:tcBorders>
            <w:shd w:val="clear" w:color="auto" w:fill="auto"/>
            <w:vAlign w:val="center"/>
          </w:tcPr>
          <w:p>
            <w:pPr>
              <w:pStyle w:val="41"/>
              <w:jc w:val="center"/>
              <w:rPr>
                <w:color w:val="auto"/>
                <w:highlight w:val="none"/>
              </w:rPr>
            </w:pPr>
            <w:r>
              <w:rPr>
                <w:rFonts w:hint="eastAsia"/>
                <w:color w:val="auto"/>
                <w:highlight w:val="none"/>
              </w:rPr>
              <w:t>水环境保护目标</w:t>
            </w:r>
          </w:p>
        </w:tc>
        <w:tc>
          <w:tcPr>
            <w:tcW w:w="1755" w:type="pct"/>
            <w:tcBorders>
              <w:tl2br w:val="nil"/>
              <w:tr2bl w:val="nil"/>
            </w:tcBorders>
            <w:shd w:val="clear" w:color="auto" w:fill="auto"/>
            <w:vAlign w:val="center"/>
          </w:tcPr>
          <w:p>
            <w:pPr>
              <w:jc w:val="center"/>
              <w:rPr>
                <w:rFonts w:hint="eastAsia" w:eastAsia="宋体"/>
                <w:color w:val="auto"/>
                <w:highlight w:val="none"/>
                <w:lang w:eastAsia="zh-CN"/>
              </w:rPr>
            </w:pPr>
            <w:r>
              <w:rPr>
                <w:rFonts w:hint="eastAsia"/>
                <w:color w:val="auto"/>
                <w:highlight w:val="none"/>
                <w:lang w:val="en-US" w:eastAsia="zh-CN"/>
              </w:rPr>
              <w:t>无</w:t>
            </w:r>
          </w:p>
        </w:tc>
        <w:tc>
          <w:tcPr>
            <w:tcW w:w="1901" w:type="pct"/>
            <w:tcBorders>
              <w:tl2br w:val="nil"/>
              <w:tr2bl w:val="nil"/>
            </w:tcBorders>
            <w:shd w:val="clear" w:color="auto" w:fill="auto"/>
            <w:vAlign w:val="center"/>
          </w:tcPr>
          <w:p>
            <w:pPr>
              <w:jc w:val="center"/>
              <w:rPr>
                <w:color w:val="auto"/>
                <w:highlight w:val="none"/>
              </w:rPr>
            </w:pPr>
            <w:r>
              <w:rPr>
                <w:rFonts w:hint="eastAsia"/>
                <w:color w:val="auto"/>
                <w:highlight w:val="none"/>
                <w:lang w:val="en-US" w:eastAsia="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88" w:type="pct"/>
            <w:vMerge w:val="restart"/>
            <w:tcBorders>
              <w:tl2br w:val="nil"/>
              <w:tr2bl w:val="nil"/>
            </w:tcBorders>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穿越魔鬼城风景名胜区</w:t>
            </w:r>
          </w:p>
        </w:tc>
        <w:tc>
          <w:tcPr>
            <w:tcW w:w="655" w:type="pct"/>
            <w:tcBorders>
              <w:tl2br w:val="nil"/>
              <w:tr2bl w:val="nil"/>
            </w:tcBorders>
            <w:vAlign w:val="center"/>
          </w:tcPr>
          <w:p>
            <w:pPr>
              <w:pStyle w:val="41"/>
              <w:jc w:val="center"/>
              <w:rPr>
                <w:rFonts w:hint="default"/>
                <w:color w:val="auto"/>
                <w:highlight w:val="none"/>
                <w:lang w:val="en-US" w:eastAsia="zh-CN"/>
              </w:rPr>
            </w:pPr>
            <w:r>
              <w:rPr>
                <w:rFonts w:hint="eastAsia"/>
                <w:color w:val="auto"/>
                <w:highlight w:val="none"/>
                <w:lang w:val="en-US" w:eastAsia="zh-CN"/>
              </w:rPr>
              <w:t>长度</w:t>
            </w:r>
          </w:p>
        </w:tc>
        <w:tc>
          <w:tcPr>
            <w:tcW w:w="1755" w:type="pct"/>
            <w:tcBorders>
              <w:tl2br w:val="nil"/>
              <w:tr2bl w:val="nil"/>
            </w:tcBorders>
            <w:vAlign w:val="center"/>
          </w:tcPr>
          <w:p>
            <w:pPr>
              <w:pStyle w:val="41"/>
              <w:jc w:val="center"/>
              <w:rPr>
                <w:rFonts w:hint="default" w:eastAsia="宋体"/>
                <w:color w:val="auto"/>
                <w:highlight w:val="none"/>
                <w:lang w:val="en-US" w:eastAsia="zh-CN"/>
              </w:rPr>
            </w:pPr>
            <w:r>
              <w:rPr>
                <w:rFonts w:hint="eastAsia"/>
                <w:color w:val="auto"/>
                <w:highlight w:val="none"/>
                <w:lang w:val="en-US" w:eastAsia="zh-CN"/>
              </w:rPr>
              <w:t>/</w:t>
            </w:r>
          </w:p>
        </w:tc>
        <w:tc>
          <w:tcPr>
            <w:tcW w:w="1901" w:type="pct"/>
            <w:tcBorders>
              <w:tl2br w:val="nil"/>
              <w:tr2bl w:val="nil"/>
            </w:tcBorders>
            <w:vAlign w:val="center"/>
          </w:tcPr>
          <w:p>
            <w:pPr>
              <w:pStyle w:val="41"/>
              <w:jc w:val="center"/>
              <w:rPr>
                <w:rFonts w:hint="default"/>
                <w:color w:val="auto"/>
                <w:highlight w:val="none"/>
                <w:lang w:val="en-US"/>
              </w:rPr>
            </w:pPr>
            <w:r>
              <w:rPr>
                <w:rFonts w:hint="eastAsia"/>
                <w:color w:val="auto"/>
                <w:highlight w:val="none"/>
                <w:lang w:val="en-US" w:eastAsia="zh-CN"/>
              </w:rPr>
              <w:t>4.0km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08" w:hRule="atLeast"/>
        </w:trPr>
        <w:tc>
          <w:tcPr>
            <w:tcW w:w="688" w:type="pct"/>
            <w:vMerge w:val="continue"/>
            <w:tcBorders>
              <w:tl2br w:val="nil"/>
              <w:tr2bl w:val="nil"/>
            </w:tcBorders>
            <w:vAlign w:val="center"/>
          </w:tcPr>
          <w:p>
            <w:pPr>
              <w:pStyle w:val="41"/>
              <w:jc w:val="center"/>
              <w:rPr>
                <w:color w:val="auto"/>
              </w:rPr>
            </w:pPr>
          </w:p>
        </w:tc>
        <w:tc>
          <w:tcPr>
            <w:tcW w:w="655" w:type="pct"/>
            <w:tcBorders>
              <w:tl2br w:val="nil"/>
              <w:tr2bl w:val="nil"/>
            </w:tcBorders>
            <w:vAlign w:val="center"/>
          </w:tcPr>
          <w:p>
            <w:pPr>
              <w:pStyle w:val="41"/>
              <w:jc w:val="center"/>
              <w:rPr>
                <w:rFonts w:hint="default"/>
                <w:color w:val="auto"/>
                <w:highlight w:val="none"/>
                <w:lang w:val="en-US" w:eastAsia="zh-CN"/>
              </w:rPr>
            </w:pPr>
            <w:r>
              <w:rPr>
                <w:rFonts w:hint="eastAsia"/>
                <w:color w:val="auto"/>
                <w:highlight w:val="none"/>
                <w:lang w:val="en-US" w:eastAsia="zh-CN"/>
              </w:rPr>
              <w:t>面积</w:t>
            </w:r>
          </w:p>
        </w:tc>
        <w:tc>
          <w:tcPr>
            <w:tcW w:w="1755" w:type="pct"/>
            <w:tcBorders>
              <w:tl2br w:val="nil"/>
              <w:tr2bl w:val="nil"/>
            </w:tcBorders>
            <w:vAlign w:val="center"/>
          </w:tcPr>
          <w:p>
            <w:pPr>
              <w:pStyle w:val="41"/>
              <w:jc w:val="center"/>
              <w:rPr>
                <w:rFonts w:hint="default"/>
                <w:color w:val="auto"/>
                <w:highlight w:val="none"/>
                <w:lang w:val="en-US" w:eastAsia="zh-CN"/>
              </w:rPr>
            </w:pPr>
            <w:r>
              <w:rPr>
                <w:rFonts w:hint="eastAsia"/>
                <w:color w:val="auto"/>
                <w:highlight w:val="none"/>
                <w:lang w:val="en-US" w:eastAsia="zh-CN"/>
              </w:rPr>
              <w:t>/</w:t>
            </w:r>
          </w:p>
        </w:tc>
        <w:tc>
          <w:tcPr>
            <w:tcW w:w="1901" w:type="pct"/>
            <w:tcBorders>
              <w:tl2br w:val="nil"/>
              <w:tr2bl w:val="nil"/>
            </w:tcBorders>
            <w:vAlign w:val="center"/>
          </w:tcPr>
          <w:p>
            <w:pPr>
              <w:pStyle w:val="41"/>
              <w:jc w:val="center"/>
              <w:rPr>
                <w:rFonts w:hint="default"/>
                <w:color w:val="auto"/>
                <w:highlight w:val="none"/>
                <w:lang w:val="en-US" w:eastAsia="zh-CN"/>
              </w:rPr>
            </w:pPr>
            <w:r>
              <w:rPr>
                <w:rFonts w:hint="eastAsia"/>
                <w:color w:val="auto"/>
                <w:highlight w:val="none"/>
                <w:lang w:val="en-US" w:eastAsia="zh-CN"/>
              </w:rPr>
              <w:t>3.2</w:t>
            </w:r>
            <w:r>
              <w:rPr>
                <w:rFonts w:hint="eastAsia" w:ascii="Times New Roman" w:eastAsia="宋体"/>
                <w:color w:val="auto"/>
                <w:highlight w:val="none"/>
                <w:lang w:val="en-US" w:eastAsia="zh-CN"/>
              </w:rPr>
              <w:t>hm</w:t>
            </w:r>
            <w:r>
              <w:rPr>
                <w:rFonts w:hint="eastAsia" w:ascii="Times New Roman" w:eastAsia="宋体"/>
                <w:color w:val="auto"/>
                <w:highlight w:val="none"/>
                <w:vertAlign w:val="superscript"/>
                <w:lang w:val="en-US" w:eastAsia="zh-CN"/>
              </w:rPr>
              <w:t>2</w:t>
            </w:r>
          </w:p>
        </w:tc>
      </w:tr>
    </w:tbl>
    <w:p>
      <w:pPr>
        <w:pStyle w:val="57"/>
        <w:rPr>
          <w:rFonts w:hint="eastAsia" w:ascii="宋体" w:hAnsi="宋体" w:cs="宋体"/>
          <w:color w:val="auto"/>
          <w:highlight w:val="none"/>
          <w:lang w:val="en-US" w:eastAsia="zh-CN"/>
        </w:rPr>
      </w:pPr>
      <w:r>
        <w:rPr>
          <w:rFonts w:hint="eastAsia" w:ascii="宋体" w:hAnsi="宋体" w:cs="宋体"/>
          <w:color w:val="auto"/>
          <w:highlight w:val="none"/>
          <w:lang w:val="en-US" w:eastAsia="zh-CN"/>
        </w:rPr>
        <w:t>由上表可知，本工程设计阶段提出的净化油外输管线走向的方案二虽在管线长度和占地面积上均小于方案一，但管线由东北向西南横向穿越魔鬼城风景名胜区4km，将扰动3.2hm</w:t>
      </w:r>
      <w:r>
        <w:rPr>
          <w:rFonts w:hint="eastAsia" w:ascii="宋体" w:hAnsi="宋体" w:cs="宋体"/>
          <w:color w:val="auto"/>
          <w:highlight w:val="none"/>
          <w:vertAlign w:val="superscript"/>
          <w:lang w:val="en-US" w:eastAsia="zh-CN"/>
        </w:rPr>
        <w:t>2</w:t>
      </w:r>
      <w:r>
        <w:rPr>
          <w:rFonts w:hint="eastAsia" w:ascii="宋体" w:hAnsi="宋体" w:cs="宋体"/>
          <w:color w:val="auto"/>
          <w:highlight w:val="none"/>
          <w:lang w:val="en-US" w:eastAsia="zh-CN"/>
        </w:rPr>
        <w:t>的地形地貌。</w:t>
      </w:r>
    </w:p>
    <w:p>
      <w:pPr>
        <w:pStyle w:val="57"/>
        <w:rPr>
          <w:rFonts w:hint="default" w:ascii="宋体" w:hAnsi="宋体" w:eastAsia="宋体" w:cs="宋体"/>
          <w:color w:val="auto"/>
          <w:highlight w:val="none"/>
          <w:lang w:val="en-US" w:eastAsia="zh-CN"/>
        </w:rPr>
      </w:pPr>
      <w:r>
        <w:rPr>
          <w:rFonts w:hint="eastAsia" w:ascii="宋体" w:hAnsi="宋体" w:cs="宋体"/>
          <w:color w:val="auto"/>
          <w:highlight w:val="none"/>
          <w:lang w:val="en-US" w:eastAsia="zh-CN"/>
        </w:rPr>
        <w:t>根据2021年9月自治区人民政府批复的《克拉玛依市</w:t>
      </w:r>
      <w:bookmarkStart w:id="463" w:name="OLE_LINK121"/>
      <w:r>
        <w:rPr>
          <w:rFonts w:hint="eastAsia" w:ascii="宋体" w:hAnsi="宋体" w:cs="宋体"/>
          <w:color w:val="auto"/>
          <w:highlight w:val="none"/>
          <w:lang w:val="en-US" w:eastAsia="zh-CN"/>
        </w:rPr>
        <w:t>魔鬼城风景名胜区</w:t>
      </w:r>
      <w:bookmarkEnd w:id="463"/>
      <w:r>
        <w:rPr>
          <w:rFonts w:hint="eastAsia" w:ascii="宋体" w:hAnsi="宋体" w:cs="宋体"/>
          <w:color w:val="auto"/>
          <w:highlight w:val="none"/>
          <w:lang w:val="en-US" w:eastAsia="zh-CN"/>
        </w:rPr>
        <w:t>总体规划（2021～2035）》，方案一管线拟穿越魔鬼城风景名胜区一级保护区。一级保护区是指涵盖一级景源和部分地质构造完整度较好的二级景源区域，该区域魔鬼城地貌较完整，景观出色，根据规划要求：一级保护区应保持原生自然地貌、植被等，严禁开山采石以及破坏自然植被、山体的建设行为；严禁建设任何有碍资源与环境的设施；有污染物排放的机动交通工具严禁进入，不得安排旅宿床位，控制游人有序进入。管线一旦穿越魔鬼城景区将不可避免地破坏雅丹地貌原始形态，这些地貌形成需要漫长的地质年代，一旦破坏不可再生。管线桩牌等地表构筑物与原始、奇特的自然景观极不协调，造成严重的视觉污染，破坏魔鬼城的景观结构。因此，为保护魔鬼城风景名胜区，应最大限度的避绕开其占地范围，方案二穿越景区一级保护区不推荐。</w:t>
      </w:r>
    </w:p>
    <w:p>
      <w:pPr>
        <w:pStyle w:val="57"/>
        <w:rPr>
          <w:rFonts w:hint="eastAsia"/>
          <w:color w:val="auto"/>
          <w:highlight w:val="none"/>
        </w:rPr>
      </w:pPr>
      <w:r>
        <w:rPr>
          <w:rFonts w:hint="eastAsia" w:ascii="宋体" w:hAnsi="宋体" w:cs="宋体"/>
          <w:color w:val="auto"/>
          <w:highlight w:val="none"/>
        </w:rPr>
        <w:t>综上所述，</w:t>
      </w:r>
      <w:r>
        <w:rPr>
          <w:rFonts w:hint="eastAsia"/>
          <w:color w:val="auto"/>
          <w:highlight w:val="none"/>
        </w:rPr>
        <w:t>本工程管线选址合理。</w:t>
      </w:r>
    </w:p>
    <w:p>
      <w:pPr>
        <w:pStyle w:val="54"/>
        <w:ind w:left="0" w:leftChars="0" w:firstLine="0" w:firstLineChars="0"/>
        <w:jc w:val="center"/>
        <w:rPr>
          <w:rFonts w:hint="eastAsia"/>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bookmarkEnd w:id="462"/>
    <w:p>
      <w:pPr>
        <w:pStyle w:val="47"/>
        <w:pageBreakBefore w:val="0"/>
        <w:kinsoku/>
        <w:wordWrap/>
        <w:overflowPunct/>
        <w:topLinePunct w:val="0"/>
        <w:autoSpaceDE/>
        <w:autoSpaceDN/>
        <w:bidi w:val="0"/>
        <w:spacing w:line="480" w:lineRule="exact"/>
        <w:textAlignment w:val="auto"/>
        <w:rPr>
          <w:color w:val="auto"/>
          <w:highlight w:val="none"/>
        </w:rPr>
      </w:pPr>
      <w:bookmarkStart w:id="464" w:name="_Toc173941859"/>
      <w:bookmarkStart w:id="465" w:name="_Toc22489"/>
      <w:bookmarkStart w:id="466" w:name="_Toc173941730"/>
      <w:bookmarkStart w:id="467" w:name="_Toc4422"/>
      <w:bookmarkStart w:id="468" w:name="_Toc173942684"/>
      <w:bookmarkStart w:id="469" w:name="_Toc353966737"/>
      <w:bookmarkStart w:id="470" w:name="_Toc361761829"/>
      <w:bookmarkStart w:id="471" w:name="_Toc374724182"/>
      <w:bookmarkStart w:id="472" w:name="_Toc508291885"/>
      <w:bookmarkStart w:id="473" w:name="_Toc24262"/>
      <w:r>
        <w:rPr>
          <w:color w:val="auto"/>
          <w:highlight w:val="none"/>
        </w:rPr>
        <w:t>4.环境现状调查与评价</w:t>
      </w:r>
      <w:bookmarkEnd w:id="464"/>
      <w:bookmarkEnd w:id="465"/>
      <w:bookmarkEnd w:id="466"/>
      <w:bookmarkEnd w:id="467"/>
      <w:bookmarkEnd w:id="468"/>
      <w:bookmarkEnd w:id="469"/>
      <w:bookmarkEnd w:id="470"/>
      <w:bookmarkEnd w:id="471"/>
      <w:bookmarkEnd w:id="472"/>
      <w:bookmarkEnd w:id="473"/>
    </w:p>
    <w:p>
      <w:pPr>
        <w:pStyle w:val="49"/>
        <w:pageBreakBefore w:val="0"/>
        <w:kinsoku/>
        <w:wordWrap/>
        <w:overflowPunct/>
        <w:topLinePunct w:val="0"/>
        <w:autoSpaceDE/>
        <w:autoSpaceDN/>
        <w:bidi w:val="0"/>
        <w:spacing w:line="480" w:lineRule="exact"/>
        <w:textAlignment w:val="auto"/>
        <w:rPr>
          <w:color w:val="auto"/>
          <w:highlight w:val="none"/>
        </w:rPr>
      </w:pPr>
      <w:bookmarkStart w:id="474" w:name="_Toc173942685"/>
      <w:bookmarkStart w:id="475" w:name="_Toc9565"/>
      <w:bookmarkStart w:id="476" w:name="_Toc3230"/>
      <w:bookmarkStart w:id="477" w:name="_Toc173941731"/>
      <w:bookmarkStart w:id="478" w:name="_Toc374724183"/>
      <w:bookmarkStart w:id="479" w:name="_Toc4842"/>
      <w:bookmarkStart w:id="480" w:name="_Toc508291886"/>
      <w:bookmarkStart w:id="481" w:name="_Toc173941860"/>
      <w:r>
        <w:rPr>
          <w:color w:val="auto"/>
          <w:highlight w:val="none"/>
        </w:rPr>
        <w:t>4.1自然环境概况</w:t>
      </w:r>
      <w:bookmarkEnd w:id="474"/>
      <w:bookmarkEnd w:id="475"/>
      <w:bookmarkEnd w:id="476"/>
      <w:bookmarkEnd w:id="477"/>
      <w:bookmarkEnd w:id="478"/>
      <w:bookmarkEnd w:id="479"/>
      <w:bookmarkEnd w:id="480"/>
      <w:bookmarkEnd w:id="481"/>
    </w:p>
    <w:p>
      <w:pPr>
        <w:pStyle w:val="53"/>
        <w:pageBreakBefore w:val="0"/>
        <w:kinsoku/>
        <w:wordWrap/>
        <w:overflowPunct/>
        <w:topLinePunct w:val="0"/>
        <w:autoSpaceDE/>
        <w:autoSpaceDN/>
        <w:bidi w:val="0"/>
        <w:spacing w:line="480" w:lineRule="exact"/>
        <w:textAlignment w:val="auto"/>
        <w:rPr>
          <w:color w:val="auto"/>
          <w:highlight w:val="none"/>
        </w:rPr>
      </w:pPr>
      <w:bookmarkStart w:id="482" w:name="_Toc173941861"/>
      <w:r>
        <w:rPr>
          <w:color w:val="auto"/>
          <w:highlight w:val="none"/>
        </w:rPr>
        <w:t>4.1.1地理位置</w:t>
      </w:r>
      <w:bookmarkEnd w:id="482"/>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color w:val="auto"/>
          <w:sz w:val="24"/>
          <w:szCs w:val="24"/>
          <w:highlight w:val="none"/>
          <w:lang w:eastAsia="zh-CN"/>
        </w:rPr>
        <w:t>本工程位于克拉玛依市乌尔禾区、塔城地区和布克赛尔蒙古自治和新疆生产建设兵团第七师</w:t>
      </w:r>
      <w:bookmarkStart w:id="483" w:name="OLE_LINK117"/>
      <w:r>
        <w:rPr>
          <w:rFonts w:hint="eastAsia"/>
          <w:color w:val="auto"/>
          <w:sz w:val="24"/>
          <w:szCs w:val="24"/>
          <w:highlight w:val="none"/>
          <w:lang w:eastAsia="zh-CN"/>
        </w:rPr>
        <w:t>胡杨河市</w:t>
      </w:r>
      <w:bookmarkEnd w:id="483"/>
      <w:r>
        <w:rPr>
          <w:color w:val="auto"/>
          <w:sz w:val="24"/>
          <w:szCs w:val="24"/>
          <w:highlight w:val="none"/>
        </w:rPr>
        <w:t>。</w:t>
      </w:r>
      <w:r>
        <w:rPr>
          <w:rFonts w:hint="eastAsia"/>
          <w:color w:val="auto"/>
          <w:sz w:val="24"/>
          <w:szCs w:val="24"/>
          <w:highlight w:val="none"/>
          <w:lang w:val="en-US" w:eastAsia="zh-CN"/>
        </w:rPr>
        <w:t>夏子街油田位于准噶尔盆地西北部，西距乌尔禾镇约15km。北接哈拉阿拉特山，南临玛北油田，西与黄羊泉地区相接，东部延伸到红旗坝地区，为一东西长70km、南北宽约30km的区域。本工程地理位置示意图见图4.1-1。</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克拉玛依市位于北纬44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07</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～46</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18</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，东经84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14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～86</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01</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kern w:val="2"/>
          <w:sz w:val="24"/>
          <w:szCs w:val="24"/>
          <w:highlight w:val="none"/>
          <w:lang w:val="en-US" w:eastAsia="zh-CN" w:bidi="ar-SA"/>
        </w:rPr>
        <w:t>之间。该市东部与古尔班通古特沙漠接壤，南面是沙湾县和乌苏市，西部和西北部与托里县相连，北面与和布克赛尔蒙古自治县为邻。全市呈南北长，东西窄的斜长条状，总面积为9500km</w:t>
      </w:r>
      <w:r>
        <w:rPr>
          <w:rFonts w:hint="eastAsia" w:ascii="Times New Roman" w:hAnsi="Times New Roman" w:eastAsia="宋体" w:cs="Times New Roman"/>
          <w:color w:val="auto"/>
          <w:kern w:val="2"/>
          <w:sz w:val="24"/>
          <w:szCs w:val="24"/>
          <w:highlight w:val="none"/>
          <w:vertAlign w:val="superscript"/>
          <w:lang w:val="en-US" w:eastAsia="zh-CN" w:bidi="ar-SA"/>
        </w:rPr>
        <w:t>2</w:t>
      </w:r>
      <w:r>
        <w:rPr>
          <w:rFonts w:hint="eastAsia" w:ascii="Times New Roman" w:hAnsi="Times New Roman" w:eastAsia="宋体" w:cs="Times New Roman"/>
          <w:color w:val="auto"/>
          <w:kern w:val="2"/>
          <w:sz w:val="24"/>
          <w:szCs w:val="24"/>
          <w:highlight w:val="none"/>
          <w:lang w:val="en-US" w:eastAsia="zh-CN" w:bidi="ar-SA"/>
        </w:rPr>
        <w:t>，占自治区总面积的0.6%，海拔高度在270m～500m之间。</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和布克赛尔蒙古自治县位于准噶尔盆地西北部，是新疆维吾尔自治区西北部的一个边境民族自治县，位于东经84</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37</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~87</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，北纬45</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20</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~47</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12</w:t>
      </w:r>
      <w:r>
        <w:rPr>
          <w:rFonts w:hint="default" w:ascii="Times New Roman" w:hAnsi="Times New Roman"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之间，东西长约210km，南北长约207km。县境东接福海县，南在古尔班通古特沙漠与昌吉市、呼图壁县、玛纳斯县、沙湾县毗邻，西南接石油城克拉玛依市，西以白杨河为界与额敏县、托里县相连，西北与哈萨克斯坦共和国交界，北隔赛尔山与吉木乃县接壤。全县总面积3.06万km</w:t>
      </w:r>
      <w:r>
        <w:rPr>
          <w:rFonts w:hint="eastAsia" w:ascii="Times New Roman" w:hAnsi="Times New Roman" w:eastAsia="宋体" w:cs="Times New Roman"/>
          <w:color w:val="auto"/>
          <w:sz w:val="24"/>
          <w:szCs w:val="24"/>
          <w:highlight w:val="none"/>
          <w:vertAlign w:val="superscript"/>
          <w:lang w:val="en-US" w:eastAsia="zh-CN"/>
        </w:rPr>
        <w:t>2</w:t>
      </w:r>
      <w:r>
        <w:rPr>
          <w:rFonts w:hint="eastAsia" w:ascii="Times New Roman" w:hAnsi="Times New Roman" w:eastAsia="宋体" w:cs="Times New Roman"/>
          <w:color w:val="auto"/>
          <w:sz w:val="24"/>
          <w:szCs w:val="24"/>
          <w:highlight w:val="none"/>
          <w:lang w:val="en-US" w:eastAsia="zh-CN"/>
        </w:rPr>
        <w:t>。</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新疆生产建设兵团第七师位于准噶尔盆地西南部的奎屯河流域，南接天山，北接库尔班通古特沙漠。主要分布在胡杨河市、乌苏市、克拉玛依市和和布克赛尔蒙古自治县境内，七师处于天山北坡经济区“金三角”和独-克石油化工带，是自治区支持优先发展的重要经济区，是自治区“一主两翼”城市发展战略的重要一翼；师部所在地胡杨河市既是北疆地区重要的商贸中心，又是“312”“217”国道和北疆铁路的交汇点，中国西部连接东欧和中亚市场的交通枢纽。胡杨河市位于天山北麓中段，准噶尔盆地西南部，主城区距奎屯市33千米，距克拉玛依市100千米，距克拉玛依市独山子区58千米，距乌苏市40千米。胡杨河市总面积678平方千米。</w:t>
      </w:r>
    </w:p>
    <w:p>
      <w:pPr>
        <w:pStyle w:val="57"/>
        <w:pageBreakBefore w:val="0"/>
        <w:kinsoku/>
        <w:wordWrap/>
        <w:overflowPunct/>
        <w:topLinePunct w:val="0"/>
        <w:autoSpaceDE/>
        <w:autoSpaceDN/>
        <w:bidi w:val="0"/>
        <w:spacing w:line="480" w:lineRule="exact"/>
        <w:textAlignment w:val="auto"/>
        <w:rPr>
          <w:color w:val="auto"/>
          <w:highlight w:val="none"/>
        </w:rPr>
      </w:pPr>
      <w:r>
        <w:rPr>
          <w:rFonts w:hint="eastAsia" w:ascii="Times New Roman" w:hAnsi="Times New Roman" w:eastAsia="宋体" w:cs="Times New Roman"/>
          <w:color w:val="auto"/>
          <w:sz w:val="24"/>
          <w:szCs w:val="24"/>
          <w:highlight w:val="none"/>
          <w:lang w:val="en-US" w:eastAsia="zh-CN" w:bidi="ar-SA"/>
        </w:rPr>
        <w:t>夏子街油田丰探1井区二叠系风城组页岩油东南部主体行政隶属新疆维吾尔自治区和布克赛尔蒙古自治县，西北部行政隶属新疆维吾尔自治区克拉玛依市乌尔禾区。构造上主体位于准噶尔盆地西部隆起乌夏断裂带，南部位于中央坳陷玛湖凹陷，北邻风城5井区，南邻玛51X井区，西部为风3</w:t>
      </w:r>
      <w:r>
        <w:rPr>
          <w:rFonts w:hint="eastAsia"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风5井区和玛页1井区。区块中心地理位置坐标为</w:t>
      </w:r>
      <w:r>
        <w:rPr>
          <w:rFonts w:hint="default" w:ascii="Times New Roman" w:hAnsi="Times New Roman" w:eastAsia="宋体" w:cs="Times New Roman"/>
          <w:color w:val="auto"/>
          <w:sz w:val="24"/>
          <w:szCs w:val="24"/>
          <w:highlight w:val="none"/>
          <w:lang w:val="en-US" w:eastAsia="zh-CN" w:bidi="ar-SA"/>
        </w:rPr>
        <w:t>东经</w:t>
      </w:r>
      <w:r>
        <w:rPr>
          <w:rFonts w:hint="eastAsia" w:cs="Times New Roman"/>
          <w:color w:val="auto"/>
          <w:sz w:val="24"/>
          <w:szCs w:val="24"/>
          <w:highlight w:val="none"/>
          <w:lang w:val="en-US" w:eastAsia="zh-CN" w:bidi="ar-SA"/>
        </w:rPr>
        <w:t xml:space="preserve">       </w:t>
      </w:r>
      <w:r>
        <w:rPr>
          <w:rFonts w:hint="default" w:ascii="Times New Roman" w:hAnsi="Times New Roman" w:eastAsia="宋体" w:cs="Times New Roman"/>
          <w:color w:val="auto"/>
          <w:sz w:val="24"/>
          <w:szCs w:val="24"/>
          <w:highlight w:val="none"/>
          <w:lang w:val="en-US" w:eastAsia="zh-CN" w:bidi="ar-SA"/>
        </w:rPr>
        <w:t>；北纬</w:t>
      </w:r>
      <w:r>
        <w:rPr>
          <w:rFonts w:hint="eastAsia" w:cs="Times New Roman"/>
          <w:color w:val="auto"/>
          <w:sz w:val="24"/>
          <w:szCs w:val="24"/>
          <w:highlight w:val="none"/>
          <w:lang w:val="en-US" w:eastAsia="zh-CN" w:bidi="ar-SA"/>
        </w:rPr>
        <w:t xml:space="preserve">        </w:t>
      </w:r>
      <w:r>
        <w:rPr>
          <w:rFonts w:hint="default" w:ascii="Times New Roman" w:hAnsi="Times New Roman" w:cs="Times New Roman"/>
          <w:color w:val="auto"/>
          <w:highlight w:val="none"/>
        </w:rPr>
        <w:t>。</w:t>
      </w:r>
      <w:r>
        <w:rPr>
          <w:rFonts w:hint="eastAsia"/>
          <w:color w:val="auto"/>
          <w:highlight w:val="none"/>
        </w:rPr>
        <w:t>地理位置见图3.3-1。</w:t>
      </w:r>
    </w:p>
    <w:p>
      <w:pPr>
        <w:pStyle w:val="53"/>
        <w:pageBreakBefore w:val="0"/>
        <w:kinsoku/>
        <w:wordWrap/>
        <w:overflowPunct/>
        <w:topLinePunct w:val="0"/>
        <w:autoSpaceDE/>
        <w:autoSpaceDN/>
        <w:bidi w:val="0"/>
        <w:spacing w:line="480" w:lineRule="exact"/>
        <w:textAlignment w:val="auto"/>
        <w:rPr>
          <w:color w:val="auto"/>
          <w:highlight w:val="none"/>
        </w:rPr>
      </w:pPr>
      <w:bookmarkStart w:id="484" w:name="_Toc173941862"/>
      <w:r>
        <w:rPr>
          <w:color w:val="auto"/>
          <w:highlight w:val="none"/>
        </w:rPr>
        <w:t>4.1.2地质构造</w:t>
      </w:r>
      <w:bookmarkEnd w:id="484"/>
    </w:p>
    <w:p>
      <w:pPr>
        <w:pStyle w:val="57"/>
        <w:pageBreakBefore w:val="0"/>
        <w:kinsoku/>
        <w:wordWrap/>
        <w:overflowPunct/>
        <w:topLinePunct w:val="0"/>
        <w:autoSpaceDE/>
        <w:autoSpaceDN/>
        <w:bidi w:val="0"/>
        <w:spacing w:line="480" w:lineRule="exact"/>
        <w:textAlignment w:val="auto"/>
        <w:rPr>
          <w:rFonts w:hint="eastAsia" w:eastAsia="宋体"/>
          <w:color w:val="auto"/>
          <w:highlight w:val="none"/>
          <w:lang w:eastAsia="zh-CN"/>
        </w:rPr>
      </w:pPr>
      <w:r>
        <w:rPr>
          <w:rFonts w:hint="eastAsia"/>
          <w:color w:val="auto"/>
          <w:highlight w:val="none"/>
        </w:rPr>
        <w:t>丰探1</w:t>
      </w:r>
      <w:r>
        <w:rPr>
          <w:rFonts w:hint="eastAsia"/>
          <w:color w:val="auto"/>
          <w:highlight w:val="none"/>
          <w:lang w:val="en-US" w:eastAsia="zh-CN"/>
        </w:rPr>
        <w:t>井区</w:t>
      </w:r>
      <w:r>
        <w:rPr>
          <w:rFonts w:hint="eastAsia"/>
          <w:color w:val="auto"/>
          <w:highlight w:val="none"/>
        </w:rPr>
        <w:t>风城组构造主体位于准噶尔盆地西部隆起乌夏断裂带，乌夏断裂带是海西运动后期发展起来的前陆冲断带，延伸约27km，主要由北东走向的断裂、断褶与单斜组成，具有南北分带、东西分段的地质特征。受盆地西缘逆冲作用的影响，风城组可划分为掩覆带、斜坡区和凹陷区三个次级构造带，构造活动由强变弱，其中丰探1井区位于掩覆带</w:t>
      </w:r>
      <w:r>
        <w:rPr>
          <w:rFonts w:hint="eastAsia"/>
          <w:color w:val="auto"/>
          <w:highlight w:val="none"/>
          <w:lang w:eastAsia="zh-CN"/>
        </w:rPr>
        <w:t>。</w:t>
      </w:r>
    </w:p>
    <w:p>
      <w:pPr>
        <w:pStyle w:val="57"/>
        <w:pageBreakBefore w:val="0"/>
        <w:widowControl/>
        <w:kinsoku/>
        <w:wordWrap/>
        <w:overflowPunct/>
        <w:topLinePunct w:val="0"/>
        <w:autoSpaceDE/>
        <w:autoSpaceDN/>
        <w:bidi w:val="0"/>
        <w:spacing w:line="480" w:lineRule="exact"/>
        <w:jc w:val="left"/>
        <w:textAlignment w:val="auto"/>
        <w:rPr>
          <w:rFonts w:hint="eastAsia" w:eastAsia="宋体"/>
          <w:color w:val="auto"/>
          <w:highlight w:val="none"/>
          <w:lang w:eastAsia="zh-CN"/>
        </w:rPr>
      </w:pPr>
      <w:r>
        <w:rPr>
          <w:rFonts w:hint="eastAsia"/>
          <w:color w:val="auto"/>
          <w:highlight w:val="none"/>
        </w:rPr>
        <w:t>丰探1井区风城组整体表现为东北高西南低，纵向上</w:t>
      </w:r>
      <w:r>
        <w:rPr>
          <w:rFonts w:hint="eastAsia"/>
          <w:color w:val="auto"/>
          <w:highlight w:val="none"/>
          <w:lang w:eastAsia="zh-CN"/>
        </w:rPr>
        <w:t>具有</w:t>
      </w:r>
      <w:r>
        <w:rPr>
          <w:rFonts w:hint="eastAsia"/>
          <w:color w:val="auto"/>
          <w:highlight w:val="none"/>
        </w:rPr>
        <w:t>较好继承性，埋深变化大，以C9层顶界构造为例，海拔深度从高部位-3500m变化至低部位-4840m，深度落差达到1340m，构造低点位于丰探1井向斜</w:t>
      </w:r>
      <w:r>
        <w:rPr>
          <w:rFonts w:hint="eastAsia"/>
          <w:color w:val="auto"/>
          <w:highlight w:val="none"/>
          <w:lang w:eastAsia="zh-CN"/>
        </w:rPr>
        <w:t>。</w:t>
      </w:r>
      <w:r>
        <w:rPr>
          <w:rFonts w:hint="eastAsia"/>
          <w:color w:val="auto"/>
          <w:highlight w:val="none"/>
        </w:rPr>
        <w:t>丰探1井区开发试验方案部署区埋深为5030m</w:t>
      </w:r>
      <w:r>
        <w:rPr>
          <w:rFonts w:hint="eastAsia"/>
          <w:color w:val="auto"/>
          <w:highlight w:val="none"/>
          <w:lang w:eastAsia="zh-CN"/>
        </w:rPr>
        <w:t>～</w:t>
      </w:r>
      <w:r>
        <w:rPr>
          <w:rFonts w:hint="eastAsia"/>
          <w:color w:val="auto"/>
          <w:highlight w:val="none"/>
        </w:rPr>
        <w:t>5260m。丰探1井区四侧受断层切割，区块内主要发育北东和南东向两组逆断裂，北东向断裂断距大，延伸长，控制地区构造格局；南东向断裂断距小，延伸短。北东和南东向断裂组合形成丰探1井断块</w:t>
      </w:r>
      <w:r>
        <w:rPr>
          <w:rFonts w:hint="eastAsia"/>
          <w:color w:val="auto"/>
          <w:highlight w:val="none"/>
          <w:lang w:eastAsia="zh-CN"/>
        </w:rPr>
        <w:t>。</w:t>
      </w:r>
    </w:p>
    <w:p>
      <w:pPr>
        <w:pStyle w:val="53"/>
        <w:pageBreakBefore w:val="0"/>
        <w:widowControl/>
        <w:kinsoku/>
        <w:wordWrap/>
        <w:overflowPunct/>
        <w:topLinePunct w:val="0"/>
        <w:autoSpaceDE/>
        <w:autoSpaceDN/>
        <w:bidi w:val="0"/>
        <w:spacing w:line="480" w:lineRule="exact"/>
        <w:jc w:val="left"/>
        <w:textAlignment w:val="auto"/>
        <w:rPr>
          <w:color w:val="auto"/>
          <w:highlight w:val="none"/>
        </w:rPr>
      </w:pPr>
      <w:bookmarkStart w:id="485" w:name="_Toc173941863"/>
      <w:r>
        <w:rPr>
          <w:color w:val="auto"/>
          <w:highlight w:val="none"/>
        </w:rPr>
        <w:t>4.1.3地形地貌</w:t>
      </w:r>
      <w:bookmarkEnd w:id="485"/>
    </w:p>
    <w:p>
      <w:pPr>
        <w:pageBreakBefore w:val="0"/>
        <w:widowControl w:val="0"/>
        <w:kinsoku/>
        <w:wordWrap/>
        <w:overflowPunct/>
        <w:topLinePunct w:val="0"/>
        <w:autoSpaceDE/>
        <w:autoSpaceDN/>
        <w:bidi w:val="0"/>
        <w:adjustRightInd/>
        <w:snapToGrid/>
        <w:spacing w:line="480" w:lineRule="exact"/>
        <w:ind w:firstLine="480"/>
        <w:jc w:val="left"/>
        <w:textAlignment w:val="auto"/>
        <w:rPr>
          <w:rFonts w:hint="eastAsia"/>
          <w:color w:val="auto"/>
          <w:sz w:val="24"/>
          <w:szCs w:val="24"/>
          <w:highlight w:val="none"/>
        </w:rPr>
      </w:pPr>
      <w:r>
        <w:rPr>
          <w:rFonts w:hint="eastAsia"/>
          <w:color w:val="auto"/>
          <w:sz w:val="24"/>
          <w:szCs w:val="24"/>
          <w:highlight w:val="none"/>
        </w:rPr>
        <w:t>克拉玛依地处我国第二大沙漠—古尔班通古特沙漠的西北缘的冲积扇前倾平原地带，总的地貌特征比较单一，多为开阔平坦的单一戈壁滩。中心城区位于山脉与盆地之间的漫坡上，北有加依尔山，南北走向，由构造剥蚀低山及丘陵地形组成，</w:t>
      </w:r>
      <w:r>
        <w:rPr>
          <w:rFonts w:hint="eastAsia"/>
          <w:color w:val="auto"/>
          <w:sz w:val="24"/>
          <w:szCs w:val="24"/>
          <w:highlight w:val="none"/>
          <w:lang w:eastAsia="zh-CN"/>
        </w:rPr>
        <w:t>海拔</w:t>
      </w:r>
      <w:r>
        <w:rPr>
          <w:rFonts w:hint="eastAsia"/>
          <w:color w:val="auto"/>
          <w:sz w:val="24"/>
          <w:szCs w:val="24"/>
          <w:highlight w:val="none"/>
        </w:rPr>
        <w:t>600m～800m；南部独山子山</w:t>
      </w:r>
      <w:r>
        <w:rPr>
          <w:rFonts w:hint="eastAsia"/>
          <w:color w:val="auto"/>
          <w:sz w:val="24"/>
          <w:szCs w:val="24"/>
          <w:highlight w:val="none"/>
          <w:lang w:eastAsia="zh-CN"/>
        </w:rPr>
        <w:t>海拔</w:t>
      </w:r>
      <w:r>
        <w:rPr>
          <w:rFonts w:hint="eastAsia"/>
          <w:color w:val="auto"/>
          <w:sz w:val="24"/>
          <w:szCs w:val="24"/>
          <w:highlight w:val="none"/>
        </w:rPr>
        <w:t>为1283m；东南面是茫茫戈壁滩，一直伸展到盆地中部的沙漠区；中部、东部地势开阔平坦，向准噶尔盆地中心倾斜。大部分地区在海拔270m～500m之间，整个市域地势呈西北高，东南低，南北向和东西向坡度为2%。</w:t>
      </w:r>
    </w:p>
    <w:p>
      <w:pPr>
        <w:pStyle w:val="57"/>
        <w:pageBreakBefore w:val="0"/>
        <w:widowControl/>
        <w:kinsoku/>
        <w:wordWrap/>
        <w:overflowPunct/>
        <w:topLinePunct w:val="0"/>
        <w:autoSpaceDE/>
        <w:autoSpaceDN/>
        <w:bidi w:val="0"/>
        <w:spacing w:line="480" w:lineRule="exact"/>
        <w:jc w:val="left"/>
        <w:textAlignment w:val="auto"/>
        <w:rPr>
          <w:color w:val="auto"/>
          <w:highlight w:val="none"/>
        </w:rPr>
      </w:pPr>
      <w:r>
        <w:rPr>
          <w:rFonts w:hint="eastAsia"/>
          <w:color w:val="auto"/>
          <w:sz w:val="24"/>
          <w:szCs w:val="24"/>
          <w:highlight w:val="none"/>
          <w:lang w:eastAsia="zh-CN"/>
        </w:rPr>
        <w:t>和布克赛尔蒙古自治区</w:t>
      </w:r>
      <w:r>
        <w:rPr>
          <w:rFonts w:hint="eastAsia" w:eastAsia="宋体"/>
          <w:color w:val="auto"/>
          <w:sz w:val="24"/>
          <w:szCs w:val="24"/>
          <w:highlight w:val="none"/>
        </w:rPr>
        <w:t>从北往南分布有高山、谷地、丘陵、平原、沙漠等多种地貌，县境在地质构造上属准噶尔凹陷——北天山褶皱系的一部分。</w:t>
      </w:r>
      <w:r>
        <w:rPr>
          <w:rFonts w:hint="eastAsia"/>
          <w:color w:val="auto"/>
          <w:sz w:val="24"/>
          <w:szCs w:val="24"/>
          <w:highlight w:val="none"/>
          <w:lang w:eastAsia="zh-CN"/>
        </w:rPr>
        <w:t>和布克赛尔蒙古自治</w:t>
      </w:r>
      <w:r>
        <w:rPr>
          <w:rFonts w:hint="eastAsia" w:eastAsia="宋体"/>
          <w:color w:val="auto"/>
          <w:sz w:val="24"/>
          <w:szCs w:val="24"/>
          <w:highlight w:val="none"/>
        </w:rPr>
        <w:t>属东北西南向构造带，赛尔山</w:t>
      </w:r>
      <w:r>
        <w:rPr>
          <w:rFonts w:hint="eastAsia"/>
          <w:color w:val="auto"/>
          <w:sz w:val="24"/>
          <w:szCs w:val="24"/>
          <w:highlight w:val="none"/>
          <w:lang w:eastAsia="zh-CN"/>
        </w:rPr>
        <w:t>（</w:t>
      </w:r>
      <w:r>
        <w:rPr>
          <w:rFonts w:hint="eastAsia" w:eastAsia="宋体"/>
          <w:color w:val="auto"/>
          <w:sz w:val="24"/>
          <w:szCs w:val="24"/>
          <w:highlight w:val="none"/>
        </w:rPr>
        <w:t>萨吾尔山</w:t>
      </w:r>
      <w:r>
        <w:rPr>
          <w:rFonts w:hint="eastAsia"/>
          <w:color w:val="auto"/>
          <w:sz w:val="24"/>
          <w:szCs w:val="24"/>
          <w:highlight w:val="none"/>
          <w:lang w:eastAsia="zh-CN"/>
        </w:rPr>
        <w:t>）</w:t>
      </w:r>
      <w:r>
        <w:rPr>
          <w:rFonts w:hint="eastAsia" w:eastAsia="宋体"/>
          <w:color w:val="auto"/>
          <w:sz w:val="24"/>
          <w:szCs w:val="24"/>
          <w:highlight w:val="none"/>
        </w:rPr>
        <w:t>南侧是和布克赛尔新生代的山间凹陷。谢米斯台复背斜东侧是和什托洛盖中新生代山间凹陷，凹陷的东北段有大面积的侏罗纪的含煤地层出露。和什托洛盖中新生代中间凹陷核部是以石炭纪的地层为主，两翼是泥盆纪的地层和少量的奥陶纪到志留纪的地层，地层走向和深裂断走向均以东北西南向为主。</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新疆生产建设兵团第七师辖区地貌的基本类型为山地和盆地。由南向北跨天山山区、准噶尔盆地西部区和萨吾尔山区三个大地貌区。地势南高北低，最北的一三七团又高起，盆地内为平原</w:t>
      </w:r>
      <w:r>
        <w:rPr>
          <w:rFonts w:hint="eastAsia"/>
          <w:color w:val="auto"/>
          <w:highlight w:val="none"/>
          <w:lang w:eastAsia="zh-CN"/>
        </w:rPr>
        <w:t>。</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 xml:space="preserve">项目所在区域位于准噶尔盆地古尔班通古特沙漠西北缘，处于玛纳斯河流域下游的东部，属典型的风积沙漠地貌，整个地势由东北向西南倾斜，海拔高程 360～440m。受构造作用及风力等外力作用，形成风积地形，地形复杂。其地貌成因类型为风积平原区，表现为沙漠、土质和沙质平原。沙漠广为分布在开发区域大部分地区，由第四系风积物组成，沙丘高10～30m，宽数十米。土质平原在开发区东部一带分布，海拔高程360～400m，由亚砂土、亚粘土组成，地形较平坦。沙质平原在开发区域东部广泛分布，海拔高程400～440m，地形较平坦，植被稀疏。 </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项目区西部是扎依尔山，西北和东北为哈拉阿拉特山，东南和南部为低山丘陵向东南方向倾斜的山地延伸带，即由山前冲积平原、湖泊、沼泽地组成的盆地部分，</w:t>
      </w:r>
      <w:r>
        <w:rPr>
          <w:rFonts w:hint="eastAsia"/>
          <w:color w:val="auto"/>
          <w:highlight w:val="none"/>
          <w:lang w:eastAsia="zh-CN"/>
        </w:rPr>
        <w:t>海拔</w:t>
      </w:r>
      <w:r>
        <w:rPr>
          <w:rFonts w:hint="eastAsia"/>
          <w:color w:val="auto"/>
          <w:highlight w:val="none"/>
        </w:rPr>
        <w:t>在200～300m之间。整个项目区处在准噶尔盆地西北缘的斜坡带，</w:t>
      </w:r>
      <w:r>
        <w:rPr>
          <w:rFonts w:hint="eastAsia"/>
          <w:color w:val="auto"/>
          <w:highlight w:val="none"/>
          <w:lang w:eastAsia="zh-CN"/>
        </w:rPr>
        <w:t>地势</w:t>
      </w:r>
      <w:r>
        <w:rPr>
          <w:rFonts w:hint="eastAsia"/>
          <w:color w:val="auto"/>
          <w:highlight w:val="none"/>
        </w:rPr>
        <w:t>西北高，东南低</w:t>
      </w:r>
      <w:r>
        <w:rPr>
          <w:color w:val="auto"/>
          <w:szCs w:val="24"/>
          <w:highlight w:val="none"/>
          <w:lang w:bidi="ar"/>
        </w:rPr>
        <w:t>。</w:t>
      </w:r>
    </w:p>
    <w:p>
      <w:pPr>
        <w:pStyle w:val="53"/>
        <w:pageBreakBefore w:val="0"/>
        <w:widowControl/>
        <w:kinsoku/>
        <w:wordWrap/>
        <w:overflowPunct/>
        <w:topLinePunct w:val="0"/>
        <w:autoSpaceDE/>
        <w:autoSpaceDN/>
        <w:bidi w:val="0"/>
        <w:adjustRightInd w:val="0"/>
        <w:snapToGrid w:val="0"/>
        <w:spacing w:line="480" w:lineRule="exact"/>
        <w:textAlignment w:val="auto"/>
        <w:rPr>
          <w:color w:val="auto"/>
          <w:highlight w:val="none"/>
        </w:rPr>
      </w:pPr>
      <w:bookmarkStart w:id="486" w:name="_Toc173941864"/>
      <w:r>
        <w:rPr>
          <w:color w:val="auto"/>
          <w:highlight w:val="none"/>
        </w:rPr>
        <w:t>4.1.4水文与水文地质</w:t>
      </w:r>
      <w:bookmarkEnd w:id="486"/>
    </w:p>
    <w:p>
      <w:pPr>
        <w:pStyle w:val="5"/>
        <w:pageBreakBefore w:val="0"/>
        <w:widowControl/>
        <w:kinsoku/>
        <w:wordWrap/>
        <w:overflowPunct/>
        <w:topLinePunct w:val="0"/>
        <w:autoSpaceDE/>
        <w:autoSpaceDN/>
        <w:bidi w:val="0"/>
        <w:adjustRightInd w:val="0"/>
        <w:snapToGrid w:val="0"/>
        <w:spacing w:line="480" w:lineRule="exact"/>
        <w:textAlignment w:val="auto"/>
        <w:rPr>
          <w:rFonts w:hint="eastAsia" w:eastAsia="宋体" w:cs="Times New Roman"/>
          <w:color w:val="auto"/>
          <w:highlight w:val="none"/>
          <w:lang w:val="en-US" w:eastAsia="zh-CN"/>
        </w:rPr>
      </w:pPr>
      <w:r>
        <w:rPr>
          <w:rFonts w:cs="Times New Roman"/>
          <w:color w:val="auto"/>
          <w:highlight w:val="none"/>
        </w:rPr>
        <w:t>4.1.4.1</w:t>
      </w:r>
      <w:r>
        <w:rPr>
          <w:rFonts w:hint="eastAsia" w:cs="Times New Roman"/>
          <w:color w:val="auto"/>
          <w:highlight w:val="none"/>
          <w:lang w:val="en-US" w:eastAsia="zh-CN"/>
        </w:rPr>
        <w:t>水文</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eastAsia="zh-CN"/>
        </w:rPr>
      </w:pPr>
      <w:r>
        <w:rPr>
          <w:rFonts w:hint="eastAsia"/>
          <w:color w:val="auto"/>
          <w:sz w:val="24"/>
          <w:szCs w:val="24"/>
          <w:highlight w:val="none"/>
        </w:rPr>
        <w:t>（1）</w:t>
      </w:r>
      <w:r>
        <w:rPr>
          <w:rFonts w:hint="eastAsia"/>
          <w:color w:val="auto"/>
          <w:sz w:val="24"/>
          <w:szCs w:val="24"/>
          <w:highlight w:val="none"/>
          <w:lang w:val="en-US" w:eastAsia="zh-CN"/>
        </w:rPr>
        <w:t>克拉玛依市</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克拉玛依市是水资源极度贫乏的地区，其境内的地表水均分布于乌尔禾区。乌尔禾区境内共有3条河流，1个天然淡水湖和3个人工水库。3条河流分别是：白杨河、克拉苏河和达尔布图河，三河均属季节性河流。河流的终点也都在乌尔禾区境内。3条河流多年平均径流量</w:t>
      </w:r>
      <w:r>
        <w:rPr>
          <w:rFonts w:hint="default" w:ascii="Times New Roman" w:hAnsi="Times New Roman" w:cs="Times New Roman"/>
          <w:color w:val="auto"/>
          <w:sz w:val="24"/>
          <w:szCs w:val="24"/>
          <w:highlight w:val="none"/>
        </w:rPr>
        <w:t>1.628×10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color w:val="auto"/>
          <w:sz w:val="24"/>
          <w:szCs w:val="24"/>
          <w:highlight w:val="none"/>
        </w:rPr>
        <w:t>。由于白杨河上游水库的修建，致使进入本区盆地中部的河水</w:t>
      </w:r>
      <w:r>
        <w:rPr>
          <w:rFonts w:hint="eastAsia"/>
          <w:color w:val="auto"/>
          <w:sz w:val="24"/>
          <w:szCs w:val="24"/>
          <w:highlight w:val="none"/>
          <w:lang w:eastAsia="zh-CN"/>
        </w:rPr>
        <w:t>已</w:t>
      </w:r>
      <w:r>
        <w:rPr>
          <w:rFonts w:hint="eastAsia"/>
          <w:color w:val="auto"/>
          <w:sz w:val="24"/>
          <w:szCs w:val="24"/>
          <w:highlight w:val="none"/>
        </w:rPr>
        <w:t>基本断流。艾里克湖是克拉玛依地区唯一内陆淡水湖泊，原是白杨河水的归宿。3个人工水库分别为白杨河水库、黄羊泉水库和风城高库。本工程周边5km范围内无地表水体。</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①河流</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乌尔禾区境内共有3条河流和1个天然淡水湖，流经乌尔禾区的3条河流是： 白杨河、克拉苏河和达尔布图河，三河均属季节性河流。河流的终点也都在乌尔禾区境内。3条河流多年平均径流量</w:t>
      </w:r>
      <w:r>
        <w:rPr>
          <w:rFonts w:hint="default" w:ascii="Times New Roman" w:hAnsi="Times New Roman" w:cs="Times New Roman"/>
          <w:color w:val="auto"/>
          <w:sz w:val="24"/>
          <w:szCs w:val="24"/>
          <w:highlight w:val="none"/>
        </w:rPr>
        <w:t>1.628×10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color w:val="auto"/>
          <w:sz w:val="24"/>
          <w:szCs w:val="24"/>
          <w:highlight w:val="none"/>
        </w:rPr>
        <w:t>，其中白杨河约占67%。由于白杨河上游水库的修建，致使进入本区盆地中部的河水</w:t>
      </w:r>
      <w:r>
        <w:rPr>
          <w:rFonts w:hint="eastAsia"/>
          <w:color w:val="auto"/>
          <w:sz w:val="24"/>
          <w:szCs w:val="24"/>
          <w:highlight w:val="none"/>
          <w:lang w:eastAsia="zh-CN"/>
        </w:rPr>
        <w:t>已</w:t>
      </w:r>
      <w:r>
        <w:rPr>
          <w:rFonts w:hint="eastAsia"/>
          <w:color w:val="auto"/>
          <w:sz w:val="24"/>
          <w:szCs w:val="24"/>
          <w:highlight w:val="none"/>
        </w:rPr>
        <w:t>基本断流。位于本区东端的艾里克湖是克拉玛依地区唯一内陆淡水湖泊，是白杨河水的归宿。</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白杨河发源于塔城地区额敏县北部乌肯拉嘎山东南坡孟布拉克巴斯，经托里县</w:t>
      </w:r>
      <w:r>
        <w:rPr>
          <w:rFonts w:hint="eastAsia"/>
          <w:color w:val="auto"/>
          <w:sz w:val="24"/>
          <w:szCs w:val="24"/>
          <w:highlight w:val="none"/>
          <w:lang w:eastAsia="zh-CN"/>
        </w:rPr>
        <w:t>和</w:t>
      </w:r>
      <w:r>
        <w:rPr>
          <w:rFonts w:hint="eastAsia"/>
          <w:color w:val="auto"/>
          <w:sz w:val="24"/>
          <w:szCs w:val="24"/>
          <w:highlight w:val="none"/>
        </w:rPr>
        <w:t>丰县流入乌尔禾境内，最终注入归宿地—艾里克湖，全长170km</w:t>
      </w:r>
      <w:r>
        <w:rPr>
          <w:rFonts w:hint="eastAsia"/>
          <w:color w:val="auto"/>
          <w:sz w:val="24"/>
          <w:szCs w:val="24"/>
          <w:highlight w:val="none"/>
          <w:lang w:eastAsia="zh-CN"/>
        </w:rPr>
        <w:t>，</w:t>
      </w:r>
      <w:r>
        <w:rPr>
          <w:rFonts w:hint="eastAsia"/>
          <w:color w:val="auto"/>
          <w:sz w:val="24"/>
          <w:szCs w:val="24"/>
          <w:highlight w:val="none"/>
        </w:rPr>
        <w:t>流域面积6256km</w:t>
      </w:r>
      <w:r>
        <w:rPr>
          <w:rFonts w:hint="eastAsia"/>
          <w:color w:val="auto"/>
          <w:sz w:val="24"/>
          <w:szCs w:val="24"/>
          <w:highlight w:val="none"/>
          <w:vertAlign w:val="superscript"/>
        </w:rPr>
        <w:t>2</w:t>
      </w:r>
      <w:r>
        <w:rPr>
          <w:rFonts w:hint="eastAsia"/>
          <w:color w:val="auto"/>
          <w:sz w:val="24"/>
          <w:szCs w:val="24"/>
          <w:highlight w:val="none"/>
        </w:rPr>
        <w:t>。白杨河在乌尔禾境内流域长度为44km，年均径流量</w:t>
      </w:r>
      <w:r>
        <w:rPr>
          <w:rFonts w:hint="default" w:ascii="Times New Roman" w:hAnsi="Times New Roman" w:cs="Times New Roman"/>
          <w:color w:val="auto"/>
          <w:sz w:val="24"/>
          <w:szCs w:val="24"/>
          <w:highlight w:val="none"/>
        </w:rPr>
        <w:t>1.24×10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m</w:t>
      </w:r>
      <w:r>
        <w:rPr>
          <w:rFonts w:hint="eastAsia"/>
          <w:color w:val="auto"/>
          <w:sz w:val="24"/>
          <w:szCs w:val="24"/>
          <w:highlight w:val="none"/>
          <w:vertAlign w:val="superscript"/>
        </w:rPr>
        <w:t>3</w:t>
      </w:r>
      <w:r>
        <w:rPr>
          <w:rFonts w:hint="eastAsia"/>
          <w:color w:val="auto"/>
          <w:sz w:val="24"/>
          <w:szCs w:val="24"/>
          <w:highlight w:val="none"/>
        </w:rPr>
        <w:t>， 最大流量600m</w:t>
      </w:r>
      <w:r>
        <w:rPr>
          <w:rFonts w:hint="eastAsia"/>
          <w:color w:val="auto"/>
          <w:sz w:val="24"/>
          <w:szCs w:val="24"/>
          <w:highlight w:val="none"/>
          <w:vertAlign w:val="superscript"/>
        </w:rPr>
        <w:t>3</w:t>
      </w:r>
      <w:r>
        <w:rPr>
          <w:rFonts w:hint="eastAsia"/>
          <w:color w:val="auto"/>
          <w:sz w:val="24"/>
          <w:szCs w:val="24"/>
          <w:highlight w:val="none"/>
        </w:rPr>
        <w:t>/s。每年有两次洪峰，第一次洪峰在4～5月份是山区积雪融化所致，第二次洪峰在7～8月份，水量较小，主要是大气降水所形成；每年4～6月份为洪水期，此时河面宽25m左右，最大水深3.1m；7～10月丰水期，河面宽约10m，水深0.5左右；11月至次年3月为枯水期，水深小于0.4m，河面宽0.5～3m。白杨河径流量的年际年内变化很大，年最大径流量是年最小径流量的6倍，年径流量的50%以上水量集中在汛期。白杨河水质随丰枯期水量的增减而相应</w:t>
      </w:r>
      <w:r>
        <w:rPr>
          <w:rFonts w:hint="eastAsia"/>
          <w:color w:val="auto"/>
          <w:sz w:val="24"/>
          <w:szCs w:val="24"/>
          <w:highlight w:val="none"/>
          <w:lang w:eastAsia="zh-CN"/>
        </w:rPr>
        <w:t>地</w:t>
      </w:r>
      <w:r>
        <w:rPr>
          <w:rFonts w:hint="eastAsia"/>
          <w:color w:val="auto"/>
          <w:sz w:val="24"/>
          <w:szCs w:val="24"/>
          <w:highlight w:val="none"/>
        </w:rPr>
        <w:t>发生变化，丰水期水质较好，枯水期水质劣变。</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乌尔禾油田所在区域的地表水属于白杨河下游水系，流经油田区域长度为3.8km，是白杨水库进入艾里克湖河段。每年4</w:t>
      </w:r>
      <w:r>
        <w:rPr>
          <w:rFonts w:hint="eastAsia"/>
          <w:color w:val="auto"/>
          <w:sz w:val="24"/>
          <w:szCs w:val="24"/>
          <w:highlight w:val="none"/>
          <w:lang w:eastAsia="zh-CN"/>
        </w:rPr>
        <w:t>—</w:t>
      </w:r>
      <w:r>
        <w:rPr>
          <w:rFonts w:hint="eastAsia"/>
          <w:color w:val="auto"/>
          <w:sz w:val="24"/>
          <w:szCs w:val="24"/>
          <w:highlight w:val="none"/>
        </w:rPr>
        <w:t>9月灌溉期，由白杨河水库下泄水流至艾里克</w:t>
      </w:r>
      <w:r>
        <w:rPr>
          <w:rFonts w:hint="eastAsia"/>
          <w:color w:val="auto"/>
          <w:spacing w:val="-11"/>
          <w:sz w:val="24"/>
          <w:szCs w:val="24"/>
          <w:highlight w:val="none"/>
        </w:rPr>
        <w:t>湖</w:t>
      </w:r>
      <w:r>
        <w:rPr>
          <w:rFonts w:hint="eastAsia"/>
          <w:color w:val="auto"/>
          <w:spacing w:val="-11"/>
          <w:sz w:val="24"/>
          <w:szCs w:val="24"/>
          <w:highlight w:val="none"/>
          <w:lang w:eastAsia="zh-CN"/>
        </w:rPr>
        <w:t>（</w:t>
      </w:r>
      <w:r>
        <w:rPr>
          <w:rFonts w:hint="eastAsia"/>
          <w:color w:val="auto"/>
          <w:spacing w:val="-11"/>
          <w:sz w:val="24"/>
          <w:szCs w:val="24"/>
          <w:highlight w:val="none"/>
        </w:rPr>
        <w:t>放水量约</w:t>
      </w:r>
      <w:r>
        <w:rPr>
          <w:rFonts w:hint="default" w:ascii="Times New Roman" w:hAnsi="Times New Roman" w:cs="Times New Roman"/>
          <w:color w:val="auto"/>
          <w:spacing w:val="-11"/>
          <w:sz w:val="24"/>
          <w:szCs w:val="24"/>
          <w:highlight w:val="none"/>
        </w:rPr>
        <w:t>3000×10</w:t>
      </w:r>
      <w:r>
        <w:rPr>
          <w:rFonts w:hint="default" w:ascii="Times New Roman" w:hAnsi="Times New Roman" w:cs="Times New Roman"/>
          <w:color w:val="auto"/>
          <w:spacing w:val="-11"/>
          <w:sz w:val="24"/>
          <w:szCs w:val="24"/>
          <w:highlight w:val="none"/>
          <w:vertAlign w:val="superscript"/>
        </w:rPr>
        <w:t>4</w:t>
      </w:r>
      <w:r>
        <w:rPr>
          <w:rFonts w:hint="default" w:ascii="Times New Roman" w:hAnsi="Times New Roman" w:cs="Times New Roman"/>
          <w:color w:val="auto"/>
          <w:spacing w:val="-11"/>
          <w:sz w:val="24"/>
          <w:szCs w:val="24"/>
          <w:highlight w:val="none"/>
        </w:rPr>
        <w:t>m</w:t>
      </w:r>
      <w:r>
        <w:rPr>
          <w:rFonts w:hint="default" w:ascii="Times New Roman" w:hAnsi="Times New Roman" w:cs="Times New Roman"/>
          <w:color w:val="auto"/>
          <w:spacing w:val="-11"/>
          <w:sz w:val="24"/>
          <w:szCs w:val="24"/>
          <w:highlight w:val="none"/>
          <w:vertAlign w:val="superscript"/>
        </w:rPr>
        <w:t>3</w:t>
      </w:r>
      <w:r>
        <w:rPr>
          <w:rFonts w:hint="default" w:ascii="Times New Roman" w:hAnsi="Times New Roman" w:cs="Times New Roman"/>
          <w:color w:val="auto"/>
          <w:spacing w:val="-11"/>
          <w:sz w:val="24"/>
          <w:szCs w:val="24"/>
          <w:highlight w:val="none"/>
        </w:rPr>
        <w:t>/a</w:t>
      </w:r>
      <w:r>
        <w:rPr>
          <w:rFonts w:hint="eastAsia"/>
          <w:color w:val="auto"/>
          <w:spacing w:val="-11"/>
          <w:sz w:val="24"/>
          <w:szCs w:val="24"/>
          <w:highlight w:val="none"/>
          <w:lang w:eastAsia="zh-CN"/>
        </w:rPr>
        <w:t>）</w:t>
      </w:r>
      <w:r>
        <w:rPr>
          <w:rFonts w:hint="eastAsia"/>
          <w:color w:val="auto"/>
          <w:spacing w:val="-11"/>
          <w:sz w:val="24"/>
          <w:szCs w:val="24"/>
          <w:highlight w:val="none"/>
        </w:rPr>
        <w:t>，</w:t>
      </w:r>
      <w:r>
        <w:rPr>
          <w:rFonts w:hint="eastAsia"/>
          <w:color w:val="auto"/>
          <w:sz w:val="24"/>
          <w:szCs w:val="24"/>
          <w:highlight w:val="none"/>
        </w:rPr>
        <w:t>其余时间段评价区内没有地表径流。</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eastAsia="宋体"/>
          <w:color w:val="auto"/>
          <w:sz w:val="24"/>
          <w:szCs w:val="24"/>
          <w:highlight w:val="none"/>
          <w:lang w:val="en-US" w:eastAsia="zh-CN"/>
        </w:rPr>
      </w:pPr>
      <w:r>
        <w:rPr>
          <w:rFonts w:hint="eastAsia"/>
          <w:color w:val="auto"/>
          <w:sz w:val="24"/>
          <w:szCs w:val="24"/>
          <w:highlight w:val="none"/>
          <w:lang w:val="en-US" w:eastAsia="zh-CN"/>
        </w:rPr>
        <w:t>②湖泊（水库）</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区域的湖泊（水库）有艾里克湖、白杨河水库、黄羊泉水库等。</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1972年白杨河水库建成后，其下游的水流完全受人工控制，河水最终流入乌尔禾区内的天然湖泊—艾里克湖。</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艾里克湖可细分为艾里克湖和小艾里克湖，位于乌尔禾东南12km处，湖水的动态变化完全受白杨河来水量所控制。原湖面积65.15km</w:t>
      </w:r>
      <w:r>
        <w:rPr>
          <w:rFonts w:hint="eastAsia"/>
          <w:color w:val="auto"/>
          <w:sz w:val="24"/>
          <w:szCs w:val="24"/>
          <w:highlight w:val="none"/>
          <w:vertAlign w:val="superscript"/>
        </w:rPr>
        <w:t>2</w:t>
      </w:r>
      <w:r>
        <w:rPr>
          <w:rFonts w:hint="eastAsia"/>
          <w:color w:val="auto"/>
          <w:sz w:val="24"/>
          <w:szCs w:val="24"/>
          <w:highlight w:val="none"/>
        </w:rPr>
        <w:t>，平均水深3.1m。1962年，湖面56.18km</w:t>
      </w:r>
      <w:r>
        <w:rPr>
          <w:rFonts w:hint="eastAsia"/>
          <w:color w:val="auto"/>
          <w:sz w:val="24"/>
          <w:szCs w:val="24"/>
          <w:highlight w:val="none"/>
          <w:vertAlign w:val="superscript"/>
        </w:rPr>
        <w:t>2</w:t>
      </w:r>
      <w:r>
        <w:rPr>
          <w:rFonts w:hint="eastAsia"/>
          <w:color w:val="auto"/>
          <w:sz w:val="24"/>
          <w:szCs w:val="24"/>
          <w:highlight w:val="none"/>
        </w:rPr>
        <w:t>，湖水最深处7m；1994年湖面约为10km</w:t>
      </w:r>
      <w:r>
        <w:rPr>
          <w:rFonts w:hint="eastAsia"/>
          <w:color w:val="auto"/>
          <w:sz w:val="24"/>
          <w:szCs w:val="24"/>
          <w:highlight w:val="none"/>
          <w:vertAlign w:val="superscript"/>
        </w:rPr>
        <w:t>2</w:t>
      </w:r>
      <w:r>
        <w:rPr>
          <w:rFonts w:hint="eastAsia"/>
          <w:color w:val="auto"/>
          <w:sz w:val="24"/>
          <w:szCs w:val="24"/>
          <w:highlight w:val="none"/>
        </w:rPr>
        <w:t>，平均水深3.1m。几十年来，艾里克湖一直呈逐渐萎缩态势，尤其是在湖水补给源白杨河中游修建了白杨河水库和黄羊泉水库后，致使艾里克湖濒临干涸。近年来，随着引水干渠的建成投入使用，白杨河水库输送到克拉玛依的水量大幅度减少，而用于恢复艾里克湖的生态用水量大大增加，使历史上形成断流的情况发生了改变，湖水周边的生态环境逐渐变化，湖区面临沙化的趋势得到遏制，生态用水使艾里克湖生态环境逐渐恢复。</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项目区周边无地表水。</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eastAsia="zh-CN"/>
        </w:rPr>
      </w:pPr>
      <w:r>
        <w:rPr>
          <w:rFonts w:hint="eastAsia"/>
          <w:color w:val="auto"/>
          <w:sz w:val="24"/>
          <w:szCs w:val="24"/>
          <w:highlight w:val="none"/>
        </w:rPr>
        <w:t>（2）</w:t>
      </w:r>
      <w:r>
        <w:rPr>
          <w:rFonts w:hint="eastAsia"/>
          <w:color w:val="auto"/>
          <w:sz w:val="24"/>
          <w:szCs w:val="24"/>
          <w:highlight w:val="none"/>
          <w:lang w:eastAsia="zh-CN"/>
        </w:rPr>
        <w:t>和布克赛尔蒙古自治区</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eastAsia="zh-CN"/>
        </w:rPr>
      </w:pPr>
      <w:r>
        <w:rPr>
          <w:rFonts w:hint="eastAsia"/>
          <w:color w:val="auto"/>
          <w:sz w:val="24"/>
          <w:szCs w:val="24"/>
          <w:highlight w:val="none"/>
          <w:lang w:eastAsia="zh-CN"/>
        </w:rPr>
        <w:t>和布克赛尔蒙古自治</w:t>
      </w:r>
      <w:r>
        <w:rPr>
          <w:rFonts w:hint="eastAsia"/>
          <w:color w:val="auto"/>
          <w:sz w:val="24"/>
          <w:szCs w:val="24"/>
          <w:highlight w:val="none"/>
        </w:rPr>
        <w:t>的主要河流有和布克河、纳木郭勒河（白杨河）、木哈塔依河和达拉布特河、玛纳斯河等</w:t>
      </w:r>
      <w:r>
        <w:rPr>
          <w:rFonts w:hint="eastAsia"/>
          <w:color w:val="auto"/>
          <w:sz w:val="24"/>
          <w:szCs w:val="24"/>
          <w:highlight w:val="none"/>
          <w:lang w:eastAsia="zh-CN"/>
        </w:rPr>
        <w:t>；湖泊有玛纳斯湖、艾里克湖。</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①和布克河</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和布克河：发源于萨吾尔山西段，流经和布克谷地时又汇集了谷地中的泉水和溪流，至加林塔拉切过谢米斯台山进入和什托罗盖镇地后大量渗漏，直至夏子街以南桃安台布克一带消失，长约134km，平均流量1.19m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/s，4—5月为洪水期，流量13.72～50m/s，年径流量为</w:t>
      </w:r>
      <w:r>
        <w:rPr>
          <w:rFonts w:hint="default" w:ascii="Times New Roman" w:hAnsi="Times New Roman" w:cs="Times New Roman"/>
          <w:color w:val="auto"/>
          <w:sz w:val="24"/>
          <w:szCs w:val="24"/>
          <w:highlight w:val="none"/>
          <w:lang w:val="en-US" w:eastAsia="zh-CN"/>
        </w:rPr>
        <w:t>0.415×10</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lang w:val="en-US" w:eastAsia="zh-CN"/>
        </w:rPr>
        <w:t>，八月至翌年3月上旬为枯水期。</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②纳木郭勒河（白杨河）</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纳木郭勒河（白杨河）：白杨河是县境较大的一条河。发源于谢米斯台山西段，全长约200km。出谢米斯台山进入白杨河谷地时形成较大的洪积扇。切过哈拉阿拉特山，经乌尔禾注入艾里克湖。有14条小支流汇入纳木郭勒河，河流集水面积1532平方公里，在县境流域面积528平方公里。平均流量3.56m</w:t>
      </w:r>
      <w:r>
        <w:rPr>
          <w:rFonts w:hint="eastAsia"/>
          <w:color w:val="auto"/>
          <w:sz w:val="24"/>
          <w:szCs w:val="24"/>
          <w:highlight w:val="none"/>
          <w:vertAlign w:val="superscript"/>
        </w:rPr>
        <w:t>3</w:t>
      </w:r>
      <w:r>
        <w:rPr>
          <w:rFonts w:hint="eastAsia"/>
          <w:color w:val="auto"/>
          <w:sz w:val="24"/>
          <w:szCs w:val="24"/>
          <w:highlight w:val="none"/>
        </w:rPr>
        <w:t>/s，年径流量0.7—</w:t>
      </w:r>
      <w:r>
        <w:rPr>
          <w:rFonts w:hint="default" w:ascii="Times New Roman" w:hAnsi="Times New Roman" w:cs="Times New Roman"/>
          <w:color w:val="auto"/>
          <w:sz w:val="24"/>
          <w:szCs w:val="24"/>
          <w:highlight w:val="none"/>
        </w:rPr>
        <w:t>2.187×10</w:t>
      </w:r>
      <w:r>
        <w:rPr>
          <w:rFonts w:hint="default" w:ascii="Times New Roman" w:hAnsi="Times New Roman" w:cs="Times New Roman"/>
          <w:color w:val="auto"/>
          <w:sz w:val="24"/>
          <w:szCs w:val="24"/>
          <w:highlight w:val="none"/>
          <w:vertAlign w:val="superscript"/>
        </w:rPr>
        <w:t>8</w:t>
      </w:r>
      <w:r>
        <w:rPr>
          <w:rFonts w:hint="default" w:ascii="Times New Roman" w:hAnsi="Times New Roman" w:cs="Times New Roman"/>
          <w:color w:val="auto"/>
          <w:sz w:val="24"/>
          <w:szCs w:val="24"/>
          <w:highlight w:val="none"/>
        </w:rPr>
        <w:t>m</w:t>
      </w:r>
      <w:r>
        <w:rPr>
          <w:rFonts w:hint="default" w:ascii="Times New Roman" w:hAnsi="Times New Roman" w:cs="Times New Roman"/>
          <w:color w:val="auto"/>
          <w:sz w:val="24"/>
          <w:szCs w:val="24"/>
          <w:highlight w:val="none"/>
          <w:vertAlign w:val="superscript"/>
        </w:rPr>
        <w:t>3</w:t>
      </w:r>
      <w:r>
        <w:rPr>
          <w:rFonts w:hint="eastAsia"/>
          <w:color w:val="auto"/>
          <w:sz w:val="24"/>
          <w:szCs w:val="24"/>
          <w:highlight w:val="none"/>
        </w:rPr>
        <w:t>。4—6月山上积雪融化，为洪水期，最大洪水流量38.84m/s。7月至翌年3月为枯水期。</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③木哈塔依河和达拉布特河</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eastAsia="zh-CN"/>
        </w:rPr>
      </w:pPr>
      <w:r>
        <w:rPr>
          <w:rFonts w:hint="eastAsia"/>
          <w:color w:val="auto"/>
          <w:sz w:val="24"/>
          <w:szCs w:val="24"/>
          <w:highlight w:val="none"/>
        </w:rPr>
        <w:t>木哈塔依河和达拉布特河：均发源于扎依尔山。3—4月为洪水期，5月至翌年3月为枯水期。年径流量前者为</w:t>
      </w:r>
      <w:r>
        <w:rPr>
          <w:rFonts w:hint="default" w:ascii="Times New Roman" w:hAnsi="Times New Roman" w:cs="Times New Roman"/>
          <w:color w:val="auto"/>
          <w:sz w:val="24"/>
          <w:szCs w:val="24"/>
          <w:highlight w:val="none"/>
        </w:rPr>
        <w:t>0.33</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rPr>
        <w:t>，后者为</w:t>
      </w:r>
      <w:r>
        <w:rPr>
          <w:rFonts w:hint="default" w:ascii="Times New Roman" w:hAnsi="Times New Roman" w:cs="Times New Roman"/>
          <w:color w:val="auto"/>
          <w:sz w:val="24"/>
          <w:szCs w:val="24"/>
          <w:highlight w:val="none"/>
        </w:rPr>
        <w:t>0.12</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rPr>
        <w:t>。主要靠基岩裂隙水补给，其次为降水。流出山口后几乎全部补给百口泉一带洪积扇的潜水和下部承压水</w:t>
      </w:r>
      <w:r>
        <w:rPr>
          <w:rFonts w:hint="eastAsia"/>
          <w:color w:val="auto"/>
          <w:sz w:val="24"/>
          <w:szCs w:val="24"/>
          <w:highlight w:val="none"/>
          <w:lang w:eastAsia="zh-CN"/>
        </w:rPr>
        <w:t>。</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eastAsia="宋体"/>
          <w:color w:val="auto"/>
          <w:sz w:val="24"/>
          <w:szCs w:val="24"/>
          <w:highlight w:val="none"/>
          <w:lang w:val="en-US" w:eastAsia="zh-CN"/>
        </w:rPr>
      </w:pPr>
      <w:r>
        <w:rPr>
          <w:rFonts w:hint="eastAsia"/>
          <w:color w:val="auto"/>
          <w:sz w:val="24"/>
          <w:szCs w:val="24"/>
          <w:highlight w:val="none"/>
          <w:lang w:val="en-US" w:eastAsia="zh-CN"/>
        </w:rPr>
        <w:t>④玛纳斯河</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玛纳斯河：发源于北天山，流出山口后折向西径流注入玛纳斯湖。洪水出现</w:t>
      </w:r>
    </w:p>
    <w:p>
      <w:pPr>
        <w:pageBreakBefore w:val="0"/>
        <w:widowControl/>
        <w:kinsoku/>
        <w:wordWrap/>
        <w:overflowPunct/>
        <w:topLinePunct w:val="0"/>
        <w:autoSpaceDE/>
        <w:autoSpaceDN/>
        <w:bidi w:val="0"/>
        <w:adjustRightInd w:val="0"/>
        <w:snapToGrid w:val="0"/>
        <w:spacing w:line="480" w:lineRule="exact"/>
        <w:jc w:val="left"/>
        <w:textAlignment w:val="auto"/>
        <w:rPr>
          <w:rFonts w:hint="eastAsia"/>
          <w:color w:val="auto"/>
          <w:sz w:val="24"/>
          <w:szCs w:val="24"/>
          <w:highlight w:val="none"/>
        </w:rPr>
      </w:pPr>
      <w:r>
        <w:rPr>
          <w:rFonts w:hint="eastAsia"/>
          <w:color w:val="auto"/>
          <w:sz w:val="24"/>
          <w:szCs w:val="24"/>
          <w:highlight w:val="none"/>
        </w:rPr>
        <w:t>在仲夏时期，年径流量约</w:t>
      </w:r>
      <w:r>
        <w:rPr>
          <w:rFonts w:hint="default" w:ascii="Times New Roman" w:hAnsi="Times New Roman" w:cs="Times New Roman"/>
          <w:color w:val="auto"/>
          <w:sz w:val="24"/>
          <w:szCs w:val="24"/>
          <w:highlight w:val="none"/>
        </w:rPr>
        <w:t>10</w:t>
      </w:r>
      <w:r>
        <w:rPr>
          <w:rFonts w:hint="default" w:ascii="Times New Roman" w:hAnsi="Times New Roman" w:cs="Times New Roman"/>
          <w:color w:val="auto"/>
          <w:sz w:val="24"/>
          <w:szCs w:val="24"/>
          <w:highlight w:val="none"/>
          <w:lang w:val="en-US" w:eastAsia="zh-CN"/>
        </w:rPr>
        <w:t>×10</w:t>
      </w:r>
      <w:r>
        <w:rPr>
          <w:rFonts w:hint="default" w:ascii="Times New Roman" w:hAnsi="Times New Roman" w:cs="Times New Roman"/>
          <w:color w:val="auto"/>
          <w:sz w:val="24"/>
          <w:szCs w:val="24"/>
          <w:highlight w:val="none"/>
          <w:vertAlign w:val="superscript"/>
          <w:lang w:val="en-US" w:eastAsia="zh-CN"/>
        </w:rPr>
        <w:t>8</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3</w:t>
      </w:r>
      <w:r>
        <w:rPr>
          <w:rFonts w:hint="eastAsia"/>
          <w:color w:val="auto"/>
          <w:sz w:val="24"/>
          <w:szCs w:val="24"/>
          <w:highlight w:val="none"/>
        </w:rPr>
        <w:t>。当流过洪积扇时，河水大量渗漏补给地下水。因蓄、引灌溉，下游早已断流。</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（3）新疆生产建设兵团第七师胡杨河市</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新疆生产建设兵团第七师胡杨河市地表水资源主要来自奎屯河、四棵树河、古尔图河等三条河流。河流发源于天山，属高山融雪及降水补给类型的内陆河流，其特点是河流水量随气温的高低而涨落，冬季水小，夏季水大。多年三河平均来水量12.56亿</w:t>
      </w:r>
      <w:bookmarkStart w:id="487" w:name="OLE_LINK118"/>
      <w:r>
        <w:rPr>
          <w:rFonts w:hint="eastAsia"/>
          <w:color w:val="auto"/>
          <w:sz w:val="24"/>
          <w:szCs w:val="24"/>
          <w:highlight w:val="none"/>
          <w:lang w:val="en-US" w:eastAsia="zh-CN"/>
        </w:rPr>
        <w:t>m</w:t>
      </w:r>
      <w:r>
        <w:rPr>
          <w:rFonts w:hint="eastAsia"/>
          <w:color w:val="auto"/>
          <w:sz w:val="24"/>
          <w:szCs w:val="24"/>
          <w:highlight w:val="none"/>
          <w:vertAlign w:val="superscript"/>
          <w:lang w:val="en-US" w:eastAsia="zh-CN"/>
        </w:rPr>
        <w:t>3</w:t>
      </w:r>
      <w:bookmarkEnd w:id="487"/>
      <w:r>
        <w:rPr>
          <w:rFonts w:hint="eastAsia"/>
          <w:color w:val="auto"/>
          <w:sz w:val="24"/>
          <w:szCs w:val="24"/>
          <w:highlight w:val="none"/>
          <w:lang w:val="en-US" w:eastAsia="zh-CN"/>
        </w:rPr>
        <w:t>，最高年份来水量15.08亿m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，最小年份来水量10.2亿m</w:t>
      </w:r>
      <w:r>
        <w:rPr>
          <w:rFonts w:hint="eastAsia"/>
          <w:color w:val="auto"/>
          <w:sz w:val="24"/>
          <w:szCs w:val="24"/>
          <w:highlight w:val="none"/>
          <w:vertAlign w:val="superscript"/>
          <w:lang w:val="en-US" w:eastAsia="zh-CN"/>
        </w:rPr>
        <w:t>3</w:t>
      </w:r>
      <w:r>
        <w:rPr>
          <w:rFonts w:hint="eastAsia"/>
          <w:color w:val="auto"/>
          <w:sz w:val="24"/>
          <w:szCs w:val="24"/>
          <w:highlight w:val="none"/>
          <w:lang w:val="en-US" w:eastAsia="zh-CN"/>
        </w:rPr>
        <w:t>。春水约占年总水量的20%，夏水占50%，秋水占20%，冬水占10%。流域内水量依据历史协议按比例分配，供七师、乌苏市、奎屯市和独山子区工农业用水。</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奎屯河发源于依连哈比尔尕山北坡海拔2800～3600米的山区，以冰川、积雪融水、降水及沿程地下水补给为主。由南向北经131团山区牧场，乌苏巴音沟牧场，36145部队，在独山子矿区出山后流入准噶尔盆地区，在乌伊公路奎屯河大桥处沿131团西缘向北流，经乌苏良种场、九间楼和皇宫乡、头台乡，沿胡杨河市西北流入奎屯水库，再沿125团东缘向北，经乌苏车排子乡向西北，沿123团和127团西南缘及126团南缘向西流经乌苏石桥乡甘家湖林场，甘家湖牧场，在五道泉处进入精河县东北经散德克库木大沙漠流入艾比湖。全长359.6公里，其中流经七师垦区河长84.0公里（不包括天山区草牧场的河道），是七师辖区内最长的河流。</w:t>
      </w:r>
    </w:p>
    <w:p>
      <w:pPr>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lang w:val="en-US" w:eastAsia="zh-CN"/>
        </w:rPr>
        <w:t>项目区周边无地表水。</w:t>
      </w:r>
    </w:p>
    <w:p>
      <w:pPr>
        <w:pStyle w:val="5"/>
        <w:pageBreakBefore w:val="0"/>
        <w:widowControl/>
        <w:kinsoku/>
        <w:wordWrap/>
        <w:overflowPunct/>
        <w:topLinePunct w:val="0"/>
        <w:autoSpaceDE/>
        <w:autoSpaceDN/>
        <w:bidi w:val="0"/>
        <w:spacing w:line="480" w:lineRule="exact"/>
        <w:jc w:val="left"/>
        <w:textAlignment w:val="auto"/>
        <w:rPr>
          <w:rFonts w:cs="Times New Roman"/>
          <w:color w:val="auto"/>
          <w:highlight w:val="none"/>
        </w:rPr>
      </w:pPr>
      <w:r>
        <w:rPr>
          <w:rFonts w:cs="Times New Roman"/>
          <w:color w:val="auto"/>
          <w:highlight w:val="none"/>
        </w:rPr>
        <w:t>4.1.4.2</w:t>
      </w:r>
      <w:r>
        <w:rPr>
          <w:rFonts w:hint="eastAsia" w:cs="Times New Roman"/>
          <w:color w:val="auto"/>
          <w:highlight w:val="none"/>
        </w:rPr>
        <w:t>水文地质</w:t>
      </w:r>
    </w:p>
    <w:p>
      <w:pPr>
        <w:pageBreakBefore w:val="0"/>
        <w:widowControl/>
        <w:kinsoku/>
        <w:wordWrap/>
        <w:overflowPunct/>
        <w:topLinePunct w:val="0"/>
        <w:autoSpaceDE/>
        <w:autoSpaceDN/>
        <w:bidi w:val="0"/>
        <w:spacing w:line="480" w:lineRule="exact"/>
        <w:ind w:firstLine="480" w:firstLineChars="200"/>
        <w:jc w:val="left"/>
        <w:textAlignment w:val="auto"/>
        <w:rPr>
          <w:rFonts w:hint="eastAsia"/>
          <w:color w:val="auto"/>
          <w:sz w:val="24"/>
          <w:szCs w:val="24"/>
          <w:highlight w:val="none"/>
        </w:rPr>
      </w:pPr>
      <w:r>
        <w:rPr>
          <w:rFonts w:hint="eastAsia"/>
          <w:color w:val="auto"/>
          <w:sz w:val="24"/>
          <w:szCs w:val="24"/>
          <w:highlight w:val="none"/>
        </w:rPr>
        <w:t>根据《新疆准噶尔盆地油田区地下水及其利用》资料，本工程所在区域地下水化学特征受地质、地貌、岩性、埋深及补排关系等因素的影响和控制。地下水的补给主要由地表水渗透、大气降水以及地下潜流组成，以地表水的渗漏为主，其次是地下潜流和大气降水。</w:t>
      </w:r>
    </w:p>
    <w:p>
      <w:pPr>
        <w:pStyle w:val="57"/>
        <w:pageBreakBefore w:val="0"/>
        <w:widowControl/>
        <w:kinsoku/>
        <w:wordWrap/>
        <w:overflowPunct/>
        <w:topLinePunct w:val="0"/>
        <w:autoSpaceDE/>
        <w:autoSpaceDN/>
        <w:bidi w:val="0"/>
        <w:spacing w:line="480" w:lineRule="exact"/>
        <w:jc w:val="left"/>
        <w:textAlignment w:val="auto"/>
        <w:rPr>
          <w:color w:val="auto"/>
          <w:highlight w:val="none"/>
        </w:rPr>
      </w:pPr>
      <w:r>
        <w:rPr>
          <w:rFonts w:hint="eastAsia"/>
          <w:color w:val="auto"/>
          <w:sz w:val="24"/>
          <w:szCs w:val="24"/>
          <w:highlight w:val="none"/>
        </w:rPr>
        <w:t>本工程建设地点位于夏子街油田。根据水文地质勘探资料表明，该区域白垩系富含孔隙－裂隙水。通过对白垩系地层岩性、特征的分析研究，说明</w:t>
      </w:r>
      <w:r>
        <w:rPr>
          <w:rFonts w:hint="eastAsia"/>
          <w:color w:val="auto"/>
          <w:sz w:val="24"/>
          <w:szCs w:val="24"/>
          <w:highlight w:val="none"/>
          <w:lang w:eastAsia="zh-CN"/>
        </w:rPr>
        <w:t>中生代</w:t>
      </w:r>
      <w:r>
        <w:rPr>
          <w:rFonts w:hint="eastAsia"/>
          <w:color w:val="auto"/>
          <w:sz w:val="24"/>
          <w:szCs w:val="24"/>
          <w:highlight w:val="none"/>
        </w:rPr>
        <w:t>地层是在潮湿气候的泻湖—湖泊环境条件下形成的。从新生代开始，区域地壳不断上升，白垩系地层接受风化和剥蚀，湖泊相</w:t>
      </w:r>
      <w:r>
        <w:rPr>
          <w:rFonts w:hint="eastAsia"/>
          <w:color w:val="auto"/>
          <w:sz w:val="24"/>
          <w:szCs w:val="24"/>
          <w:highlight w:val="none"/>
          <w:lang w:eastAsia="zh-CN"/>
        </w:rPr>
        <w:t>的水分</w:t>
      </w:r>
      <w:r>
        <w:rPr>
          <w:rFonts w:hint="eastAsia"/>
          <w:color w:val="auto"/>
          <w:sz w:val="24"/>
          <w:szCs w:val="24"/>
          <w:highlight w:val="none"/>
        </w:rPr>
        <w:t>便在白垩系碎屑岩层的裂隙孔隙中残留下来，形成了区域地下水。与此同时，山区降水入渗形成的基岩裂隙水和地表水，在漫长的地质历史时期，通过侧向流入和渗漏补给储存在白垩系地层中，构成地下水的含水层</w:t>
      </w:r>
      <w:r>
        <w:rPr>
          <w:color w:val="auto"/>
          <w:highlight w:val="none"/>
        </w:rPr>
        <w:t>。</w:t>
      </w:r>
    </w:p>
    <w:p>
      <w:pPr>
        <w:pStyle w:val="53"/>
        <w:pageBreakBefore w:val="0"/>
        <w:widowControl/>
        <w:kinsoku/>
        <w:wordWrap/>
        <w:overflowPunct/>
        <w:topLinePunct w:val="0"/>
        <w:autoSpaceDE/>
        <w:autoSpaceDN/>
        <w:bidi w:val="0"/>
        <w:spacing w:line="480" w:lineRule="exact"/>
        <w:textAlignment w:val="auto"/>
        <w:rPr>
          <w:color w:val="auto"/>
          <w:highlight w:val="none"/>
        </w:rPr>
      </w:pPr>
      <w:bookmarkStart w:id="488" w:name="_Toc173941865"/>
      <w:r>
        <w:rPr>
          <w:color w:val="auto"/>
          <w:highlight w:val="none"/>
        </w:rPr>
        <w:t>4.1.5气候、气象</w:t>
      </w:r>
      <w:bookmarkEnd w:id="488"/>
    </w:p>
    <w:p>
      <w:pPr>
        <w:pageBreakBefore w:val="0"/>
        <w:widowControl/>
        <w:kinsoku/>
        <w:wordWrap/>
        <w:overflowPunct/>
        <w:topLinePunct w:val="0"/>
        <w:autoSpaceDE/>
        <w:autoSpaceDN/>
        <w:bidi w:val="0"/>
        <w:spacing w:line="480" w:lineRule="exact"/>
        <w:ind w:firstLine="480"/>
        <w:textAlignment w:val="auto"/>
        <w:rPr>
          <w:rFonts w:hint="eastAsia"/>
          <w:color w:val="auto"/>
          <w:sz w:val="24"/>
          <w:szCs w:val="24"/>
          <w:highlight w:val="none"/>
        </w:rPr>
      </w:pPr>
      <w:bookmarkStart w:id="489" w:name="_Toc28188"/>
      <w:bookmarkStart w:id="490" w:name="_Toc15815"/>
      <w:bookmarkStart w:id="491" w:name="_Toc173942687"/>
      <w:bookmarkStart w:id="492" w:name="_Toc173941733"/>
      <w:bookmarkStart w:id="493" w:name="_Toc173941873"/>
      <w:bookmarkStart w:id="494" w:name="_Toc173941867"/>
      <w:bookmarkStart w:id="495" w:name="_Toc901"/>
      <w:bookmarkStart w:id="496" w:name="_Toc173941732"/>
      <w:bookmarkStart w:id="497" w:name="_Toc173942686"/>
      <w:r>
        <w:rPr>
          <w:rFonts w:hint="eastAsia"/>
          <w:color w:val="auto"/>
          <w:sz w:val="24"/>
          <w:szCs w:val="24"/>
          <w:highlight w:val="none"/>
          <w:lang w:val="en-US" w:eastAsia="zh-CN"/>
        </w:rPr>
        <w:t>夏子街油田属典型的大陆型干旱、半干旱气候。夏季炎热，冬季严寒，春秋季多风，降水稀少，蒸发量大，空气干燥，光照丰富</w:t>
      </w:r>
      <w:r>
        <w:rPr>
          <w:rFonts w:hint="eastAsia"/>
          <w:color w:val="auto"/>
          <w:sz w:val="24"/>
          <w:szCs w:val="24"/>
          <w:highlight w:val="none"/>
        </w:rPr>
        <w:t>。夏子街油田气象资料见表4.1-1。</w:t>
      </w:r>
    </w:p>
    <w:p>
      <w:pPr>
        <w:pageBreakBefore w:val="0"/>
        <w:widowControl/>
        <w:kinsoku/>
        <w:wordWrap/>
        <w:overflowPunct/>
        <w:topLinePunct w:val="0"/>
        <w:autoSpaceDE/>
        <w:autoSpaceDN/>
        <w:bidi w:val="0"/>
        <w:spacing w:line="480" w:lineRule="exact"/>
        <w:ind w:firstLine="422" w:firstLineChars="200"/>
        <w:jc w:val="center"/>
        <w:textAlignment w:val="auto"/>
        <w:rPr>
          <w:rFonts w:hint="eastAsia" w:ascii="黑体" w:hAnsi="黑体" w:eastAsia="黑体"/>
          <w:b/>
          <w:color w:val="auto"/>
          <w:highlight w:val="none"/>
        </w:rPr>
      </w:pPr>
      <w:r>
        <w:rPr>
          <w:rFonts w:hint="eastAsia" w:ascii="黑体" w:hAnsi="黑体" w:eastAsia="黑体"/>
          <w:b/>
          <w:color w:val="auto"/>
          <w:highlight w:val="none"/>
        </w:rPr>
        <w:t>表4.1-1           主要气候气象参数一览表</w:t>
      </w:r>
    </w:p>
    <w:tbl>
      <w:tblPr>
        <w:tblStyle w:val="34"/>
        <w:tblW w:w="8039" w:type="dxa"/>
        <w:tblInd w:w="12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45"/>
        <w:gridCol w:w="3179"/>
        <w:gridCol w:w="1697"/>
        <w:gridCol w:w="181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3" w:hRule="atLeast"/>
        </w:trPr>
        <w:tc>
          <w:tcPr>
            <w:tcW w:w="4524" w:type="dxa"/>
            <w:gridSpan w:val="2"/>
            <w:tcBorders>
              <w:top w:val="single" w:color="000000" w:sz="12"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项目名称</w:t>
            </w:r>
          </w:p>
        </w:tc>
        <w:tc>
          <w:tcPr>
            <w:tcW w:w="1697" w:type="dxa"/>
            <w:tcBorders>
              <w:top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单位</w:t>
            </w:r>
          </w:p>
        </w:tc>
        <w:tc>
          <w:tcPr>
            <w:tcW w:w="1818" w:type="dxa"/>
            <w:tcBorders>
              <w:top w:val="single" w:color="000000" w:sz="12"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数值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restart"/>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气温</w:t>
            </w: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最冷月平均</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-14.7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最热月平均</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20.3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极端最高</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34.5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极端最低</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-30.6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年平均</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restart"/>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室外计算相对湿度</w:t>
            </w: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最冷月</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最热月</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43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 xml:space="preserve">最热月 </w:t>
            </w:r>
            <w:r>
              <w:rPr>
                <w:color w:val="auto"/>
                <w:szCs w:val="21"/>
                <w:highlight w:val="none"/>
              </w:rPr>
              <w:t xml:space="preserve">14 </w:t>
            </w:r>
            <w:r>
              <w:rPr>
                <w:rFonts w:hint="eastAsia"/>
                <w:color w:val="auto"/>
                <w:szCs w:val="21"/>
                <w:highlight w:val="none"/>
              </w:rPr>
              <w:t>时平均</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restart"/>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平均风速</w:t>
            </w: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冬季</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m/s</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夏季</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m/s</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2.6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年平均</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m/s</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restart"/>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最多风向及其频率</w:t>
            </w: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冬季</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NW 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夏季</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 19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vMerge w:val="continue"/>
            <w:tcBorders>
              <w:top w:val="single" w:color="000000" w:sz="4" w:space="0"/>
              <w:left w:val="single" w:color="000000" w:sz="12"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p>
        </w:tc>
        <w:tc>
          <w:tcPr>
            <w:tcW w:w="3179"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全年最多</w:t>
            </w:r>
          </w:p>
        </w:tc>
        <w:tc>
          <w:tcPr>
            <w:tcW w:w="1697" w:type="dxa"/>
            <w:tcBorders>
              <w:top w:val="single" w:color="000000" w:sz="4" w:space="0"/>
              <w:bottom w:val="single" w:color="000000" w:sz="4"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t>
            </w:r>
          </w:p>
        </w:tc>
        <w:tc>
          <w:tcPr>
            <w:tcW w:w="1818" w:type="dxa"/>
            <w:tcBorders>
              <w:top w:val="single" w:color="000000" w:sz="4" w:space="0"/>
              <w:bottom w:val="single" w:color="000000" w:sz="4"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W 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1345" w:type="dxa"/>
            <w:tcBorders>
              <w:top w:val="single" w:color="000000" w:sz="4" w:space="0"/>
              <w:left w:val="single" w:color="000000" w:sz="12" w:space="0"/>
              <w:bottom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极大风速及风</w:t>
            </w:r>
          </w:p>
        </w:tc>
        <w:tc>
          <w:tcPr>
            <w:tcW w:w="3179" w:type="dxa"/>
            <w:tcBorders>
              <w:top w:val="single" w:color="000000" w:sz="4" w:space="0"/>
              <w:bottom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olor w:val="auto"/>
                <w:szCs w:val="21"/>
                <w:highlight w:val="none"/>
              </w:rPr>
            </w:pPr>
            <w:r>
              <w:rPr>
                <w:rFonts w:hint="eastAsia"/>
                <w:color w:val="auto"/>
                <w:szCs w:val="21"/>
                <w:highlight w:val="none"/>
              </w:rPr>
              <w:t>风速</w:t>
            </w:r>
            <w:r>
              <w:rPr>
                <w:color w:val="auto"/>
                <w:szCs w:val="21"/>
                <w:highlight w:val="none"/>
              </w:rPr>
              <w:t>/</w:t>
            </w:r>
            <w:r>
              <w:rPr>
                <w:rFonts w:hint="eastAsia"/>
                <w:color w:val="auto"/>
                <w:szCs w:val="21"/>
                <w:highlight w:val="none"/>
              </w:rPr>
              <w:t>标准风压</w:t>
            </w:r>
          </w:p>
        </w:tc>
        <w:tc>
          <w:tcPr>
            <w:tcW w:w="1697" w:type="dxa"/>
            <w:tcBorders>
              <w:top w:val="single" w:color="000000" w:sz="4" w:space="0"/>
              <w:bottom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m/s/Pa</w:t>
            </w:r>
          </w:p>
        </w:tc>
        <w:tc>
          <w:tcPr>
            <w:tcW w:w="1818" w:type="dxa"/>
            <w:tcBorders>
              <w:top w:val="single" w:color="000000" w:sz="4" w:space="0"/>
              <w:bottom w:val="single" w:color="000000" w:sz="12" w:space="0"/>
              <w:right w:val="single" w:color="000000" w:sz="12" w:space="0"/>
            </w:tcBorders>
            <w:vAlign w:val="top"/>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highlight w:val="none"/>
              </w:rPr>
            </w:pPr>
            <w:r>
              <w:rPr>
                <w:color w:val="auto"/>
                <w:szCs w:val="21"/>
                <w:highlight w:val="none"/>
              </w:rPr>
              <w:t>25.4</w:t>
            </w:r>
          </w:p>
        </w:tc>
      </w:tr>
      <w:bookmarkEnd w:id="489"/>
      <w:bookmarkEnd w:id="490"/>
      <w:bookmarkEnd w:id="491"/>
      <w:bookmarkEnd w:id="492"/>
      <w:bookmarkEnd w:id="493"/>
    </w:tbl>
    <w:p>
      <w:pPr>
        <w:pStyle w:val="49"/>
        <w:rPr>
          <w:color w:val="auto"/>
          <w:highlight w:val="none"/>
        </w:rPr>
      </w:pPr>
      <w:bookmarkStart w:id="498" w:name="_Toc32030"/>
      <w:r>
        <w:rPr>
          <w:rFonts w:hint="eastAsia"/>
          <w:color w:val="auto"/>
          <w:highlight w:val="none"/>
        </w:rPr>
        <w:t>4.2</w:t>
      </w:r>
      <w:r>
        <w:rPr>
          <w:color w:val="auto"/>
          <w:highlight w:val="none"/>
        </w:rPr>
        <w:t>生态环境现状调查与评价</w:t>
      </w:r>
      <w:bookmarkEnd w:id="498"/>
    </w:p>
    <w:p>
      <w:pPr>
        <w:pStyle w:val="53"/>
        <w:rPr>
          <w:color w:val="auto"/>
          <w:highlight w:val="none"/>
        </w:rPr>
      </w:pPr>
      <w:bookmarkStart w:id="499" w:name="_Toc173941874"/>
      <w:r>
        <w:rPr>
          <w:rFonts w:hint="eastAsia"/>
          <w:color w:val="auto"/>
          <w:highlight w:val="none"/>
        </w:rPr>
        <w:t>4.2</w:t>
      </w:r>
      <w:r>
        <w:rPr>
          <w:color w:val="auto"/>
          <w:highlight w:val="none"/>
        </w:rPr>
        <w:t>.1调查方法及评价内容</w:t>
      </w:r>
      <w:bookmarkEnd w:id="499"/>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ascii="Times New Roman" w:hAnsi="Times New Roman" w:eastAsia="宋体" w:cs="Times New Roman"/>
          <w:color w:val="auto"/>
          <w:sz w:val="24"/>
          <w:szCs w:val="24"/>
          <w:highlight w:val="none"/>
          <w:lang w:val="en-US" w:eastAsia="zh-CN" w:bidi="ar-SA"/>
        </w:rPr>
        <w:t>（1）调查范围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本工程</w:t>
      </w:r>
      <w:r>
        <w:rPr>
          <w:rFonts w:ascii="Times New Roman" w:hAnsi="Times New Roman" w:eastAsia="宋体" w:cs="Times New Roman"/>
          <w:color w:val="auto"/>
          <w:sz w:val="24"/>
          <w:szCs w:val="24"/>
          <w:highlight w:val="none"/>
          <w:lang w:val="en-US" w:eastAsia="zh-CN" w:bidi="ar-SA"/>
        </w:rPr>
        <w:t>地处</w:t>
      </w:r>
      <w:r>
        <w:rPr>
          <w:rFonts w:hint="eastAsia" w:ascii="Times New Roman" w:hAnsi="Times New Roman" w:eastAsia="宋体" w:cs="Times New Roman"/>
          <w:color w:val="auto"/>
          <w:sz w:val="24"/>
          <w:szCs w:val="24"/>
          <w:highlight w:val="none"/>
          <w:lang w:val="en-US" w:eastAsia="zh-CN" w:bidi="ar-SA"/>
        </w:rPr>
        <w:t>准噶尔盆地西北部，所在区域位于中国石油天然气股份有限公司新疆油田分公司夏子街油田，区域构造位于准噶尔盆地西北缘乌夏断裂带东段。项目所在行政区划隶属于克拉玛依市乌尔禾区、塔城地区和布克赛尔蒙古自治县</w:t>
      </w:r>
      <w:r>
        <w:rPr>
          <w:rFonts w:hint="eastAsia" w:cs="Times New Roman"/>
          <w:color w:val="auto"/>
          <w:sz w:val="24"/>
          <w:szCs w:val="24"/>
          <w:highlight w:val="none"/>
          <w:lang w:val="en-US" w:eastAsia="zh-CN" w:bidi="ar-SA"/>
        </w:rPr>
        <w:t>、新疆生产建设兵团第七师胡杨河市</w:t>
      </w:r>
      <w:r>
        <w:rPr>
          <w:rFonts w:ascii="Times New Roman" w:hAnsi="Times New Roman" w:eastAsia="宋体" w:cs="Times New Roman"/>
          <w:color w:val="auto"/>
          <w:sz w:val="24"/>
          <w:szCs w:val="24"/>
          <w:highlight w:val="none"/>
          <w:lang w:val="en-US" w:eastAsia="zh-CN" w:bidi="ar-SA"/>
        </w:rPr>
        <w:t>。主要建设内容为</w:t>
      </w:r>
      <w:r>
        <w:rPr>
          <w:rFonts w:hint="eastAsia" w:ascii="Times New Roman" w:hAnsi="Times New Roman" w:eastAsia="宋体" w:cs="Times New Roman"/>
          <w:color w:val="auto"/>
          <w:sz w:val="24"/>
          <w:szCs w:val="24"/>
          <w:highlight w:val="none"/>
          <w:lang w:val="en-US" w:eastAsia="zh-CN" w:bidi="ar-SA"/>
        </w:rPr>
        <w:t>：新部署7口采油井，</w:t>
      </w:r>
      <w:r>
        <w:rPr>
          <w:rFonts w:hint="eastAsia" w:cs="Times New Roman"/>
          <w:color w:val="auto"/>
          <w:sz w:val="24"/>
          <w:szCs w:val="24"/>
          <w:highlight w:val="none"/>
          <w:lang w:val="en-US" w:eastAsia="zh-CN" w:bidi="ar-SA"/>
        </w:rPr>
        <w:t>新</w:t>
      </w:r>
      <w:r>
        <w:rPr>
          <w:rFonts w:hint="eastAsia" w:ascii="Times New Roman" w:hAnsi="Times New Roman" w:eastAsia="宋体" w:cs="Times New Roman"/>
          <w:color w:val="auto"/>
          <w:sz w:val="24"/>
          <w:szCs w:val="24"/>
          <w:highlight w:val="none"/>
          <w:lang w:val="en-US" w:eastAsia="zh-CN" w:bidi="ar-SA"/>
        </w:rPr>
        <w:t>建采油井场18座；新建集中拉油站一座，12井式计量站一座，新建阀池1座；新建各类集输管线</w:t>
      </w:r>
      <w:r>
        <w:rPr>
          <w:rFonts w:hint="eastAsia" w:cs="Times New Roman"/>
          <w:color w:val="auto"/>
          <w:sz w:val="24"/>
          <w:szCs w:val="24"/>
          <w:highlight w:val="none"/>
          <w:lang w:val="en-US" w:eastAsia="zh-CN" w:bidi="ar-SA"/>
        </w:rPr>
        <w:t>34.25</w:t>
      </w:r>
      <w:r>
        <w:rPr>
          <w:rFonts w:hint="eastAsia" w:ascii="Times New Roman" w:hAnsi="Times New Roman" w:eastAsia="宋体" w:cs="Times New Roman"/>
          <w:color w:val="auto"/>
          <w:sz w:val="24"/>
          <w:szCs w:val="24"/>
          <w:highlight w:val="none"/>
          <w:lang w:val="en-US" w:eastAsia="zh-CN" w:bidi="ar-SA"/>
        </w:rPr>
        <w:t>km；配套自动控制、通信、供配电、结构、给排水及消防等辅助系统工程。</w:t>
      </w:r>
      <w:r>
        <w:rPr>
          <w:rFonts w:ascii="Times New Roman" w:hAnsi="Times New Roman" w:eastAsia="宋体" w:cs="Times New Roman"/>
          <w:color w:val="auto"/>
          <w:sz w:val="24"/>
          <w:szCs w:val="24"/>
          <w:highlight w:val="none"/>
          <w:lang w:val="en-US" w:eastAsia="zh-CN" w:bidi="ar-SA"/>
        </w:rPr>
        <w:t>根据工程分析，</w:t>
      </w:r>
      <w:r>
        <w:rPr>
          <w:rFonts w:hint="eastAsia" w:ascii="Times New Roman" w:hAnsi="Times New Roman" w:eastAsia="宋体" w:cs="Times New Roman"/>
          <w:color w:val="auto"/>
          <w:spacing w:val="4"/>
          <w:kern w:val="24"/>
          <w:sz w:val="24"/>
          <w:szCs w:val="24"/>
          <w:highlight w:val="none"/>
          <w:lang w:val="en-US" w:eastAsia="zh-CN" w:bidi="ar-SA"/>
        </w:rPr>
        <w:t>本工程总占地约</w:t>
      </w:r>
      <w:r>
        <w:rPr>
          <w:rFonts w:hint="eastAsia" w:cs="Times New Roman"/>
          <w:color w:val="auto"/>
          <w:spacing w:val="4"/>
          <w:kern w:val="24"/>
          <w:sz w:val="24"/>
          <w:szCs w:val="24"/>
          <w:highlight w:val="none"/>
          <w:lang w:val="en-US" w:eastAsia="zh-CN" w:bidi="ar-SA"/>
        </w:rPr>
        <w:t>51.696</w:t>
      </w:r>
      <w:r>
        <w:rPr>
          <w:rFonts w:hint="eastAsia" w:ascii="Times New Roman" w:hAnsi="Times New Roman" w:eastAsia="宋体" w:cs="Times New Roman"/>
          <w:color w:val="auto"/>
          <w:spacing w:val="4"/>
          <w:kern w:val="24"/>
          <w:sz w:val="24"/>
          <w:szCs w:val="24"/>
          <w:highlight w:val="none"/>
          <w:lang w:val="en-US" w:eastAsia="zh-CN" w:bidi="ar-SA"/>
        </w:rPr>
        <w:t>hm</w:t>
      </w:r>
      <w:r>
        <w:rPr>
          <w:rFonts w:hint="eastAsia" w:ascii="Times New Roman" w:hAnsi="Times New Roman" w:eastAsia="宋体" w:cs="Times New Roman"/>
          <w:color w:val="auto"/>
          <w:spacing w:val="4"/>
          <w:kern w:val="24"/>
          <w:sz w:val="24"/>
          <w:szCs w:val="24"/>
          <w:highlight w:val="none"/>
          <w:vertAlign w:val="superscript"/>
          <w:lang w:val="en-US" w:eastAsia="zh-CN" w:bidi="ar-SA"/>
        </w:rPr>
        <w:t>2</w:t>
      </w:r>
      <w:r>
        <w:rPr>
          <w:rFonts w:hint="eastAsia" w:ascii="Times New Roman" w:hAnsi="Times New Roman" w:eastAsia="宋体" w:cs="Times New Roman"/>
          <w:color w:val="auto"/>
          <w:spacing w:val="4"/>
          <w:kern w:val="24"/>
          <w:sz w:val="24"/>
          <w:szCs w:val="24"/>
          <w:highlight w:val="none"/>
          <w:lang w:val="en-US" w:eastAsia="zh-CN" w:bidi="ar-SA"/>
        </w:rPr>
        <w:t>，其中永久占地</w:t>
      </w:r>
      <w:r>
        <w:rPr>
          <w:rFonts w:hint="eastAsia" w:cs="Times New Roman"/>
          <w:color w:val="auto"/>
          <w:spacing w:val="4"/>
          <w:kern w:val="24"/>
          <w:sz w:val="24"/>
          <w:szCs w:val="24"/>
          <w:highlight w:val="none"/>
          <w:lang w:val="en-US" w:eastAsia="zh-CN" w:bidi="ar-SA"/>
        </w:rPr>
        <w:t>3.176</w:t>
      </w:r>
      <w:r>
        <w:rPr>
          <w:rFonts w:hint="eastAsia" w:ascii="Times New Roman" w:hAnsi="Times New Roman" w:eastAsia="宋体" w:cs="Times New Roman"/>
          <w:color w:val="auto"/>
          <w:spacing w:val="4"/>
          <w:kern w:val="24"/>
          <w:sz w:val="24"/>
          <w:szCs w:val="24"/>
          <w:highlight w:val="none"/>
          <w:lang w:val="en-US" w:eastAsia="zh-CN" w:bidi="ar-SA"/>
        </w:rPr>
        <w:t>hm</w:t>
      </w:r>
      <w:r>
        <w:rPr>
          <w:rFonts w:hint="eastAsia" w:ascii="Times New Roman" w:hAnsi="Times New Roman" w:eastAsia="宋体" w:cs="Times New Roman"/>
          <w:color w:val="auto"/>
          <w:spacing w:val="4"/>
          <w:kern w:val="24"/>
          <w:sz w:val="24"/>
          <w:szCs w:val="24"/>
          <w:highlight w:val="none"/>
          <w:vertAlign w:val="superscript"/>
          <w:lang w:val="en-US" w:eastAsia="zh-CN" w:bidi="ar-SA"/>
        </w:rPr>
        <w:t>2</w:t>
      </w:r>
      <w:r>
        <w:rPr>
          <w:rFonts w:hint="eastAsia" w:ascii="Times New Roman" w:hAnsi="Times New Roman" w:eastAsia="宋体" w:cs="Times New Roman"/>
          <w:color w:val="auto"/>
          <w:spacing w:val="4"/>
          <w:kern w:val="24"/>
          <w:sz w:val="24"/>
          <w:szCs w:val="24"/>
          <w:highlight w:val="none"/>
          <w:lang w:val="en-US" w:eastAsia="zh-CN" w:bidi="ar-SA"/>
        </w:rPr>
        <w:t>、临时占地</w:t>
      </w:r>
      <w:r>
        <w:rPr>
          <w:rFonts w:hint="eastAsia" w:cs="Times New Roman"/>
          <w:color w:val="auto"/>
          <w:spacing w:val="4"/>
          <w:kern w:val="24"/>
          <w:sz w:val="24"/>
          <w:szCs w:val="24"/>
          <w:highlight w:val="none"/>
          <w:lang w:val="en-US" w:eastAsia="zh-CN" w:bidi="ar-SA"/>
        </w:rPr>
        <w:t>48.52</w:t>
      </w:r>
      <w:r>
        <w:rPr>
          <w:rFonts w:hint="eastAsia" w:ascii="Times New Roman" w:hAnsi="Times New Roman" w:eastAsia="宋体" w:cs="Times New Roman"/>
          <w:color w:val="auto"/>
          <w:spacing w:val="4"/>
          <w:kern w:val="24"/>
          <w:sz w:val="24"/>
          <w:szCs w:val="24"/>
          <w:highlight w:val="none"/>
          <w:lang w:val="en-US" w:eastAsia="zh-CN" w:bidi="ar-SA"/>
        </w:rPr>
        <w:t>hm</w:t>
      </w:r>
      <w:r>
        <w:rPr>
          <w:rFonts w:hint="eastAsia" w:ascii="Times New Roman" w:hAnsi="Times New Roman" w:eastAsia="宋体" w:cs="Times New Roman"/>
          <w:color w:val="auto"/>
          <w:spacing w:val="4"/>
          <w:kern w:val="24"/>
          <w:sz w:val="24"/>
          <w:szCs w:val="24"/>
          <w:highlight w:val="none"/>
          <w:vertAlign w:val="superscript"/>
          <w:lang w:val="en-US" w:eastAsia="zh-CN" w:bidi="ar-SA"/>
        </w:rPr>
        <w:t>2</w:t>
      </w:r>
      <w:r>
        <w:rPr>
          <w:rFonts w:hint="eastAsia" w:ascii="Times New Roman" w:hAnsi="Times New Roman" w:eastAsia="宋体" w:cs="Times New Roman"/>
          <w:color w:val="auto"/>
          <w:spacing w:val="4"/>
          <w:kern w:val="24"/>
          <w:sz w:val="24"/>
          <w:szCs w:val="24"/>
          <w:highlight w:val="none"/>
          <w:lang w:val="en-US" w:eastAsia="zh-CN" w:bidi="ar-SA"/>
        </w:rPr>
        <w:t>。</w:t>
      </w:r>
      <w:r>
        <w:rPr>
          <w:rFonts w:ascii="Times New Roman" w:hAnsi="Times New Roman" w:eastAsia="宋体" w:cs="Times New Roman"/>
          <w:color w:val="auto"/>
          <w:sz w:val="24"/>
          <w:szCs w:val="24"/>
          <w:highlight w:val="none"/>
          <w:lang w:val="en-US" w:eastAsia="zh-CN" w:bidi="ar-SA"/>
        </w:rPr>
        <w:t>根据《环境影响评价技术导则 生态影响》（HJ19-2022）及《</w:t>
      </w:r>
      <w:r>
        <w:rPr>
          <w:rFonts w:hint="eastAsia" w:ascii="Times New Roman" w:hAnsi="Times New Roman" w:eastAsia="宋体" w:cs="Times New Roman"/>
          <w:color w:val="auto"/>
          <w:sz w:val="24"/>
          <w:szCs w:val="24"/>
          <w:highlight w:val="none"/>
          <w:lang w:val="en-US" w:eastAsia="zh-CN" w:bidi="ar-SA"/>
        </w:rPr>
        <w:t>环境影响评价技术导则 陆地石油天然气开发建设项目</w:t>
      </w:r>
      <w:r>
        <w:rPr>
          <w:rFonts w:ascii="Times New Roman" w:hAnsi="Times New Roman" w:eastAsia="宋体" w:cs="Times New Roman"/>
          <w:color w:val="auto"/>
          <w:sz w:val="24"/>
          <w:szCs w:val="24"/>
          <w:highlight w:val="none"/>
          <w:lang w:val="en-US" w:eastAsia="zh-CN" w:bidi="ar-SA"/>
        </w:rPr>
        <w:t>》（HJ349-2023），</w:t>
      </w:r>
      <w:r>
        <w:rPr>
          <w:rFonts w:hint="eastAsia" w:ascii="Times New Roman" w:hAnsi="Times New Roman" w:eastAsia="宋体" w:cs="Times New Roman"/>
          <w:color w:val="auto"/>
          <w:sz w:val="24"/>
          <w:szCs w:val="24"/>
          <w:highlight w:val="none"/>
          <w:lang w:val="en-US" w:eastAsia="zh-CN" w:bidi="ar-SA"/>
        </w:rPr>
        <w:t>本工程</w:t>
      </w:r>
      <w:r>
        <w:rPr>
          <w:rFonts w:ascii="Times New Roman" w:hAnsi="Times New Roman" w:eastAsia="宋体" w:cs="Times New Roman"/>
          <w:color w:val="auto"/>
          <w:sz w:val="24"/>
          <w:szCs w:val="24"/>
          <w:highlight w:val="none"/>
          <w:lang w:val="en-US" w:eastAsia="zh-CN" w:bidi="ar-SA"/>
        </w:rPr>
        <w:t>以井场</w:t>
      </w:r>
      <w:r>
        <w:rPr>
          <w:rFonts w:hint="eastAsia" w:ascii="Times New Roman" w:hAnsi="Times New Roman" w:eastAsia="宋体" w:cs="Times New Roman"/>
          <w:color w:val="auto"/>
          <w:sz w:val="24"/>
          <w:szCs w:val="24"/>
          <w:highlight w:val="none"/>
          <w:lang w:val="en-US" w:eastAsia="zh-CN" w:bidi="ar-SA"/>
        </w:rPr>
        <w:t>、站场</w:t>
      </w:r>
      <w:r>
        <w:rPr>
          <w:rFonts w:ascii="Times New Roman" w:hAnsi="Times New Roman" w:eastAsia="宋体" w:cs="Times New Roman"/>
          <w:color w:val="auto"/>
          <w:sz w:val="24"/>
          <w:szCs w:val="24"/>
          <w:highlight w:val="none"/>
          <w:lang w:val="en-US" w:eastAsia="zh-CN" w:bidi="ar-SA"/>
        </w:rPr>
        <w:t>场界周围50m范围、集</w:t>
      </w:r>
      <w:r>
        <w:rPr>
          <w:rFonts w:hint="eastAsia" w:ascii="Times New Roman" w:hAnsi="Times New Roman" w:eastAsia="宋体" w:cs="Times New Roman"/>
          <w:color w:val="auto"/>
          <w:sz w:val="24"/>
          <w:szCs w:val="24"/>
          <w:highlight w:val="none"/>
          <w:lang w:val="en-US" w:eastAsia="zh-CN" w:bidi="ar-SA"/>
        </w:rPr>
        <w:t>输管线等线性工程两侧外延300m为生态评价范围。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（2）调查内容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A.调查评价范围内的植物区系、植被类型；动物区系、物种组成及分布特征；生态系统的类型、特征；重要野生动植物等。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ascii="Times New Roman" w:hAnsi="Times New Roman" w:eastAsia="宋体" w:cs="Times New Roman"/>
          <w:color w:val="auto"/>
          <w:sz w:val="24"/>
          <w:szCs w:val="24"/>
          <w:highlight w:val="none"/>
          <w:lang w:val="en-US" w:eastAsia="zh-CN" w:bidi="ar-SA"/>
        </w:rPr>
        <w:t>B.调查生态敏感区的主要保护对象、功能区划、保护要求。</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ascii="Times New Roman" w:hAnsi="Times New Roman" w:eastAsia="宋体" w:cs="Times New Roman"/>
          <w:color w:val="auto"/>
          <w:sz w:val="24"/>
          <w:szCs w:val="24"/>
          <w:highlight w:val="none"/>
          <w:lang w:val="en-US" w:eastAsia="zh-CN" w:bidi="ar-SA"/>
        </w:rPr>
        <w:t>C.调查区域存在的主要生态问题。</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（3）调查方法</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评价生态特征调查采用资料收集、现场踏勘结合遥感解译的方法。在资料收集、分析和现场踏勘调查的基础上，利用“3S”等技术手段，进行数据采集，对资料、信息和数据进行汇总、整理、分析，并完成生态制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A.基础资料收集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收集工程周边地区非生物因子特征（气候、土壤、地形地貌、水文地质等）、动植物类型及分布、植被类型及分布、生态功能区划、土地利用等资料，还参考了《新疆植物志》《新疆脊椎动物简志》《中国新疆野生动物》等著作及相关科研论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B.现场勘查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1）陆生植被调查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本次调查主要在收集整理工程区域及邻近地区的现有生物多样性资料、综合分析现有资料的基础上，结合实地调查结果，获取评价区陆生植被现状。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2）陆生动物调查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搜集参照《生物多样性观测技术导则 陆生哺乳动物（HJ 710.3-2014）》《生物多样性观测技术导则 鸟类（HJ 710.4-2014）》《生物多样性观测技术导则 爬行动物（ HJ 710.5-2014）》《生物多样性观测技术导则 两栖动物（HJ 710.6-2014）》等确定的技术方法，本次陆生动物调查主要通过收集整理工程涉及区域现有生物多样性资料、野外踪迹进行调查的方法，结合现场调查结果确定动物种类及数量，最终对评价区的动物资源现状得出综合结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C.生态制图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采用“3S”技术进行地表类型的数字化判读，完成数字化的植被类型图和土地利用类型图。本次遥感数据采用Landsat8 OLI卫星遥感影像，受时相、云量及季节的影响，数据时间为2024年7月。从遥感信息获取的地面覆盖类型，在地面调查和历史资料基础上进行综合判读，采用监督分类的方法最终赋予生态学的含义。植被类型的确定需结合不同植被类型分布的生态学特征，不单纯依靠色彩进行划分，对监督分类产生的植被初图，结合地面样点和等高线、坡度、坡向等信息，对植被图进行目视解译校正，得到符合精度要求的植被图。在植被图的基础上，进一步合并有关地面类型，得到土地利用类型图。</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D.生物量的测定与估算</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color w:val="auto"/>
          <w:sz w:val="24"/>
          <w:szCs w:val="24"/>
          <w:highlight w:val="none"/>
        </w:rPr>
      </w:pPr>
      <w:r>
        <w:rPr>
          <w:rFonts w:hint="eastAsia" w:ascii="Times New Roman" w:hAnsi="Times New Roman" w:eastAsia="宋体" w:cs="Times New Roman"/>
          <w:color w:val="auto"/>
          <w:sz w:val="24"/>
          <w:szCs w:val="24"/>
          <w:highlight w:val="none"/>
          <w:lang w:val="en-US" w:eastAsia="zh-CN" w:bidi="ar-SA"/>
        </w:rPr>
        <w:t>重点测定评价范围内分布广泛的植被类型的生物量，参考国内有关生物量的相关资料，并根据当地的实际情况，估算出评价范围内植被类型的生物量</w:t>
      </w:r>
      <w:r>
        <w:rPr>
          <w:rFonts w:hint="eastAsia"/>
          <w:color w:val="auto"/>
          <w:sz w:val="24"/>
          <w:szCs w:val="24"/>
          <w:highlight w:val="none"/>
        </w:rPr>
        <w:t>。</w:t>
      </w:r>
    </w:p>
    <w:p>
      <w:pPr>
        <w:pStyle w:val="53"/>
        <w:pageBreakBefore w:val="0"/>
        <w:kinsoku/>
        <w:wordWrap/>
        <w:overflowPunct/>
        <w:topLinePunct w:val="0"/>
        <w:autoSpaceDE/>
        <w:autoSpaceDN/>
        <w:bidi w:val="0"/>
        <w:spacing w:line="480" w:lineRule="exact"/>
        <w:rPr>
          <w:rFonts w:eastAsia="宋体"/>
          <w:color w:val="auto"/>
          <w:highlight w:val="none"/>
        </w:rPr>
      </w:pPr>
      <w:bookmarkStart w:id="500" w:name="_Toc173941875"/>
      <w:r>
        <w:rPr>
          <w:rFonts w:hint="eastAsia"/>
          <w:color w:val="auto"/>
          <w:highlight w:val="none"/>
        </w:rPr>
        <w:t>4.2.2</w:t>
      </w:r>
      <w:r>
        <w:rPr>
          <w:color w:val="auto"/>
          <w:highlight w:val="none"/>
        </w:rPr>
        <w:t>生态功能区划</w:t>
      </w:r>
      <w:bookmarkEnd w:id="500"/>
      <w:r>
        <w:rPr>
          <w:rFonts w:hint="eastAsia"/>
          <w:color w:val="auto"/>
          <w:highlight w:val="none"/>
        </w:rPr>
        <w:t>调查</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本工程所在区域行政区划隶属于克拉玛依市乌尔禾区</w:t>
      </w:r>
      <w:r>
        <w:rPr>
          <w:rFonts w:hint="eastAsia"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塔城地区和布克赛尔蒙古自治县</w:t>
      </w:r>
      <w:r>
        <w:rPr>
          <w:rFonts w:hint="eastAsia" w:cs="Times New Roman"/>
          <w:color w:val="auto"/>
          <w:sz w:val="24"/>
          <w:szCs w:val="24"/>
          <w:highlight w:val="none"/>
          <w:lang w:val="en-US" w:eastAsia="zh-CN" w:bidi="ar-SA"/>
        </w:rPr>
        <w:t>和新疆生产建设兵团第七师胡杨河市</w:t>
      </w:r>
      <w:r>
        <w:rPr>
          <w:rFonts w:hint="eastAsia" w:ascii="Times New Roman" w:hAnsi="Times New Roman" w:eastAsia="宋体" w:cs="Times New Roman"/>
          <w:color w:val="auto"/>
          <w:sz w:val="24"/>
          <w:szCs w:val="24"/>
          <w:highlight w:val="none"/>
          <w:lang w:val="en-US" w:eastAsia="zh-CN" w:bidi="ar-SA"/>
        </w:rPr>
        <w:t>，根据《新疆生态功能区划》（2005版），本工程涉及天山山地温性草原、森林生态区、天山南坡草原牧业、绿洲农业生态亚区、天山南坡中段前山盆地天然气、煤炭资源开发与水土流失敏感生态功能区（43）。项目区生态功能区的主要生态服务功能、生态敏感因子、主要生态环境问题和主要保护目标见表4.2-1。生态功能区划见图4.2-1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olor w:val="auto"/>
          <w:highlight w:val="none"/>
          <w:lang w:val="en-US" w:eastAsia="zh-CN"/>
        </w:rPr>
      </w:pPr>
      <w:r>
        <w:rPr>
          <w:rFonts w:hint="eastAsia"/>
          <w:color w:val="auto"/>
          <w:highlight w:val="none"/>
          <w:lang w:val="en-US" w:eastAsia="zh-CN"/>
        </w:rPr>
        <w:t>表4.2-1     项目区生态功能区划</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1202"/>
        <w:gridCol w:w="3246"/>
        <w:gridCol w:w="350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restar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生态功能分区单元</w:t>
            </w:r>
          </w:p>
        </w:tc>
        <w:tc>
          <w:tcPr>
            <w:tcW w:w="68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生态区</w:t>
            </w:r>
          </w:p>
        </w:tc>
        <w:tc>
          <w:tcPr>
            <w:tcW w:w="3821" w:type="pct"/>
            <w:gridSpan w:val="2"/>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准噶尔盆地温性荒漠与绿洲农业生态区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continue"/>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p>
        </w:tc>
        <w:tc>
          <w:tcPr>
            <w:tcW w:w="68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生态亚区</w:t>
            </w:r>
          </w:p>
        </w:tc>
        <w:tc>
          <w:tcPr>
            <w:tcW w:w="3821" w:type="pct"/>
            <w:gridSpan w:val="2"/>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sz w:val="21"/>
                <w:szCs w:val="21"/>
                <w:lang w:val="en-US" w:eastAsia="zh-CN"/>
              </w:rPr>
            </w:pPr>
            <w:r>
              <w:rPr>
                <w:rFonts w:hint="eastAsia"/>
                <w:color w:val="auto"/>
                <w:sz w:val="21"/>
                <w:szCs w:val="21"/>
                <w:lang w:val="en-US" w:eastAsia="zh-CN"/>
              </w:rPr>
              <w:t>准噶尔盆地北部灌木半灌木荒漠生态亚区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8" w:type="pct"/>
            <w:vMerge w:val="continue"/>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p>
        </w:tc>
        <w:tc>
          <w:tcPr>
            <w:tcW w:w="68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生态功能区</w:t>
            </w:r>
          </w:p>
        </w:tc>
        <w:tc>
          <w:tcPr>
            <w:tcW w:w="1837"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15.夏子街输水工程沿线人工生态建设生态功能区</w:t>
            </w:r>
          </w:p>
        </w:tc>
        <w:tc>
          <w:tcPr>
            <w:tcW w:w="1983" w:type="pct"/>
            <w:tcBorders>
              <w:tl2br w:val="nil"/>
              <w:tr2bl w:val="nil"/>
            </w:tcBorders>
            <w:shd w:val="clear" w:color="auto" w:fill="auto"/>
            <w:vAlign w:val="top"/>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16.白杨河河谷林、乌尔禾雅丹地貌保护生态功能区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主要生态服务功能</w:t>
            </w:r>
          </w:p>
        </w:tc>
        <w:tc>
          <w:tcPr>
            <w:tcW w:w="1837"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荒漠化控制、农畜产品生产</w:t>
            </w:r>
          </w:p>
        </w:tc>
        <w:tc>
          <w:tcPr>
            <w:tcW w:w="1983"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土壤保持、景观多样性维护、旅游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主要生态环境问题</w:t>
            </w:r>
          </w:p>
        </w:tc>
        <w:tc>
          <w:tcPr>
            <w:tcW w:w="1837"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地下水开采过度、荒漠植被衰败、土地荒漠化、野生动物过渠受阻</w:t>
            </w:r>
          </w:p>
        </w:tc>
        <w:tc>
          <w:tcPr>
            <w:tcW w:w="1983"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河谷林衰败、土壤风蚀、滥挖甘草和肉苁蓉、自然景观受损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生态敏感因子敏感程度</w:t>
            </w:r>
          </w:p>
        </w:tc>
        <w:tc>
          <w:tcPr>
            <w:tcW w:w="1837"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土地沙漠化轻度敏感，土壤侵蚀极度敏感、土壤盐渍化轻度敏感</w:t>
            </w:r>
          </w:p>
        </w:tc>
        <w:tc>
          <w:tcPr>
            <w:tcW w:w="1983"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土地沙漠化轻度敏感、土壤侵蚀极度敏感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主要保护目标</w:t>
            </w:r>
          </w:p>
        </w:tc>
        <w:tc>
          <w:tcPr>
            <w:tcW w:w="1837"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保护天然荒漠植被、防止土壤次生盐渍化</w:t>
            </w:r>
          </w:p>
        </w:tc>
        <w:tc>
          <w:tcPr>
            <w:tcW w:w="1983"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保护河谷林、保护地貌景观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78" w:type="pct"/>
            <w:gridSpan w:val="2"/>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color w:val="auto"/>
                <w:sz w:val="21"/>
                <w:szCs w:val="21"/>
                <w:lang w:val="en-US" w:eastAsia="zh-CN"/>
              </w:rPr>
              <w:t>适宜发展方向</w:t>
            </w:r>
          </w:p>
        </w:tc>
        <w:tc>
          <w:tcPr>
            <w:tcW w:w="183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color w:val="auto"/>
                <w:sz w:val="21"/>
                <w:szCs w:val="21"/>
                <w:lang w:val="en-US" w:eastAsia="zh-CN"/>
              </w:rPr>
            </w:pPr>
            <w:r>
              <w:rPr>
                <w:rFonts w:hint="eastAsia"/>
                <w:color w:val="auto"/>
                <w:sz w:val="21"/>
                <w:szCs w:val="21"/>
                <w:lang w:val="en-US" w:eastAsia="zh-CN"/>
              </w:rPr>
              <w:t>建设渠道沿线绿化带和野生动物过渠通道、加强防护林建设、农灌区逐步开发</w:t>
            </w:r>
          </w:p>
        </w:tc>
        <w:tc>
          <w:tcPr>
            <w:tcW w:w="1983"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sz w:val="21"/>
                <w:szCs w:val="21"/>
                <w:lang w:val="en-US" w:eastAsia="zh-CN"/>
              </w:rPr>
            </w:pPr>
            <w:r>
              <w:rPr>
                <w:rFonts w:hint="eastAsia"/>
                <w:color w:val="auto"/>
                <w:sz w:val="21"/>
                <w:szCs w:val="21"/>
                <w:lang w:val="en-US" w:eastAsia="zh-CN"/>
              </w:rPr>
              <w:t>河谷林封育保护、增加生态用水、旅游建设与自然景观相协调</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由表4.2-1可知，本工程所在区域属于“准噶尔盆地温性荒漠与绿洲农业生态区，准噶尔盆地北部灌木半灌木荒漠生态亚区”，新建净化油外输管线属于“白杨河河谷林、乌尔禾雅丹地貌保护生态功能区”，主要生态服务功能为“土壤保持、景观多样性维护、旅游”，适宜发展方向为“河谷林封育保护、增加生态用水、旅游建设与自然景观相协调”；新建采油井场、站场和配套管线属于“夏子街输水工程沿线人工生态建设生态功能区”，主要生态服务功能为“荒漠化控制、农畜产品生产”，适宜发展方向为“建设渠道沿线绿化带和野生动物过渠通道、加强防护林建设、农灌区逐步开发”。</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拟建工程类型属于</w:t>
      </w:r>
      <w:r>
        <w:rPr>
          <w:rFonts w:hint="eastAsia" w:cs="Times New Roman"/>
          <w:color w:val="auto"/>
          <w:sz w:val="24"/>
          <w:szCs w:val="24"/>
          <w:highlight w:val="none"/>
          <w:lang w:val="en-US" w:eastAsia="zh-CN" w:bidi="ar-SA"/>
        </w:rPr>
        <w:t>页岩油</w:t>
      </w:r>
      <w:r>
        <w:rPr>
          <w:rFonts w:hint="eastAsia" w:ascii="Times New Roman" w:hAnsi="Times New Roman" w:eastAsia="宋体" w:cs="Times New Roman"/>
          <w:color w:val="auto"/>
          <w:sz w:val="24"/>
          <w:szCs w:val="24"/>
          <w:highlight w:val="none"/>
          <w:lang w:val="en-US" w:eastAsia="zh-CN" w:bidi="ar-SA"/>
        </w:rPr>
        <w:t>开采项目，项目区不涉及法定生态保护区域、重要生境以及其他具有重要生态功能、对保护生物多样性具有重要意义的区域等生态敏感区。拟建工程对生态环境的影响主要体现在施工期，具有临时性、短暂性特点。本工程建设过程中减少水土流失；施工结束后，井场恢复和管沟回填，采取完善的防沙治沙及水土保持措施，不会对土地沙漠化、土壤盐渍化和土壤侵蚀造成负面影响。</w:t>
      </w:r>
    </w:p>
    <w:p>
      <w:pPr>
        <w:pStyle w:val="57"/>
        <w:rPr>
          <w:color w:val="auto"/>
          <w:highlight w:val="none"/>
        </w:rPr>
      </w:pPr>
      <w:r>
        <w:rPr>
          <w:rFonts w:hint="eastAsia"/>
          <w:color w:val="auto"/>
          <w:highlight w:val="none"/>
          <w:lang w:val="en-US" w:eastAsia="zh-CN"/>
        </w:rPr>
        <w:t>综上所述，本工程的建设不会对本工程所在区域土壤、动植物等生态环境产生明显的影响，符合本区域生态服务功能定位，与区域发展方向相协调。</w:t>
      </w:r>
    </w:p>
    <w:p>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53"/>
        <w:rPr>
          <w:rFonts w:eastAsia="宋体"/>
          <w:color w:val="auto"/>
          <w:highlight w:val="none"/>
        </w:rPr>
      </w:pPr>
      <w:bookmarkStart w:id="501" w:name="_Toc173941876"/>
      <w:r>
        <w:rPr>
          <w:rFonts w:hint="eastAsia"/>
          <w:color w:val="auto"/>
          <w:highlight w:val="none"/>
        </w:rPr>
        <w:t>4.2</w:t>
      </w:r>
      <w:r>
        <w:rPr>
          <w:color w:val="auto"/>
          <w:highlight w:val="none"/>
        </w:rPr>
        <w:t>.</w:t>
      </w:r>
      <w:r>
        <w:rPr>
          <w:rFonts w:hint="eastAsia"/>
          <w:color w:val="auto"/>
          <w:highlight w:val="none"/>
        </w:rPr>
        <w:t>3</w:t>
      </w:r>
      <w:r>
        <w:rPr>
          <w:color w:val="auto"/>
          <w:highlight w:val="none"/>
        </w:rPr>
        <w:t>生态系统</w:t>
      </w:r>
      <w:bookmarkEnd w:id="501"/>
      <w:r>
        <w:rPr>
          <w:rFonts w:hint="eastAsia"/>
          <w:color w:val="auto"/>
          <w:highlight w:val="none"/>
        </w:rPr>
        <w:t>调查与评价</w:t>
      </w:r>
    </w:p>
    <w:p>
      <w:pPr>
        <w:pStyle w:val="57"/>
        <w:rPr>
          <w:rFonts w:hint="eastAsia"/>
          <w:color w:val="auto"/>
          <w:highlight w:val="none"/>
        </w:rPr>
      </w:pPr>
      <w:bookmarkStart w:id="502" w:name="_Toc173941877"/>
      <w:r>
        <w:rPr>
          <w:rFonts w:hint="eastAsia"/>
          <w:color w:val="auto"/>
          <w:highlight w:val="none"/>
        </w:rPr>
        <w:t>本次采用野外调查与遥感技术相结合的手段，根据《全国生态状况调查评估技术规范-生态系统遥感解译与野外核查》（HJ1166-2021）的分类方法，对评价区生态系统进行分类。</w:t>
      </w:r>
    </w:p>
    <w:p>
      <w:pPr>
        <w:pStyle w:val="57"/>
        <w:rPr>
          <w:rFonts w:hint="eastAsia"/>
          <w:color w:val="auto"/>
          <w:highlight w:val="none"/>
        </w:rPr>
      </w:pPr>
      <w:r>
        <w:rPr>
          <w:rFonts w:hint="eastAsia"/>
          <w:color w:val="auto"/>
          <w:highlight w:val="none"/>
        </w:rPr>
        <w:t>本工程所在区域处于我国西北干旱温带风沙区（脆弱区），从该区整体情况来看，区域生态环境的结构和功能属于重度脆弱区，生态脆弱性体现在生态系统抗干扰能力差和自然恢复能力弱。在干旱荒漠区的大背景下，植被种类单一，荒漠在现有水资源条件下，对人为地表和植被破坏等外界干扰仍然敏感，并易于演化为生物多样性减少，植物初级生产力降低的次一级脆弱类型。</w:t>
      </w:r>
    </w:p>
    <w:p>
      <w:pPr>
        <w:pStyle w:val="57"/>
        <w:rPr>
          <w:rFonts w:hint="eastAsia"/>
          <w:color w:val="auto"/>
          <w:highlight w:val="none"/>
        </w:rPr>
      </w:pPr>
      <w:r>
        <w:rPr>
          <w:rFonts w:hint="eastAsia"/>
          <w:color w:val="auto"/>
          <w:highlight w:val="none"/>
        </w:rPr>
        <w:t>根据表4.2-1及图4.2-1，本工程新建净化油外输管线属于白杨河河谷林、乌尔禾雅丹地貌保护生态功能区，新建采油井场、站场和配套管线属于夏子街输水工程沿线人工生态建设生态功能区。由此，本次评价按照生态功能区将工程所在区域分为人工生态建设单元和雅丹地貌保护单元。</w:t>
      </w:r>
    </w:p>
    <w:p>
      <w:pPr>
        <w:pStyle w:val="57"/>
        <w:rPr>
          <w:rFonts w:hint="eastAsia" w:ascii="Times New Roman" w:hAnsi="Times New Roman" w:eastAsia="宋体" w:cs="Times New Roman"/>
          <w:color w:val="auto"/>
          <w:highlight w:val="none"/>
          <w:lang w:val="en-US" w:eastAsia="zh-CN"/>
        </w:rPr>
      </w:pPr>
      <w:r>
        <w:rPr>
          <w:rFonts w:hint="eastAsia"/>
          <w:color w:val="auto"/>
          <w:highlight w:val="none"/>
        </w:rPr>
        <w:t>评价区植被以典型的荒漠植被为主，主要植被类型为白梭梭、假木贼和驼绒藜等，其中，人工生态建设单元植被覆盖度5%～10%、雅丹地貌保护单元植被覆盖度低于5%，区域生态环境质量现状差，且十分脆弱。生态系统类型主要是荒漠生态系统和城镇生态系统，各评价单元生态环境现状调查见表4.2-2</w:t>
      </w:r>
      <w:r>
        <w:rPr>
          <w:rFonts w:hint="eastAsia" w:ascii="Times New Roman" w:hAnsi="Times New Roman" w:eastAsia="宋体" w:cs="Times New Roman"/>
          <w:color w:val="auto"/>
          <w:highlight w:val="none"/>
          <w:lang w:val="en-US"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hint="eastAsia" w:cs="Times New Roman"/>
          <w:color w:val="auto"/>
          <w:highlight w:val="none"/>
          <w:lang w:val="en-US" w:eastAsia="zh-CN"/>
        </w:rPr>
      </w:pPr>
      <w:r>
        <w:rPr>
          <w:rFonts w:hint="eastAsia" w:cs="Times New Roman"/>
          <w:color w:val="auto"/>
          <w:highlight w:val="none"/>
          <w:lang w:val="en-US" w:eastAsia="zh-CN"/>
        </w:rPr>
        <w:t>表4.2-2 生态环境现状调查表</w:t>
      </w:r>
    </w:p>
    <w:tbl>
      <w:tblPr>
        <w:tblStyle w:val="35"/>
        <w:tblW w:w="0" w:type="auto"/>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959"/>
        <w:gridCol w:w="1881"/>
        <w:gridCol w:w="1096"/>
        <w:gridCol w:w="1275"/>
        <w:gridCol w:w="1701"/>
        <w:gridCol w:w="1610"/>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9"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生态单元</w:t>
            </w:r>
          </w:p>
        </w:tc>
        <w:tc>
          <w:tcPr>
            <w:tcW w:w="1881"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工程内容</w:t>
            </w:r>
          </w:p>
        </w:tc>
        <w:tc>
          <w:tcPr>
            <w:tcW w:w="1096"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地形地貌</w:t>
            </w:r>
          </w:p>
        </w:tc>
        <w:tc>
          <w:tcPr>
            <w:tcW w:w="1275"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土壤类型</w:t>
            </w:r>
          </w:p>
        </w:tc>
        <w:tc>
          <w:tcPr>
            <w:tcW w:w="1701"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植被类型</w:t>
            </w:r>
          </w:p>
        </w:tc>
        <w:tc>
          <w:tcPr>
            <w:tcW w:w="1610"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土地利用类型</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9"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人工生态建设单元</w:t>
            </w:r>
          </w:p>
        </w:tc>
        <w:tc>
          <w:tcPr>
            <w:tcW w:w="1881"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highlight w:val="none"/>
                <w:lang w:val="en-US" w:eastAsia="zh-CN"/>
              </w:rPr>
            </w:pPr>
            <w:r>
              <w:rPr>
                <w:rFonts w:hint="default"/>
                <w:color w:val="auto"/>
                <w:lang w:val="en-US" w:eastAsia="zh-CN"/>
              </w:rPr>
              <w:t>7口采油井</w:t>
            </w:r>
            <w:r>
              <w:rPr>
                <w:rFonts w:hint="eastAsia"/>
                <w:color w:val="auto"/>
                <w:lang w:val="en-US" w:eastAsia="zh-CN"/>
              </w:rPr>
              <w:t>及井场、新建集中拉油站、12井式计量站、新建阀池、配套管线和公辅工程</w:t>
            </w:r>
          </w:p>
        </w:tc>
        <w:tc>
          <w:tcPr>
            <w:tcW w:w="1096"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戈壁荒漠</w:t>
            </w:r>
          </w:p>
        </w:tc>
        <w:tc>
          <w:tcPr>
            <w:tcW w:w="1275"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灰棕漠土</w:t>
            </w:r>
          </w:p>
        </w:tc>
        <w:tc>
          <w:tcPr>
            <w:tcW w:w="1701"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小乔木组（白梭梭），灌木、半灌木组（假木贼、驼绒藜）</w:t>
            </w:r>
          </w:p>
        </w:tc>
        <w:tc>
          <w:tcPr>
            <w:tcW w:w="1610"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lang w:eastAsia="zh-CN"/>
              </w:rPr>
            </w:pPr>
            <w:r>
              <w:rPr>
                <w:rFonts w:hint="eastAsia"/>
                <w:color w:val="auto"/>
                <w:lang w:val="en-US" w:eastAsia="zh-CN"/>
              </w:rPr>
              <w:t>采矿用地、其他草地</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959"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雅丹地貌保护单元</w:t>
            </w:r>
          </w:p>
        </w:tc>
        <w:tc>
          <w:tcPr>
            <w:tcW w:w="1881"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风城2号稠油处理站－乌33转油站净化油外输管线</w:t>
            </w:r>
          </w:p>
        </w:tc>
        <w:tc>
          <w:tcPr>
            <w:tcW w:w="1096"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雅丹地貌</w:t>
            </w:r>
          </w:p>
        </w:tc>
        <w:tc>
          <w:tcPr>
            <w:tcW w:w="1275"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highlight w:val="none"/>
                <w:lang w:val="en-US" w:eastAsia="zh-CN"/>
              </w:rPr>
            </w:pPr>
            <w:r>
              <w:rPr>
                <w:rFonts w:hint="eastAsia"/>
                <w:color w:val="auto"/>
                <w:lang w:val="en-US" w:eastAsia="zh-CN"/>
              </w:rPr>
              <w:t>灰棕漠土、草甸土</w:t>
            </w:r>
          </w:p>
        </w:tc>
        <w:tc>
          <w:tcPr>
            <w:tcW w:w="1701"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ascii="Times New Roman" w:hAnsi="Times New Roman" w:eastAsia="宋体" w:cs="Times New Roman"/>
                <w:color w:val="auto"/>
                <w:highlight w:val="none"/>
              </w:rPr>
            </w:pPr>
            <w:r>
              <w:rPr>
                <w:rFonts w:hint="eastAsia"/>
                <w:color w:val="auto"/>
                <w:lang w:val="en-US" w:eastAsia="zh-CN"/>
              </w:rPr>
              <w:t>小乔木组（梭梭、假木贼）</w:t>
            </w:r>
          </w:p>
        </w:tc>
        <w:tc>
          <w:tcPr>
            <w:tcW w:w="1610" w:type="dxa"/>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ascii="Times New Roman" w:hAnsi="Times New Roman" w:eastAsia="宋体" w:cs="Times New Roman"/>
                <w:color w:val="auto"/>
                <w:highlight w:val="none"/>
                <w:lang w:val="en-US" w:eastAsia="zh-CN"/>
              </w:rPr>
            </w:pPr>
            <w:r>
              <w:rPr>
                <w:rFonts w:hint="eastAsia"/>
                <w:color w:val="auto"/>
                <w:lang w:val="en-US" w:eastAsia="zh-CN"/>
              </w:rPr>
              <w:t>灌木林地、裸土地、其他草地、盐碱地等</w:t>
            </w:r>
          </w:p>
        </w:tc>
      </w:tr>
    </w:tbl>
    <w:p>
      <w:pPr>
        <w:pStyle w:val="53"/>
        <w:pageBreakBefore w:val="0"/>
        <w:kinsoku/>
        <w:wordWrap/>
        <w:overflowPunct/>
        <w:topLinePunct w:val="0"/>
        <w:autoSpaceDE/>
        <w:autoSpaceDN/>
        <w:bidi w:val="0"/>
        <w:spacing w:line="480" w:lineRule="exact"/>
        <w:rPr>
          <w:rFonts w:eastAsia="宋体"/>
          <w:color w:val="auto"/>
          <w:highlight w:val="none"/>
        </w:rPr>
      </w:pPr>
      <w:r>
        <w:rPr>
          <w:rFonts w:hint="eastAsia"/>
          <w:color w:val="auto"/>
          <w:highlight w:val="none"/>
        </w:rPr>
        <w:t>4.2</w:t>
      </w:r>
      <w:r>
        <w:rPr>
          <w:color w:val="auto"/>
          <w:highlight w:val="none"/>
        </w:rPr>
        <w:t>.</w:t>
      </w:r>
      <w:r>
        <w:rPr>
          <w:rFonts w:hint="eastAsia"/>
          <w:color w:val="auto"/>
          <w:highlight w:val="none"/>
        </w:rPr>
        <w:t>4</w:t>
      </w:r>
      <w:r>
        <w:rPr>
          <w:color w:val="auto"/>
          <w:highlight w:val="none"/>
        </w:rPr>
        <w:t>土地利用现状</w:t>
      </w:r>
      <w:bookmarkEnd w:id="502"/>
      <w:r>
        <w:rPr>
          <w:rFonts w:hint="eastAsia"/>
          <w:color w:val="auto"/>
          <w:highlight w:val="none"/>
        </w:rPr>
        <w:t>调查与评价</w:t>
      </w:r>
    </w:p>
    <w:p>
      <w:pPr>
        <w:pStyle w:val="57"/>
        <w:pageBreakBefore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根据遥感调查结果，采用图形叠加法对评价范围内的生态环境现状进行分析，将遥感影像与线路进行叠加，根据《土地利用现状分类》（GB/T21010-2017），以确定项目区内的土地利用类型，并统计各类土地利用类型的面积，将成果绘制成土地利用现状图，见图4.2-2。本项目新增征地占地类型见表4.2-3。</w:t>
      </w:r>
    </w:p>
    <w:p>
      <w:pPr>
        <w:pStyle w:val="54"/>
        <w:keepNext w:val="0"/>
        <w:keepLines w:val="0"/>
        <w:pageBreakBefore w:val="0"/>
        <w:widowControl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表4.2-3  项目占地土地利用类型一览表</w:t>
      </w:r>
    </w:p>
    <w:tbl>
      <w:tblPr>
        <w:tblStyle w:val="34"/>
        <w:tblW w:w="4997"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25"/>
        <w:gridCol w:w="1808"/>
        <w:gridCol w:w="1130"/>
        <w:gridCol w:w="1695"/>
        <w:gridCol w:w="1528"/>
        <w:gridCol w:w="15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661" w:type="pct"/>
            <w:gridSpan w:val="2"/>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工程内容</w:t>
            </w:r>
          </w:p>
        </w:tc>
        <w:tc>
          <w:tcPr>
            <w:tcW w:w="64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占地性质</w:t>
            </w: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占地类型</w:t>
            </w:r>
          </w:p>
        </w:tc>
        <w:tc>
          <w:tcPr>
            <w:tcW w:w="865"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面积（hm</w:t>
            </w:r>
            <w:r>
              <w:rPr>
                <w:rFonts w:hint="eastAsia"/>
                <w:color w:val="auto"/>
                <w:vertAlign w:val="superscript"/>
                <w:lang w:val="en-US" w:eastAsia="zh-CN"/>
              </w:rPr>
              <w:t>2</w:t>
            </w:r>
            <w:r>
              <w:rPr>
                <w:rFonts w:hint="eastAsia"/>
                <w:color w:val="auto"/>
                <w:lang w:val="en-US" w:eastAsia="zh-CN"/>
              </w:rPr>
              <w:t>）</w:t>
            </w:r>
          </w:p>
        </w:tc>
        <w:tc>
          <w:tcPr>
            <w:tcW w:w="873"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百分比（%）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restar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井场工程</w:t>
            </w:r>
          </w:p>
        </w:tc>
        <w:tc>
          <w:tcPr>
            <w:tcW w:w="1024" w:type="pct"/>
            <w:vMerge w:val="restar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18座采油井场</w:t>
            </w:r>
          </w:p>
        </w:tc>
        <w:tc>
          <w:tcPr>
            <w:tcW w:w="64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永久</w:t>
            </w: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pPr>
              <w:pStyle w:val="55"/>
              <w:bidi w:val="0"/>
              <w:rPr>
                <w:rFonts w:hint="default"/>
                <w:color w:val="auto"/>
                <w:lang w:val="en-US" w:eastAsia="zh-CN"/>
              </w:rPr>
            </w:pPr>
            <w:r>
              <w:rPr>
                <w:rFonts w:hint="default"/>
                <w:color w:val="auto"/>
                <w:lang w:val="en-US" w:eastAsia="zh-CN"/>
              </w:rPr>
              <w:t>2.16</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4.18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640" w:type="pct"/>
            <w:vMerge w:val="restar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pPr>
              <w:pStyle w:val="55"/>
              <w:bidi w:val="0"/>
              <w:rPr>
                <w:rFonts w:hint="default"/>
                <w:color w:val="auto"/>
                <w:lang w:val="en-US" w:eastAsia="zh-CN"/>
              </w:rPr>
            </w:pPr>
            <w:r>
              <w:rPr>
                <w:rFonts w:hint="default"/>
                <w:color w:val="auto"/>
                <w:lang w:val="en-US" w:eastAsia="zh-CN"/>
              </w:rPr>
              <w:t>19.32</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37.37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color w:val="auto"/>
              </w:rPr>
            </w:pPr>
          </w:p>
        </w:tc>
        <w:tc>
          <w:tcPr>
            <w:tcW w:w="1024" w:type="pct"/>
            <w:vMerge w:val="continue"/>
            <w:tcBorders>
              <w:tl2br w:val="nil"/>
              <w:tr2bl w:val="nil"/>
            </w:tcBorders>
            <w:shd w:val="clear" w:color="auto" w:fill="auto"/>
            <w:noWrap/>
            <w:vAlign w:val="center"/>
          </w:tcPr>
          <w:p>
            <w:pPr>
              <w:pStyle w:val="55"/>
              <w:bidi w:val="0"/>
              <w:rPr>
                <w:color w:val="auto"/>
              </w:rPr>
            </w:pPr>
          </w:p>
        </w:tc>
        <w:tc>
          <w:tcPr>
            <w:tcW w:w="640" w:type="pct"/>
            <w:vMerge w:val="continue"/>
            <w:tcBorders>
              <w:tl2br w:val="nil"/>
              <w:tr2bl w:val="nil"/>
            </w:tcBorders>
            <w:shd w:val="clear" w:color="auto" w:fill="auto"/>
            <w:noWrap/>
            <w:vAlign w:val="center"/>
          </w:tcPr>
          <w:p>
            <w:pPr>
              <w:pStyle w:val="55"/>
              <w:bidi w:val="0"/>
              <w:rPr>
                <w:color w:val="auto"/>
              </w:rPr>
            </w:pPr>
          </w:p>
        </w:tc>
        <w:tc>
          <w:tcPr>
            <w:tcW w:w="960" w:type="pct"/>
            <w:tcBorders>
              <w:tl2br w:val="nil"/>
              <w:tr2bl w:val="nil"/>
            </w:tcBorders>
            <w:shd w:val="clear" w:color="auto" w:fill="auto"/>
            <w:noWrap/>
            <w:vAlign w:val="center"/>
          </w:tcPr>
          <w:p>
            <w:pPr>
              <w:pStyle w:val="55"/>
              <w:bidi w:val="0"/>
              <w:rPr>
                <w:rFonts w:hint="default"/>
                <w:color w:val="auto"/>
                <w:lang w:val="en-US" w:eastAsia="zh-CN"/>
              </w:rPr>
            </w:pPr>
            <w:r>
              <w:rPr>
                <w:rFonts w:hint="eastAsia"/>
                <w:color w:val="auto"/>
                <w:lang w:val="en-US" w:eastAsia="zh-CN"/>
              </w:rPr>
              <w:t>采矿用地</w:t>
            </w:r>
          </w:p>
        </w:tc>
        <w:tc>
          <w:tcPr>
            <w:tcW w:w="1528" w:type="dxa"/>
            <w:tcBorders>
              <w:tl2br w:val="nil"/>
              <w:tr2bl w:val="nil"/>
            </w:tcBorders>
            <w:shd w:val="clear" w:color="auto" w:fill="auto"/>
            <w:noWrap/>
            <w:vAlign w:val="center"/>
          </w:tcPr>
          <w:p>
            <w:pPr>
              <w:pStyle w:val="55"/>
              <w:bidi w:val="0"/>
              <w:rPr>
                <w:rFonts w:hint="default"/>
                <w:color w:val="auto"/>
                <w:lang w:val="en-US" w:eastAsia="zh-CN"/>
              </w:rPr>
            </w:pPr>
            <w:r>
              <w:rPr>
                <w:rFonts w:hint="default"/>
                <w:color w:val="auto"/>
                <w:lang w:val="en-US" w:eastAsia="zh-CN"/>
              </w:rPr>
              <w:t>0.12</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0.23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restar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站场工程</w:t>
            </w:r>
          </w:p>
        </w:tc>
        <w:tc>
          <w:tcPr>
            <w:tcW w:w="1024"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计量站</w:t>
            </w:r>
          </w:p>
        </w:tc>
        <w:tc>
          <w:tcPr>
            <w:tcW w:w="64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永久</w:t>
            </w: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0.016</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0.03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1024"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集中拉油站</w:t>
            </w:r>
          </w:p>
        </w:tc>
        <w:tc>
          <w:tcPr>
            <w:tcW w:w="64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永久</w:t>
            </w: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1</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1.93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restar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集输工程</w:t>
            </w:r>
          </w:p>
        </w:tc>
        <w:tc>
          <w:tcPr>
            <w:tcW w:w="1024"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单井输油管线</w:t>
            </w:r>
          </w:p>
        </w:tc>
        <w:tc>
          <w:tcPr>
            <w:tcW w:w="64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pPr>
              <w:pStyle w:val="55"/>
              <w:bidi w:val="0"/>
              <w:rPr>
                <w:rFonts w:hint="default"/>
                <w:color w:val="auto"/>
                <w:lang w:val="en-US" w:eastAsia="zh-CN"/>
              </w:rPr>
            </w:pPr>
            <w:r>
              <w:rPr>
                <w:rFonts w:hint="default"/>
                <w:color w:val="auto"/>
                <w:lang w:val="en-US" w:eastAsia="zh-CN"/>
              </w:rPr>
              <w:t>12</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23.21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1024" w:type="pct"/>
            <w:vMerge w:val="restar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集输支线</w:t>
            </w:r>
          </w:p>
        </w:tc>
        <w:tc>
          <w:tcPr>
            <w:tcW w:w="640" w:type="pct"/>
            <w:vMerge w:val="restar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pPr>
              <w:pStyle w:val="55"/>
              <w:bidi w:val="0"/>
              <w:rPr>
                <w:rFonts w:hint="default"/>
                <w:color w:val="auto"/>
                <w:lang w:val="en-US" w:eastAsia="zh-CN"/>
              </w:rPr>
            </w:pPr>
            <w:r>
              <w:rPr>
                <w:rFonts w:hint="default"/>
                <w:color w:val="auto"/>
                <w:lang w:val="en-US" w:eastAsia="zh-CN"/>
              </w:rPr>
              <w:t>2.32</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4.49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color w:val="auto"/>
              </w:rPr>
            </w:pPr>
          </w:p>
        </w:tc>
        <w:tc>
          <w:tcPr>
            <w:tcW w:w="1024" w:type="pct"/>
            <w:vMerge w:val="continue"/>
            <w:tcBorders>
              <w:tl2br w:val="nil"/>
              <w:tr2bl w:val="nil"/>
            </w:tcBorders>
            <w:shd w:val="clear" w:color="auto" w:fill="auto"/>
            <w:noWrap/>
            <w:vAlign w:val="center"/>
          </w:tcPr>
          <w:p>
            <w:pPr>
              <w:pStyle w:val="55"/>
              <w:bidi w:val="0"/>
              <w:rPr>
                <w:color w:val="auto"/>
              </w:rPr>
            </w:pPr>
          </w:p>
        </w:tc>
        <w:tc>
          <w:tcPr>
            <w:tcW w:w="640" w:type="pct"/>
            <w:vMerge w:val="continue"/>
            <w:tcBorders>
              <w:tl2br w:val="nil"/>
              <w:tr2bl w:val="nil"/>
            </w:tcBorders>
            <w:shd w:val="clear" w:color="auto" w:fill="auto"/>
            <w:noWrap/>
            <w:vAlign w:val="center"/>
          </w:tcPr>
          <w:p>
            <w:pPr>
              <w:pStyle w:val="55"/>
              <w:bidi w:val="0"/>
              <w:rPr>
                <w:color w:val="auto"/>
              </w:rPr>
            </w:pPr>
          </w:p>
        </w:tc>
        <w:tc>
          <w:tcPr>
            <w:tcW w:w="960" w:type="pct"/>
            <w:tcBorders>
              <w:tl2br w:val="nil"/>
              <w:tr2bl w:val="nil"/>
            </w:tcBorders>
            <w:shd w:val="clear" w:color="auto" w:fill="auto"/>
            <w:noWrap/>
            <w:vAlign w:val="center"/>
          </w:tcPr>
          <w:p>
            <w:pPr>
              <w:pStyle w:val="55"/>
              <w:bidi w:val="0"/>
              <w:rPr>
                <w:rFonts w:hint="default"/>
                <w:color w:val="auto"/>
                <w:lang w:val="en-US" w:eastAsia="zh-CN"/>
              </w:rPr>
            </w:pPr>
            <w:r>
              <w:rPr>
                <w:rFonts w:hint="eastAsia"/>
                <w:color w:val="auto"/>
                <w:lang w:val="en-US" w:eastAsia="zh-CN"/>
              </w:rPr>
              <w:t>采矿用地</w:t>
            </w:r>
          </w:p>
        </w:tc>
        <w:tc>
          <w:tcPr>
            <w:tcW w:w="1528" w:type="dxa"/>
            <w:tcBorders>
              <w:tl2br w:val="nil"/>
              <w:tr2bl w:val="nil"/>
            </w:tcBorders>
            <w:shd w:val="clear" w:color="auto" w:fill="auto"/>
            <w:noWrap/>
            <w:vAlign w:val="center"/>
          </w:tcPr>
          <w:p>
            <w:pPr>
              <w:pStyle w:val="55"/>
              <w:bidi w:val="0"/>
              <w:rPr>
                <w:rFonts w:hint="default"/>
                <w:color w:val="auto"/>
                <w:lang w:val="en-US" w:eastAsia="zh-CN"/>
              </w:rPr>
            </w:pPr>
            <w:r>
              <w:rPr>
                <w:rFonts w:hint="default"/>
                <w:color w:val="auto"/>
                <w:lang w:val="en-US" w:eastAsia="zh-CN"/>
              </w:rPr>
              <w:t>0.48</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0.93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1024"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输气管线</w:t>
            </w:r>
          </w:p>
        </w:tc>
        <w:tc>
          <w:tcPr>
            <w:tcW w:w="64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pPr>
              <w:pStyle w:val="55"/>
              <w:bidi w:val="0"/>
              <w:rPr>
                <w:rFonts w:hint="default"/>
                <w:color w:val="auto"/>
                <w:lang w:val="en-US" w:eastAsia="zh-CN"/>
              </w:rPr>
            </w:pPr>
            <w:r>
              <w:rPr>
                <w:rFonts w:hint="default"/>
                <w:color w:val="auto"/>
                <w:lang w:val="en-US" w:eastAsia="zh-CN"/>
              </w:rPr>
              <w:t>0.2</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0.39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1024" w:type="pct"/>
            <w:vMerge w:val="restar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净化油外输管线</w:t>
            </w:r>
          </w:p>
        </w:tc>
        <w:tc>
          <w:tcPr>
            <w:tcW w:w="640" w:type="pct"/>
            <w:vMerge w:val="restar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采矿用地</w:t>
            </w:r>
          </w:p>
        </w:tc>
        <w:tc>
          <w:tcPr>
            <w:tcW w:w="1528"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0.4</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0.77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640"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灌木林地</w:t>
            </w:r>
          </w:p>
        </w:tc>
        <w:tc>
          <w:tcPr>
            <w:tcW w:w="1528"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1.13</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2.19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640"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裸土地</w:t>
            </w:r>
          </w:p>
        </w:tc>
        <w:tc>
          <w:tcPr>
            <w:tcW w:w="1528"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5.12</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9.90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640"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96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3.08</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5.96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1024"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640" w:type="pct"/>
            <w:vMerge w:val="continue"/>
            <w:tcBorders>
              <w:tl2br w:val="nil"/>
              <w:tr2bl w:val="nil"/>
            </w:tcBorders>
            <w:shd w:val="clear" w:color="auto" w:fill="auto"/>
            <w:noWrap/>
            <w:vAlign w:val="center"/>
          </w:tcPr>
          <w:p>
            <w:pPr>
              <w:pStyle w:val="55"/>
              <w:bidi w:val="0"/>
              <w:rPr>
                <w:rFonts w:hint="eastAsia"/>
                <w:color w:val="auto"/>
                <w:lang w:val="en-US" w:eastAsia="zh-CN"/>
              </w:rPr>
            </w:pPr>
          </w:p>
        </w:tc>
        <w:tc>
          <w:tcPr>
            <w:tcW w:w="960" w:type="pct"/>
            <w:tcBorders>
              <w:tl2br w:val="nil"/>
              <w:tr2bl w:val="nil"/>
            </w:tcBorders>
            <w:shd w:val="clear" w:color="auto" w:fill="auto"/>
            <w:noWrap/>
            <w:vAlign w:val="center"/>
          </w:tcPr>
          <w:p>
            <w:pPr>
              <w:pStyle w:val="55"/>
              <w:bidi w:val="0"/>
              <w:rPr>
                <w:rFonts w:hint="default"/>
                <w:color w:val="auto"/>
                <w:lang w:val="en-US" w:eastAsia="zh-CN"/>
              </w:rPr>
            </w:pPr>
            <w:r>
              <w:rPr>
                <w:rFonts w:hint="eastAsia"/>
                <w:color w:val="auto"/>
                <w:lang w:val="en-US" w:eastAsia="zh-CN"/>
              </w:rPr>
              <w:t>盐碱地</w:t>
            </w:r>
          </w:p>
        </w:tc>
        <w:tc>
          <w:tcPr>
            <w:tcW w:w="1528"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2.67</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5.16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37" w:type="pct"/>
            <w:tcBorders>
              <w:tl2br w:val="nil"/>
              <w:tr2bl w:val="nil"/>
            </w:tcBorders>
            <w:shd w:val="clear" w:color="auto" w:fill="auto"/>
            <w:noWrap/>
            <w:vAlign w:val="center"/>
          </w:tcPr>
          <w:p>
            <w:pPr>
              <w:pStyle w:val="55"/>
              <w:bidi w:val="0"/>
              <w:rPr>
                <w:rFonts w:hint="default"/>
                <w:color w:val="auto"/>
                <w:lang w:val="en-US" w:eastAsia="zh-CN"/>
              </w:rPr>
            </w:pPr>
            <w:r>
              <w:rPr>
                <w:rFonts w:hint="eastAsia"/>
                <w:color w:val="auto"/>
                <w:lang w:val="en-US" w:eastAsia="zh-CN"/>
              </w:rPr>
              <w:t>临时工程</w:t>
            </w:r>
          </w:p>
        </w:tc>
        <w:tc>
          <w:tcPr>
            <w:tcW w:w="1024"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生活营地</w:t>
            </w:r>
          </w:p>
        </w:tc>
        <w:tc>
          <w:tcPr>
            <w:tcW w:w="640" w:type="pct"/>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临时</w:t>
            </w:r>
          </w:p>
        </w:tc>
        <w:tc>
          <w:tcPr>
            <w:tcW w:w="960" w:type="pct"/>
            <w:tcBorders>
              <w:tl2br w:val="nil"/>
              <w:tr2bl w:val="nil"/>
            </w:tcBorders>
            <w:shd w:val="clear" w:color="auto" w:fill="auto"/>
            <w:noWrap/>
            <w:vAlign w:val="center"/>
          </w:tcPr>
          <w:p>
            <w:pPr>
              <w:pStyle w:val="55"/>
              <w:bidi w:val="0"/>
              <w:rPr>
                <w:rFonts w:hint="default"/>
                <w:color w:val="auto"/>
                <w:lang w:val="en-US" w:eastAsia="zh-CN"/>
              </w:rPr>
            </w:pPr>
            <w:r>
              <w:rPr>
                <w:rFonts w:hint="eastAsia"/>
                <w:color w:val="auto"/>
                <w:lang w:val="en-US" w:eastAsia="zh-CN"/>
              </w:rPr>
              <w:t>其他草地</w:t>
            </w:r>
          </w:p>
        </w:tc>
        <w:tc>
          <w:tcPr>
            <w:tcW w:w="1528"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1.68</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3.25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261" w:type="pct"/>
            <w:gridSpan w:val="4"/>
            <w:tcBorders>
              <w:tl2br w:val="nil"/>
              <w:tr2bl w:val="nil"/>
            </w:tcBorders>
            <w:shd w:val="clear" w:color="auto" w:fill="auto"/>
            <w:noWrap/>
            <w:vAlign w:val="center"/>
          </w:tcPr>
          <w:p>
            <w:pPr>
              <w:pStyle w:val="55"/>
              <w:bidi w:val="0"/>
              <w:rPr>
                <w:rFonts w:hint="eastAsia"/>
                <w:color w:val="auto"/>
                <w:lang w:val="en-US" w:eastAsia="zh-CN"/>
              </w:rPr>
            </w:pPr>
            <w:r>
              <w:rPr>
                <w:rFonts w:hint="eastAsia"/>
                <w:color w:val="auto"/>
                <w:lang w:val="en-US" w:eastAsia="zh-CN"/>
              </w:rPr>
              <w:t>合计</w:t>
            </w:r>
          </w:p>
        </w:tc>
        <w:tc>
          <w:tcPr>
            <w:tcW w:w="1528"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51.696</w:t>
            </w:r>
          </w:p>
        </w:tc>
        <w:tc>
          <w:tcPr>
            <w:tcW w:w="1542" w:type="dxa"/>
            <w:tcBorders>
              <w:tl2br w:val="nil"/>
              <w:tr2bl w:val="nil"/>
            </w:tcBorders>
            <w:shd w:val="clear" w:color="auto" w:fill="auto"/>
            <w:noWrap/>
            <w:vAlign w:val="center"/>
          </w:tcPr>
          <w:p>
            <w:pPr>
              <w:pStyle w:val="55"/>
              <w:bidi w:val="0"/>
              <w:rPr>
                <w:rFonts w:hint="eastAsia"/>
                <w:color w:val="auto"/>
                <w:lang w:val="en-US" w:eastAsia="zh-CN"/>
              </w:rPr>
            </w:pPr>
            <w:r>
              <w:rPr>
                <w:rFonts w:hint="default"/>
                <w:color w:val="auto"/>
                <w:lang w:val="en-US" w:eastAsia="zh-CN"/>
              </w:rPr>
              <w:t xml:space="preserve">100.00 </w:t>
            </w:r>
          </w:p>
        </w:tc>
      </w:tr>
    </w:tbl>
    <w:p>
      <w:pPr>
        <w:pStyle w:val="57"/>
        <w:widowControl w:val="0"/>
        <w:ind w:left="0" w:leftChars="0" w:firstLine="480" w:firstLineChars="200"/>
        <w:rPr>
          <w:rFonts w:hint="eastAsia"/>
          <w:color w:val="auto"/>
          <w:highlight w:val="none"/>
        </w:rPr>
      </w:pPr>
      <w:r>
        <w:rPr>
          <w:rFonts w:hint="eastAsia"/>
          <w:color w:val="auto"/>
          <w:highlight w:val="none"/>
        </w:rPr>
        <w:t>由上表可知，拟建工程区域内土地利用结构比较单一，土地利用类型为</w:t>
      </w:r>
      <w:r>
        <w:rPr>
          <w:rFonts w:hint="eastAsia"/>
          <w:color w:val="auto"/>
          <w:highlight w:val="none"/>
          <w:lang w:val="en-US" w:eastAsia="zh-CN"/>
        </w:rPr>
        <w:t>采</w:t>
      </w:r>
      <w:r>
        <w:rPr>
          <w:rFonts w:hint="eastAsia"/>
          <w:color w:val="auto"/>
          <w:highlight w:val="none"/>
        </w:rPr>
        <w:t>矿用地、灌木林地、其他草地、裸土地。工程区内景观生态体系较为脆弱，虽有一定的生产能力但受到干扰以后的恢复能力较弱。</w:t>
      </w:r>
    </w:p>
    <w:p>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53"/>
        <w:rPr>
          <w:color w:val="auto"/>
          <w:highlight w:val="none"/>
        </w:rPr>
      </w:pPr>
      <w:bookmarkStart w:id="503" w:name="_Toc173941878"/>
      <w:r>
        <w:rPr>
          <w:rFonts w:hint="eastAsia"/>
          <w:color w:val="auto"/>
          <w:highlight w:val="none"/>
        </w:rPr>
        <w:t>4.2</w:t>
      </w:r>
      <w:r>
        <w:rPr>
          <w:color w:val="auto"/>
          <w:highlight w:val="none"/>
        </w:rPr>
        <w:t>.</w:t>
      </w:r>
      <w:r>
        <w:rPr>
          <w:rFonts w:hint="eastAsia"/>
          <w:color w:val="auto"/>
          <w:highlight w:val="none"/>
        </w:rPr>
        <w:t>5</w:t>
      </w:r>
      <w:r>
        <w:rPr>
          <w:color w:val="auto"/>
          <w:highlight w:val="none"/>
        </w:rPr>
        <w:t>植被现状调查与评价</w:t>
      </w:r>
      <w:bookmarkEnd w:id="503"/>
    </w:p>
    <w:p>
      <w:pPr>
        <w:pStyle w:val="5"/>
        <w:pageBreakBefore w:val="0"/>
        <w:widowControl/>
        <w:kinsoku/>
        <w:wordWrap/>
        <w:overflowPunct/>
        <w:topLinePunct w:val="0"/>
        <w:autoSpaceDE/>
        <w:autoSpaceDN/>
        <w:bidi w:val="0"/>
        <w:spacing w:line="480" w:lineRule="exac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4.2.5.1区域植被区系</w:t>
      </w:r>
    </w:p>
    <w:p>
      <w:pPr>
        <w:pStyle w:val="57"/>
        <w:keepNext w:val="0"/>
        <w:keepLines w:val="0"/>
        <w:pageBreakBefore w:val="0"/>
        <w:kinsoku/>
        <w:wordWrap/>
        <w:overflowPunct/>
        <w:topLinePunct w:val="0"/>
        <w:autoSpaceDE/>
        <w:autoSpaceDN/>
        <w:bidi w:val="0"/>
        <w:adjustRightInd/>
        <w:snapToGrid/>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依据《新疆植被及其利用》中植物地理区划的划分标准，拟建工程所在的植被区划属新疆荒漠区。具体内容见表4.2-4。</w:t>
      </w:r>
    </w:p>
    <w:p>
      <w:pPr>
        <w:pStyle w:val="54"/>
        <w:keepNext w:val="0"/>
        <w:keepLines w:val="0"/>
        <w:pageBreakBefore w:val="0"/>
        <w:kinsoku/>
        <w:wordWrap/>
        <w:overflowPunct/>
        <w:topLinePunct w:val="0"/>
        <w:autoSpaceDE/>
        <w:autoSpaceDN/>
        <w:bidi w:val="0"/>
        <w:adjustRightInd/>
        <w:snapToGrid/>
        <w:spacing w:line="480" w:lineRule="exact"/>
        <w:rPr>
          <w:rFonts w:hint="eastAsia"/>
          <w:color w:val="auto"/>
          <w:lang w:val="en-US" w:eastAsia="zh-CN"/>
        </w:rPr>
      </w:pPr>
      <w:r>
        <w:rPr>
          <w:rFonts w:hint="eastAsia"/>
          <w:color w:val="auto"/>
          <w:lang w:val="en-US" w:eastAsia="zh-CN"/>
        </w:rPr>
        <w:t>表4.2-4  评价区植被地理区划</w:t>
      </w:r>
    </w:p>
    <w:tbl>
      <w:tblPr>
        <w:tblStyle w:val="35"/>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2218"/>
        <w:gridCol w:w="2575"/>
        <w:gridCol w:w="1213"/>
        <w:gridCol w:w="1300"/>
        <w:gridCol w:w="121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8" w:type="dxa"/>
            <w:tcBorders>
              <w:tl2br w:val="nil"/>
              <w:tr2bl w:val="nil"/>
            </w:tcBorders>
          </w:tcPr>
          <w:p>
            <w:pPr>
              <w:pStyle w:val="55"/>
              <w:bidi w:val="0"/>
              <w:rPr>
                <w:rFonts w:hint="eastAsia"/>
                <w:color w:val="auto"/>
                <w:lang w:val="en-US" w:eastAsia="zh-CN"/>
              </w:rPr>
            </w:pPr>
            <w:r>
              <w:rPr>
                <w:rFonts w:hint="eastAsia"/>
                <w:color w:val="auto"/>
                <w:lang w:val="en-US" w:eastAsia="zh-CN"/>
              </w:rPr>
              <w:t>植被区</w:t>
            </w:r>
          </w:p>
        </w:tc>
        <w:tc>
          <w:tcPr>
            <w:tcW w:w="2575" w:type="dxa"/>
            <w:tcBorders>
              <w:tl2br w:val="nil"/>
              <w:tr2bl w:val="nil"/>
            </w:tcBorders>
          </w:tcPr>
          <w:p>
            <w:pPr>
              <w:pStyle w:val="55"/>
              <w:bidi w:val="0"/>
              <w:rPr>
                <w:rFonts w:hint="eastAsia"/>
                <w:color w:val="auto"/>
                <w:lang w:val="en-US" w:eastAsia="zh-CN"/>
              </w:rPr>
            </w:pPr>
            <w:r>
              <w:rPr>
                <w:rFonts w:hint="eastAsia"/>
                <w:color w:val="auto"/>
                <w:lang w:val="en-US" w:eastAsia="zh-CN"/>
              </w:rPr>
              <w:t>植被亚区</w:t>
            </w:r>
          </w:p>
        </w:tc>
        <w:tc>
          <w:tcPr>
            <w:tcW w:w="1213" w:type="dxa"/>
            <w:tcBorders>
              <w:tl2br w:val="nil"/>
              <w:tr2bl w:val="nil"/>
            </w:tcBorders>
          </w:tcPr>
          <w:p>
            <w:pPr>
              <w:pStyle w:val="55"/>
              <w:bidi w:val="0"/>
              <w:rPr>
                <w:rFonts w:hint="eastAsia"/>
                <w:color w:val="auto"/>
                <w:lang w:val="en-US" w:eastAsia="zh-CN"/>
              </w:rPr>
            </w:pPr>
            <w:r>
              <w:rPr>
                <w:rFonts w:hint="eastAsia"/>
                <w:color w:val="auto"/>
                <w:lang w:val="en-US" w:eastAsia="zh-CN"/>
              </w:rPr>
              <w:t>植被省</w:t>
            </w:r>
          </w:p>
        </w:tc>
        <w:tc>
          <w:tcPr>
            <w:tcW w:w="1300" w:type="dxa"/>
            <w:tcBorders>
              <w:tl2br w:val="nil"/>
              <w:tr2bl w:val="nil"/>
            </w:tcBorders>
          </w:tcPr>
          <w:p>
            <w:pPr>
              <w:pStyle w:val="55"/>
              <w:bidi w:val="0"/>
              <w:rPr>
                <w:rFonts w:hint="eastAsia"/>
                <w:color w:val="auto"/>
                <w:lang w:val="en-US" w:eastAsia="zh-CN"/>
              </w:rPr>
            </w:pPr>
            <w:r>
              <w:rPr>
                <w:rFonts w:hint="eastAsia"/>
                <w:color w:val="auto"/>
                <w:lang w:val="en-US" w:eastAsia="zh-CN"/>
              </w:rPr>
              <w:t>植被亚省</w:t>
            </w:r>
          </w:p>
        </w:tc>
        <w:tc>
          <w:tcPr>
            <w:tcW w:w="1216" w:type="dxa"/>
            <w:tcBorders>
              <w:tl2br w:val="nil"/>
              <w:tr2bl w:val="nil"/>
            </w:tcBorders>
          </w:tcPr>
          <w:p>
            <w:pPr>
              <w:pStyle w:val="55"/>
              <w:bidi w:val="0"/>
              <w:rPr>
                <w:rFonts w:hint="eastAsia"/>
                <w:color w:val="auto"/>
                <w:lang w:val="en-US" w:eastAsia="zh-CN"/>
              </w:rPr>
            </w:pPr>
            <w:r>
              <w:rPr>
                <w:rFonts w:hint="eastAsia"/>
                <w:color w:val="auto"/>
                <w:lang w:val="en-US" w:eastAsia="zh-CN"/>
              </w:rPr>
              <w:t>植被州</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218" w:type="dxa"/>
            <w:tcBorders>
              <w:tl2br w:val="nil"/>
              <w:tr2bl w:val="nil"/>
            </w:tcBorders>
            <w:vAlign w:val="center"/>
          </w:tcPr>
          <w:p>
            <w:pPr>
              <w:pStyle w:val="55"/>
              <w:bidi w:val="0"/>
              <w:rPr>
                <w:rFonts w:hint="eastAsia"/>
                <w:color w:val="auto"/>
                <w:lang w:val="en-US" w:eastAsia="zh-CN"/>
              </w:rPr>
            </w:pPr>
            <w:r>
              <w:rPr>
                <w:rFonts w:hint="eastAsia"/>
                <w:color w:val="auto"/>
                <w:lang w:val="en-US" w:eastAsia="zh-CN"/>
              </w:rPr>
              <w:t>（二）新疆荒漠区（亚非荒漠区的一部分）</w:t>
            </w:r>
          </w:p>
        </w:tc>
        <w:tc>
          <w:tcPr>
            <w:tcW w:w="2575" w:type="dxa"/>
            <w:tcBorders>
              <w:tl2br w:val="nil"/>
              <w:tr2bl w:val="nil"/>
            </w:tcBorders>
            <w:vAlign w:val="center"/>
          </w:tcPr>
          <w:p>
            <w:pPr>
              <w:pStyle w:val="55"/>
              <w:bidi w:val="0"/>
              <w:rPr>
                <w:rFonts w:hint="eastAsia"/>
                <w:color w:val="auto"/>
                <w:lang w:val="en-US" w:eastAsia="zh-CN"/>
              </w:rPr>
            </w:pPr>
            <w:r>
              <w:rPr>
                <w:rFonts w:hint="eastAsia"/>
                <w:color w:val="auto"/>
                <w:lang w:val="en-US" w:eastAsia="zh-CN"/>
              </w:rPr>
              <w:t>A.北疆荒漠亚区（与哈萨克斯坦荒漠同属一亚区）</w:t>
            </w:r>
          </w:p>
        </w:tc>
        <w:tc>
          <w:tcPr>
            <w:tcW w:w="1213" w:type="dxa"/>
            <w:tcBorders>
              <w:tl2br w:val="nil"/>
              <w:tr2bl w:val="nil"/>
            </w:tcBorders>
            <w:vAlign w:val="center"/>
          </w:tcPr>
          <w:p>
            <w:pPr>
              <w:pStyle w:val="55"/>
              <w:bidi w:val="0"/>
              <w:rPr>
                <w:rFonts w:hint="eastAsia"/>
                <w:color w:val="auto"/>
                <w:lang w:val="en-US" w:eastAsia="zh-CN"/>
              </w:rPr>
            </w:pPr>
            <w:r>
              <w:rPr>
                <w:rFonts w:hint="eastAsia"/>
                <w:color w:val="auto"/>
                <w:lang w:val="en-US" w:eastAsia="zh-CN"/>
              </w:rPr>
              <w:t>Ⅲ.准噶尔荒漠省</w:t>
            </w:r>
          </w:p>
        </w:tc>
        <w:tc>
          <w:tcPr>
            <w:tcW w:w="1300" w:type="dxa"/>
            <w:tcBorders>
              <w:tl2br w:val="nil"/>
              <w:tr2bl w:val="nil"/>
            </w:tcBorders>
            <w:vAlign w:val="center"/>
          </w:tcPr>
          <w:p>
            <w:pPr>
              <w:pStyle w:val="55"/>
              <w:bidi w:val="0"/>
              <w:rPr>
                <w:rFonts w:hint="eastAsia"/>
                <w:color w:val="auto"/>
                <w:lang w:val="en-US" w:eastAsia="zh-CN"/>
              </w:rPr>
            </w:pPr>
            <w:r>
              <w:rPr>
                <w:rFonts w:hint="eastAsia"/>
                <w:color w:val="auto"/>
                <w:lang w:val="en-US" w:eastAsia="zh-CN"/>
              </w:rPr>
              <w:t>b.准噶尔荒漠亚省</w:t>
            </w:r>
          </w:p>
        </w:tc>
        <w:tc>
          <w:tcPr>
            <w:tcW w:w="1216" w:type="dxa"/>
            <w:tcBorders>
              <w:tl2br w:val="nil"/>
              <w:tr2bl w:val="nil"/>
            </w:tcBorders>
            <w:vAlign w:val="center"/>
          </w:tcPr>
          <w:p>
            <w:pPr>
              <w:pStyle w:val="55"/>
              <w:bidi w:val="0"/>
              <w:rPr>
                <w:rFonts w:hint="eastAsia"/>
                <w:color w:val="auto"/>
                <w:lang w:val="en-US" w:eastAsia="zh-CN"/>
              </w:rPr>
            </w:pPr>
            <w:r>
              <w:rPr>
                <w:rFonts w:hint="eastAsia"/>
                <w:color w:val="auto"/>
                <w:lang w:val="en-US" w:eastAsia="zh-CN"/>
              </w:rPr>
              <w:t>15.古尔班通古特洲</w:t>
            </w:r>
          </w:p>
        </w:tc>
      </w:tr>
    </w:tbl>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color w:val="auto"/>
          <w:highlight w:val="none"/>
          <w:lang w:val="en-US" w:eastAsia="zh-CN"/>
        </w:rPr>
        <w:t>评价区域内占优势的植被为梭梭，常见的其他植物种类主要为耐旱的小半乔木组、盐柴类半灌木组等</w:t>
      </w:r>
      <w:r>
        <w:rPr>
          <w:rFonts w:hint="eastAsia" w:ascii="Times New Roman" w:hAnsi="Times New Roman" w:eastAsia="宋体" w:cs="Times New Roman"/>
          <w:color w:val="auto"/>
          <w:highlight w:val="none"/>
        </w:rPr>
        <w:t>。</w:t>
      </w:r>
    </w:p>
    <w:p>
      <w:pPr>
        <w:pStyle w:val="5"/>
        <w:pageBreakBefore w:val="0"/>
        <w:widowControl/>
        <w:kinsoku/>
        <w:wordWrap/>
        <w:overflowPunct/>
        <w:topLinePunct w:val="0"/>
        <w:autoSpaceDE/>
        <w:autoSpaceDN/>
        <w:bidi w:val="0"/>
        <w:spacing w:line="480" w:lineRule="exact"/>
        <w:textAlignment w:val="auto"/>
        <w:rPr>
          <w:rFonts w:hint="default"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4.2.5.2评价区植被类型</w:t>
      </w:r>
    </w:p>
    <w:p>
      <w:pPr>
        <w:pStyle w:val="57"/>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区域内气候干旱，植物群落较为单一，项目区发育着以梭梭灌丛为建群种的水平地带性荒漠植被，主要组成植物有梭梭、白梭梭、假木贼和驼绒藜。大部分区域植被稀疏，局部覆盖度大于10%，大部分覆盖度较低约5%～10%。评价区内主要高等植物21种，主要是超旱生的小乔木、灌木、半灌木荒漠植被，物种及分布环境见表4.2-2，评价区植被类型分布见图4.2-3。</w:t>
      </w:r>
    </w:p>
    <w:p>
      <w:pPr>
        <w:pStyle w:val="57"/>
        <w:keepNext w:val="0"/>
        <w:keepLines w:val="0"/>
        <w:pageBreakBefore w:val="0"/>
        <w:widowControl/>
        <w:kinsoku/>
        <w:wordWrap/>
        <w:overflowPunct/>
        <w:topLinePunct w:val="0"/>
        <w:autoSpaceDE/>
        <w:autoSpaceDN/>
        <w:bidi w:val="0"/>
        <w:adjustRightInd/>
        <w:snapToGrid/>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评价区高等植被有18种，分属4科，详见表4.2-5。</w:t>
      </w:r>
    </w:p>
    <w:p>
      <w:pPr>
        <w:pStyle w:val="54"/>
        <w:bidi w:val="0"/>
        <w:rPr>
          <w:color w:val="auto"/>
          <w:lang w:val="en-US" w:eastAsia="zh-CN"/>
        </w:rPr>
      </w:pPr>
      <w:r>
        <w:rPr>
          <w:rFonts w:hint="eastAsia"/>
          <w:color w:val="auto"/>
          <w:lang w:val="en-US" w:eastAsia="zh-CN"/>
        </w:rPr>
        <w:t>表4.2-5  区域野生植物情况一览表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28" w:type="dxa"/>
          <w:bottom w:w="0" w:type="dxa"/>
          <w:right w:w="28" w:type="dxa"/>
        </w:tblCellMar>
      </w:tblPr>
      <w:tblGrid>
        <w:gridCol w:w="583"/>
        <w:gridCol w:w="2531"/>
        <w:gridCol w:w="1650"/>
        <w:gridCol w:w="3090"/>
        <w:gridCol w:w="814"/>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69"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序号</w:t>
            </w:r>
          </w:p>
        </w:tc>
        <w:tc>
          <w:tcPr>
            <w:tcW w:w="1459" w:type="pct"/>
            <w:tcBorders>
              <w:tl2br w:val="nil"/>
              <w:tr2bl w:val="nil"/>
            </w:tcBorders>
            <w:vAlign w:val="center"/>
          </w:tcPr>
          <w:p>
            <w:pPr>
              <w:pStyle w:val="55"/>
              <w:bidi w:val="0"/>
              <w:rPr>
                <w:color w:val="auto"/>
                <w:lang w:val="en-US" w:eastAsia="zh-CN"/>
              </w:rPr>
            </w:pPr>
            <w:r>
              <w:rPr>
                <w:rFonts w:hint="eastAsia"/>
                <w:color w:val="auto"/>
                <w:lang w:val="en-US" w:eastAsia="zh-CN"/>
              </w:rPr>
              <w:t>科</w:t>
            </w:r>
          </w:p>
        </w:tc>
        <w:tc>
          <w:tcPr>
            <w:tcW w:w="951" w:type="pct"/>
            <w:tcBorders>
              <w:tl2br w:val="nil"/>
              <w:tr2bl w:val="nil"/>
            </w:tcBorders>
            <w:vAlign w:val="center"/>
          </w:tcPr>
          <w:p>
            <w:pPr>
              <w:pStyle w:val="55"/>
              <w:bidi w:val="0"/>
              <w:rPr>
                <w:color w:val="auto"/>
                <w:lang w:val="en-US" w:eastAsia="zh-CN"/>
              </w:rPr>
            </w:pPr>
            <w:r>
              <w:rPr>
                <w:rFonts w:hint="eastAsia"/>
                <w:color w:val="auto"/>
                <w:lang w:val="en-US" w:eastAsia="zh-CN"/>
              </w:rPr>
              <w:t>种名</w:t>
            </w:r>
          </w:p>
        </w:tc>
        <w:tc>
          <w:tcPr>
            <w:tcW w:w="1781" w:type="pct"/>
            <w:tcBorders>
              <w:tl2br w:val="nil"/>
              <w:tr2bl w:val="nil"/>
            </w:tcBorders>
            <w:vAlign w:val="center"/>
          </w:tcPr>
          <w:p>
            <w:pPr>
              <w:pStyle w:val="55"/>
              <w:bidi w:val="0"/>
              <w:rPr>
                <w:color w:val="auto"/>
                <w:lang w:val="en-US" w:eastAsia="zh-CN"/>
              </w:rPr>
            </w:pPr>
            <w:r>
              <w:rPr>
                <w:rFonts w:hint="eastAsia"/>
                <w:color w:val="auto"/>
                <w:lang w:val="en-US" w:eastAsia="zh-CN"/>
              </w:rPr>
              <w:t>拉丁名</w:t>
            </w:r>
          </w:p>
        </w:tc>
        <w:tc>
          <w:tcPr>
            <w:tcW w:w="469"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分布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1</w:t>
            </w:r>
          </w:p>
        </w:tc>
        <w:tc>
          <w:tcPr>
            <w:tcW w:w="1459" w:type="pct"/>
            <w:vMerge w:val="restart"/>
            <w:tcBorders>
              <w:tl2br w:val="nil"/>
              <w:tr2bl w:val="nil"/>
            </w:tcBorders>
            <w:vAlign w:val="center"/>
          </w:tcPr>
          <w:p>
            <w:pPr>
              <w:pStyle w:val="55"/>
              <w:bidi w:val="0"/>
              <w:rPr>
                <w:color w:val="auto"/>
                <w:lang w:val="en-US" w:eastAsia="zh-CN"/>
              </w:rPr>
            </w:pPr>
            <w:r>
              <w:rPr>
                <w:color w:val="auto"/>
                <w:lang w:val="en-US" w:eastAsia="zh-CN"/>
              </w:rPr>
              <w:t>柽柳科</w:t>
            </w:r>
            <w:r>
              <w:rPr>
                <w:i/>
                <w:iCs/>
                <w:color w:val="auto"/>
                <w:lang w:val="en-US" w:eastAsia="zh-CN"/>
              </w:rPr>
              <w:t xml:space="preserve"> Tamaricaccae</w:t>
            </w:r>
          </w:p>
        </w:tc>
        <w:tc>
          <w:tcPr>
            <w:tcW w:w="951" w:type="pct"/>
            <w:tcBorders>
              <w:tl2br w:val="nil"/>
              <w:tr2bl w:val="nil"/>
            </w:tcBorders>
            <w:vAlign w:val="center"/>
          </w:tcPr>
          <w:p>
            <w:pPr>
              <w:pStyle w:val="55"/>
              <w:bidi w:val="0"/>
              <w:rPr>
                <w:color w:val="auto"/>
                <w:lang w:val="en-US" w:eastAsia="zh-CN"/>
              </w:rPr>
            </w:pPr>
            <w:r>
              <w:rPr>
                <w:color w:val="auto"/>
                <w:lang w:val="en-US" w:eastAsia="zh-CN"/>
              </w:rPr>
              <w:t>红砂</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Rcaumuria soongaria</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2</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柽柳</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Tamarix chinensis</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3</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骆驼刺</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 </w:t>
            </w:r>
            <w:r>
              <w:rPr>
                <w:rFonts w:hint="default"/>
                <w:i/>
                <w:iCs/>
                <w:color w:val="auto"/>
                <w:lang w:val="en-US" w:eastAsia="zh-CN"/>
              </w:rPr>
              <w:t>Alhagi camelorum</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4</w:t>
            </w:r>
          </w:p>
        </w:tc>
        <w:tc>
          <w:tcPr>
            <w:tcW w:w="1459" w:type="pct"/>
            <w:tcBorders>
              <w:tl2br w:val="nil"/>
              <w:tr2bl w:val="nil"/>
            </w:tcBorders>
            <w:vAlign w:val="center"/>
          </w:tcPr>
          <w:p>
            <w:pPr>
              <w:pStyle w:val="55"/>
              <w:bidi w:val="0"/>
              <w:rPr>
                <w:color w:val="auto"/>
                <w:lang w:val="en-US" w:eastAsia="zh-CN"/>
              </w:rPr>
            </w:pPr>
            <w:r>
              <w:rPr>
                <w:color w:val="auto"/>
                <w:lang w:val="en-US" w:eastAsia="zh-CN"/>
              </w:rPr>
              <w:t> </w:t>
            </w:r>
            <w:r>
              <w:rPr>
                <w:rFonts w:hint="default"/>
                <w:color w:val="auto"/>
                <w:lang w:val="en-US" w:eastAsia="zh-CN"/>
              </w:rPr>
              <w:fldChar w:fldCharType="begin"/>
            </w:r>
            <w:r>
              <w:rPr>
                <w:rFonts w:hint="default"/>
                <w:color w:val="auto"/>
                <w:lang w:val="en-US" w:eastAsia="zh-CN"/>
              </w:rPr>
              <w:instrText xml:space="preserve"> HYPERLINK "https://ppbc.iplant.cn/fam/951072" </w:instrText>
            </w:r>
            <w:r>
              <w:rPr>
                <w:rFonts w:hint="default"/>
                <w:color w:val="auto"/>
                <w:lang w:val="en-US" w:eastAsia="zh-CN"/>
              </w:rPr>
              <w:fldChar w:fldCharType="separate"/>
            </w:r>
            <w:r>
              <w:rPr>
                <w:rFonts w:hint="default"/>
                <w:color w:val="auto"/>
                <w:lang w:val="en-US" w:eastAsia="zh-CN"/>
              </w:rPr>
              <w:t>蒺藜科 </w:t>
            </w:r>
            <w:r>
              <w:rPr>
                <w:rFonts w:hint="default"/>
                <w:color w:val="auto"/>
                <w:lang w:val="en-US" w:eastAsia="zh-CN"/>
              </w:rPr>
              <w:fldChar w:fldCharType="end"/>
            </w:r>
            <w:r>
              <w:rPr>
                <w:i/>
                <w:iCs/>
                <w:color w:val="auto"/>
                <w:lang w:val="en-US" w:eastAsia="zh-CN"/>
              </w:rPr>
              <w:fldChar w:fldCharType="begin"/>
            </w:r>
            <w:r>
              <w:rPr>
                <w:i/>
                <w:iCs/>
                <w:color w:val="auto"/>
                <w:lang w:val="en-US" w:eastAsia="zh-CN"/>
              </w:rPr>
              <w:instrText xml:space="preserve"> HYPERLINK "https://ppbc.iplant.cn/fam/951072" </w:instrText>
            </w:r>
            <w:r>
              <w:rPr>
                <w:i/>
                <w:iCs/>
                <w:color w:val="auto"/>
                <w:lang w:val="en-US" w:eastAsia="zh-CN"/>
              </w:rPr>
              <w:fldChar w:fldCharType="separate"/>
            </w:r>
            <w:r>
              <w:rPr>
                <w:rFonts w:hint="default"/>
                <w:i/>
                <w:iCs/>
                <w:color w:val="auto"/>
                <w:lang w:val="en-US" w:eastAsia="zh-CN"/>
              </w:rPr>
              <w:t> Zygophyllaceae</w:t>
            </w:r>
            <w:r>
              <w:rPr>
                <w:rFonts w:hint="default"/>
                <w:i/>
                <w:iCs/>
                <w:color w:val="auto"/>
                <w:lang w:val="en-US" w:eastAsia="zh-CN"/>
              </w:rPr>
              <w:fldChar w:fldCharType="end"/>
            </w:r>
            <w:r>
              <w:rPr>
                <w:rFonts w:hint="default"/>
                <w:color w:val="auto"/>
                <w:lang w:val="en-US" w:eastAsia="zh-CN"/>
              </w:rPr>
              <w:t> </w:t>
            </w:r>
          </w:p>
        </w:tc>
        <w:tc>
          <w:tcPr>
            <w:tcW w:w="951" w:type="pct"/>
            <w:tcBorders>
              <w:tl2br w:val="nil"/>
              <w:tr2bl w:val="nil"/>
            </w:tcBorders>
            <w:vAlign w:val="center"/>
          </w:tcPr>
          <w:p>
            <w:pPr>
              <w:pStyle w:val="55"/>
              <w:bidi w:val="0"/>
              <w:rPr>
                <w:color w:val="auto"/>
                <w:lang w:val="en-US" w:eastAsia="zh-CN"/>
              </w:rPr>
            </w:pPr>
            <w:r>
              <w:rPr>
                <w:color w:val="auto"/>
                <w:lang w:val="en-US" w:eastAsia="zh-CN"/>
              </w:rPr>
              <w:t>翼果驼蹄瓣</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Zygophyllum pterocarpum</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5</w:t>
            </w:r>
          </w:p>
        </w:tc>
        <w:tc>
          <w:tcPr>
            <w:tcW w:w="1459" w:type="pct"/>
            <w:vMerge w:val="restart"/>
            <w:tcBorders>
              <w:tl2br w:val="nil"/>
              <w:tr2bl w:val="nil"/>
            </w:tcBorders>
            <w:vAlign w:val="center"/>
          </w:tcPr>
          <w:p>
            <w:pPr>
              <w:pStyle w:val="55"/>
              <w:bidi w:val="0"/>
              <w:rPr>
                <w:color w:val="auto"/>
                <w:lang w:val="en-US" w:eastAsia="zh-CN"/>
              </w:rPr>
            </w:pPr>
            <w:r>
              <w:rPr>
                <w:color w:val="auto"/>
                <w:lang w:val="en-US" w:eastAsia="zh-CN"/>
              </w:rPr>
              <w:t>苋科</w:t>
            </w:r>
            <w:r>
              <w:rPr>
                <w:i/>
                <w:iCs/>
                <w:color w:val="auto"/>
                <w:lang w:val="en-US" w:eastAsia="zh-CN"/>
              </w:rPr>
              <w:t xml:space="preserve"> Amaranthaceae</w:t>
            </w:r>
          </w:p>
        </w:tc>
        <w:tc>
          <w:tcPr>
            <w:tcW w:w="951" w:type="pct"/>
            <w:tcBorders>
              <w:tl2br w:val="nil"/>
              <w:tr2bl w:val="nil"/>
            </w:tcBorders>
            <w:vAlign w:val="center"/>
          </w:tcPr>
          <w:p>
            <w:pPr>
              <w:pStyle w:val="55"/>
              <w:bidi w:val="0"/>
              <w:rPr>
                <w:color w:val="auto"/>
                <w:lang w:val="en-US" w:eastAsia="zh-CN"/>
              </w:rPr>
            </w:pPr>
            <w:r>
              <w:rPr>
                <w:color w:val="auto"/>
                <w:lang w:val="en-US" w:eastAsia="zh-CN"/>
              </w:rPr>
              <w:t>白梭梭</w:t>
            </w:r>
            <w:r>
              <w:rPr>
                <w:rFonts w:hint="default"/>
                <w:color w:val="auto"/>
                <w:lang w:val="en-US" w:eastAsia="zh-CN"/>
              </w:rPr>
              <w:t> </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Haloxylon persicum</w:t>
            </w:r>
          </w:p>
        </w:tc>
        <w:tc>
          <w:tcPr>
            <w:tcW w:w="469" w:type="pct"/>
            <w:tcBorders>
              <w:tl2br w:val="nil"/>
              <w:tr2bl w:val="nil"/>
            </w:tcBorders>
            <w:vAlign w:val="center"/>
          </w:tcPr>
          <w:p>
            <w:pPr>
              <w:pStyle w:val="55"/>
              <w:bidi w:val="0"/>
              <w:rPr>
                <w:color w:val="auto"/>
                <w:lang w:val="en-US" w:eastAsia="zh-CN"/>
              </w:rPr>
            </w:pPr>
            <w:r>
              <w:rPr>
                <w:rFonts w:hint="eastAsia"/>
                <w:color w:val="auto"/>
                <w:lang w:val="en-US" w:eastAsia="zh-CN"/>
              </w:rPr>
              <w:t>+</w:t>
            </w: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6</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盐生假木贼</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Anabasis salsa</w:t>
            </w:r>
          </w:p>
        </w:tc>
        <w:tc>
          <w:tcPr>
            <w:tcW w:w="469" w:type="pct"/>
            <w:tcBorders>
              <w:tl2br w:val="nil"/>
              <w:tr2bl w:val="nil"/>
            </w:tcBorders>
            <w:vAlign w:val="center"/>
          </w:tcPr>
          <w:p>
            <w:pPr>
              <w:pStyle w:val="55"/>
              <w:bidi w:val="0"/>
              <w:rPr>
                <w:color w:val="auto"/>
                <w:lang w:val="en-US" w:eastAsia="zh-CN"/>
              </w:rPr>
            </w:pPr>
            <w:r>
              <w:rPr>
                <w:rFonts w:hint="eastAsia"/>
                <w:color w:val="auto"/>
                <w:lang w:val="en-US" w:eastAsia="zh-CN"/>
              </w:rPr>
              <w:t>+</w:t>
            </w: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7</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展枝假木贼</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Anabasis truncata</w:t>
            </w:r>
          </w:p>
        </w:tc>
        <w:tc>
          <w:tcPr>
            <w:tcW w:w="469" w:type="pct"/>
            <w:tcBorders>
              <w:tl2br w:val="nil"/>
              <w:tr2bl w:val="nil"/>
            </w:tcBorders>
            <w:vAlign w:val="center"/>
          </w:tcPr>
          <w:p>
            <w:pPr>
              <w:pStyle w:val="55"/>
              <w:bidi w:val="0"/>
              <w:rPr>
                <w:color w:val="auto"/>
                <w:lang w:val="en-US" w:eastAsia="zh-CN"/>
              </w:rPr>
            </w:pPr>
            <w:r>
              <w:rPr>
                <w:rFonts w:hint="eastAsia"/>
                <w:color w:val="auto"/>
                <w:lang w:val="en-US" w:eastAsia="zh-CN"/>
              </w:rPr>
              <w:t>+</w:t>
            </w: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8</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高枝假木贼</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Anabasis elatior</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eastAsia"/>
                <w:color w:val="auto"/>
                <w:lang w:val="en-US" w:eastAsia="zh-CN"/>
              </w:rPr>
            </w:pPr>
            <w:r>
              <w:rPr>
                <w:rFonts w:hint="eastAsia"/>
                <w:color w:val="auto"/>
                <w:lang w:val="en-US" w:eastAsia="zh-CN"/>
              </w:rPr>
              <w:t>9</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东方珍珠柴</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Caroxylon orientale</w:t>
            </w:r>
          </w:p>
        </w:tc>
        <w:tc>
          <w:tcPr>
            <w:tcW w:w="469" w:type="pct"/>
            <w:tcBorders>
              <w:tl2br w:val="nil"/>
              <w:tr2bl w:val="nil"/>
            </w:tcBorders>
            <w:vAlign w:val="center"/>
          </w:tcPr>
          <w:p>
            <w:pPr>
              <w:pStyle w:val="55"/>
              <w:bidi w:val="0"/>
              <w:rPr>
                <w:color w:va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10</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驼绒藜</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Krascheninnikovia ceratoides</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11</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木碱蓬</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Suaeda dendroides</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12</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猪毛菜</w:t>
            </w:r>
            <w:r>
              <w:rPr>
                <w:rFonts w:hint="default"/>
                <w:color w:val="auto"/>
                <w:lang w:val="en-US" w:eastAsia="zh-CN"/>
              </w:rPr>
              <w:t> </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Salsola collina</w:t>
            </w:r>
          </w:p>
        </w:tc>
        <w:tc>
          <w:tcPr>
            <w:tcW w:w="469" w:type="pct"/>
            <w:tcBorders>
              <w:tl2br w:val="nil"/>
              <w:tr2bl w:val="nil"/>
            </w:tcBorders>
            <w:vAlign w:val="center"/>
          </w:tcPr>
          <w:p>
            <w:pPr>
              <w:pStyle w:val="55"/>
              <w:bidi w:val="0"/>
              <w:rPr>
                <w:color w:val="auto"/>
                <w:lang w:val="en-US" w:eastAsia="zh-CN"/>
              </w:rPr>
            </w:pPr>
            <w:r>
              <w:rPr>
                <w:rFonts w:hint="eastAsia"/>
                <w:color w:val="auto"/>
                <w:lang w:val="en-US" w:eastAsia="zh-CN"/>
              </w:rPr>
              <w:t>+</w:t>
            </w: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13</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囊果碱蓬</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Suaeda physophora</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14</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肥叶碱蓬</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 </w:t>
            </w:r>
            <w:r>
              <w:rPr>
                <w:rFonts w:hint="default"/>
                <w:i/>
                <w:iCs/>
                <w:color w:val="auto"/>
                <w:lang w:val="en-US" w:eastAsia="zh-CN"/>
              </w:rPr>
              <w:t>Suaeda kossinskyi</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15</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盐爪爪</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Kalidium foliatum</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16</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梭梭</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Haloxylon ammodendron</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17</w:t>
            </w:r>
          </w:p>
        </w:tc>
        <w:tc>
          <w:tcPr>
            <w:tcW w:w="1459" w:type="pct"/>
            <w:vMerge w:val="continue"/>
            <w:tcBorders>
              <w:tl2br w:val="nil"/>
              <w:tr2bl w:val="nil"/>
            </w:tcBorders>
            <w:vAlign w:val="center"/>
          </w:tcPr>
          <w:p>
            <w:pPr>
              <w:pStyle w:val="55"/>
              <w:bidi w:val="0"/>
              <w:rPr>
                <w:color w:val="auto"/>
                <w:lang w:val="en-US" w:eastAsia="zh-CN"/>
              </w:rPr>
            </w:pPr>
          </w:p>
        </w:tc>
        <w:tc>
          <w:tcPr>
            <w:tcW w:w="951" w:type="pct"/>
            <w:tcBorders>
              <w:tl2br w:val="nil"/>
              <w:tr2bl w:val="nil"/>
            </w:tcBorders>
            <w:vAlign w:val="center"/>
          </w:tcPr>
          <w:p>
            <w:pPr>
              <w:pStyle w:val="55"/>
              <w:bidi w:val="0"/>
              <w:rPr>
                <w:color w:val="auto"/>
                <w:lang w:val="en-US" w:eastAsia="zh-CN"/>
              </w:rPr>
            </w:pPr>
            <w:r>
              <w:rPr>
                <w:color w:val="auto"/>
                <w:lang w:val="en-US" w:eastAsia="zh-CN"/>
              </w:rPr>
              <w:t>叉毛蓬</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 </w:t>
            </w:r>
            <w:r>
              <w:rPr>
                <w:rFonts w:hint="default"/>
                <w:i/>
                <w:iCs/>
                <w:color w:val="auto"/>
                <w:lang w:val="en-US" w:eastAsia="zh-CN"/>
              </w:rPr>
              <w:t>Petrosimonia sibirica</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18</w:t>
            </w:r>
          </w:p>
        </w:tc>
        <w:tc>
          <w:tcPr>
            <w:tcW w:w="1459" w:type="pct"/>
            <w:tcBorders>
              <w:tl2br w:val="nil"/>
              <w:tr2bl w:val="nil"/>
            </w:tcBorders>
            <w:vAlign w:val="center"/>
          </w:tcPr>
          <w:p>
            <w:pPr>
              <w:pStyle w:val="55"/>
              <w:bidi w:val="0"/>
              <w:rPr>
                <w:color w:val="auto"/>
                <w:lang w:val="en-US" w:eastAsia="zh-CN"/>
              </w:rPr>
            </w:pPr>
            <w:r>
              <w:rPr>
                <w:rFonts w:hint="default"/>
                <w:color w:val="auto"/>
                <w:lang w:val="en-US" w:eastAsia="zh-CN"/>
              </w:rPr>
              <w:fldChar w:fldCharType="begin"/>
            </w:r>
            <w:r>
              <w:rPr>
                <w:rFonts w:hint="default"/>
                <w:color w:val="auto"/>
                <w:lang w:val="en-US" w:eastAsia="zh-CN"/>
              </w:rPr>
              <w:instrText xml:space="preserve"> HYPERLINK "https://ppbc.iplant.cn/fam/951101" </w:instrText>
            </w:r>
            <w:r>
              <w:rPr>
                <w:rFonts w:hint="default"/>
                <w:color w:val="auto"/>
                <w:lang w:val="en-US" w:eastAsia="zh-CN"/>
              </w:rPr>
              <w:fldChar w:fldCharType="separate"/>
            </w:r>
            <w:r>
              <w:rPr>
                <w:rFonts w:hint="default"/>
                <w:color w:val="auto"/>
                <w:lang w:val="en-US" w:eastAsia="zh-CN"/>
              </w:rPr>
              <w:t xml:space="preserve">白刺科 </w:t>
            </w:r>
            <w:r>
              <w:rPr>
                <w:rFonts w:hint="default"/>
                <w:i/>
                <w:iCs/>
                <w:color w:val="auto"/>
                <w:lang w:val="en-US" w:eastAsia="zh-CN"/>
              </w:rPr>
              <w:t>Nitrariaceae</w:t>
            </w:r>
            <w:r>
              <w:rPr>
                <w:rFonts w:hint="default"/>
                <w:color w:val="auto"/>
                <w:lang w:val="en-US" w:eastAsia="zh-CN"/>
              </w:rPr>
              <w:fldChar w:fldCharType="end"/>
            </w:r>
          </w:p>
        </w:tc>
        <w:tc>
          <w:tcPr>
            <w:tcW w:w="951" w:type="pct"/>
            <w:tcBorders>
              <w:tl2br w:val="nil"/>
              <w:tr2bl w:val="nil"/>
            </w:tcBorders>
            <w:vAlign w:val="center"/>
          </w:tcPr>
          <w:p>
            <w:pPr>
              <w:pStyle w:val="55"/>
              <w:bidi w:val="0"/>
              <w:rPr>
                <w:color w:val="auto"/>
                <w:lang w:val="en-US" w:eastAsia="zh-CN"/>
              </w:rPr>
            </w:pPr>
            <w:r>
              <w:rPr>
                <w:color w:val="auto"/>
                <w:lang w:val="en-US" w:eastAsia="zh-CN"/>
              </w:rPr>
              <w:t>小果白刺</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Nitraria sibirica</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19</w:t>
            </w:r>
          </w:p>
        </w:tc>
        <w:tc>
          <w:tcPr>
            <w:tcW w:w="1459" w:type="pct"/>
            <w:vMerge w:val="restart"/>
            <w:tcBorders>
              <w:tl2br w:val="nil"/>
              <w:tr2bl w:val="nil"/>
            </w:tcBorders>
            <w:vAlign w:val="center"/>
          </w:tcPr>
          <w:p>
            <w:pPr>
              <w:pStyle w:val="55"/>
              <w:bidi w:val="0"/>
              <w:rPr>
                <w:rFonts w:hint="default"/>
                <w:color w:val="auto"/>
                <w:lang w:val="en-US" w:eastAsia="zh-CN"/>
              </w:rPr>
            </w:pPr>
            <w:r>
              <w:rPr>
                <w:rFonts w:hint="default"/>
                <w:color w:val="auto"/>
                <w:lang w:val="en-US" w:eastAsia="zh-CN"/>
              </w:rPr>
              <w:t> </w:t>
            </w:r>
            <w:r>
              <w:rPr>
                <w:rFonts w:hint="default"/>
                <w:color w:val="auto"/>
                <w:lang w:val="en-US" w:eastAsia="zh-CN"/>
              </w:rPr>
              <w:fldChar w:fldCharType="begin"/>
            </w:r>
            <w:r>
              <w:rPr>
                <w:rFonts w:hint="default"/>
                <w:color w:val="auto"/>
                <w:lang w:val="en-US" w:eastAsia="zh-CN"/>
              </w:rPr>
              <w:instrText xml:space="preserve"> HYPERLINK "https://www.iplant.cn/info/Asteraceae" </w:instrText>
            </w:r>
            <w:r>
              <w:rPr>
                <w:rFonts w:hint="default"/>
                <w:color w:val="auto"/>
                <w:lang w:val="en-US" w:eastAsia="zh-CN"/>
              </w:rPr>
              <w:fldChar w:fldCharType="separate"/>
            </w:r>
            <w:r>
              <w:rPr>
                <w:rFonts w:hint="default"/>
                <w:color w:val="auto"/>
                <w:lang w:val="en-US" w:eastAsia="zh-CN"/>
              </w:rPr>
              <w:t xml:space="preserve">菊科 </w:t>
            </w:r>
            <w:r>
              <w:rPr>
                <w:rFonts w:hint="default"/>
                <w:i/>
                <w:iCs/>
                <w:color w:val="auto"/>
                <w:lang w:val="en-US" w:eastAsia="zh-CN"/>
              </w:rPr>
              <w:t>Asteraceae</w:t>
            </w:r>
            <w:r>
              <w:rPr>
                <w:rFonts w:hint="default"/>
                <w:color w:val="auto"/>
                <w:lang w:val="en-US" w:eastAsia="zh-CN"/>
              </w:rPr>
              <w:fldChar w:fldCharType="end"/>
            </w:r>
          </w:p>
        </w:tc>
        <w:tc>
          <w:tcPr>
            <w:tcW w:w="951"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苍耳</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Xanthium</w:t>
            </w:r>
            <w:r>
              <w:rPr>
                <w:rFonts w:hint="eastAsia"/>
                <w:i/>
                <w:iCs/>
                <w:color w:val="auto"/>
                <w:lang w:val="en-US" w:eastAsia="zh-CN"/>
              </w:rPr>
              <w:t> strumarium </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20</w:t>
            </w:r>
          </w:p>
        </w:tc>
        <w:tc>
          <w:tcPr>
            <w:tcW w:w="1459" w:type="pct"/>
            <w:vMerge w:val="continue"/>
            <w:tcBorders>
              <w:tl2br w:val="nil"/>
              <w:tr2bl w:val="nil"/>
            </w:tcBorders>
            <w:vAlign w:val="center"/>
          </w:tcPr>
          <w:p>
            <w:pPr>
              <w:pStyle w:val="55"/>
              <w:bidi w:val="0"/>
              <w:rPr>
                <w:rFonts w:hint="default"/>
                <w:color w:val="auto"/>
                <w:lang w:val="en-US" w:eastAsia="zh-CN"/>
              </w:rPr>
            </w:pPr>
          </w:p>
        </w:tc>
        <w:tc>
          <w:tcPr>
            <w:tcW w:w="951" w:type="pct"/>
            <w:tcBorders>
              <w:tl2br w:val="nil"/>
              <w:tr2bl w:val="nil"/>
            </w:tcBorders>
            <w:vAlign w:val="center"/>
          </w:tcPr>
          <w:p>
            <w:pPr>
              <w:pStyle w:val="55"/>
              <w:bidi w:val="0"/>
              <w:rPr>
                <w:color w:val="auto"/>
                <w:lang w:val="en-US" w:eastAsia="zh-CN"/>
              </w:rPr>
            </w:pPr>
            <w:r>
              <w:rPr>
                <w:rFonts w:hint="default"/>
                <w:color w:val="auto"/>
                <w:lang w:val="en-US" w:eastAsia="zh-CN"/>
              </w:rPr>
              <w:t>蒲公英</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Taraxacum</w:t>
            </w:r>
            <w:r>
              <w:rPr>
                <w:rFonts w:hint="eastAsia"/>
                <w:i/>
                <w:iCs/>
                <w:color w:val="auto"/>
                <w:lang w:val="en-US" w:eastAsia="zh-CN"/>
              </w:rPr>
              <w:t> mongolicum</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28" w:type="dxa"/>
            <w:bottom w:w="0" w:type="dxa"/>
            <w:right w:w="28" w:type="dxa"/>
          </w:tblCellMar>
        </w:tblPrEx>
        <w:trPr>
          <w:trHeight w:val="425" w:hRule="atLeast"/>
          <w:jc w:val="center"/>
        </w:trPr>
        <w:tc>
          <w:tcPr>
            <w:tcW w:w="336"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t>21</w:t>
            </w:r>
          </w:p>
        </w:tc>
        <w:tc>
          <w:tcPr>
            <w:tcW w:w="1459" w:type="pct"/>
            <w:tcBorders>
              <w:tl2br w:val="nil"/>
              <w:tr2bl w:val="nil"/>
            </w:tcBorders>
            <w:vAlign w:val="center"/>
          </w:tcPr>
          <w:p>
            <w:pPr>
              <w:pStyle w:val="55"/>
              <w:bidi w:val="0"/>
              <w:rPr>
                <w:rFonts w:hint="default"/>
                <w:color w:val="auto"/>
                <w:lang w:val="en-US" w:eastAsia="zh-CN"/>
              </w:rPr>
            </w:pPr>
            <w:r>
              <w:rPr>
                <w:rFonts w:hint="eastAsia"/>
                <w:color w:val="auto"/>
                <w:lang w:val="en-US" w:eastAsia="zh-CN"/>
              </w:rPr>
              <w:fldChar w:fldCharType="begin"/>
            </w:r>
            <w:r>
              <w:rPr>
                <w:rFonts w:hint="eastAsia"/>
                <w:color w:val="auto"/>
                <w:lang w:val="en-US" w:eastAsia="zh-CN"/>
              </w:rPr>
              <w:instrText xml:space="preserve"> HYPERLINK "https://ppbc.iplant.cn/fam/951238" </w:instrText>
            </w:r>
            <w:r>
              <w:rPr>
                <w:rFonts w:hint="eastAsia"/>
                <w:color w:val="auto"/>
                <w:lang w:val="en-US" w:eastAsia="zh-CN"/>
              </w:rPr>
              <w:fldChar w:fldCharType="separate"/>
            </w:r>
            <w:r>
              <w:rPr>
                <w:rFonts w:hint="eastAsia"/>
                <w:color w:val="auto"/>
                <w:lang w:val="en-US" w:eastAsia="zh-CN"/>
              </w:rPr>
              <w:t xml:space="preserve">豆科 </w:t>
            </w:r>
            <w:r>
              <w:rPr>
                <w:rFonts w:hint="eastAsia"/>
                <w:i/>
                <w:iCs/>
                <w:color w:val="auto"/>
                <w:lang w:val="en-US" w:eastAsia="zh-CN"/>
              </w:rPr>
              <w:t>Fabaceae</w:t>
            </w:r>
            <w:r>
              <w:rPr>
                <w:rFonts w:hint="eastAsia"/>
                <w:color w:val="auto"/>
                <w:lang w:val="en-US" w:eastAsia="zh-CN"/>
              </w:rPr>
              <w:fldChar w:fldCharType="end"/>
            </w:r>
            <w:r>
              <w:rPr>
                <w:rFonts w:hint="eastAsia"/>
                <w:color w:val="auto"/>
                <w:lang w:val="en-US" w:eastAsia="zh-CN"/>
              </w:rPr>
              <w:t> </w:t>
            </w:r>
          </w:p>
        </w:tc>
        <w:tc>
          <w:tcPr>
            <w:tcW w:w="951" w:type="pct"/>
            <w:tcBorders>
              <w:tl2br w:val="nil"/>
              <w:tr2bl w:val="nil"/>
            </w:tcBorders>
            <w:vAlign w:val="center"/>
          </w:tcPr>
          <w:p>
            <w:pPr>
              <w:pStyle w:val="55"/>
              <w:bidi w:val="0"/>
              <w:rPr>
                <w:color w:val="auto"/>
                <w:lang w:val="en-US" w:eastAsia="zh-CN"/>
              </w:rPr>
            </w:pPr>
            <w:r>
              <w:rPr>
                <w:color w:val="auto"/>
                <w:lang w:val="en-US" w:eastAsia="zh-CN"/>
              </w:rPr>
              <w:t>铃铛刺</w:t>
            </w:r>
          </w:p>
        </w:tc>
        <w:tc>
          <w:tcPr>
            <w:tcW w:w="1781" w:type="pct"/>
            <w:tcBorders>
              <w:tl2br w:val="nil"/>
              <w:tr2bl w:val="nil"/>
            </w:tcBorders>
            <w:vAlign w:val="center"/>
          </w:tcPr>
          <w:p>
            <w:pPr>
              <w:pStyle w:val="55"/>
              <w:bidi w:val="0"/>
              <w:rPr>
                <w:i/>
                <w:iCs/>
                <w:color w:val="auto"/>
                <w:lang w:val="en-US" w:eastAsia="zh-CN"/>
              </w:rPr>
            </w:pPr>
            <w:r>
              <w:rPr>
                <w:i/>
                <w:iCs/>
                <w:color w:val="auto"/>
                <w:lang w:val="en-US" w:eastAsia="zh-CN"/>
              </w:rPr>
              <w:t xml:space="preserve"> Caragana halodendron</w:t>
            </w:r>
          </w:p>
        </w:tc>
        <w:tc>
          <w:tcPr>
            <w:tcW w:w="469" w:type="pct"/>
            <w:tcBorders>
              <w:tl2br w:val="nil"/>
              <w:tr2bl w:val="nil"/>
            </w:tcBorders>
            <w:vAlign w:val="center"/>
          </w:tcPr>
          <w:p>
            <w:pPr>
              <w:pStyle w:val="55"/>
              <w:bidi w:val="0"/>
              <w:rPr>
                <w:color w:val="auto"/>
                <w:lang w:val="en-US" w:eastAsia="zh-CN"/>
              </w:rPr>
            </w:pPr>
            <w:r>
              <w:rPr>
                <w:color w:val="auto"/>
                <w:lang w:val="en-US" w:eastAsia="zh-CN"/>
              </w:rPr>
              <w:t>+</w:t>
            </w:r>
          </w:p>
        </w:tc>
      </w:tr>
    </w:tbl>
    <w:p>
      <w:pPr>
        <w:keepNext w:val="0"/>
        <w:keepLines w:val="0"/>
        <w:pageBreakBefore w:val="0"/>
        <w:widowControl w:val="0"/>
        <w:kinsoku/>
        <w:wordWrap/>
        <w:overflowPunct/>
        <w:topLinePunct w:val="0"/>
        <w:autoSpaceDE/>
        <w:autoSpaceDN/>
        <w:bidi w:val="0"/>
        <w:spacing w:line="240" w:lineRule="auto"/>
        <w:ind w:firstLine="0" w:firstLineChars="0"/>
        <w:jc w:val="left"/>
        <w:rPr>
          <w:rFonts w:hint="eastAsia"/>
          <w:color w:val="auto"/>
          <w:highlight w:val="none"/>
          <w:lang w:val="en-US" w:eastAsia="zh-CN"/>
        </w:rPr>
      </w:pPr>
      <w:r>
        <w:rPr>
          <w:rFonts w:ascii="Times New Roman" w:hAnsi="Times New Roman" w:eastAsia="宋体" w:cs="Times New Roman"/>
          <w:color w:val="auto"/>
          <w:kern w:val="0"/>
          <w:sz w:val="21"/>
          <w:szCs w:val="21"/>
          <w:highlight w:val="none"/>
        </w:rPr>
        <w:t>注：++为多见种；+为少见种</w:t>
      </w:r>
    </w:p>
    <w:p>
      <w:pPr>
        <w:pStyle w:val="57"/>
        <w:keepNext w:val="0"/>
        <w:keepLines w:val="0"/>
        <w:pageBreakBefore w:val="0"/>
        <w:kinsoku/>
        <w:wordWrap/>
        <w:overflowPunct/>
        <w:topLinePunct w:val="0"/>
        <w:autoSpaceDE/>
        <w:autoSpaceDN/>
        <w:bidi w:val="0"/>
        <w:adjustRightInd/>
        <w:snapToGrid/>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根据现场实地考察，评价区内及外围同类型区域有植被生长处的覆盖度大都在5%左右</w:t>
      </w:r>
      <w:r>
        <w:rPr>
          <w:rFonts w:hint="eastAsia" w:cs="Times New Roman"/>
          <w:color w:val="auto"/>
          <w:highlight w:val="none"/>
          <w:lang w:val="en-US" w:eastAsia="zh-CN"/>
        </w:rPr>
        <w:t>，覆</w:t>
      </w:r>
      <w:r>
        <w:rPr>
          <w:rFonts w:hint="eastAsia" w:ascii="Times New Roman" w:hAnsi="Times New Roman" w:eastAsia="宋体" w:cs="Times New Roman"/>
          <w:color w:val="auto"/>
          <w:highlight w:val="none"/>
          <w:lang w:val="en-US" w:eastAsia="zh-CN"/>
        </w:rPr>
        <w:t>盖度极低，也有部分区域为裸土地。说明评价区土壤贫瘠，植被分布及生长状况极差。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eastAsia"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评价区植被均为梭梭＋假木贼群系（</w:t>
      </w:r>
      <w:r>
        <w:rPr>
          <w:rFonts w:hint="eastAsia" w:ascii="Times New Roman" w:hAnsi="Times New Roman" w:eastAsia="宋体" w:cs="Times New Roman"/>
          <w:i/>
          <w:iCs/>
          <w:color w:val="auto"/>
          <w:sz w:val="24"/>
          <w:szCs w:val="21"/>
          <w:highlight w:val="none"/>
          <w:lang w:val="en-US" w:eastAsia="zh-CN" w:bidi="ar-SA"/>
        </w:rPr>
        <w:t>Form Haloxylon ammodendron+Anabasis salsa +Anabasis truncata</w:t>
      </w:r>
      <w:r>
        <w:rPr>
          <w:rFonts w:hint="eastAsia" w:ascii="Times New Roman" w:hAnsi="Times New Roman" w:eastAsia="宋体" w:cs="Times New Roman"/>
          <w:color w:val="auto"/>
          <w:sz w:val="24"/>
          <w:szCs w:val="21"/>
          <w:highlight w:val="none"/>
          <w:lang w:val="en-US" w:eastAsia="zh-CN" w:bidi="ar-SA"/>
        </w:rPr>
        <w:t>），分布在</w:t>
      </w:r>
      <w:r>
        <w:rPr>
          <w:rFonts w:hint="eastAsia" w:cs="Times New Roman"/>
          <w:color w:val="auto"/>
          <w:sz w:val="24"/>
          <w:szCs w:val="21"/>
          <w:highlight w:val="none"/>
          <w:lang w:val="en-US" w:eastAsia="zh-CN" w:bidi="ar-SA"/>
        </w:rPr>
        <w:t>本项目所在</w:t>
      </w:r>
      <w:r>
        <w:rPr>
          <w:rFonts w:hint="eastAsia" w:ascii="Times New Roman" w:hAnsi="Times New Roman" w:eastAsia="宋体" w:cs="Times New Roman"/>
          <w:color w:val="auto"/>
          <w:sz w:val="24"/>
          <w:szCs w:val="21"/>
          <w:highlight w:val="none"/>
          <w:lang w:val="en-US" w:eastAsia="zh-CN" w:bidi="ar-SA"/>
        </w:rPr>
        <w:t>整个油田开发区，所适应的土壤为灰棕漠土和草甸土，群落盖度很低，多在5%左右。植被类型见图4.2-3。</w:t>
      </w:r>
    </w:p>
    <w:p>
      <w:pPr>
        <w:pStyle w:val="5"/>
        <w:pageBreakBefore w:val="0"/>
        <w:widowControl/>
        <w:kinsoku/>
        <w:wordWrap/>
        <w:overflowPunct/>
        <w:topLinePunct w:val="0"/>
        <w:autoSpaceDE/>
        <w:autoSpaceDN/>
        <w:bidi w:val="0"/>
        <w:spacing w:line="480" w:lineRule="exac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4.2.5.3植被利用现状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油田开发区内为稀疏植被戈壁区，没有农田及其它人工植被，由于生产力低下，作为牧场的利用价值极低。其地表的戈壁砾石具有防止地表破坏，防止水土流失的生态作用。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评价区生态环境属于荒漠生态系统。自然植被作为一种饲养牲畜获得畜产品的主要自然生物资源，在生态系统中起着决定性的作用。牲畜、牧草、土壤条件及其它环境因子组成相互制约的供需型食物结构。生态系统中牧草类型、种类、植被特点及地形、地貌条件反映草场自然特征和利用水平的基本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按照有关草场分类原则，评价区内草场类型属于荒漠草地。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荒漠草地在新疆分布很广，包括温性草原化荒漠、温性荒漠和高寒荒漠三大草地类。评价区为温性荒漠类草地</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土质温性荒漠亚类。它是新疆地带性草地的典型类型。所适应气候环境极为干旱，</w:t>
      </w:r>
      <w:r>
        <w:rPr>
          <w:rFonts w:hint="eastAsia" w:ascii="Times New Roman" w:hAnsi="Times New Roman" w:eastAsia="宋体" w:cs="Times New Roman"/>
          <w:color w:val="auto"/>
          <w:sz w:val="24"/>
          <w:szCs w:val="21"/>
          <w:highlight w:val="none"/>
          <w:lang w:val="en-US" w:eastAsia="zh-CN" w:bidi="ar-SA"/>
        </w:rPr>
        <w:t>平均年降水量</w:t>
      </w:r>
      <w:r>
        <w:rPr>
          <w:rFonts w:hint="default" w:ascii="Times New Roman" w:hAnsi="Times New Roman" w:eastAsia="宋体" w:cs="Times New Roman"/>
          <w:color w:val="auto"/>
          <w:sz w:val="24"/>
          <w:szCs w:val="21"/>
          <w:highlight w:val="none"/>
          <w:lang w:val="en-US" w:eastAsia="zh-CN" w:bidi="ar-SA"/>
        </w:rPr>
        <w:t>一般在200mm以下，≥10℃年积温在3500-4500℃之间。</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评价区域内的草地植被以小乔木</w:t>
      </w:r>
      <w:r>
        <w:rPr>
          <w:rFonts w:hint="eastAsia" w:ascii="Times New Roman" w:hAnsi="Times New Roman" w:eastAsia="宋体" w:cs="Times New Roman"/>
          <w:color w:val="auto"/>
          <w:sz w:val="24"/>
          <w:szCs w:val="21"/>
          <w:highlight w:val="none"/>
          <w:lang w:val="en-US" w:eastAsia="zh-CN" w:bidi="ar-SA"/>
        </w:rPr>
        <w:t>、灌木及</w:t>
      </w:r>
      <w:r>
        <w:rPr>
          <w:rFonts w:hint="default" w:ascii="Times New Roman" w:hAnsi="Times New Roman" w:eastAsia="宋体" w:cs="Times New Roman"/>
          <w:color w:val="auto"/>
          <w:sz w:val="24"/>
          <w:szCs w:val="21"/>
          <w:highlight w:val="none"/>
          <w:lang w:val="en-US" w:eastAsia="zh-CN" w:bidi="ar-SA"/>
        </w:rPr>
        <w:t>半灌木为主，在工程区优势种植物为梭梭，其次还有假木贼等。草地类型简单，覆盖度一般在5%左右，</w:t>
      </w:r>
      <w:r>
        <w:rPr>
          <w:rFonts w:hint="eastAsia" w:ascii="Times New Roman" w:hAnsi="Times New Roman" w:eastAsia="宋体" w:cs="Times New Roman"/>
          <w:color w:val="auto"/>
          <w:sz w:val="24"/>
          <w:szCs w:val="21"/>
          <w:highlight w:val="none"/>
          <w:lang w:val="en-US" w:eastAsia="zh-CN" w:bidi="ar-SA"/>
        </w:rPr>
        <w:t>作为</w:t>
      </w:r>
      <w:r>
        <w:rPr>
          <w:rFonts w:hint="default" w:ascii="Times New Roman" w:hAnsi="Times New Roman" w:eastAsia="宋体" w:cs="Times New Roman"/>
          <w:color w:val="auto"/>
          <w:sz w:val="24"/>
          <w:szCs w:val="21"/>
          <w:highlight w:val="none"/>
          <w:lang w:val="en-US" w:eastAsia="zh-CN" w:bidi="ar-SA"/>
        </w:rPr>
        <w:t>牧场使用的价值极低，甚至不能</w:t>
      </w:r>
      <w:r>
        <w:rPr>
          <w:rFonts w:hint="eastAsia" w:ascii="Times New Roman" w:hAnsi="Times New Roman" w:eastAsia="宋体" w:cs="Times New Roman"/>
          <w:color w:val="auto"/>
          <w:sz w:val="24"/>
          <w:szCs w:val="21"/>
          <w:highlight w:val="none"/>
          <w:lang w:val="en-US" w:eastAsia="zh-CN" w:bidi="ar-SA"/>
        </w:rPr>
        <w:t>作为</w:t>
      </w:r>
      <w:r>
        <w:rPr>
          <w:rFonts w:hint="default" w:ascii="Times New Roman" w:hAnsi="Times New Roman" w:eastAsia="宋体" w:cs="Times New Roman"/>
          <w:color w:val="auto"/>
          <w:sz w:val="24"/>
          <w:szCs w:val="21"/>
          <w:highlight w:val="none"/>
          <w:lang w:val="en-US" w:eastAsia="zh-CN" w:bidi="ar-SA"/>
        </w:rPr>
        <w:t>牧场。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根据《新疆草地资源及其利用》，在区域内生长的主要植被中假木贼等为中低牧草，梭梭等为低等牧草，没有优良等牧草。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草地资源等级评价的原则及标准遵循中国北方《重点牧区草场资源调查大纲和技术规程》，即以草地草群的品质之优劣确定草地的质况—“等”，以草群地上部分鲜草生产量的多少为指标确定草地的量况—“级”，用此来反映草地资源的经济价值。</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按统一规定从目前实际出发，在确定草群品质的优劣时主要以组成</w:t>
      </w:r>
      <w:r>
        <w:rPr>
          <w:rFonts w:hint="eastAsia" w:ascii="Times New Roman" w:hAnsi="Times New Roman" w:eastAsia="宋体" w:cs="Times New Roman"/>
          <w:color w:val="auto"/>
          <w:sz w:val="24"/>
          <w:szCs w:val="21"/>
          <w:highlight w:val="none"/>
          <w:lang w:val="en-US" w:eastAsia="zh-CN" w:bidi="ar-SA"/>
        </w:rPr>
        <w:t>草本植物</w:t>
      </w:r>
      <w:r>
        <w:rPr>
          <w:rFonts w:hint="default" w:ascii="Times New Roman" w:hAnsi="Times New Roman" w:eastAsia="宋体" w:cs="Times New Roman"/>
          <w:color w:val="auto"/>
          <w:sz w:val="24"/>
          <w:szCs w:val="21"/>
          <w:highlight w:val="none"/>
          <w:lang w:val="en-US" w:eastAsia="zh-CN" w:bidi="ar-SA"/>
        </w:rPr>
        <w:t>的适口性特点为依据，通过野外的实地观察，向实际从事多年牧业生产的牧民群众访问了解和多年研究工作经验的积累，进行综合评价。按其适口性优劣划分为优、良、中、低、</w:t>
      </w:r>
      <w:r>
        <w:rPr>
          <w:rFonts w:hint="eastAsia" w:cs="Times New Roman"/>
          <w:color w:val="auto"/>
          <w:sz w:val="24"/>
          <w:szCs w:val="21"/>
          <w:highlight w:val="none"/>
          <w:lang w:val="en-US" w:eastAsia="zh-CN" w:bidi="ar-SA"/>
        </w:rPr>
        <w:t>劣Ⅴ类</w:t>
      </w:r>
      <w:r>
        <w:rPr>
          <w:rFonts w:hint="default" w:ascii="Times New Roman" w:hAnsi="Times New Roman" w:eastAsia="宋体" w:cs="Times New Roman"/>
          <w:color w:val="auto"/>
          <w:sz w:val="24"/>
          <w:szCs w:val="21"/>
          <w:highlight w:val="none"/>
          <w:lang w:val="en-US" w:eastAsia="zh-CN" w:bidi="ar-SA"/>
        </w:rPr>
        <w:t>不同适口性级别的牧草。再以优、良、中、低、劣这五类不同品质牧草在各草群中所占的重量百分比例划分出不同“等”草地。各“等”草地划分的具体标准如下：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一等草地：优等牧草占60%以上</w:t>
      </w:r>
      <w:r>
        <w:rPr>
          <w:rFonts w:hint="eastAsia" w:ascii="Times New Roman" w:hAnsi="Times New Roman" w:eastAsia="宋体" w:cs="Times New Roman"/>
          <w:color w:val="auto"/>
          <w:sz w:val="24"/>
          <w:szCs w:val="21"/>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二等草地：良等牧草占60%以上，优等及中等占40%；</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三等草地：良等牧草占60%以上，良等及低等占40%；</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四等草地：低等牧草占60%以上，中等及劣等占40%；</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五等草地：劣等牧草占60%以上。</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以草地草群生产量多少衡量草地状况是草地经济价值的另一重要体现。草群生产量的高低，不仅体现了草地生产力的载畜潜力的大小，而且也反映出了组成草地草群中各优、良、中、低、劣牧草的参与量及产量的比例构成。根据中国北方《重点牧区草场资源调查大纲和技术规程》规定，以年内草地产量最高月份的测定值代表草地草群的自然生产力水平，并规定按单位面积产量高低确定和划分出不同的草地级，划分各级的标准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第1级草地：每公顷产鲜草12000kg以上；</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第2级草地：每公顷产鲜草12000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9000kg；</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第3级草地：每公顷产鲜草9000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6000kg：</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第4级草地：每公顷产鲜草6000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4500kg；</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第5级草地：每公顷产鲜草4500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3000kg；</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第6级草地：每公顷产鲜草3000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1500kg；</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第7级草地：每公顷产鲜草1500</w:t>
      </w:r>
      <w:r>
        <w:rPr>
          <w:rFonts w:hint="eastAsia" w:ascii="Times New Roman" w:hAnsi="Times New Roman" w:eastAsia="宋体" w:cs="Times New Roman"/>
          <w:color w:val="auto"/>
          <w:sz w:val="24"/>
          <w:szCs w:val="21"/>
          <w:highlight w:val="none"/>
          <w:lang w:val="en-US" w:eastAsia="zh-CN" w:bidi="ar-SA"/>
        </w:rPr>
        <w:t>～</w:t>
      </w:r>
      <w:r>
        <w:rPr>
          <w:rFonts w:hint="default" w:ascii="Times New Roman" w:hAnsi="Times New Roman" w:eastAsia="宋体" w:cs="Times New Roman"/>
          <w:color w:val="auto"/>
          <w:sz w:val="24"/>
          <w:szCs w:val="21"/>
          <w:highlight w:val="none"/>
          <w:lang w:val="en-US" w:eastAsia="zh-CN" w:bidi="ar-SA"/>
        </w:rPr>
        <w:t>750kg；</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default"/>
          <w:color w:val="auto"/>
          <w:highlight w:val="none"/>
          <w:lang w:val="en-US" w:eastAsia="zh-CN"/>
        </w:rPr>
      </w:pPr>
      <w:r>
        <w:rPr>
          <w:rFonts w:hint="default" w:ascii="Times New Roman" w:hAnsi="Times New Roman" w:eastAsia="宋体" w:cs="Times New Roman"/>
          <w:color w:val="auto"/>
          <w:sz w:val="24"/>
          <w:szCs w:val="21"/>
          <w:highlight w:val="none"/>
          <w:lang w:val="en-US" w:eastAsia="zh-CN" w:bidi="ar-SA"/>
        </w:rPr>
        <w:t>第8级草地：每公顷产鲜草750kg以下。</w:t>
      </w:r>
    </w:p>
    <w:p>
      <w:pPr>
        <w:pStyle w:val="57"/>
        <w:rPr>
          <w:rFonts w:hint="default" w:ascii="Times New Roman" w:hAnsi="Times New Roman" w:eastAsia="宋体" w:cs="Times New Roman"/>
          <w:color w:val="auto"/>
          <w:highlight w:val="none"/>
          <w:lang w:val="en-US" w:eastAsia="zh-CN"/>
        </w:rPr>
      </w:pPr>
      <w:r>
        <w:rPr>
          <w:rFonts w:hint="default"/>
          <w:color w:val="auto"/>
          <w:highlight w:val="none"/>
          <w:lang w:val="en-US" w:eastAsia="zh-CN"/>
        </w:rPr>
        <w:t>评价区属于五等八级草场，平均鲜草量750kg/hm</w:t>
      </w:r>
      <w:r>
        <w:rPr>
          <w:rFonts w:hint="default"/>
          <w:color w:val="auto"/>
          <w:highlight w:val="none"/>
          <w:vertAlign w:val="superscript"/>
          <w:lang w:val="en-US" w:eastAsia="zh-CN"/>
        </w:rPr>
        <w:t>2</w:t>
      </w:r>
      <w:r>
        <w:rPr>
          <w:rFonts w:hint="default"/>
          <w:color w:val="auto"/>
          <w:highlight w:val="none"/>
          <w:lang w:val="en-US" w:eastAsia="zh-CN"/>
        </w:rPr>
        <w:t>，说明草场质量不高，属于低水平，利用价值低</w:t>
      </w:r>
      <w:r>
        <w:rPr>
          <w:rFonts w:hint="default" w:ascii="Times New Roman" w:hAnsi="Times New Roman" w:eastAsia="宋体" w:cs="Times New Roman"/>
          <w:color w:val="auto"/>
          <w:highlight w:val="none"/>
          <w:lang w:val="en-US" w:eastAsia="zh-CN"/>
        </w:rPr>
        <w:t>。</w:t>
      </w:r>
      <w:bookmarkStart w:id="504" w:name="_Toc173941880"/>
    </w:p>
    <w:p>
      <w:pPr>
        <w:pStyle w:val="5"/>
        <w:pageBreakBefore w:val="0"/>
        <w:widowControl/>
        <w:kinsoku/>
        <w:wordWrap/>
        <w:overflowPunct/>
        <w:topLinePunct w:val="0"/>
        <w:autoSpaceDE/>
        <w:autoSpaceDN/>
        <w:bidi w:val="0"/>
        <w:spacing w:line="480" w:lineRule="exact"/>
        <w:textAlignment w:val="auto"/>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4.2.6野生动物现状调查与评价</w:t>
      </w:r>
      <w:bookmarkEnd w:id="504"/>
    </w:p>
    <w:p>
      <w:pPr>
        <w:pStyle w:val="57"/>
        <w:pageBreakBefore w:val="0"/>
        <w:kinsoku/>
        <w:wordWrap/>
        <w:overflowPunct/>
        <w:topLinePunct w:val="0"/>
        <w:autoSpaceDE/>
        <w:autoSpaceDN/>
        <w:bidi w:val="0"/>
        <w:spacing w:line="480" w:lineRule="exact"/>
        <w:rPr>
          <w:rFonts w:hint="eastAsia"/>
          <w:color w:val="auto"/>
          <w:highlight w:val="none"/>
        </w:rPr>
      </w:pPr>
      <w:bookmarkStart w:id="505" w:name="_Toc173941881"/>
      <w:r>
        <w:rPr>
          <w:rFonts w:hint="eastAsia"/>
          <w:color w:val="auto"/>
          <w:highlight w:val="none"/>
        </w:rPr>
        <w:t>（1）野生动物区划</w:t>
      </w:r>
    </w:p>
    <w:p>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本工程区位于准噶尔盆地西北部，纳斯河流域下游的东部。按中国动物地理区划分级标准，评价区域属古北界、中亚亚界、蒙新区、西部荒漠亚区、准噶尔盆地小区。</w:t>
      </w:r>
    </w:p>
    <w:p>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（2）野生动物栖息生境类型</w:t>
      </w:r>
    </w:p>
    <w:p>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本工程所在区域属典型的风积沙漠地貌，整个地势由东北向西南倾斜，海拔在360～440m。通过对评价范围内动物的实地调查和查询有关资料发现，该区域周边由于受到干旱环境和陆地石油</w:t>
      </w:r>
      <w:r>
        <w:rPr>
          <w:rFonts w:hint="eastAsia"/>
          <w:color w:val="auto"/>
          <w:highlight w:val="none"/>
          <w:lang w:eastAsia="zh-CN"/>
        </w:rPr>
        <w:t>、</w:t>
      </w:r>
      <w:r>
        <w:rPr>
          <w:rFonts w:hint="eastAsia"/>
          <w:color w:val="auto"/>
          <w:highlight w:val="none"/>
          <w:lang w:val="en-US" w:eastAsia="zh-CN"/>
        </w:rPr>
        <w:t>页岩油</w:t>
      </w:r>
      <w:r>
        <w:rPr>
          <w:rFonts w:hint="eastAsia"/>
          <w:color w:val="auto"/>
          <w:highlight w:val="none"/>
        </w:rPr>
        <w:t>开采等人为活动的双重胁迫，已经几乎看不到野生动物的踪迹。仅在半灌木植物分布的区域还栖息着一些耐旱型荒漠动物，以鸟类、爬行动物和啮齿类动物为主，动物种类和数量较少。</w:t>
      </w:r>
    </w:p>
    <w:p>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（3）野生动物种类及分布</w:t>
      </w:r>
    </w:p>
    <w:p>
      <w:pPr>
        <w:pStyle w:val="57"/>
        <w:pageBreakBefore w:val="0"/>
        <w:kinsoku/>
        <w:wordWrap/>
        <w:overflowPunct/>
        <w:topLinePunct w:val="0"/>
        <w:autoSpaceDE/>
        <w:autoSpaceDN/>
        <w:bidi w:val="0"/>
        <w:spacing w:line="480" w:lineRule="exact"/>
        <w:rPr>
          <w:color w:val="auto"/>
          <w:highlight w:val="none"/>
          <w:lang w:val="zh-CN"/>
        </w:rPr>
      </w:pPr>
      <w:r>
        <w:rPr>
          <w:rFonts w:hint="eastAsia"/>
          <w:color w:val="auto"/>
          <w:highlight w:val="none"/>
        </w:rPr>
        <w:t>通过对区域动物的实地调查和有关调查资料的查询，项目区栖息分布着各种野生脊椎动物22种，其中爬行类3种、鸟类14种、哺乳类5种。爬行类的蜥蜴、哺乳类的啮齿动物和鸟类是评价区内主要建群种动物，详见表4.2-6</w:t>
      </w:r>
      <w:r>
        <w:rPr>
          <w:rFonts w:hint="eastAsia"/>
          <w:color w:val="auto"/>
          <w:highlight w:val="none"/>
          <w:lang w:val="zh-CN"/>
        </w:rPr>
        <w:t>。</w:t>
      </w:r>
    </w:p>
    <w:p>
      <w:pPr>
        <w:pStyle w:val="54"/>
        <w:pageBreakBefore w:val="0"/>
        <w:kinsoku/>
        <w:wordWrap/>
        <w:overflowPunct/>
        <w:topLinePunct w:val="0"/>
        <w:autoSpaceDE/>
        <w:autoSpaceDN/>
        <w:bidi w:val="0"/>
        <w:spacing w:line="480" w:lineRule="exact"/>
        <w:ind w:firstLine="482"/>
        <w:rPr>
          <w:rFonts w:hint="eastAsia"/>
          <w:color w:val="auto"/>
          <w:highlight w:val="none"/>
        </w:rPr>
      </w:pPr>
      <w:r>
        <w:rPr>
          <w:rFonts w:hint="eastAsia"/>
          <w:color w:val="auto"/>
          <w:highlight w:val="none"/>
        </w:rPr>
        <w:t>表4.2-5  评价区主要脊椎动物名录及其种类和分布</w:t>
      </w:r>
    </w:p>
    <w:tbl>
      <w:tblPr>
        <w:tblStyle w:val="35"/>
        <w:tblW w:w="4997" w:type="pct"/>
        <w:jc w:val="center"/>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Layout w:type="autofit"/>
        <w:tblCellMar>
          <w:top w:w="0" w:type="dxa"/>
          <w:left w:w="108" w:type="dxa"/>
          <w:bottom w:w="0" w:type="dxa"/>
          <w:right w:w="108" w:type="dxa"/>
        </w:tblCellMar>
      </w:tblPr>
      <w:tblGrid>
        <w:gridCol w:w="742"/>
        <w:gridCol w:w="2703"/>
        <w:gridCol w:w="3406"/>
        <w:gridCol w:w="1232"/>
        <w:gridCol w:w="745"/>
      </w:tblGrid>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序号</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中文名</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学名</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居留特性</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分布</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i w:val="0"/>
                <w:iCs w:val="0"/>
                <w:color w:val="auto"/>
                <w:highlight w:val="none"/>
              </w:rPr>
              <w:t>爬行类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快步麻蜥</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Eremias velox</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2</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color w:val="auto"/>
                <w:highlight w:val="none"/>
              </w:rPr>
              <w:t>荒漠麻蜥</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Phrynocephalus grumgrizimaloi</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3</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密点麻蜥</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Eremias multiocellata</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rPr>
            </w:pPr>
            <w:r>
              <w:rPr>
                <w:rFonts w:hint="eastAsia"/>
                <w:i w:val="0"/>
                <w:iCs w:val="0"/>
                <w:color w:val="auto"/>
                <w:highlight w:val="none"/>
              </w:rPr>
              <w:t>鸟类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4</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石鸡</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Alectoris chukar</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5</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毛脚沙鸡</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Syrrhaptes paradoxus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6</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原鸽</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Columba livia</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7</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岩鸽</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Columba rupestris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8</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角百灵</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Eremophila alpestris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9</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短趾沙百灵</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Calandrella cinerea</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r>
              <w:rPr>
                <w:color w:val="auto"/>
                <w:highlight w:val="none"/>
              </w:rPr>
              <w:t>0</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小沙百灵</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Alaudala rufescens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r>
              <w:rPr>
                <w:color w:val="auto"/>
                <w:highlight w:val="none"/>
              </w:rPr>
              <w:t>1</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rFonts w:hint="eastAsia"/>
                <w:color w:val="auto"/>
                <w:highlight w:val="none"/>
              </w:rPr>
              <w:t>凤头白灵</w:t>
            </w:r>
            <w:r>
              <w:rPr>
                <w:rFonts w:hint="eastAsia"/>
                <w:color w:val="auto"/>
                <w:highlight w:val="none"/>
                <w:lang w:eastAsia="zh-CN"/>
              </w:rPr>
              <w:t>（新疆亚种）</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Galerida cristata</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r>
              <w:rPr>
                <w:color w:val="auto"/>
                <w:highlight w:val="none"/>
              </w:rPr>
              <w:t>2</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毛脚燕</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Delichon urbicum</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B</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1</w:t>
            </w:r>
            <w:r>
              <w:rPr>
                <w:color w:val="auto"/>
                <w:highlight w:val="none"/>
              </w:rPr>
              <w:t>3</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云雀</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Alauda arvensis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B</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14</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rPr>
              <w:t>家燕（指名亚种）</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Hirunda rustica rustica</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T</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15</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rPr>
              <w:t>红尾伯劳（北疆亚种）</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Laniun cristatus phoenicuroides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16</w:t>
            </w:r>
          </w:p>
        </w:tc>
        <w:tc>
          <w:tcPr>
            <w:tcW w:w="1531"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家麻雀（新疆亚种）</w:t>
            </w:r>
          </w:p>
        </w:tc>
        <w:tc>
          <w:tcPr>
            <w:tcW w:w="1929"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Passder domesticus bactrianus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R</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17</w:t>
            </w:r>
          </w:p>
        </w:tc>
        <w:tc>
          <w:tcPr>
            <w:tcW w:w="1531"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树麻雀</w:t>
            </w:r>
            <w:r>
              <w:rPr>
                <w:rFonts w:hint="eastAsia"/>
                <w:color w:val="auto"/>
                <w:highlight w:val="none"/>
                <w:lang w:eastAsia="zh-CN"/>
              </w:rPr>
              <w:t>（</w:t>
            </w:r>
            <w:r>
              <w:rPr>
                <w:rFonts w:hint="eastAsia"/>
                <w:color w:val="auto"/>
                <w:highlight w:val="none"/>
                <w:lang w:val="en-US" w:eastAsia="zh-CN"/>
              </w:rPr>
              <w:t>新疆亚种</w:t>
            </w:r>
            <w:r>
              <w:rPr>
                <w:rFonts w:hint="eastAsia"/>
                <w:color w:val="auto"/>
                <w:highlight w:val="none"/>
                <w:lang w:eastAsia="zh-CN"/>
              </w:rPr>
              <w:t>）</w:t>
            </w:r>
          </w:p>
        </w:tc>
        <w:tc>
          <w:tcPr>
            <w:tcW w:w="1929"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Passer montanus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rPr>
              <w:t>B</w:t>
            </w: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rFonts w:hint="eastAsia"/>
                <w:color w:val="auto"/>
                <w:highlight w:val="none"/>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5000" w:type="pct"/>
            <w:gridSpan w:val="5"/>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rPr>
            </w:pPr>
            <w:r>
              <w:rPr>
                <w:rFonts w:hint="eastAsia"/>
                <w:i w:val="0"/>
                <w:iCs w:val="0"/>
                <w:color w:val="auto"/>
                <w:highlight w:val="none"/>
              </w:rPr>
              <w:t>哺乳类</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18</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子午沙鼠</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rFonts w:hint="eastAsia"/>
                <w:i/>
                <w:iCs/>
                <w:color w:val="auto"/>
                <w:highlight w:val="none"/>
                <w:lang w:val="en-US" w:eastAsia="zh-CN"/>
              </w:rPr>
              <w:t>Meriones meridianus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19</w:t>
            </w:r>
          </w:p>
        </w:tc>
        <w:tc>
          <w:tcPr>
            <w:tcW w:w="153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大沙鼠</w:t>
            </w:r>
          </w:p>
        </w:tc>
        <w:tc>
          <w:tcPr>
            <w:tcW w:w="192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lang w:val="en-US" w:eastAsia="zh-CN"/>
              </w:rPr>
              <w:t>Rhombomys opimus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20</w:t>
            </w:r>
          </w:p>
        </w:tc>
        <w:tc>
          <w:tcPr>
            <w:tcW w:w="1531"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黄兔尾鼠</w:t>
            </w:r>
          </w:p>
        </w:tc>
        <w:tc>
          <w:tcPr>
            <w:tcW w:w="1929"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Lagarus Luteus</w:t>
            </w:r>
          </w:p>
        </w:tc>
        <w:tc>
          <w:tcPr>
            <w:tcW w:w="698"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color w:val="auto"/>
                <w:highlight w:val="none"/>
                <w:lang w:val="en-US" w:eastAsia="zh-CN"/>
              </w:rPr>
            </w:pPr>
          </w:p>
        </w:tc>
        <w:tc>
          <w:tcPr>
            <w:tcW w:w="420"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21</w:t>
            </w:r>
          </w:p>
        </w:tc>
        <w:tc>
          <w:tcPr>
            <w:tcW w:w="1531"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小五趾跳鼠</w:t>
            </w:r>
          </w:p>
        </w:tc>
        <w:tc>
          <w:tcPr>
            <w:tcW w:w="1929"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Allactage sibirca</w:t>
            </w:r>
          </w:p>
        </w:tc>
        <w:tc>
          <w:tcPr>
            <w:tcW w:w="698"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color w:val="auto"/>
                <w:highlight w:val="none"/>
                <w:lang w:val="en-US" w:eastAsia="zh-CN"/>
              </w:rPr>
            </w:pPr>
          </w:p>
        </w:tc>
        <w:tc>
          <w:tcPr>
            <w:tcW w:w="420"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8" w:space="0"/>
            <w:insideV w:val="single" w:color="auto" w:sz="8" w:space="0"/>
          </w:tblBorders>
          <w:tblCellMar>
            <w:top w:w="0" w:type="dxa"/>
            <w:left w:w="108" w:type="dxa"/>
            <w:bottom w:w="0" w:type="dxa"/>
            <w:right w:w="108" w:type="dxa"/>
          </w:tblCellMar>
        </w:tblPrEx>
        <w:trPr>
          <w:trHeight w:val="397" w:hRule="atLeast"/>
          <w:jc w:val="center"/>
        </w:trPr>
        <w:tc>
          <w:tcPr>
            <w:tcW w:w="420"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rFonts w:hint="default"/>
                <w:color w:val="auto"/>
                <w:highlight w:val="none"/>
                <w:lang w:val="en-US" w:eastAsia="zh-CN"/>
              </w:rPr>
            </w:pPr>
            <w:r>
              <w:rPr>
                <w:rFonts w:hint="eastAsia"/>
                <w:color w:val="auto"/>
                <w:highlight w:val="none"/>
                <w:lang w:val="en-US" w:eastAsia="zh-CN"/>
              </w:rPr>
              <w:t>22</w:t>
            </w:r>
          </w:p>
        </w:tc>
        <w:tc>
          <w:tcPr>
            <w:tcW w:w="1531"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lang w:val="en-US" w:eastAsia="zh-CN"/>
              </w:rPr>
            </w:pPr>
            <w:r>
              <w:rPr>
                <w:color w:val="auto"/>
                <w:highlight w:val="none"/>
              </w:rPr>
              <w:t>红尾沙鼠</w:t>
            </w:r>
          </w:p>
        </w:tc>
        <w:tc>
          <w:tcPr>
            <w:tcW w:w="1929"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i/>
                <w:iCs/>
                <w:color w:val="auto"/>
                <w:highlight w:val="none"/>
                <w:lang w:val="en-US" w:eastAsia="zh-CN"/>
              </w:rPr>
            </w:pPr>
            <w:r>
              <w:rPr>
                <w:i/>
                <w:iCs/>
                <w:color w:val="auto"/>
                <w:highlight w:val="none"/>
              </w:rPr>
              <w:t>Meriones erythrourus</w:t>
            </w:r>
          </w:p>
        </w:tc>
        <w:tc>
          <w:tcPr>
            <w:tcW w:w="698" w:type="pct"/>
            <w:tcBorders>
              <w:tl2br w:val="nil"/>
              <w:tr2bl w:val="nil"/>
            </w:tcBorders>
            <w:vAlign w:val="center"/>
          </w:tcPr>
          <w:p>
            <w:pPr>
              <w:pStyle w:val="55"/>
              <w:keepNext w:val="0"/>
              <w:keepLines w:val="0"/>
              <w:pageBreakBefore w:val="0"/>
              <w:widowControl w:val="0"/>
              <w:kinsoku/>
              <w:wordWrap/>
              <w:overflowPunct/>
              <w:topLinePunct w:val="0"/>
              <w:autoSpaceDE/>
              <w:autoSpaceDN/>
              <w:bidi w:val="0"/>
              <w:rPr>
                <w:color w:val="auto"/>
                <w:highlight w:val="none"/>
              </w:rPr>
            </w:pPr>
          </w:p>
        </w:tc>
        <w:tc>
          <w:tcPr>
            <w:tcW w:w="420" w:type="pct"/>
            <w:tcBorders>
              <w:tl2br w:val="nil"/>
              <w:tr2bl w:val="nil"/>
            </w:tcBorders>
            <w:shd w:val="clear" w:color="auto" w:fill="auto"/>
            <w:vAlign w:val="center"/>
          </w:tcPr>
          <w:p>
            <w:pPr>
              <w:pStyle w:val="55"/>
              <w:keepNext w:val="0"/>
              <w:keepLines w:val="0"/>
              <w:pageBreakBefore w:val="0"/>
              <w:widowControl w:val="0"/>
              <w:kinsoku/>
              <w:wordWrap/>
              <w:overflowPunct/>
              <w:topLinePunct w:val="0"/>
              <w:autoSpaceDE/>
              <w:autoSpaceDN/>
              <w:bidi w:val="0"/>
              <w:rPr>
                <w:rFonts w:hint="eastAsia"/>
                <w:color w:val="auto"/>
                <w:highlight w:val="none"/>
              </w:rPr>
            </w:pPr>
            <w:r>
              <w:rPr>
                <w:rFonts w:hint="eastAsia"/>
                <w:color w:val="auto"/>
                <w:highlight w:val="none"/>
                <w:lang w:val="en-US" w:eastAsia="zh-CN"/>
              </w:rPr>
              <w:t>±</w:t>
            </w:r>
          </w:p>
        </w:tc>
      </w:tr>
    </w:tbl>
    <w:p>
      <w:pPr>
        <w:pStyle w:val="15"/>
        <w:bidi w:val="0"/>
        <w:ind w:left="0" w:leftChars="0" w:firstLine="0" w:firstLineChars="0"/>
        <w:rPr>
          <w:rFonts w:hint="eastAsia"/>
          <w:color w:val="auto"/>
        </w:rPr>
      </w:pPr>
      <w:r>
        <w:rPr>
          <w:rFonts w:hint="eastAsia"/>
          <w:color w:val="auto"/>
        </w:rPr>
        <w:t>注</w:t>
      </w:r>
      <w:r>
        <w:rPr>
          <w:rFonts w:hint="eastAsia"/>
          <w:color w:val="auto"/>
          <w:lang w:eastAsia="zh-CN"/>
        </w:rPr>
        <w:t>：</w:t>
      </w:r>
      <w:r>
        <w:rPr>
          <w:rFonts w:hint="eastAsia"/>
          <w:color w:val="auto"/>
        </w:rPr>
        <w:t>表中R留鸟；S夏候鸟；B繁殖鸟；W冬候鸟；T旅鸟；++多见种；+常见种；±偶见种</w:t>
      </w:r>
      <w:r>
        <w:rPr>
          <w:rFonts w:hint="eastAsia"/>
          <w:color w:val="auto"/>
          <w:lang w:eastAsia="zh-CN"/>
        </w:rPr>
        <w:t>。</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评价区植被主要以梭梭、假木贼为主，严酷的自然环境、油田区的开发建设活动和逐年增加的魔鬼城景区的旅游活动，导致区域内的大型脊椎动物早已远离栖息地，隐匿在荒漠深处，有时仅有少数动物进入项目区，人为干扰和旅游活动会进一步使大型兽类和鸟类逐渐远离其栖息地，使当地野生动物种类和数量再度减少。</w:t>
      </w:r>
    </w:p>
    <w:p>
      <w:pPr>
        <w:pStyle w:val="57"/>
        <w:rPr>
          <w:rFonts w:hint="eastAsia"/>
          <w:color w:val="auto"/>
        </w:rPr>
      </w:pPr>
      <w:r>
        <w:rPr>
          <w:rFonts w:hint="eastAsia" w:ascii="Times New Roman" w:hAnsi="Times New Roman" w:eastAsia="宋体" w:cs="Times New Roman"/>
          <w:color w:val="auto"/>
          <w:highlight w:val="none"/>
          <w:lang w:val="en-US" w:eastAsia="zh-CN"/>
        </w:rPr>
        <w:t>评价区主要动物为啮齿动物（荒漠麻蜥、快步麻蜥等）及鸟类（家燕、凤头百灵、红尾伯劳等）。</w:t>
      </w:r>
    </w:p>
    <w:p>
      <w:pPr>
        <w:pStyle w:val="53"/>
        <w:rPr>
          <w:color w:val="auto"/>
          <w:highlight w:val="none"/>
        </w:rPr>
      </w:pPr>
      <w:r>
        <w:rPr>
          <w:rFonts w:hint="eastAsia"/>
          <w:color w:val="auto"/>
          <w:highlight w:val="none"/>
        </w:rPr>
        <w:t>4.2</w:t>
      </w:r>
      <w:r>
        <w:rPr>
          <w:color w:val="auto"/>
          <w:highlight w:val="none"/>
        </w:rPr>
        <w:t>.</w:t>
      </w:r>
      <w:r>
        <w:rPr>
          <w:rFonts w:hint="eastAsia"/>
          <w:color w:val="auto"/>
          <w:highlight w:val="none"/>
        </w:rPr>
        <w:t>7 生态敏感区调查与评价</w:t>
      </w:r>
      <w:bookmarkEnd w:id="505"/>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根据《环境影响评价技术导则 生态影响》（HJ19-2022），生态保护目标主要为受影响的重要物种、生态敏感区以及其他需要保护的物种、种群、生物群落及生态空间等。结合现状调查，评价区域生态保护目标主要为区域内分布的野生动植物。同时按照《建设项目环境影响评价分类管理名录》，将区域水土流失重点治理区一并进行调查及评价。此外，本项目新建净化油外输管线位于“世界魔鬼城”风景区附近，距离魔鬼城核心景区边界最近距离为40m，管线虽不占用，但魔鬼城核心景区位于管线生态环境评价范围内，在此一并调查。</w:t>
      </w:r>
    </w:p>
    <w:p>
      <w:pPr>
        <w:pStyle w:val="5"/>
        <w:rPr>
          <w:color w:val="auto"/>
          <w:highlight w:val="none"/>
        </w:rPr>
      </w:pPr>
      <w:r>
        <w:rPr>
          <w:rFonts w:hint="eastAsia"/>
          <w:color w:val="auto"/>
          <w:highlight w:val="none"/>
        </w:rPr>
        <w:t>4.2.7.1重要物种</w:t>
      </w:r>
    </w:p>
    <w:p>
      <w:pPr>
        <w:pStyle w:val="57"/>
        <w:rPr>
          <w:rFonts w:hint="eastAsia"/>
          <w:color w:val="auto"/>
          <w:highlight w:val="none"/>
        </w:rPr>
      </w:pPr>
      <w:r>
        <w:rPr>
          <w:rFonts w:hint="eastAsia"/>
          <w:color w:val="auto"/>
          <w:highlight w:val="none"/>
        </w:rPr>
        <w:t>根据《国家重点保护野生动物名录（2021年版）》《新疆国家重点保护野生动物名录》《新疆维吾尔自治区重点保护野生动物名录（修订）》 新政发〔2022〕75号，经过咨询当地林业局野生动物保护科以及生态环境局等单位，该区域没有国家和新疆重点保护野生动物。</w:t>
      </w:r>
    </w:p>
    <w:p>
      <w:pPr>
        <w:pStyle w:val="57"/>
        <w:pageBreakBefore w:val="0"/>
        <w:kinsoku/>
        <w:wordWrap/>
        <w:overflowPunct/>
        <w:topLinePunct w:val="0"/>
        <w:autoSpaceDE/>
        <w:autoSpaceDN/>
        <w:bidi w:val="0"/>
        <w:spacing w:line="480" w:lineRule="exact"/>
        <w:jc w:val="left"/>
        <w:textAlignment w:val="auto"/>
        <w:rPr>
          <w:rFonts w:hint="eastAsia"/>
          <w:color w:val="auto"/>
          <w:sz w:val="24"/>
          <w:szCs w:val="24"/>
          <w:highlight w:val="none"/>
        </w:rPr>
      </w:pPr>
      <w:r>
        <w:rPr>
          <w:rFonts w:hint="eastAsia"/>
          <w:color w:val="auto"/>
          <w:sz w:val="24"/>
          <w:szCs w:val="24"/>
          <w:highlight w:val="none"/>
        </w:rPr>
        <w:t>根据《新疆维吾尔自治区人民政府关于公布新疆维吾尔自治区重点保护野生植物名录的通知》（新政发〔2023〕63号）及《关于印发〈新疆国家重点保护野生植物名录〉的通知》（新林护字〔2022〕8号），评价区域无国家和新疆重点保护野生植物。</w:t>
      </w:r>
    </w:p>
    <w:p>
      <w:pPr>
        <w:pStyle w:val="5"/>
        <w:pageBreakBefore w:val="0"/>
        <w:kinsoku/>
        <w:wordWrap/>
        <w:overflowPunct/>
        <w:topLinePunct w:val="0"/>
        <w:autoSpaceDE/>
        <w:autoSpaceDN/>
        <w:bidi w:val="0"/>
        <w:spacing w:line="480" w:lineRule="exact"/>
        <w:jc w:val="left"/>
        <w:textAlignment w:val="auto"/>
        <w:rPr>
          <w:rFonts w:hint="eastAsia" w:ascii="Times New Roman" w:hAnsi="Times New Roman" w:eastAsia="宋体"/>
          <w:color w:val="auto"/>
          <w:sz w:val="24"/>
          <w:szCs w:val="24"/>
          <w:highlight w:val="none"/>
        </w:rPr>
      </w:pPr>
      <w:r>
        <w:rPr>
          <w:rFonts w:hint="eastAsia" w:ascii="Times New Roman" w:hAnsi="Times New Roman" w:eastAsia="宋体"/>
          <w:color w:val="auto"/>
          <w:sz w:val="24"/>
          <w:szCs w:val="24"/>
          <w:highlight w:val="none"/>
        </w:rPr>
        <w:t>4.2.7.</w:t>
      </w:r>
      <w:r>
        <w:rPr>
          <w:rFonts w:hint="eastAsia" w:ascii="Times New Roman" w:hAnsi="Times New Roman" w:eastAsia="宋体"/>
          <w:color w:val="auto"/>
          <w:sz w:val="24"/>
          <w:szCs w:val="24"/>
          <w:highlight w:val="none"/>
          <w:lang w:val="en-US" w:eastAsia="zh-CN"/>
        </w:rPr>
        <w:t>2</w:t>
      </w:r>
      <w:r>
        <w:rPr>
          <w:rFonts w:hint="eastAsia" w:ascii="Times New Roman" w:hAnsi="Times New Roman" w:eastAsia="宋体"/>
          <w:color w:val="auto"/>
          <w:sz w:val="24"/>
          <w:szCs w:val="24"/>
          <w:highlight w:val="none"/>
        </w:rPr>
        <w:t>水土流失重点治理区</w:t>
      </w:r>
    </w:p>
    <w:p>
      <w:pPr>
        <w:pStyle w:val="57"/>
        <w:pageBreakBefore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（1）水土流失现状</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根据新水水保〔2019〕4号文件，新疆共划分了2个自治区级重点预防区，4个自治区级重点治理区。其中，重点预防区面积19615.9km</w:t>
      </w:r>
      <w:r>
        <w:rPr>
          <w:rFonts w:hint="eastAsia" w:ascii="Times New Roman" w:hAnsi="Times New Roman" w:eastAsia="宋体" w:cs="Times New Roman"/>
          <w:color w:val="auto"/>
          <w:sz w:val="24"/>
          <w:szCs w:val="24"/>
          <w:highlight w:val="none"/>
          <w:vertAlign w:val="superscript"/>
          <w:lang w:val="en-US" w:eastAsia="zh-CN" w:bidi="ar-SA"/>
        </w:rPr>
        <w:t>2</w:t>
      </w:r>
      <w:r>
        <w:rPr>
          <w:rFonts w:hint="eastAsia" w:ascii="Times New Roman" w:hAnsi="Times New Roman" w:eastAsia="宋体" w:cs="Times New Roman"/>
          <w:color w:val="auto"/>
          <w:sz w:val="24"/>
          <w:szCs w:val="24"/>
          <w:highlight w:val="none"/>
          <w:lang w:val="en-US" w:eastAsia="zh-CN" w:bidi="ar-SA"/>
        </w:rPr>
        <w:t>，包括天山山区重点预防区、塔里木河中上游重点预防区；重点治理区面积283963km</w:t>
      </w:r>
      <w:r>
        <w:rPr>
          <w:rFonts w:hint="eastAsia" w:ascii="Times New Roman" w:hAnsi="Times New Roman" w:eastAsia="宋体" w:cs="Times New Roman"/>
          <w:color w:val="auto"/>
          <w:sz w:val="24"/>
          <w:szCs w:val="24"/>
          <w:highlight w:val="none"/>
          <w:vertAlign w:val="superscript"/>
          <w:lang w:val="en-US" w:eastAsia="zh-CN" w:bidi="ar-SA"/>
        </w:rPr>
        <w:t>2</w:t>
      </w:r>
      <w:r>
        <w:rPr>
          <w:rFonts w:hint="eastAsia" w:ascii="Times New Roman" w:hAnsi="Times New Roman" w:eastAsia="宋体" w:cs="Times New Roman"/>
          <w:color w:val="auto"/>
          <w:sz w:val="24"/>
          <w:szCs w:val="24"/>
          <w:highlight w:val="none"/>
          <w:lang w:val="en-US" w:eastAsia="zh-CN" w:bidi="ar-SA"/>
        </w:rPr>
        <w:t>，包括额尔齐斯河流域重点治理区、天山北坡诸小河流域重点治理区、天山北坡诸小河流域重点治理区、伊犁河流域重点治理区。</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本工程地跨克拉玛依市乌尔禾区、塔城地区和布克赛尔蒙古自治县</w:t>
      </w:r>
      <w:r>
        <w:rPr>
          <w:rFonts w:hint="eastAsia" w:cs="Times New Roman"/>
          <w:color w:val="auto"/>
          <w:sz w:val="24"/>
          <w:szCs w:val="24"/>
          <w:highlight w:val="none"/>
          <w:lang w:val="en-US" w:eastAsia="zh-CN" w:bidi="ar-SA"/>
        </w:rPr>
        <w:t>、新疆生产建设兵团第七师胡杨河市</w:t>
      </w:r>
      <w:r>
        <w:rPr>
          <w:rFonts w:hint="eastAsia" w:ascii="Times New Roman" w:hAnsi="Times New Roman" w:eastAsia="宋体" w:cs="Times New Roman"/>
          <w:color w:val="auto"/>
          <w:sz w:val="24"/>
          <w:szCs w:val="24"/>
          <w:highlight w:val="none"/>
          <w:lang w:val="en-US" w:eastAsia="zh-CN" w:bidi="ar-SA"/>
        </w:rPr>
        <w:t>，根据《2020年新疆维吾尔自治区水土保持公报》，和布克赛尔蒙古自治县水土流失主要为风力侵蚀，轻度侵蚀比例占86.48%，主要侵蚀土地利用类型为草地、裸土地。</w:t>
      </w:r>
      <w:r>
        <w:rPr>
          <w:rFonts w:ascii="Times New Roman" w:hAnsi="Times New Roman" w:cs="Times New Roman"/>
          <w:color w:val="auto"/>
          <w:sz w:val="24"/>
          <w:szCs w:val="24"/>
          <w:highlight w:val="none"/>
        </w:rPr>
        <w:t>2020年乌尔禾区轻度以上风力侵蚀和水力侵蚀总面积1633.06km</w:t>
      </w:r>
      <w:r>
        <w:rPr>
          <w:rFonts w:hint="eastAsia" w:ascii="Times New Roman" w:hAnsi="Times New Roman" w:cs="Times New Roman"/>
          <w:color w:val="auto"/>
          <w:sz w:val="24"/>
          <w:szCs w:val="24"/>
          <w:highlight w:val="none"/>
          <w:vertAlign w:val="superscript"/>
          <w:lang w:val="en-US" w:eastAsia="zh-CN"/>
        </w:rPr>
        <w:t>2</w:t>
      </w:r>
      <w:r>
        <w:rPr>
          <w:rFonts w:ascii="Times New Roman" w:hAnsi="Times New Roman" w:cs="Times New Roman"/>
          <w:color w:val="auto"/>
          <w:sz w:val="24"/>
          <w:szCs w:val="24"/>
          <w:highlight w:val="none"/>
        </w:rPr>
        <w:t>，占全区土地总面积的73.26%。其中水力侵蚀面积为0.32km</w:t>
      </w:r>
      <w:r>
        <w:rPr>
          <w:rFonts w:hint="eastAsia" w:ascii="Times New Roman" w:hAnsi="Times New Roman" w:cs="Times New Roman"/>
          <w:color w:val="auto"/>
          <w:sz w:val="24"/>
          <w:szCs w:val="24"/>
          <w:highlight w:val="none"/>
          <w:vertAlign w:val="superscript"/>
          <w:lang w:val="en-US" w:eastAsia="zh-CN"/>
        </w:rPr>
        <w:t>2</w:t>
      </w:r>
      <w:r>
        <w:rPr>
          <w:rFonts w:ascii="Times New Roman" w:hAnsi="Times New Roman" w:cs="Times New Roman"/>
          <w:color w:val="auto"/>
          <w:sz w:val="24"/>
          <w:szCs w:val="24"/>
          <w:highlight w:val="none"/>
        </w:rPr>
        <w:t>，占土壤侵蚀总面积的0.02%；风力侵蚀面积为1632.74km</w:t>
      </w:r>
      <w:r>
        <w:rPr>
          <w:rFonts w:hint="eastAsia" w:ascii="Times New Roman" w:hAnsi="Times New Roman" w:cs="Times New Roman"/>
          <w:color w:val="auto"/>
          <w:sz w:val="24"/>
          <w:szCs w:val="24"/>
          <w:highlight w:val="none"/>
          <w:vertAlign w:val="superscript"/>
          <w:lang w:val="en-US" w:eastAsia="zh-CN"/>
        </w:rPr>
        <w:t>2</w:t>
      </w:r>
      <w:r>
        <w:rPr>
          <w:rFonts w:ascii="Times New Roman" w:hAnsi="Times New Roman" w:cs="Times New Roman"/>
          <w:color w:val="auto"/>
          <w:sz w:val="24"/>
          <w:szCs w:val="24"/>
          <w:highlight w:val="none"/>
        </w:rPr>
        <w:t>，占土壤侵蚀总面积的99.98%。动态变化数据显示，乌尔禾区2020年水土流失面积比2019年减少了10.22km</w:t>
      </w:r>
      <w:r>
        <w:rPr>
          <w:rFonts w:hint="eastAsia" w:ascii="Times New Roman" w:hAnsi="Times New Roman" w:cs="Times New Roman"/>
          <w:color w:val="auto"/>
          <w:sz w:val="24"/>
          <w:szCs w:val="24"/>
          <w:highlight w:val="none"/>
          <w:vertAlign w:val="superscript"/>
          <w:lang w:val="en-US" w:eastAsia="zh-CN"/>
        </w:rPr>
        <w:t>2</w:t>
      </w:r>
      <w:r>
        <w:rPr>
          <w:rFonts w:ascii="Times New Roman" w:hAnsi="Times New Roman" w:cs="Times New Roman"/>
          <w:color w:val="auto"/>
          <w:sz w:val="24"/>
          <w:szCs w:val="24"/>
          <w:highlight w:val="none"/>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根据2020年新疆水土流失动态监测成果数据和《土壤侵蚀分类分级标准》（SL190-2007），结合现场踏勘调查：项目区内大部分地区以棕漠土为主，地表植被稀疏，自然植被覆盖度5%～10%。项目区主要水土流失问题为地表裸露，大风、降雨天气容易引发水土流失，因此，确定项目区土壤侵蚀类型为轻度风蚀。工程原地貌土壤侵蚀模数为1500t/k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·a，依据《土壤侵蚀分类分级标准》（SL190-2007）中土壤侵蚀强度分级标准，根据实地调查，依据土壤侵蚀与地貌、土壤、植被覆盖度关系，确定项目区容许土壤流失量为1500t/km</w:t>
      </w:r>
      <w:r>
        <w:rPr>
          <w:rFonts w:hint="eastAsia"/>
          <w:color w:val="auto"/>
          <w:sz w:val="24"/>
          <w:szCs w:val="24"/>
          <w:highlight w:val="none"/>
          <w:vertAlign w:val="superscript"/>
          <w:lang w:val="en-US" w:eastAsia="zh-CN"/>
        </w:rPr>
        <w:t>2</w:t>
      </w:r>
      <w:r>
        <w:rPr>
          <w:rFonts w:hint="eastAsia"/>
          <w:color w:val="auto"/>
          <w:sz w:val="24"/>
          <w:szCs w:val="24"/>
          <w:highlight w:val="none"/>
          <w:lang w:val="en-US" w:eastAsia="zh-CN"/>
        </w:rPr>
        <w:t>·a。</w:t>
      </w:r>
    </w:p>
    <w:p>
      <w:pPr>
        <w:pStyle w:val="57"/>
        <w:pageBreakBefore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（2）水土流失成因</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eastAsia"/>
          <w:color w:val="auto"/>
          <w:highlight w:val="none"/>
          <w:lang w:val="en-US" w:eastAsia="zh-CN"/>
        </w:rPr>
        <w:t>①</w:t>
      </w:r>
      <w:r>
        <w:rPr>
          <w:rFonts w:hint="default"/>
          <w:color w:val="auto"/>
          <w:highlight w:val="none"/>
          <w:lang w:val="en-US" w:eastAsia="zh-CN"/>
        </w:rPr>
        <w:t xml:space="preserve">自然因素 </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项目区降雨多集中在4～6月，大多为季节性降雨，形成微度水力侵蚀。多年平均风速3.1m/s，风季为每年的4</w:t>
      </w:r>
      <w:r>
        <w:rPr>
          <w:rFonts w:hint="eastAsia"/>
          <w:color w:val="auto"/>
          <w:highlight w:val="none"/>
          <w:lang w:val="en-US" w:eastAsia="zh-CN"/>
        </w:rPr>
        <w:t>—</w:t>
      </w:r>
      <w:r>
        <w:rPr>
          <w:rFonts w:hint="default"/>
          <w:color w:val="auto"/>
          <w:highlight w:val="none"/>
          <w:lang w:val="en-US" w:eastAsia="zh-CN"/>
        </w:rPr>
        <w:t>6月，风向多为西北风，极大风速39.0m/s。项目区植被类型属旱生荒漠植被，地表植被稀疏，植被覆盖度5%左右，形成轻度风力侵蚀区。现状条件下，表层易蚀物质被剥蚀殆尽，地表形成厚薄不一的砂砾覆盖层，质地较密实，对防止土壤侵蚀有一定作用，若不人为扰动的情况下，不易发生大面积、较严重的侵蚀。</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eastAsia"/>
          <w:color w:val="auto"/>
          <w:highlight w:val="none"/>
          <w:lang w:val="en-US" w:eastAsia="zh-CN"/>
        </w:rPr>
        <w:t>②</w:t>
      </w:r>
      <w:r>
        <w:rPr>
          <w:rFonts w:hint="default"/>
          <w:color w:val="auto"/>
          <w:highlight w:val="none"/>
          <w:lang w:val="en-US" w:eastAsia="zh-CN"/>
        </w:rPr>
        <w:t>人为因素</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在没有人为干扰的情况下，一个地区的抗侵蚀力基本不变。在项目建设过程中，由于地形地貌、地表植被等遭受人为破坏和干扰，土壤结构变得松散，植被覆盖度降低，区域抗侵蚀力减弱，因而加剧了土壤侵蚀。根据工程的建设特点，施工建设活动主要从以下几方面形成新增水土流失：</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a.使原生植被受到扰动和破坏</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由于项目的建设，扩大了人类活动范围，增大了对地表土壤和植被的扰动强度。原生植被在以下几方面遭到破坏：地面平整、开挖、填筑等形成较大范围的裸露面；工程施工作业及施工机械的碾压等占压地面、损坏植被，并可能使周边区域的植被也受到影响。</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b.使土壤表层松散性加大</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土壤是侵蚀过程中被侵蚀的对象。比如项目区场地高挖低填及基础处理，土石方 开挖回填期间占地范围内临时堆置的松散土方易产生风蚀，由于工程的施工作业，大量的松散土方发生运移和重新堆积，植被破坏，使土壤水分大量散失，土体的机械组成混杂不一，丧失了原地表土壤的抗蚀力。在大风及强降雨的作用下，裸露带极易形成较强的水土流失。</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c.人为改变了原地貌形态</w:t>
      </w:r>
    </w:p>
    <w:p>
      <w:pPr>
        <w:pStyle w:val="57"/>
        <w:pageBreakBefore w:val="0"/>
        <w:kinsoku/>
        <w:wordWrap/>
        <w:overflowPunct/>
        <w:topLinePunct w:val="0"/>
        <w:autoSpaceDE/>
        <w:autoSpaceDN/>
        <w:bidi w:val="0"/>
        <w:spacing w:line="480" w:lineRule="exact"/>
        <w:rPr>
          <w:rFonts w:hint="default"/>
          <w:color w:val="auto"/>
          <w:highlight w:val="none"/>
          <w:lang w:val="en-US" w:eastAsia="zh-CN"/>
        </w:rPr>
      </w:pPr>
      <w:r>
        <w:rPr>
          <w:rFonts w:hint="default"/>
          <w:color w:val="auto"/>
          <w:highlight w:val="none"/>
          <w:lang w:val="en-US" w:eastAsia="zh-CN"/>
        </w:rPr>
        <w:t>项目建设中，工程施工作业改变了相对稳定的原地貌，使表土变得疏松、裸露，如果无适当的保护措施，在当地大风及强降雨的作用下，裸露带极易形成较强的水土流失。</w:t>
      </w:r>
    </w:p>
    <w:p>
      <w:pPr>
        <w:pStyle w:val="5"/>
        <w:pageBreakBefore w:val="0"/>
        <w:kinsoku/>
        <w:wordWrap/>
        <w:overflowPunct/>
        <w:topLinePunct w:val="0"/>
        <w:autoSpaceDE/>
        <w:autoSpaceDN/>
        <w:bidi w:val="0"/>
        <w:spacing w:line="480" w:lineRule="exact"/>
        <w:jc w:val="left"/>
        <w:textAlignment w:val="auto"/>
        <w:rPr>
          <w:rFonts w:hint="eastAsia" w:ascii="Times New Roman" w:hAnsi="Times New Roman" w:eastAsia="宋体"/>
          <w:color w:val="auto"/>
          <w:sz w:val="24"/>
          <w:szCs w:val="24"/>
          <w:highlight w:val="none"/>
          <w:lang w:val="en-US" w:eastAsia="zh-CN"/>
        </w:rPr>
      </w:pPr>
      <w:r>
        <w:rPr>
          <w:rFonts w:hint="eastAsia" w:ascii="Times New Roman" w:hAnsi="Times New Roman" w:eastAsia="宋体"/>
          <w:color w:val="auto"/>
          <w:sz w:val="24"/>
          <w:szCs w:val="24"/>
          <w:highlight w:val="none"/>
          <w:lang w:val="en-US" w:eastAsia="zh-CN"/>
        </w:rPr>
        <w:t>4.2.7.3魔鬼城风景名胜区</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本工程位于克拉玛依市乌尔禾区、塔城地区和布克赛尔蒙古自治县和新疆生产建设兵团第七师胡杨河市境内。据现场调查，评价范围内没有自然保护区、文物古迹保护区、水源保护区等敏感区，没有固定集中的人群活动区，项目区邻近魔鬼城风景名胜区，风城二号稠油处理站至乌33转油站净化油外输管线东南侧距离魔鬼城核心景区边界最近距离为40m。工程与魔鬼城风景名胜区位置关系见图4.2-4。</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（1）基本情况</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魔鬼城是自治区级风景名胜区，以独特的雅丹地貌、天然矿藏、彩石胡杨为主体景观资源，以游览观光、科研科普、探险体验、休闲娱乐为主要功能，是具有国家级风景资源价值的特殊地貌类自治区级风景名胜区。</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2003年，克拉玛依市政府正式向自治区政府提出申请将克拉玛依魔鬼城列为自治区级风景名胜区；2004年，克拉玛依市魔鬼城风景名胜区被列为第三批自治区级风景名胜区；2012年9月6日，《魔鬼城风景名胜区总体规划（2012～2030）》通过克拉玛依市规划委员会审查；2021年9月，自治区人民政府对《克拉玛依市魔鬼城风景名胜区总体规划（2021～2035）》予以批复，风景名胜区总面积121.10km</w:t>
      </w:r>
      <w:r>
        <w:rPr>
          <w:rFonts w:hint="eastAsia"/>
          <w:color w:val="auto"/>
          <w:highlight w:val="none"/>
          <w:vertAlign w:val="superscript"/>
          <w:lang w:val="en-US" w:eastAsia="zh-CN"/>
        </w:rPr>
        <w:t>2</w:t>
      </w:r>
      <w:r>
        <w:rPr>
          <w:rFonts w:hint="eastAsia"/>
          <w:color w:val="auto"/>
          <w:highlight w:val="none"/>
          <w:lang w:val="en-US" w:eastAsia="zh-CN"/>
        </w:rPr>
        <w:t>，分为四大片区，将魔鬼城景区和小尖山景区部分片区划定为核心景区，核心景区面积10.01km</w:t>
      </w:r>
      <w:r>
        <w:rPr>
          <w:rFonts w:hint="eastAsia"/>
          <w:color w:val="auto"/>
          <w:highlight w:val="none"/>
          <w:vertAlign w:val="superscript"/>
          <w:lang w:val="en-US" w:eastAsia="zh-CN"/>
        </w:rPr>
        <w:t>2</w:t>
      </w:r>
      <w:r>
        <w:rPr>
          <w:rFonts w:hint="eastAsia"/>
          <w:color w:val="auto"/>
          <w:highlight w:val="none"/>
          <w:lang w:val="en-US" w:eastAsia="zh-CN"/>
        </w:rPr>
        <w:t>。</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（2）景区规划</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魔鬼城风景名胜区规划为六大景区，为魔鬼城景区、胡杨林景区、小尖山景区、彩石滩景区、布达拉宫景区和白杨河大峡谷景区，详见图4.3-1。</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1 \* GB3 </w:instrText>
      </w:r>
      <w:r>
        <w:rPr>
          <w:rFonts w:hint="eastAsia"/>
          <w:color w:val="auto"/>
          <w:highlight w:val="none"/>
          <w:lang w:val="en-US" w:eastAsia="zh-CN"/>
        </w:rPr>
        <w:fldChar w:fldCharType="separate"/>
      </w:r>
      <w:r>
        <w:rPr>
          <w:rFonts w:hint="eastAsia"/>
          <w:color w:val="auto"/>
          <w:highlight w:val="none"/>
          <w:lang w:val="en-US" w:eastAsia="zh-CN"/>
        </w:rPr>
        <w:t>①</w:t>
      </w:r>
      <w:r>
        <w:rPr>
          <w:rFonts w:hint="eastAsia"/>
          <w:color w:val="auto"/>
          <w:highlight w:val="none"/>
          <w:lang w:val="en-US" w:eastAsia="zh-CN"/>
        </w:rPr>
        <w:fldChar w:fldCharType="end"/>
      </w:r>
      <w:r>
        <w:rPr>
          <w:rFonts w:hint="eastAsia"/>
          <w:color w:val="auto"/>
          <w:highlight w:val="none"/>
          <w:lang w:val="en-US" w:eastAsia="zh-CN"/>
        </w:rPr>
        <w:t>魔鬼城景区</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加强游览服务设施建设，设施必须与周围环境结合。景区内的沙垄除少量 经过特殊人工处理之外均禁止游人随意攀登。选定三处作为魔鬼城景区登高远望，眺望魔鬼城“鬼斧神工”的观景台。</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2 \* GB3 </w:instrText>
      </w:r>
      <w:r>
        <w:rPr>
          <w:rFonts w:hint="eastAsia"/>
          <w:color w:val="auto"/>
          <w:highlight w:val="none"/>
          <w:lang w:val="en-US" w:eastAsia="zh-CN"/>
        </w:rPr>
        <w:fldChar w:fldCharType="separate"/>
      </w:r>
      <w:r>
        <w:rPr>
          <w:rFonts w:hint="eastAsia"/>
          <w:color w:val="auto"/>
          <w:highlight w:val="none"/>
          <w:lang w:val="en-US" w:eastAsia="zh-CN"/>
        </w:rPr>
        <w:t>②</w:t>
      </w:r>
      <w:r>
        <w:rPr>
          <w:rFonts w:hint="eastAsia"/>
          <w:color w:val="auto"/>
          <w:highlight w:val="none"/>
          <w:lang w:val="en-US" w:eastAsia="zh-CN"/>
        </w:rPr>
        <w:fldChar w:fldCharType="end"/>
      </w:r>
      <w:r>
        <w:rPr>
          <w:rFonts w:hint="eastAsia"/>
          <w:color w:val="auto"/>
          <w:highlight w:val="none"/>
          <w:lang w:val="en-US" w:eastAsia="zh-CN"/>
        </w:rPr>
        <w:t>胡杨林景区</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选择胡杨林东南角胡杨密度较低的边缘区域作为主体的观赏游览区。其余 进行严格保护，开辟适宜的休闲活动空间，通过适度的景观创造和游览路线的规划，提高其观赏游憩价值。乌风公路以西区域限制游客进入，尽量保护黄羊及其他野生荒漠动物的栖息地。在东部和南部区域，开辟适当区域进行林下休闲活动。</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3 \* GB3 </w:instrText>
      </w:r>
      <w:r>
        <w:rPr>
          <w:rFonts w:hint="eastAsia"/>
          <w:color w:val="auto"/>
          <w:highlight w:val="none"/>
          <w:lang w:val="en-US" w:eastAsia="zh-CN"/>
        </w:rPr>
        <w:fldChar w:fldCharType="separate"/>
      </w:r>
      <w:r>
        <w:rPr>
          <w:rFonts w:hint="eastAsia"/>
          <w:color w:val="auto"/>
          <w:highlight w:val="none"/>
          <w:lang w:val="en-US" w:eastAsia="zh-CN"/>
        </w:rPr>
        <w:t>③</w:t>
      </w:r>
      <w:r>
        <w:rPr>
          <w:rFonts w:hint="eastAsia"/>
          <w:color w:val="auto"/>
          <w:highlight w:val="none"/>
          <w:lang w:val="en-US" w:eastAsia="zh-CN"/>
        </w:rPr>
        <w:fldChar w:fldCharType="end"/>
      </w:r>
      <w:r>
        <w:rPr>
          <w:rFonts w:hint="eastAsia"/>
          <w:color w:val="auto"/>
          <w:highlight w:val="none"/>
          <w:lang w:val="en-US" w:eastAsia="zh-CN"/>
        </w:rPr>
        <w:t>小尖山景区</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选定适当的区域开展适宜的静态探险活动，严格限制游人数量和设施数量， 在游览区域，要严格限制改变地形地貌、岩石、植被的行为。不考虑设置长期的和固定的沙漠运动场地和文化表演场地。</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4 \* GB3 </w:instrText>
      </w:r>
      <w:r>
        <w:rPr>
          <w:rFonts w:hint="eastAsia"/>
          <w:color w:val="auto"/>
          <w:highlight w:val="none"/>
          <w:lang w:val="en-US" w:eastAsia="zh-CN"/>
        </w:rPr>
        <w:fldChar w:fldCharType="separate"/>
      </w:r>
      <w:r>
        <w:rPr>
          <w:rFonts w:hint="eastAsia"/>
          <w:color w:val="auto"/>
          <w:highlight w:val="none"/>
          <w:lang w:val="en-US" w:eastAsia="zh-CN"/>
        </w:rPr>
        <w:t>④</w:t>
      </w:r>
      <w:r>
        <w:rPr>
          <w:rFonts w:hint="eastAsia"/>
          <w:color w:val="auto"/>
          <w:highlight w:val="none"/>
          <w:lang w:val="en-US" w:eastAsia="zh-CN"/>
        </w:rPr>
        <w:fldChar w:fldCharType="end"/>
      </w:r>
      <w:r>
        <w:rPr>
          <w:rFonts w:hint="eastAsia"/>
          <w:color w:val="auto"/>
          <w:highlight w:val="none"/>
          <w:lang w:val="en-US" w:eastAsia="zh-CN"/>
        </w:rPr>
        <w:t xml:space="preserve">彩石滩景区 </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沿主游览线路两侧各1km范围内划定彩石保护带，设定彩石鉴赏点，以此为圆形，方圆3km范围内为彩石保护区。设置服务点，在各服务点进行彩石滩的成因、规模以及相关地质知识的宣讲，在游客服务中心提供彩石鉴定、鉴赏、品评、加工等服务，加深游客对彩石滩的印象。</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5 \* GB3 </w:instrText>
      </w:r>
      <w:r>
        <w:rPr>
          <w:rFonts w:hint="eastAsia"/>
          <w:color w:val="auto"/>
          <w:highlight w:val="none"/>
          <w:lang w:val="en-US" w:eastAsia="zh-CN"/>
        </w:rPr>
        <w:fldChar w:fldCharType="separate"/>
      </w:r>
      <w:r>
        <w:rPr>
          <w:rFonts w:hint="eastAsia"/>
          <w:color w:val="auto"/>
          <w:highlight w:val="none"/>
          <w:lang w:val="en-US" w:eastAsia="zh-CN"/>
        </w:rPr>
        <w:t>⑤</w:t>
      </w:r>
      <w:r>
        <w:rPr>
          <w:rFonts w:hint="eastAsia"/>
          <w:color w:val="auto"/>
          <w:highlight w:val="none"/>
          <w:lang w:val="en-US" w:eastAsia="zh-CN"/>
        </w:rPr>
        <w:fldChar w:fldCharType="end"/>
      </w:r>
      <w:r>
        <w:rPr>
          <w:rFonts w:hint="eastAsia"/>
          <w:color w:val="auto"/>
          <w:highlight w:val="none"/>
          <w:lang w:val="en-US" w:eastAsia="zh-CN"/>
        </w:rPr>
        <w:t xml:space="preserve">布达拉宫景区 </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选定适当的区域开展适宜的静态探险活动，严格限制游人数量和设施数量， 在游览区域，要严格限制改变地形地貌、岩石、植被的行为。</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fldChar w:fldCharType="begin"/>
      </w:r>
      <w:r>
        <w:rPr>
          <w:rFonts w:hint="eastAsia"/>
          <w:color w:val="auto"/>
          <w:highlight w:val="none"/>
          <w:lang w:val="en-US" w:eastAsia="zh-CN"/>
        </w:rPr>
        <w:instrText xml:space="preserve"> = 6 \* GB3 </w:instrText>
      </w:r>
      <w:r>
        <w:rPr>
          <w:rFonts w:hint="eastAsia"/>
          <w:color w:val="auto"/>
          <w:highlight w:val="none"/>
          <w:lang w:val="en-US" w:eastAsia="zh-CN"/>
        </w:rPr>
        <w:fldChar w:fldCharType="separate"/>
      </w:r>
      <w:r>
        <w:rPr>
          <w:rFonts w:hint="eastAsia"/>
          <w:color w:val="auto"/>
          <w:highlight w:val="none"/>
          <w:lang w:val="en-US" w:eastAsia="zh-CN"/>
        </w:rPr>
        <w:t>⑥</w:t>
      </w:r>
      <w:r>
        <w:rPr>
          <w:rFonts w:hint="eastAsia"/>
          <w:color w:val="auto"/>
          <w:highlight w:val="none"/>
          <w:lang w:val="en-US" w:eastAsia="zh-CN"/>
        </w:rPr>
        <w:fldChar w:fldCharType="end"/>
      </w:r>
      <w:r>
        <w:rPr>
          <w:rFonts w:hint="eastAsia"/>
          <w:color w:val="auto"/>
          <w:highlight w:val="none"/>
          <w:lang w:val="en-US" w:eastAsia="zh-CN"/>
        </w:rPr>
        <w:t>白杨河大峡谷景区</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通过适度的景观创造和游览路线的规划，提高其观赏游憩价值，其余进行严格保护，城区连接白杨河大峡谷北侧道路进入白杨河大峡谷景区接待处，游客可在内部进行林下休闲活动，如露营、徒步等，感受大峡谷带来的舒适宜人的空间。</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（3）分级保护要求</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一级保护区是指涵盖一级景观和部分地质构造完整度较好的二级景观区域，主要从景观延续性和完整性进行划分。一级保护区为G217东侧魔鬼城景区内一级和二级景观分布密集的区域，规划面积为10.01km</w:t>
      </w:r>
      <w:r>
        <w:rPr>
          <w:rFonts w:hint="eastAsia"/>
          <w:color w:val="auto"/>
          <w:highlight w:val="none"/>
          <w:vertAlign w:val="superscript"/>
          <w:lang w:val="en-US" w:eastAsia="zh-CN"/>
        </w:rPr>
        <w:t>2</w:t>
      </w:r>
      <w:r>
        <w:rPr>
          <w:rFonts w:hint="eastAsia"/>
          <w:color w:val="auto"/>
          <w:highlight w:val="none"/>
          <w:lang w:val="en-US" w:eastAsia="zh-CN"/>
        </w:rPr>
        <w:t>。保护措施为近期完成勘界，立界碑界桩。一级保护区应保持原生自然地貌、植被等，严禁开山采石以及破坏自然植被、山体的建设行为；严禁建设任何有碍资源与环境的设施；有污染物排放的机动交通工具严禁进入，不得安排旅宿床位，控制游人有序进入。</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这部分区域主要集中在魔鬼城景区、小尖山景区、布达拉宫景区和胡杨林景区，二级保护区总面积为47.73km</w:t>
      </w:r>
      <w:r>
        <w:rPr>
          <w:rFonts w:hint="eastAsia"/>
          <w:color w:val="auto"/>
          <w:highlight w:val="none"/>
          <w:vertAlign w:val="superscript"/>
          <w:lang w:val="en-US" w:eastAsia="zh-CN"/>
        </w:rPr>
        <w:t>2</w:t>
      </w:r>
      <w:r>
        <w:rPr>
          <w:rFonts w:hint="eastAsia"/>
          <w:color w:val="auto"/>
          <w:highlight w:val="none"/>
          <w:lang w:val="en-US" w:eastAsia="zh-CN"/>
        </w:rPr>
        <w:t>。保护措施为适宜安排各类游赏项目和活动，不得进行与风景游赏无关的建设，可根据环境容量适度开展旅游活动；可适度建设风景点、构筑物和小体量的旅游服务设施，严格控制建筑风貌，应与风景区的文化特色相适应；不宜新建旅宿设施；重要景观点和标志性建构筑物应进行详细设计和景观视线分析；保护区内建筑应尊重地形，不得破坏周边地貌轮廓线；风景区内交通应以新能源车和步行交通为主，限制其他机动交通进入；严格执行保护相关规定。</w:t>
      </w:r>
    </w:p>
    <w:p>
      <w:pPr>
        <w:pStyle w:val="57"/>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color w:val="auto"/>
          <w:highlight w:val="none"/>
          <w:lang w:val="en-US" w:eastAsia="zh-CN"/>
        </w:rPr>
      </w:pPr>
      <w:r>
        <w:rPr>
          <w:rFonts w:hint="eastAsia"/>
          <w:color w:val="auto"/>
          <w:highlight w:val="none"/>
          <w:lang w:val="en-US" w:eastAsia="zh-CN"/>
        </w:rPr>
        <w:t>三级保护区是指一级、二级保护之外，结合风景区现状建设设施保留的发展控制的建设用地，必须严格按照风景名胜区建设要求开发建设的区域，规划面积为63.36km</w:t>
      </w:r>
      <w:r>
        <w:rPr>
          <w:rFonts w:hint="eastAsia"/>
          <w:color w:val="auto"/>
          <w:highlight w:val="none"/>
          <w:vertAlign w:val="superscript"/>
          <w:lang w:val="en-US" w:eastAsia="zh-CN"/>
        </w:rPr>
        <w:t>2</w:t>
      </w:r>
      <w:r>
        <w:rPr>
          <w:rFonts w:hint="eastAsia"/>
          <w:color w:val="auto"/>
          <w:highlight w:val="none"/>
          <w:lang w:val="en-US" w:eastAsia="zh-CN"/>
        </w:rPr>
        <w:t>。</w:t>
      </w:r>
    </w:p>
    <w:p>
      <w:pPr>
        <w:pStyle w:val="57"/>
        <w:pageBreakBefore w:val="0"/>
        <w:kinsoku/>
        <w:wordWrap/>
        <w:overflowPunct/>
        <w:topLinePunct w:val="0"/>
        <w:autoSpaceDE/>
        <w:autoSpaceDN/>
        <w:bidi w:val="0"/>
        <w:spacing w:line="480" w:lineRule="exact"/>
        <w:rPr>
          <w:rFonts w:hint="eastAsia"/>
          <w:color w:val="auto"/>
          <w:highlight w:val="none"/>
          <w:lang w:val="en-US" w:eastAsia="zh-CN"/>
        </w:rPr>
      </w:pPr>
      <w:r>
        <w:rPr>
          <w:rFonts w:hint="eastAsia"/>
          <w:color w:val="auto"/>
          <w:highlight w:val="none"/>
          <w:lang w:val="en-US" w:eastAsia="zh-CN"/>
        </w:rPr>
        <w:t>魔鬼城风景名胜区分级保护规划图见图4.2-5。</w:t>
      </w:r>
    </w:p>
    <w:p>
      <w:pPr>
        <w:pStyle w:val="116"/>
        <w:keepNext w:val="0"/>
        <w:keepLines w:val="0"/>
        <w:pageBreakBefore w:val="0"/>
        <w:widowControl w:val="0"/>
        <w:kinsoku/>
        <w:wordWrap/>
        <w:overflowPunct/>
        <w:topLinePunct w:val="0"/>
        <w:autoSpaceDE/>
        <w:autoSpaceDN/>
        <w:bidi w:val="0"/>
        <w:spacing w:line="480" w:lineRule="exact"/>
        <w:jc w:val="left"/>
        <w:textAlignment w:val="auto"/>
        <w:rPr>
          <w:color w:val="auto"/>
          <w:sz w:val="24"/>
          <w:szCs w:val="24"/>
          <w:highlight w:val="none"/>
          <w:lang w:val="en-US" w:eastAsia="zh-CN"/>
        </w:rPr>
      </w:pPr>
      <w:r>
        <w:rPr>
          <w:rFonts w:hint="eastAsia"/>
          <w:color w:val="auto"/>
          <w:sz w:val="24"/>
          <w:szCs w:val="24"/>
          <w:highlight w:val="none"/>
          <w:lang w:val="en-US" w:eastAsia="zh-CN"/>
        </w:rPr>
        <w:t>4.2.7.4土地沙化现状调查</w:t>
      </w:r>
    </w:p>
    <w:p>
      <w:pPr>
        <w:pStyle w:val="57"/>
        <w:pageBreakBefore w:val="0"/>
        <w:kinsoku/>
        <w:wordWrap/>
        <w:overflowPunct/>
        <w:topLinePunct w:val="0"/>
        <w:autoSpaceDE/>
        <w:autoSpaceDN/>
        <w:bidi w:val="0"/>
        <w:spacing w:line="480" w:lineRule="exact"/>
        <w:jc w:val="left"/>
        <w:textAlignment w:val="auto"/>
        <w:rPr>
          <w:rFonts w:hint="eastAsia"/>
          <w:color w:val="auto"/>
          <w:sz w:val="24"/>
          <w:szCs w:val="24"/>
          <w:highlight w:val="none"/>
        </w:rPr>
      </w:pPr>
      <w:r>
        <w:rPr>
          <w:rFonts w:hint="eastAsia"/>
          <w:color w:val="auto"/>
          <w:sz w:val="24"/>
          <w:szCs w:val="24"/>
          <w:highlight w:val="none"/>
          <w:lang w:val="en-US" w:eastAsia="zh-CN"/>
        </w:rPr>
        <w:t>本工程位于塔城地区和布克赛尔蒙古自治县、克拉玛依市乌尔禾区和新疆生产建设兵团第七师胡杨河市，根据《新疆第六次沙化土地监测报告》，本工程所在区域属于非沙化土地、风蚀残丘和戈壁，本工程沙化土地类型分布情况见图4.2-6</w:t>
      </w:r>
      <w:r>
        <w:rPr>
          <w:rFonts w:hint="eastAsia"/>
          <w:color w:val="auto"/>
          <w:sz w:val="24"/>
          <w:szCs w:val="24"/>
          <w:highlight w:val="none"/>
        </w:rPr>
        <w:t>。</w:t>
      </w:r>
      <w:bookmarkStart w:id="506" w:name="_Toc173941882"/>
      <w:bookmarkStart w:id="507" w:name="_Hlk95844175"/>
    </w:p>
    <w:p>
      <w:pPr>
        <w:pStyle w:val="116"/>
        <w:keepNext w:val="0"/>
        <w:keepLines w:val="0"/>
        <w:pageBreakBefore w:val="0"/>
        <w:widowControl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4.2.8主要生态问题调查</w:t>
      </w:r>
      <w:bookmarkEnd w:id="506"/>
    </w:p>
    <w:p>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项目评价区域降水量少，植被覆盖率低，干旱和半干旱是生态的主要特征，生态较为脆弱。结合本次现场考察和资料分析，项目区目前主要的生态问题包括以下几方面：</w:t>
      </w:r>
    </w:p>
    <w:p>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（1）水土流失问题</w:t>
      </w:r>
    </w:p>
    <w:p>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本工程位于天山北坡诸小河流域重点治理区。项目区气候干热，降雨少，蒸发量大，植被覆盖度较低，由于植被被破坏，加剧了土壤侵蚀，因此水土流失是评价范围内的主要生态问题之一。</w:t>
      </w:r>
    </w:p>
    <w:p>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（2）土地荒漠化问题</w:t>
      </w:r>
    </w:p>
    <w:p>
      <w:pPr>
        <w:pStyle w:val="57"/>
        <w:rPr>
          <w:color w:val="auto"/>
          <w:highlight w:val="none"/>
        </w:rPr>
      </w:pPr>
      <w:r>
        <w:rPr>
          <w:rFonts w:hint="eastAsia"/>
          <w:color w:val="auto"/>
          <w:highlight w:val="none"/>
        </w:rPr>
        <w:t>土地盐渍化和沙漠化主要是指在干旱多风的沙质和沙壤质地表土壤条件下，由于地下水位较高，人类强度活动破坏了脆弱生态系统的平衡，造成地表出现以风沙活动为主要标志的土地退化和土壤盐渍化。从而引起地表土壤含盐量增加，沙质地表、沙丘等的活化，导致生物多样性减少、生物生产力下降、土地生产潜力衰退以及土地资源丧失，项目区荒漠化的形成主要是因风蚀所致。</w:t>
      </w:r>
    </w:p>
    <w:bookmarkEnd w:id="507"/>
    <w:p>
      <w:pPr>
        <w:pStyle w:val="53"/>
        <w:rPr>
          <w:color w:val="auto"/>
          <w:highlight w:val="none"/>
        </w:rPr>
      </w:pPr>
      <w:bookmarkStart w:id="508" w:name="_Toc173941883"/>
      <w:r>
        <w:rPr>
          <w:rFonts w:hint="eastAsia"/>
          <w:color w:val="auto"/>
          <w:highlight w:val="none"/>
        </w:rPr>
        <w:t>4.2</w:t>
      </w:r>
      <w:r>
        <w:rPr>
          <w:color w:val="auto"/>
          <w:highlight w:val="none"/>
        </w:rPr>
        <w:t>.</w:t>
      </w:r>
      <w:r>
        <w:rPr>
          <w:rFonts w:hint="eastAsia"/>
          <w:color w:val="auto"/>
          <w:highlight w:val="none"/>
        </w:rPr>
        <w:t>9</w:t>
      </w:r>
      <w:r>
        <w:rPr>
          <w:color w:val="auto"/>
          <w:highlight w:val="none"/>
        </w:rPr>
        <w:t>小结</w:t>
      </w:r>
      <w:bookmarkEnd w:id="508"/>
    </w:p>
    <w:p>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本工程地处准噶尔盆地西北部，位于中国石油天然气股份有限公司新疆油田分公司夏子街油田区域，工程所在区域属典型的风积沙漠地貌，整个地势由东北向西南倾斜。评价区域内不涉及国家公园、自然保护区、自然公园等自然保护地、世界自然遗产、生态保护红线等法定生态保护区域，也没有重要物种的天然集中分布区、栖息地等重要生境，本工程距离最近的生态保护红线是西南侧11.2km处的准噶尔盆地南缘土地沙化防控与防风固沙生态保护红线区。生态保护目标主要为区域野生动植物、水土流失重点治理区、土地沙化和魔鬼城风景名胜区等。</w:t>
      </w:r>
    </w:p>
    <w:p>
      <w:pPr>
        <w:pStyle w:val="57"/>
        <w:rPr>
          <w:color w:val="auto"/>
          <w:highlight w:val="none"/>
        </w:rPr>
      </w:pPr>
      <w:r>
        <w:rPr>
          <w:rFonts w:hint="eastAsia"/>
          <w:color w:val="auto"/>
          <w:highlight w:val="none"/>
        </w:rPr>
        <w:t>本工程所在区域自然植被主要以梭梭、假木贼为主，严酷的自然环境及地势平坦的地形地貌，导致区域内的主要动物为啮齿动物（荒漠麻蜥、快步麻蜥等）及鸟类（小嘴乌鸦、凤头百灵、红尾伯劳等）。评价范围内涉及的土地利用类型主要为其他草地、裸土地、采矿用地和灌木林地等；根据《新疆第六次沙化土地监测报告》，本工程所在区域属于非沙化土地、风蚀残丘和戈壁；现场调查中未发现国家及自治区级重点保护野生动植物，生态系统类型简单、脆弱，环境异质性较低，系统受扰动后自我恢复的能力较弱。</w:t>
      </w:r>
    </w:p>
    <w:p>
      <w:pPr>
        <w:pStyle w:val="49"/>
        <w:pageBreakBefore w:val="0"/>
        <w:kinsoku/>
        <w:wordWrap/>
        <w:overflowPunct/>
        <w:topLinePunct w:val="0"/>
        <w:autoSpaceDE/>
        <w:autoSpaceDN/>
        <w:bidi w:val="0"/>
        <w:spacing w:line="480" w:lineRule="exact"/>
        <w:rPr>
          <w:rFonts w:eastAsia="宋体"/>
          <w:color w:val="auto"/>
          <w:highlight w:val="none"/>
        </w:rPr>
      </w:pPr>
      <w:bookmarkStart w:id="509" w:name="_Toc10568"/>
      <w:bookmarkStart w:id="510" w:name="_Toc4221"/>
      <w:bookmarkStart w:id="511" w:name="_Toc173941871"/>
      <w:r>
        <w:rPr>
          <w:rFonts w:eastAsia="宋体"/>
          <w:color w:val="auto"/>
          <w:highlight w:val="none"/>
        </w:rPr>
        <w:t>4.</w:t>
      </w:r>
      <w:r>
        <w:rPr>
          <w:rFonts w:hint="eastAsia" w:eastAsia="宋体"/>
          <w:color w:val="auto"/>
          <w:highlight w:val="none"/>
        </w:rPr>
        <w:t>3</w:t>
      </w:r>
      <w:r>
        <w:rPr>
          <w:rFonts w:eastAsia="宋体"/>
          <w:color w:val="auto"/>
          <w:highlight w:val="none"/>
        </w:rPr>
        <w:t>地下水环境现状调查与评价</w:t>
      </w:r>
      <w:bookmarkEnd w:id="509"/>
      <w:bookmarkEnd w:id="510"/>
      <w:bookmarkEnd w:id="511"/>
    </w:p>
    <w:p>
      <w:pPr>
        <w:pStyle w:val="53"/>
        <w:pageBreakBefore w:val="0"/>
        <w:kinsoku/>
        <w:wordWrap/>
        <w:overflowPunct/>
        <w:topLinePunct w:val="0"/>
        <w:autoSpaceDE/>
        <w:autoSpaceDN/>
        <w:bidi w:val="0"/>
        <w:spacing w:line="480" w:lineRule="exact"/>
        <w:rPr>
          <w:rFonts w:eastAsia="宋体"/>
          <w:color w:val="auto"/>
          <w:highlight w:val="none"/>
        </w:rPr>
      </w:pPr>
      <w:bookmarkStart w:id="512" w:name="_Hlk48604254"/>
      <w:r>
        <w:rPr>
          <w:rFonts w:hint="eastAsia" w:eastAsia="宋体"/>
          <w:color w:val="auto"/>
          <w:highlight w:val="none"/>
        </w:rPr>
        <w:t>4.3.1地下水环境现状监测</w:t>
      </w:r>
    </w:p>
    <w:bookmarkEnd w:id="512"/>
    <w:p>
      <w:pPr>
        <w:pStyle w:val="57"/>
        <w:pageBreakBefore w:val="0"/>
        <w:kinsoku/>
        <w:wordWrap/>
        <w:overflowPunct/>
        <w:topLinePunct w:val="0"/>
        <w:autoSpaceDE/>
        <w:autoSpaceDN/>
        <w:bidi w:val="0"/>
        <w:spacing w:line="480" w:lineRule="exact"/>
        <w:rPr>
          <w:color w:val="auto"/>
          <w:highlight w:val="none"/>
        </w:rPr>
      </w:pPr>
      <w:bookmarkStart w:id="513" w:name="_Ref272098635"/>
      <w:r>
        <w:rPr>
          <w:color w:val="auto"/>
          <w:highlight w:val="none"/>
        </w:rPr>
        <w:t>（1）调查方法</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本次地下水环境质量现状调查采用资料收集和现场实测的方法相结合。评价期间收集了</w:t>
      </w:r>
      <w:r>
        <w:rPr>
          <w:rFonts w:hint="eastAsia"/>
          <w:color w:val="auto"/>
          <w:highlight w:val="none"/>
          <w:lang w:eastAsia="zh-CN"/>
        </w:rPr>
        <w:t>《夏子街油田夏26-夏35井区克上组油藏水平井加密调整工程</w:t>
      </w:r>
      <w:r>
        <w:rPr>
          <w:rFonts w:hint="eastAsia"/>
          <w:color w:val="auto"/>
          <w:highlight w:val="none"/>
        </w:rPr>
        <w:t>环境影响报告书</w:t>
      </w:r>
      <w:r>
        <w:rPr>
          <w:rFonts w:hint="eastAsia"/>
          <w:color w:val="auto"/>
          <w:highlight w:val="none"/>
          <w:lang w:eastAsia="zh-CN"/>
        </w:rPr>
        <w:t>》</w:t>
      </w:r>
      <w:r>
        <w:rPr>
          <w:rFonts w:hint="eastAsia"/>
          <w:color w:val="auto"/>
          <w:highlight w:val="none"/>
          <w:lang w:val="en-US" w:eastAsia="zh-CN"/>
        </w:rPr>
        <w:t>1</w:t>
      </w:r>
      <w:r>
        <w:rPr>
          <w:rFonts w:hint="eastAsia"/>
          <w:color w:val="auto"/>
          <w:highlight w:val="none"/>
        </w:rPr>
        <w:t>个潜水地下水监测点位的监测数据</w:t>
      </w:r>
      <w:r>
        <w:rPr>
          <w:rFonts w:hint="eastAsia"/>
          <w:color w:val="auto"/>
          <w:highlight w:val="none"/>
          <w:lang w:eastAsia="zh-CN"/>
        </w:rPr>
        <w:t>，</w:t>
      </w:r>
      <w:r>
        <w:rPr>
          <w:rFonts w:hint="eastAsia"/>
          <w:color w:val="auto"/>
          <w:highlight w:val="none"/>
        </w:rPr>
        <w:t>引用《玛北油田玛页1井区二叠系风城组页岩油开发先导试验方案环境影响报告书》中</w:t>
      </w:r>
      <w:r>
        <w:rPr>
          <w:rFonts w:hint="eastAsia"/>
          <w:color w:val="auto"/>
          <w:highlight w:val="none"/>
          <w:lang w:val="en-US" w:eastAsia="zh-CN"/>
        </w:rPr>
        <w:t>5</w:t>
      </w:r>
      <w:r>
        <w:rPr>
          <w:rFonts w:hint="eastAsia"/>
          <w:color w:val="auto"/>
          <w:highlight w:val="none"/>
        </w:rPr>
        <w:t>个潜水地下水监测点位的监测数据</w:t>
      </w:r>
      <w:r>
        <w:rPr>
          <w:rFonts w:hint="eastAsia"/>
          <w:color w:val="auto"/>
          <w:highlight w:val="none"/>
          <w:lang w:eastAsia="zh-CN"/>
        </w:rPr>
        <w:t>，</w:t>
      </w:r>
      <w:r>
        <w:rPr>
          <w:rFonts w:hint="eastAsia"/>
          <w:color w:val="auto"/>
          <w:highlight w:val="none"/>
        </w:rPr>
        <w:t>并委托</w:t>
      </w:r>
      <w:bookmarkStart w:id="514" w:name="OLE_LINK26"/>
      <w:r>
        <w:rPr>
          <w:rFonts w:hint="eastAsia"/>
          <w:color w:val="auto"/>
          <w:highlight w:val="none"/>
          <w:lang w:eastAsia="zh-CN"/>
        </w:rPr>
        <w:t>克拉玛依钧仪衡环境检测有限公司</w:t>
      </w:r>
      <w:bookmarkEnd w:id="514"/>
      <w:r>
        <w:rPr>
          <w:rFonts w:hint="eastAsia"/>
          <w:color w:val="auto"/>
          <w:highlight w:val="none"/>
        </w:rPr>
        <w:t>对项目区域夏子街站地下水采样进行实测</w:t>
      </w:r>
      <w:r>
        <w:rPr>
          <w:color w:val="auto"/>
          <w:highlight w:val="none"/>
        </w:rPr>
        <w:t>。</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（2）监测点位</w:t>
      </w:r>
    </w:p>
    <w:p>
      <w:pPr>
        <w:pStyle w:val="57"/>
        <w:pageBreakBefore w:val="0"/>
        <w:kinsoku/>
        <w:wordWrap/>
        <w:overflowPunct/>
        <w:topLinePunct w:val="0"/>
        <w:autoSpaceDE/>
        <w:autoSpaceDN/>
        <w:bidi w:val="0"/>
        <w:spacing w:line="480" w:lineRule="exact"/>
        <w:rPr>
          <w:color w:val="auto"/>
          <w:highlight w:val="none"/>
        </w:rPr>
      </w:pPr>
      <w:r>
        <w:rPr>
          <w:rFonts w:hint="default" w:ascii="Times New Roman" w:hAnsi="Times New Roman" w:cs="Times New Roman"/>
          <w:color w:val="auto"/>
          <w:highlight w:val="none"/>
        </w:rPr>
        <w:t>根据《环境影响评价技术导则 地下水环境》（HJ610-2016）附录A，本工程属</w:t>
      </w:r>
      <w:r>
        <w:rPr>
          <w:rFonts w:hint="default" w:ascii="Times New Roman" w:hAnsi="Times New Roman" w:cs="Times New Roman"/>
          <w:color w:val="auto"/>
          <w:highlight w:val="none"/>
          <w:lang w:val="en-US" w:eastAsia="zh-CN"/>
        </w:rPr>
        <w:t>页岩油</w:t>
      </w:r>
      <w:r>
        <w:rPr>
          <w:rFonts w:hint="default" w:ascii="Times New Roman" w:hAnsi="Times New Roman" w:cs="Times New Roman"/>
          <w:color w:val="auto"/>
          <w:highlight w:val="none"/>
        </w:rPr>
        <w:t>开采项目，为Ⅰ类项目</w:t>
      </w:r>
      <w:r>
        <w:rPr>
          <w:color w:val="auto"/>
          <w:highlight w:val="none"/>
        </w:rPr>
        <w:t>，评价范围内不存在集中式饮用水水源和分散式饮用水水源地，且项目区不位于集中式饮用水水源的补给径流区，区域地下水环境敏感程度为不敏感。本次地下水环境评价等级为</w:t>
      </w:r>
      <w:r>
        <w:rPr>
          <w:rFonts w:hint="default" w:ascii="Times New Roman" w:hAnsi="Times New Roman" w:cs="Times New Roman"/>
          <w:snapToGrid w:val="0"/>
          <w:color w:val="auto"/>
          <w:szCs w:val="22"/>
          <w:highlight w:val="none"/>
          <w:shd w:val="clear" w:color="auto" w:fill="auto"/>
        </w:rPr>
        <w:t>二级</w:t>
      </w:r>
      <w:r>
        <w:rPr>
          <w:color w:val="auto"/>
          <w:highlight w:val="none"/>
        </w:rPr>
        <w:t>。</w:t>
      </w:r>
      <w:r>
        <w:rPr>
          <w:rFonts w:hint="default" w:ascii="Times New Roman" w:hAnsi="Times New Roman" w:eastAsia="宋体" w:cs="Times New Roman"/>
          <w:color w:val="auto"/>
          <w:highlight w:val="none"/>
          <w:lang w:bidi="ar"/>
        </w:rPr>
        <w:t>根据《环境影响评价技术导则 地下水环境》</w:t>
      </w:r>
      <w:r>
        <w:rPr>
          <w:rFonts w:hint="eastAsia" w:ascii="Times New Roman" w:hAnsi="Times New Roman" w:eastAsia="宋体" w:cs="Times New Roman"/>
          <w:color w:val="auto"/>
          <w:highlight w:val="none"/>
          <w:lang w:eastAsia="zh-CN" w:bidi="ar"/>
        </w:rPr>
        <w:t>（</w:t>
      </w:r>
      <w:r>
        <w:rPr>
          <w:rFonts w:hint="default" w:ascii="Times New Roman" w:hAnsi="Times New Roman" w:eastAsia="宋体" w:cs="Times New Roman"/>
          <w:color w:val="auto"/>
          <w:highlight w:val="none"/>
          <w:lang w:bidi="ar"/>
        </w:rPr>
        <w:t>HJ610-2016</w:t>
      </w:r>
      <w:r>
        <w:rPr>
          <w:rFonts w:hint="eastAsia" w:ascii="Times New Roman" w:hAnsi="Times New Roman" w:eastAsia="宋体" w:cs="Times New Roman"/>
          <w:color w:val="auto"/>
          <w:highlight w:val="none"/>
          <w:lang w:eastAsia="zh-CN" w:bidi="ar"/>
        </w:rPr>
        <w:t>）</w:t>
      </w:r>
      <w:r>
        <w:rPr>
          <w:rFonts w:hint="default" w:ascii="Times New Roman" w:hAnsi="Times New Roman" w:eastAsia="宋体" w:cs="Times New Roman"/>
          <w:color w:val="auto"/>
          <w:highlight w:val="none"/>
          <w:lang w:bidi="ar"/>
        </w:rPr>
        <w:t>中“8.3.3.3现状监测点的布设原则，</w:t>
      </w:r>
      <w:r>
        <w:rPr>
          <w:rFonts w:hint="eastAsia" w:ascii="Times New Roman" w:hAnsi="Times New Roman" w:eastAsia="宋体" w:cs="Times New Roman"/>
          <w:color w:val="auto"/>
          <w:highlight w:val="none"/>
          <w:lang w:val="en-US" w:eastAsia="zh-CN" w:bidi="ar"/>
        </w:rPr>
        <w:t>3）</w:t>
      </w:r>
      <w:r>
        <w:rPr>
          <w:rFonts w:hint="eastAsia" w:ascii="Times New Roman" w:hAnsi="Times New Roman" w:cs="Times New Roman"/>
          <w:color w:val="auto"/>
          <w:highlight w:val="none"/>
          <w:lang w:val="en-US" w:eastAsia="zh-CN" w:bidi="ar"/>
        </w:rPr>
        <w:t>二</w:t>
      </w:r>
      <w:r>
        <w:rPr>
          <w:rFonts w:hint="default" w:ascii="Times New Roman" w:hAnsi="Times New Roman" w:eastAsia="宋体" w:cs="Times New Roman"/>
          <w:color w:val="auto"/>
          <w:highlight w:val="none"/>
          <w:lang w:bidi="ar"/>
        </w:rPr>
        <w:t>级评价项目潜水含水层的水质监测点应不少于</w:t>
      </w:r>
      <w:r>
        <w:rPr>
          <w:rFonts w:hint="eastAsia" w:ascii="Times New Roman" w:hAnsi="Times New Roman" w:eastAsia="宋体" w:cs="Times New Roman"/>
          <w:color w:val="auto"/>
          <w:highlight w:val="none"/>
          <w:lang w:val="en-US" w:eastAsia="zh-CN" w:bidi="ar"/>
        </w:rPr>
        <w:t>5</w:t>
      </w:r>
      <w:r>
        <w:rPr>
          <w:rFonts w:hint="default" w:ascii="Times New Roman" w:hAnsi="Times New Roman" w:eastAsia="宋体" w:cs="Times New Roman"/>
          <w:color w:val="auto"/>
          <w:highlight w:val="none"/>
          <w:lang w:bidi="ar"/>
        </w:rPr>
        <w:t>个，可能受建设项目影响且具有饮用水开发利用价值的含水层</w:t>
      </w:r>
      <w:r>
        <w:rPr>
          <w:rFonts w:hint="eastAsia" w:ascii="Times New Roman" w:hAnsi="Times New Roman" w:eastAsia="宋体" w:cs="Times New Roman"/>
          <w:color w:val="auto"/>
          <w:highlight w:val="none"/>
          <w:lang w:val="en-US" w:eastAsia="zh-CN" w:bidi="ar"/>
        </w:rPr>
        <w:t>2</w:t>
      </w:r>
      <w:r>
        <w:rPr>
          <w:rFonts w:hint="eastAsia" w:cs="Times New Roman"/>
          <w:color w:val="auto"/>
          <w:highlight w:val="none"/>
          <w:lang w:val="en-US" w:eastAsia="zh-CN" w:bidi="ar"/>
        </w:rPr>
        <w:t>～</w:t>
      </w:r>
      <w:r>
        <w:rPr>
          <w:rFonts w:hint="eastAsia" w:ascii="Times New Roman" w:hAnsi="Times New Roman" w:eastAsia="宋体" w:cs="Times New Roman"/>
          <w:color w:val="auto"/>
          <w:highlight w:val="none"/>
          <w:lang w:val="en-US" w:eastAsia="zh-CN" w:bidi="ar"/>
        </w:rPr>
        <w:t>4</w:t>
      </w:r>
      <w:r>
        <w:rPr>
          <w:rFonts w:hint="default" w:ascii="Times New Roman" w:hAnsi="Times New Roman" w:eastAsia="宋体" w:cs="Times New Roman"/>
          <w:color w:val="auto"/>
          <w:highlight w:val="none"/>
          <w:lang w:bidi="ar"/>
        </w:rPr>
        <w:t>个。</w:t>
      </w:r>
      <w:r>
        <w:rPr>
          <w:rFonts w:hint="eastAsia" w:ascii="Times New Roman" w:hAnsi="Times New Roman" w:eastAsia="宋体" w:cs="Times New Roman"/>
          <w:color w:val="auto"/>
          <w:highlight w:val="none"/>
          <w:lang w:val="en-US" w:eastAsia="zh-CN" w:bidi="ar"/>
        </w:rPr>
        <w:t>原则上建设项目场地上游和两侧的地下水水质监测点均不得少于1个，建设项目场地及其下游影响区的地下水水质监测点不得少于2个”。</w:t>
      </w:r>
      <w:r>
        <w:rPr>
          <w:rFonts w:hint="eastAsia"/>
          <w:color w:val="auto"/>
          <w:highlight w:val="none"/>
        </w:rPr>
        <w:t>本项目大部分地处荒漠，经过现场核实，项目区周边人工开采水井分布数量极少。根据导则要求，从实际出发，</w:t>
      </w:r>
      <w:r>
        <w:rPr>
          <w:rFonts w:hint="eastAsia" w:eastAsia="宋体" w:cs="Times New Roman"/>
          <w:color w:val="auto"/>
          <w:highlight w:val="none"/>
          <w:lang w:val="en-US" w:eastAsia="zh-CN" w:bidi="ar"/>
        </w:rPr>
        <w:t>本次</w:t>
      </w:r>
      <w:r>
        <w:rPr>
          <w:rFonts w:hint="default" w:ascii="Times New Roman" w:hAnsi="Times New Roman" w:eastAsia="宋体" w:cs="Times New Roman"/>
          <w:color w:val="auto"/>
          <w:highlight w:val="none"/>
          <w:lang w:bidi="ar"/>
        </w:rPr>
        <w:t>在场地上游布设</w:t>
      </w:r>
      <w:bookmarkStart w:id="515" w:name="OLE_LINK33"/>
      <w:r>
        <w:rPr>
          <w:rFonts w:hint="eastAsia" w:cs="Times New Roman"/>
          <w:color w:val="auto"/>
          <w:highlight w:val="none"/>
          <w:lang w:val="en-US" w:eastAsia="zh-CN" w:bidi="ar"/>
        </w:rPr>
        <w:t>1</w:t>
      </w:r>
      <w:r>
        <w:rPr>
          <w:rFonts w:hint="default" w:ascii="Times New Roman" w:hAnsi="Times New Roman" w:eastAsia="宋体" w:cs="Times New Roman"/>
          <w:color w:val="auto"/>
          <w:highlight w:val="none"/>
          <w:lang w:bidi="ar"/>
        </w:rPr>
        <w:t>个地下水水质监测点</w:t>
      </w:r>
      <w:bookmarkEnd w:id="515"/>
      <w:r>
        <w:rPr>
          <w:rFonts w:hint="eastAsia" w:eastAsia="宋体" w:cs="Times New Roman"/>
          <w:color w:val="auto"/>
          <w:highlight w:val="none"/>
          <w:lang w:eastAsia="zh-CN" w:bidi="ar"/>
        </w:rPr>
        <w:t>，</w:t>
      </w:r>
      <w:r>
        <w:rPr>
          <w:rFonts w:hint="eastAsia" w:eastAsia="宋体" w:cs="Times New Roman"/>
          <w:color w:val="auto"/>
          <w:highlight w:val="none"/>
          <w:lang w:val="en-US" w:eastAsia="zh-CN" w:bidi="ar"/>
        </w:rPr>
        <w:t>侧向部署3</w:t>
      </w:r>
      <w:r>
        <w:rPr>
          <w:rFonts w:hint="default" w:ascii="Times New Roman" w:hAnsi="Times New Roman" w:eastAsia="宋体" w:cs="Times New Roman"/>
          <w:color w:val="auto"/>
          <w:highlight w:val="none"/>
          <w:lang w:bidi="ar"/>
        </w:rPr>
        <w:t>个地下水水质监测点，</w:t>
      </w:r>
      <w:r>
        <w:rPr>
          <w:rFonts w:hint="eastAsia" w:cs="Times New Roman"/>
          <w:color w:val="auto"/>
          <w:highlight w:val="none"/>
          <w:lang w:val="en-US" w:eastAsia="zh-CN" w:bidi="ar"/>
        </w:rPr>
        <w:t>项目区布设1个</w:t>
      </w:r>
      <w:r>
        <w:rPr>
          <w:rFonts w:hint="default" w:ascii="Times New Roman" w:hAnsi="Times New Roman" w:eastAsia="宋体" w:cs="Times New Roman"/>
          <w:color w:val="auto"/>
          <w:highlight w:val="none"/>
          <w:lang w:bidi="ar"/>
        </w:rPr>
        <w:t>地下水水质监测点</w:t>
      </w:r>
      <w:r>
        <w:rPr>
          <w:rFonts w:hint="eastAsia" w:cs="Times New Roman"/>
          <w:color w:val="auto"/>
          <w:highlight w:val="none"/>
          <w:lang w:eastAsia="zh-CN" w:bidi="ar"/>
        </w:rPr>
        <w:t>，在</w:t>
      </w:r>
      <w:r>
        <w:rPr>
          <w:rFonts w:hint="default" w:ascii="Times New Roman" w:hAnsi="Times New Roman" w:eastAsia="宋体" w:cs="Times New Roman"/>
          <w:color w:val="auto"/>
          <w:highlight w:val="none"/>
          <w:lang w:bidi="ar"/>
        </w:rPr>
        <w:t>下游影响区布设</w:t>
      </w:r>
      <w:r>
        <w:rPr>
          <w:rFonts w:hint="eastAsia" w:cs="Times New Roman"/>
          <w:color w:val="auto"/>
          <w:highlight w:val="none"/>
          <w:lang w:val="en-US" w:eastAsia="zh-CN" w:bidi="ar"/>
        </w:rPr>
        <w:t>2</w:t>
      </w:r>
      <w:r>
        <w:rPr>
          <w:rFonts w:hint="default" w:ascii="Times New Roman" w:hAnsi="Times New Roman" w:eastAsia="宋体" w:cs="Times New Roman"/>
          <w:color w:val="auto"/>
          <w:highlight w:val="none"/>
          <w:lang w:bidi="ar"/>
        </w:rPr>
        <w:t>个地下水水质监测点，布点满足导则要求</w:t>
      </w:r>
      <w:r>
        <w:rPr>
          <w:rFonts w:hint="eastAsia" w:eastAsia="宋体" w:cs="Times New Roman"/>
          <w:color w:val="auto"/>
          <w:highlight w:val="none"/>
          <w:lang w:eastAsia="zh-CN" w:bidi="ar"/>
        </w:rPr>
        <w:t>，</w:t>
      </w:r>
      <w:r>
        <w:rPr>
          <w:rFonts w:hint="eastAsia" w:eastAsia="宋体" w:cs="Times New Roman"/>
          <w:color w:val="auto"/>
          <w:highlight w:val="none"/>
          <w:lang w:val="en-US" w:eastAsia="zh-CN" w:bidi="ar"/>
        </w:rPr>
        <w:t>且</w:t>
      </w:r>
      <w:r>
        <w:rPr>
          <w:color w:val="auto"/>
          <w:highlight w:val="none"/>
        </w:rPr>
        <w:t>引用监测点位与本工程所在区域属于同一水文地质单元，</w:t>
      </w:r>
      <w:r>
        <w:rPr>
          <w:rFonts w:hint="eastAsia"/>
          <w:color w:val="auto"/>
          <w:highlight w:val="none"/>
        </w:rPr>
        <w:t>监测取样时间在三年有效期内。监测点位基本满足</w:t>
      </w:r>
      <w:r>
        <w:rPr>
          <w:color w:val="auto"/>
          <w:highlight w:val="none"/>
        </w:rPr>
        <w:t>《环境影响评价技术导则 地下水环境》（HJ610-2016）</w:t>
      </w:r>
      <w:r>
        <w:rPr>
          <w:rFonts w:hint="eastAsia"/>
          <w:color w:val="auto"/>
          <w:highlight w:val="none"/>
        </w:rPr>
        <w:t>的要求，故引用的数据具有一定代表性。</w:t>
      </w:r>
      <w:r>
        <w:rPr>
          <w:color w:val="auto"/>
          <w:highlight w:val="none"/>
        </w:rPr>
        <w:t>具体监测点位见图4.</w:t>
      </w:r>
      <w:r>
        <w:rPr>
          <w:rFonts w:hint="eastAsia"/>
          <w:color w:val="auto"/>
          <w:highlight w:val="none"/>
        </w:rPr>
        <w:t>3-1</w:t>
      </w:r>
      <w:r>
        <w:rPr>
          <w:color w:val="auto"/>
          <w:highlight w:val="none"/>
        </w:rPr>
        <w:t>，各监测点设置情况及基本信息见表4.</w:t>
      </w:r>
      <w:r>
        <w:rPr>
          <w:rFonts w:hint="eastAsia"/>
          <w:color w:val="auto"/>
          <w:highlight w:val="none"/>
        </w:rPr>
        <w:t>3-1</w:t>
      </w:r>
      <w:r>
        <w:rPr>
          <w:color w:val="auto"/>
          <w:highlight w:val="none"/>
        </w:rPr>
        <w:t>。</w:t>
      </w:r>
    </w:p>
    <w:p>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表4.</w:t>
      </w:r>
      <w:r>
        <w:rPr>
          <w:rFonts w:hint="eastAsia"/>
          <w:color w:val="auto"/>
          <w:highlight w:val="none"/>
        </w:rPr>
        <w:t>3-1</w:t>
      </w:r>
      <w:r>
        <w:rPr>
          <w:color w:val="auto"/>
          <w:highlight w:val="none"/>
        </w:rPr>
        <w:t xml:space="preserve">  地下水监测点设置情况一览表</w:t>
      </w:r>
    </w:p>
    <w:tbl>
      <w:tblPr>
        <w:tblStyle w:val="34"/>
        <w:tblW w:w="507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66"/>
        <w:gridCol w:w="727"/>
        <w:gridCol w:w="903"/>
        <w:gridCol w:w="866"/>
        <w:gridCol w:w="703"/>
        <w:gridCol w:w="1234"/>
        <w:gridCol w:w="707"/>
        <w:gridCol w:w="568"/>
        <w:gridCol w:w="1060"/>
        <w:gridCol w:w="176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序号</w:t>
            </w:r>
          </w:p>
        </w:tc>
        <w:tc>
          <w:tcPr>
            <w:tcW w:w="413" w:type="pct"/>
            <w:tcBorders>
              <w:tl2br w:val="nil"/>
              <w:tr2bl w:val="nil"/>
            </w:tcBorders>
            <w:tcMar>
              <w:left w:w="0" w:type="dxa"/>
              <w:right w:w="0" w:type="dxa"/>
            </w:tcMar>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点位名称</w:t>
            </w:r>
          </w:p>
        </w:tc>
        <w:tc>
          <w:tcPr>
            <w:tcW w:w="513"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lang w:bidi="en-US"/>
              </w:rPr>
              <w:t>经度</w:t>
            </w:r>
            <w:r>
              <w:rPr>
                <w:rFonts w:hint="eastAsia" w:cs="Times New Roman"/>
                <w:color w:val="auto"/>
                <w:sz w:val="21"/>
                <w:szCs w:val="21"/>
                <w:highlight w:val="none"/>
                <w:lang w:eastAsia="zh-CN" w:bidi="en-US"/>
              </w:rPr>
              <w:t>（</w:t>
            </w:r>
            <w:r>
              <w:rPr>
                <w:rFonts w:hint="default" w:ascii="Times New Roman" w:hAnsi="Times New Roman" w:eastAsia="宋体" w:cs="Times New Roman"/>
                <w:color w:val="auto"/>
                <w:sz w:val="21"/>
                <w:szCs w:val="21"/>
                <w:highlight w:val="none"/>
                <w:lang w:bidi="en-US"/>
              </w:rPr>
              <w:t>°</w:t>
            </w:r>
            <w:r>
              <w:rPr>
                <w:rFonts w:hint="eastAsia" w:cs="Times New Roman"/>
                <w:color w:val="auto"/>
                <w:sz w:val="21"/>
                <w:szCs w:val="21"/>
                <w:highlight w:val="none"/>
                <w:lang w:eastAsia="zh-CN" w:bidi="en-US"/>
              </w:rPr>
              <w:t>）</w:t>
            </w:r>
          </w:p>
        </w:tc>
        <w:tc>
          <w:tcPr>
            <w:tcW w:w="49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bidi="en-US"/>
              </w:rPr>
            </w:pPr>
            <w:r>
              <w:rPr>
                <w:rFonts w:hint="default" w:ascii="Times New Roman" w:hAnsi="Times New Roman" w:eastAsia="宋体" w:cs="Times New Roman"/>
                <w:color w:val="auto"/>
                <w:sz w:val="21"/>
                <w:szCs w:val="21"/>
                <w:highlight w:val="none"/>
                <w:lang w:bidi="en-US"/>
              </w:rPr>
              <w:t>纬度</w:t>
            </w:r>
            <w:r>
              <w:rPr>
                <w:rFonts w:hint="eastAsia" w:cs="Times New Roman"/>
                <w:color w:val="auto"/>
                <w:sz w:val="21"/>
                <w:szCs w:val="21"/>
                <w:highlight w:val="none"/>
                <w:lang w:eastAsia="zh-CN" w:bidi="en-US"/>
              </w:rPr>
              <w:t>（</w:t>
            </w:r>
            <w:r>
              <w:rPr>
                <w:rFonts w:hint="default" w:ascii="Times New Roman" w:hAnsi="Times New Roman" w:eastAsia="宋体" w:cs="Times New Roman"/>
                <w:color w:val="auto"/>
                <w:sz w:val="21"/>
                <w:szCs w:val="21"/>
                <w:highlight w:val="none"/>
                <w:lang w:bidi="en-US"/>
              </w:rPr>
              <w:t>°</w:t>
            </w:r>
            <w:r>
              <w:rPr>
                <w:rFonts w:hint="eastAsia" w:cs="Times New Roman"/>
                <w:color w:val="auto"/>
                <w:sz w:val="21"/>
                <w:szCs w:val="21"/>
                <w:highlight w:val="none"/>
                <w:lang w:eastAsia="zh-CN" w:bidi="en-US"/>
              </w:rPr>
              <w:t>）</w:t>
            </w:r>
          </w:p>
        </w:tc>
        <w:tc>
          <w:tcPr>
            <w:tcW w:w="399"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监测</w:t>
            </w:r>
          </w:p>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层位</w:t>
            </w:r>
          </w:p>
        </w:tc>
        <w:tc>
          <w:tcPr>
            <w:tcW w:w="701"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与工程位置关系</w:t>
            </w:r>
          </w:p>
        </w:tc>
        <w:tc>
          <w:tcPr>
            <w:tcW w:w="401"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水位埋深m</w:t>
            </w:r>
          </w:p>
        </w:tc>
        <w:tc>
          <w:tcPr>
            <w:tcW w:w="322"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井深m</w:t>
            </w:r>
          </w:p>
        </w:tc>
        <w:tc>
          <w:tcPr>
            <w:tcW w:w="602"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监测时间</w:t>
            </w:r>
          </w:p>
        </w:tc>
        <w:tc>
          <w:tcPr>
            <w:tcW w:w="1001"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监测单位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1</w:t>
            </w:r>
          </w:p>
        </w:tc>
        <w:tc>
          <w:tcPr>
            <w:tcW w:w="413" w:type="pct"/>
            <w:tcBorders>
              <w:tl2br w:val="nil"/>
              <w:tr2bl w:val="nil"/>
            </w:tcBorders>
            <w:tcMar>
              <w:left w:w="0" w:type="dxa"/>
              <w:right w:w="0" w:type="dxa"/>
            </w:tcMar>
            <w:vAlign w:val="center"/>
          </w:tcPr>
          <w:p>
            <w:pPr>
              <w:pStyle w:val="79"/>
              <w:spacing w:before="65" w:line="221" w:lineRule="auto"/>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夏水7</w:t>
            </w:r>
          </w:p>
        </w:tc>
        <w:tc>
          <w:tcPr>
            <w:tcW w:w="513"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bidi="en-US"/>
              </w:rPr>
            </w:pPr>
            <w:bookmarkStart w:id="516" w:name="OLE_LINK32"/>
            <w:r>
              <w:rPr>
                <w:rFonts w:hint="default" w:ascii="Times New Roman" w:hAnsi="Times New Roman" w:cs="Times New Roman"/>
                <w:color w:val="auto"/>
                <w:sz w:val="21"/>
                <w:szCs w:val="21"/>
                <w:highlight w:val="none"/>
                <w:lang w:val="en-US" w:eastAsia="zh-CN" w:bidi="en-US"/>
              </w:rPr>
              <w:t>项目区上游</w:t>
            </w:r>
            <w:bookmarkEnd w:id="516"/>
            <w:r>
              <w:rPr>
                <w:rFonts w:hint="eastAsia" w:cs="Times New Roman"/>
                <w:color w:val="auto"/>
                <w:sz w:val="21"/>
                <w:szCs w:val="21"/>
                <w:highlight w:val="none"/>
                <w:lang w:val="en-US" w:eastAsia="zh-CN" w:bidi="en-US"/>
              </w:rPr>
              <w:t>6.2km</w:t>
            </w:r>
          </w:p>
        </w:tc>
        <w:tc>
          <w:tcPr>
            <w:tcW w:w="401" w:type="pct"/>
            <w:tcBorders>
              <w:tl2br w:val="nil"/>
              <w:tr2bl w:val="nil"/>
            </w:tcBorders>
            <w:shd w:val="clear" w:color="auto" w:fill="auto"/>
            <w:vAlign w:val="center"/>
          </w:tcPr>
          <w:p>
            <w:pPr>
              <w:keepLines/>
              <w:suppressAutoHyphens/>
              <w:autoSpaceDE w:val="0"/>
              <w:autoSpaceDN w:val="0"/>
              <w:spacing w:line="240" w:lineRule="exact"/>
              <w:jc w:val="center"/>
              <w:textAlignment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eastAsiaTheme="minorEastAsia"/>
                <w:color w:val="auto"/>
                <w:sz w:val="21"/>
                <w:szCs w:val="21"/>
                <w:highlight w:val="none"/>
                <w:lang w:val="en-US" w:eastAsia="zh-CN"/>
              </w:rPr>
              <w:t>35</w:t>
            </w:r>
          </w:p>
        </w:tc>
        <w:tc>
          <w:tcPr>
            <w:tcW w:w="322" w:type="pct"/>
            <w:tcBorders>
              <w:tl2br w:val="nil"/>
              <w:tr2bl w:val="nil"/>
            </w:tcBorders>
            <w:shd w:val="clear" w:color="auto" w:fill="auto"/>
            <w:vAlign w:val="center"/>
          </w:tcPr>
          <w:p>
            <w:pPr>
              <w:keepLines/>
              <w:suppressAutoHyphens/>
              <w:autoSpaceDE w:val="0"/>
              <w:autoSpaceDN w:val="0"/>
              <w:spacing w:line="240" w:lineRule="exact"/>
              <w:jc w:val="center"/>
              <w:textAlignment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60</w:t>
            </w:r>
          </w:p>
        </w:tc>
        <w:tc>
          <w:tcPr>
            <w:tcW w:w="602" w:type="pct"/>
            <w:vMerge w:val="restar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2024.10.16</w:t>
            </w:r>
          </w:p>
        </w:tc>
        <w:tc>
          <w:tcPr>
            <w:tcW w:w="1001" w:type="pct"/>
            <w:vMerge w:val="restar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rPr>
              <w:t>新疆西域质信检验检测有限公司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2</w:t>
            </w:r>
          </w:p>
        </w:tc>
        <w:tc>
          <w:tcPr>
            <w:tcW w:w="413" w:type="pct"/>
            <w:tcBorders>
              <w:tl2br w:val="nil"/>
              <w:tr2bl w:val="nil"/>
            </w:tcBorders>
            <w:tcMar>
              <w:left w:w="0" w:type="dxa"/>
              <w:right w:w="0" w:type="dxa"/>
            </w:tcMar>
            <w:vAlign w:val="center"/>
          </w:tcPr>
          <w:p>
            <w:pPr>
              <w:pStyle w:val="79"/>
              <w:spacing w:before="63" w:line="221" w:lineRule="auto"/>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夏水9</w:t>
            </w:r>
          </w:p>
        </w:tc>
        <w:tc>
          <w:tcPr>
            <w:tcW w:w="513"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lang w:val="en-US" w:bidi="en-US"/>
              </w:rPr>
            </w:pPr>
            <w:r>
              <w:rPr>
                <w:rFonts w:hint="default" w:ascii="Times New Roman" w:hAnsi="Times New Roman" w:cs="Times New Roman"/>
                <w:color w:val="auto"/>
                <w:sz w:val="21"/>
                <w:szCs w:val="21"/>
                <w:highlight w:val="none"/>
                <w:lang w:val="en-US" w:eastAsia="zh-CN" w:bidi="en-US"/>
              </w:rPr>
              <w:t>项目区</w:t>
            </w:r>
            <w:r>
              <w:rPr>
                <w:rFonts w:hint="eastAsia" w:cs="Times New Roman"/>
                <w:color w:val="auto"/>
                <w:sz w:val="21"/>
                <w:szCs w:val="21"/>
                <w:highlight w:val="none"/>
                <w:lang w:val="en-US" w:eastAsia="zh-CN" w:bidi="en-US"/>
              </w:rPr>
              <w:t>3.1km</w:t>
            </w:r>
          </w:p>
        </w:tc>
        <w:tc>
          <w:tcPr>
            <w:tcW w:w="40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30</w:t>
            </w:r>
          </w:p>
        </w:tc>
        <w:tc>
          <w:tcPr>
            <w:tcW w:w="32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60</w:t>
            </w:r>
          </w:p>
        </w:tc>
        <w:tc>
          <w:tcPr>
            <w:tcW w:w="602" w:type="pct"/>
            <w:vMerge w:val="continue"/>
            <w:tcBorders>
              <w:tl2br w:val="nil"/>
              <w:tr2bl w:val="nil"/>
            </w:tcBorders>
            <w:vAlign w:val="center"/>
          </w:tcPr>
          <w:p>
            <w:pPr>
              <w:jc w:val="center"/>
              <w:rPr>
                <w:rFonts w:hint="default" w:ascii="Times New Roman" w:hAnsi="Times New Roman" w:cs="Times New Roman"/>
                <w:color w:val="auto"/>
                <w:sz w:val="21"/>
                <w:szCs w:val="21"/>
                <w:highlight w:val="none"/>
                <w:lang w:bidi="en-US"/>
              </w:rPr>
            </w:pPr>
          </w:p>
        </w:tc>
        <w:tc>
          <w:tcPr>
            <w:tcW w:w="1001" w:type="pct"/>
            <w:vMerge w:val="continue"/>
            <w:tcBorders>
              <w:tl2br w:val="nil"/>
              <w:tr2bl w:val="nil"/>
            </w:tcBorders>
            <w:vAlign w:val="center"/>
          </w:tcPr>
          <w:p>
            <w:pPr>
              <w:jc w:val="center"/>
              <w:rPr>
                <w:rFonts w:hint="default" w:ascii="Times New Roman" w:hAnsi="Times New Roman" w:cs="Times New Roman"/>
                <w:color w:val="auto"/>
                <w:sz w:val="21"/>
                <w:szCs w:val="21"/>
                <w:highlight w:val="none"/>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151"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3</w:t>
            </w:r>
          </w:p>
        </w:tc>
        <w:tc>
          <w:tcPr>
            <w:tcW w:w="413" w:type="pct"/>
            <w:tcBorders>
              <w:tl2br w:val="nil"/>
              <w:tr2bl w:val="nil"/>
            </w:tcBorders>
            <w:tcMar>
              <w:left w:w="0" w:type="dxa"/>
              <w:right w:w="0" w:type="dxa"/>
            </w:tcMar>
            <w:vAlign w:val="center"/>
          </w:tcPr>
          <w:p>
            <w:pPr>
              <w:pStyle w:val="79"/>
              <w:spacing w:before="64" w:line="221" w:lineRule="auto"/>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夏水18</w:t>
            </w:r>
          </w:p>
        </w:tc>
        <w:tc>
          <w:tcPr>
            <w:tcW w:w="513"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zh-CN" w:bidi="en-US"/>
              </w:rPr>
            </w:pPr>
            <w:bookmarkStart w:id="517" w:name="OLE_LINK36"/>
            <w:r>
              <w:rPr>
                <w:rFonts w:hint="eastAsia" w:ascii="Times New Roman" w:hAnsi="Times New Roman" w:cs="Times New Roman"/>
                <w:color w:val="auto"/>
                <w:sz w:val="21"/>
                <w:szCs w:val="21"/>
                <w:highlight w:val="none"/>
                <w:lang w:val="en-US" w:eastAsia="zh-CN" w:bidi="en-US"/>
              </w:rPr>
              <w:t>项目侧向</w:t>
            </w:r>
            <w:bookmarkEnd w:id="517"/>
            <w:r>
              <w:rPr>
                <w:rFonts w:hint="eastAsia" w:cs="Times New Roman"/>
                <w:color w:val="auto"/>
                <w:sz w:val="21"/>
                <w:szCs w:val="21"/>
                <w:highlight w:val="none"/>
                <w:lang w:val="en-US" w:eastAsia="zh-CN" w:bidi="en-US"/>
              </w:rPr>
              <w:t>4.9km</w:t>
            </w:r>
          </w:p>
        </w:tc>
        <w:tc>
          <w:tcPr>
            <w:tcW w:w="40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45</w:t>
            </w:r>
          </w:p>
        </w:tc>
        <w:tc>
          <w:tcPr>
            <w:tcW w:w="32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70</w:t>
            </w:r>
          </w:p>
        </w:tc>
        <w:tc>
          <w:tcPr>
            <w:tcW w:w="602" w:type="pct"/>
            <w:vMerge w:val="continue"/>
            <w:tcBorders>
              <w:tl2br w:val="nil"/>
              <w:tr2bl w:val="nil"/>
            </w:tcBorders>
            <w:vAlign w:val="center"/>
          </w:tcPr>
          <w:p>
            <w:pPr>
              <w:jc w:val="center"/>
              <w:rPr>
                <w:rFonts w:hint="default" w:ascii="Times New Roman" w:hAnsi="Times New Roman" w:cs="Times New Roman"/>
                <w:color w:val="auto"/>
                <w:sz w:val="21"/>
                <w:szCs w:val="21"/>
                <w:highlight w:val="none"/>
                <w:lang w:bidi="en-US"/>
              </w:rPr>
            </w:pPr>
          </w:p>
        </w:tc>
        <w:tc>
          <w:tcPr>
            <w:tcW w:w="1001" w:type="pct"/>
            <w:vMerge w:val="continue"/>
            <w:tcBorders>
              <w:tl2br w:val="nil"/>
              <w:tr2bl w:val="nil"/>
            </w:tcBorders>
            <w:vAlign w:val="center"/>
          </w:tcPr>
          <w:p>
            <w:pPr>
              <w:jc w:val="center"/>
              <w:rPr>
                <w:rFonts w:hint="default" w:ascii="Times New Roman" w:hAnsi="Times New Roman" w:cs="Times New Roman"/>
                <w:color w:val="auto"/>
                <w:sz w:val="21"/>
                <w:szCs w:val="21"/>
                <w:highlight w:val="none"/>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4</w:t>
            </w:r>
          </w:p>
        </w:tc>
        <w:tc>
          <w:tcPr>
            <w:tcW w:w="413" w:type="pct"/>
            <w:tcBorders>
              <w:tl2br w:val="nil"/>
              <w:tr2bl w:val="nil"/>
            </w:tcBorders>
            <w:tcMar>
              <w:left w:w="0" w:type="dxa"/>
              <w:right w:w="0" w:type="dxa"/>
            </w:tcMar>
            <w:vAlign w:val="center"/>
          </w:tcPr>
          <w:p>
            <w:pPr>
              <w:pStyle w:val="79"/>
              <w:spacing w:before="64" w:line="221" w:lineRule="auto"/>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eastAsia="宋体" w:cs="Times New Roman"/>
                <w:color w:val="auto"/>
                <w:sz w:val="21"/>
                <w:szCs w:val="21"/>
                <w:highlight w:val="none"/>
                <w:lang w:val="en-US" w:eastAsia="zh-CN" w:bidi="en-US"/>
              </w:rPr>
              <w:t>夏水21</w:t>
            </w:r>
          </w:p>
        </w:tc>
        <w:tc>
          <w:tcPr>
            <w:tcW w:w="513"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vAlign w:val="center"/>
          </w:tcPr>
          <w:p>
            <w:pPr>
              <w:jc w:val="center"/>
              <w:rPr>
                <w:rFonts w:hint="default" w:ascii="Times New Roman" w:hAnsi="Times New Roman" w:cs="Times New Roman"/>
                <w:color w:val="auto"/>
                <w:sz w:val="21"/>
                <w:szCs w:val="21"/>
                <w:highlight w:val="none"/>
                <w:lang w:val="en-US" w:bidi="en-US"/>
              </w:rPr>
            </w:pPr>
            <w:r>
              <w:rPr>
                <w:rFonts w:hint="eastAsia" w:ascii="Times New Roman" w:hAnsi="Times New Roman" w:cs="Times New Roman"/>
                <w:color w:val="auto"/>
                <w:sz w:val="21"/>
                <w:szCs w:val="21"/>
                <w:highlight w:val="none"/>
                <w:lang w:val="en-US" w:eastAsia="zh-CN" w:bidi="en-US"/>
              </w:rPr>
              <w:t>项目侧向</w:t>
            </w:r>
            <w:r>
              <w:rPr>
                <w:rFonts w:hint="eastAsia" w:cs="Times New Roman"/>
                <w:color w:val="auto"/>
                <w:sz w:val="21"/>
                <w:szCs w:val="21"/>
                <w:highlight w:val="none"/>
                <w:lang w:val="en-US" w:eastAsia="zh-CN" w:bidi="en-US"/>
              </w:rPr>
              <w:t>4.4km</w:t>
            </w:r>
          </w:p>
        </w:tc>
        <w:tc>
          <w:tcPr>
            <w:tcW w:w="40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35</w:t>
            </w:r>
          </w:p>
        </w:tc>
        <w:tc>
          <w:tcPr>
            <w:tcW w:w="32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65</w:t>
            </w:r>
          </w:p>
        </w:tc>
        <w:tc>
          <w:tcPr>
            <w:tcW w:w="602" w:type="pct"/>
            <w:vMerge w:val="continue"/>
            <w:tcBorders>
              <w:tl2br w:val="nil"/>
              <w:tr2bl w:val="nil"/>
            </w:tcBorders>
            <w:vAlign w:val="center"/>
          </w:tcPr>
          <w:p>
            <w:pPr>
              <w:jc w:val="center"/>
              <w:rPr>
                <w:rFonts w:hint="default" w:ascii="Times New Roman" w:hAnsi="Times New Roman" w:cs="Times New Roman"/>
                <w:color w:val="auto"/>
                <w:sz w:val="21"/>
                <w:szCs w:val="21"/>
                <w:highlight w:val="none"/>
                <w:lang w:bidi="en-US"/>
              </w:rPr>
            </w:pPr>
          </w:p>
        </w:tc>
        <w:tc>
          <w:tcPr>
            <w:tcW w:w="1001" w:type="pct"/>
            <w:vMerge w:val="continue"/>
            <w:tcBorders>
              <w:tl2br w:val="nil"/>
              <w:tr2bl w:val="nil"/>
            </w:tcBorders>
            <w:vAlign w:val="center"/>
          </w:tcPr>
          <w:p>
            <w:pPr>
              <w:jc w:val="center"/>
              <w:rPr>
                <w:rFonts w:hint="default" w:ascii="Times New Roman" w:hAnsi="Times New Roman" w:cs="Times New Roman"/>
                <w:color w:val="auto"/>
                <w:sz w:val="21"/>
                <w:szCs w:val="21"/>
                <w:highlight w:val="none"/>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5</w:t>
            </w:r>
          </w:p>
        </w:tc>
        <w:tc>
          <w:tcPr>
            <w:tcW w:w="413" w:type="pct"/>
            <w:tcBorders>
              <w:tl2br w:val="nil"/>
              <w:tr2bl w:val="nil"/>
            </w:tcBorders>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bidi="en-US"/>
              </w:rPr>
              <w:t>夏水19</w:t>
            </w:r>
          </w:p>
        </w:tc>
        <w:tc>
          <w:tcPr>
            <w:tcW w:w="513"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en-US" w:bidi="en-US"/>
              </w:rPr>
            </w:pP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en-US" w:bidi="en-US"/>
              </w:rPr>
            </w:pPr>
          </w:p>
        </w:tc>
        <w:tc>
          <w:tcPr>
            <w:tcW w:w="399"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vAlign w:val="center"/>
          </w:tcPr>
          <w:p>
            <w:pPr>
              <w:jc w:val="center"/>
              <w:rPr>
                <w:rFonts w:hint="default" w:ascii="Times New Roman" w:hAnsi="Times New Roman" w:cs="Times New Roman"/>
                <w:color w:val="auto"/>
                <w:sz w:val="21"/>
                <w:szCs w:val="21"/>
                <w:highlight w:val="none"/>
                <w:lang w:val="en-US" w:bidi="en-US"/>
              </w:rPr>
            </w:pPr>
            <w:r>
              <w:rPr>
                <w:rFonts w:hint="eastAsia" w:ascii="Times New Roman" w:hAnsi="Times New Roman" w:cs="Times New Roman"/>
                <w:color w:val="auto"/>
                <w:sz w:val="21"/>
                <w:szCs w:val="21"/>
                <w:highlight w:val="none"/>
                <w:lang w:val="en-US" w:eastAsia="zh-CN" w:bidi="en-US"/>
              </w:rPr>
              <w:t>项目侧向</w:t>
            </w:r>
            <w:r>
              <w:rPr>
                <w:rFonts w:hint="eastAsia" w:cs="Times New Roman"/>
                <w:color w:val="auto"/>
                <w:sz w:val="21"/>
                <w:szCs w:val="21"/>
                <w:highlight w:val="none"/>
                <w:lang w:val="en-US" w:eastAsia="zh-CN" w:bidi="en-US"/>
              </w:rPr>
              <w:t>7.7km</w:t>
            </w:r>
          </w:p>
        </w:tc>
        <w:tc>
          <w:tcPr>
            <w:tcW w:w="40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25</w:t>
            </w:r>
          </w:p>
        </w:tc>
        <w:tc>
          <w:tcPr>
            <w:tcW w:w="32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60</w:t>
            </w:r>
          </w:p>
        </w:tc>
        <w:tc>
          <w:tcPr>
            <w:tcW w:w="602" w:type="pct"/>
            <w:vMerge w:val="continue"/>
            <w:tcBorders>
              <w:tl2br w:val="nil"/>
              <w:tr2bl w:val="nil"/>
            </w:tcBorders>
            <w:vAlign w:val="center"/>
          </w:tcPr>
          <w:p>
            <w:pPr>
              <w:jc w:val="center"/>
              <w:rPr>
                <w:rFonts w:hint="default" w:ascii="Times New Roman" w:hAnsi="Times New Roman" w:cs="Times New Roman"/>
                <w:color w:val="auto"/>
                <w:sz w:val="21"/>
                <w:szCs w:val="21"/>
                <w:highlight w:val="none"/>
                <w:lang w:bidi="en-US"/>
              </w:rPr>
            </w:pPr>
          </w:p>
        </w:tc>
        <w:tc>
          <w:tcPr>
            <w:tcW w:w="1001" w:type="pct"/>
            <w:vMerge w:val="continue"/>
            <w:tcBorders>
              <w:tl2br w:val="nil"/>
              <w:tr2bl w:val="nil"/>
            </w:tcBorders>
            <w:vAlign w:val="center"/>
          </w:tcPr>
          <w:p>
            <w:pPr>
              <w:jc w:val="center"/>
              <w:rPr>
                <w:rFonts w:hint="default" w:ascii="Times New Roman" w:hAnsi="Times New Roman" w:cs="Times New Roman"/>
                <w:color w:val="auto"/>
                <w:sz w:val="21"/>
                <w:szCs w:val="21"/>
                <w:highlight w:val="none"/>
                <w:lang w:bidi="en-US"/>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6</w:t>
            </w:r>
          </w:p>
        </w:tc>
        <w:tc>
          <w:tcPr>
            <w:tcW w:w="413" w:type="pct"/>
            <w:tcBorders>
              <w:tl2br w:val="nil"/>
              <w:tr2bl w:val="nil"/>
            </w:tcBorders>
            <w:tcMar>
              <w:left w:w="0" w:type="dxa"/>
              <w:right w:w="0" w:type="dxa"/>
            </w:tcMar>
            <w:vAlign w:val="center"/>
          </w:tcPr>
          <w:p>
            <w:pPr>
              <w:jc w:val="center"/>
              <w:rPr>
                <w:rFonts w:hint="default" w:ascii="Times New Roman" w:hAnsi="Times New Roman" w:eastAsia="宋体" w:cs="Times New Roman"/>
                <w:color w:val="auto"/>
                <w:sz w:val="21"/>
                <w:szCs w:val="21"/>
                <w:highlight w:val="none"/>
                <w:lang w:val="en-US" w:eastAsia="en-US" w:bidi="en-US"/>
              </w:rPr>
            </w:pPr>
            <w:r>
              <w:rPr>
                <w:rFonts w:hint="default" w:ascii="Times New Roman" w:hAnsi="Times New Roman" w:eastAsia="宋体" w:cs="Times New Roman"/>
                <w:color w:val="auto"/>
                <w:sz w:val="21"/>
                <w:szCs w:val="21"/>
                <w:highlight w:val="none"/>
                <w:lang w:val="en-US" w:eastAsia="en-US" w:bidi="en-US"/>
              </w:rPr>
              <w:t>184团屯旺牧业地下水井</w:t>
            </w:r>
          </w:p>
        </w:tc>
        <w:tc>
          <w:tcPr>
            <w:tcW w:w="513"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en-US" w:bidi="en-US"/>
              </w:rPr>
            </w:pP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val="en-US" w:eastAsia="en-US" w:bidi="en-US"/>
              </w:rPr>
            </w:pPr>
          </w:p>
        </w:tc>
        <w:tc>
          <w:tcPr>
            <w:tcW w:w="399"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项目区下游</w:t>
            </w:r>
            <w:r>
              <w:rPr>
                <w:rFonts w:hint="eastAsia" w:cs="Times New Roman"/>
                <w:color w:val="auto"/>
                <w:sz w:val="21"/>
                <w:szCs w:val="21"/>
                <w:highlight w:val="none"/>
                <w:lang w:val="en-US" w:eastAsia="zh-CN" w:bidi="en-US"/>
              </w:rPr>
              <w:t>19.4km</w:t>
            </w:r>
          </w:p>
        </w:tc>
        <w:tc>
          <w:tcPr>
            <w:tcW w:w="40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13</w:t>
            </w:r>
          </w:p>
        </w:tc>
        <w:tc>
          <w:tcPr>
            <w:tcW w:w="32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25</w:t>
            </w:r>
          </w:p>
        </w:tc>
        <w:tc>
          <w:tcPr>
            <w:tcW w:w="60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cs="Times New Roman"/>
                <w:color w:val="auto"/>
                <w:sz w:val="21"/>
                <w:szCs w:val="21"/>
                <w:highlight w:val="none"/>
                <w:lang w:val="en-US" w:eastAsia="zh-CN" w:bidi="en-US"/>
              </w:rPr>
              <w:t>2025.7.31</w:t>
            </w:r>
          </w:p>
        </w:tc>
        <w:tc>
          <w:tcPr>
            <w:tcW w:w="100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eastAsia="zh-CN"/>
              </w:rPr>
              <w:t>克拉玛依钧仪衡环境检测有限公司</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5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default" w:ascii="Times New Roman" w:hAnsi="Times New Roman" w:cs="Times New Roman"/>
                <w:color w:val="auto"/>
                <w:sz w:val="21"/>
                <w:szCs w:val="21"/>
                <w:highlight w:val="none"/>
                <w:lang w:val="en-US" w:eastAsia="zh-CN" w:bidi="en-US"/>
              </w:rPr>
              <w:t>7</w:t>
            </w:r>
          </w:p>
        </w:tc>
        <w:tc>
          <w:tcPr>
            <w:tcW w:w="413" w:type="pct"/>
            <w:tcBorders>
              <w:tl2br w:val="nil"/>
              <w:tr2bl w:val="nil"/>
            </w:tcBorders>
            <w:tcMar>
              <w:left w:w="0" w:type="dxa"/>
              <w:right w:w="0" w:type="dxa"/>
            </w:tcMar>
            <w:vAlign w:val="center"/>
          </w:tcPr>
          <w:p>
            <w:pPr>
              <w:jc w:val="center"/>
              <w:rPr>
                <w:rFonts w:hint="default" w:ascii="Times New Roman" w:hAnsi="Times New Roman" w:eastAsia="宋体" w:cs="Times New Roman"/>
                <w:color w:val="auto"/>
                <w:sz w:val="21"/>
                <w:szCs w:val="21"/>
                <w:highlight w:val="none"/>
                <w:lang w:bidi="en-US"/>
              </w:rPr>
            </w:pPr>
            <w:bookmarkStart w:id="518" w:name="OLE_LINK40"/>
            <w:r>
              <w:rPr>
                <w:rFonts w:hint="default" w:ascii="Times New Roman" w:hAnsi="Times New Roman" w:eastAsia="宋体" w:cs="Times New Roman"/>
                <w:color w:val="auto"/>
                <w:sz w:val="21"/>
                <w:szCs w:val="21"/>
                <w:highlight w:val="none"/>
                <w:lang w:val="en-US" w:eastAsia="zh-CN" w:bidi="en-US"/>
              </w:rPr>
              <w:t>184团5连</w:t>
            </w:r>
            <w:bookmarkEnd w:id="518"/>
          </w:p>
        </w:tc>
        <w:tc>
          <w:tcPr>
            <w:tcW w:w="513"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492" w:type="pct"/>
            <w:tcBorders>
              <w:tl2br w:val="nil"/>
              <w:tr2bl w:val="nil"/>
            </w:tcBorders>
            <w:shd w:val="clear" w:color="auto" w:fill="auto"/>
            <w:vAlign w:val="center"/>
          </w:tcPr>
          <w:p>
            <w:pPr>
              <w:jc w:val="center"/>
              <w:rPr>
                <w:rFonts w:hint="default" w:ascii="Times New Roman" w:hAnsi="Times New Roman" w:eastAsia="宋体" w:cs="Times New Roman"/>
                <w:color w:val="auto"/>
                <w:sz w:val="21"/>
                <w:szCs w:val="21"/>
                <w:highlight w:val="none"/>
                <w:lang w:bidi="en-US"/>
              </w:rPr>
            </w:pPr>
          </w:p>
        </w:tc>
        <w:tc>
          <w:tcPr>
            <w:tcW w:w="399"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潜水</w:t>
            </w:r>
          </w:p>
        </w:tc>
        <w:tc>
          <w:tcPr>
            <w:tcW w:w="701"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项目区下游</w:t>
            </w:r>
            <w:r>
              <w:rPr>
                <w:rFonts w:hint="eastAsia" w:cs="Times New Roman"/>
                <w:color w:val="auto"/>
                <w:sz w:val="21"/>
                <w:szCs w:val="21"/>
                <w:highlight w:val="none"/>
                <w:lang w:val="en-US" w:eastAsia="zh-CN" w:bidi="en-US"/>
              </w:rPr>
              <w:t>17.2km</w:t>
            </w:r>
          </w:p>
        </w:tc>
        <w:tc>
          <w:tcPr>
            <w:tcW w:w="401" w:type="pct"/>
            <w:tcBorders>
              <w:tl2br w:val="nil"/>
              <w:tr2bl w:val="nil"/>
            </w:tcBorders>
            <w:vAlign w:val="center"/>
          </w:tcPr>
          <w:p>
            <w:pPr>
              <w:jc w:val="center"/>
              <w:rPr>
                <w:rFonts w:hint="eastAsia"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w:t>
            </w:r>
          </w:p>
        </w:tc>
        <w:tc>
          <w:tcPr>
            <w:tcW w:w="322" w:type="pct"/>
            <w:tcBorders>
              <w:tl2br w:val="nil"/>
              <w:tr2bl w:val="nil"/>
            </w:tcBorders>
            <w:vAlign w:val="center"/>
          </w:tcPr>
          <w:p>
            <w:pPr>
              <w:jc w:val="center"/>
              <w:rPr>
                <w:rFonts w:hint="eastAsia"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w:t>
            </w:r>
          </w:p>
        </w:tc>
        <w:tc>
          <w:tcPr>
            <w:tcW w:w="602" w:type="pct"/>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cs="Times New Roman"/>
                <w:color w:val="auto"/>
                <w:sz w:val="21"/>
                <w:szCs w:val="21"/>
                <w:highlight w:val="none"/>
                <w:lang w:val="en-US" w:eastAsia="zh-CN" w:bidi="en-US"/>
              </w:rPr>
              <w:t>2023.2.1</w:t>
            </w:r>
          </w:p>
        </w:tc>
        <w:tc>
          <w:tcPr>
            <w:tcW w:w="1001" w:type="pct"/>
            <w:tcBorders>
              <w:tl2br w:val="nil"/>
              <w:tr2bl w:val="nil"/>
            </w:tcBorders>
            <w:vAlign w:val="center"/>
          </w:tcPr>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新疆泰施特环</w:t>
            </w:r>
          </w:p>
          <w:p>
            <w:pPr>
              <w:jc w:val="center"/>
              <w:rPr>
                <w:rFonts w:hint="default" w:ascii="Times New Roman" w:hAnsi="Times New Roman" w:cs="Times New Roman"/>
                <w:color w:val="auto"/>
                <w:sz w:val="21"/>
                <w:szCs w:val="21"/>
                <w:highlight w:val="none"/>
                <w:lang w:bidi="en-US"/>
              </w:rPr>
            </w:pPr>
            <w:r>
              <w:rPr>
                <w:rFonts w:hint="default" w:ascii="Times New Roman" w:hAnsi="Times New Roman" w:cs="Times New Roman"/>
                <w:color w:val="auto"/>
                <w:sz w:val="21"/>
                <w:szCs w:val="21"/>
                <w:highlight w:val="none"/>
                <w:lang w:bidi="en-US"/>
              </w:rPr>
              <w:t>保科技有限公司</w:t>
            </w:r>
          </w:p>
        </w:tc>
      </w:tr>
    </w:tbl>
    <w:p>
      <w:pPr>
        <w:pStyle w:val="57"/>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color w:val="auto"/>
          <w:sz w:val="24"/>
          <w:szCs w:val="24"/>
          <w:highlight w:val="none"/>
        </w:rPr>
        <w:t>监测项目及分析方法</w:t>
      </w:r>
    </w:p>
    <w:p>
      <w:pPr>
        <w:pStyle w:val="57"/>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color w:val="auto"/>
          <w:sz w:val="24"/>
          <w:szCs w:val="24"/>
          <w:highlight w:val="none"/>
        </w:rPr>
        <w:t>根据《环境影响评价技术导则 地下水环境》（HJ610-2016），本次评价的监测项目包括：</w:t>
      </w:r>
      <w:r>
        <w:rPr>
          <w:color w:val="auto"/>
          <w:sz w:val="24"/>
          <w:szCs w:val="24"/>
          <w:highlight w:val="none"/>
          <w:lang w:bidi="ar"/>
        </w:rPr>
        <w:t>pH、水位埋深、井深、K</w:t>
      </w:r>
      <w:r>
        <w:rPr>
          <w:color w:val="auto"/>
          <w:sz w:val="24"/>
          <w:szCs w:val="24"/>
          <w:highlight w:val="none"/>
          <w:vertAlign w:val="superscript"/>
          <w:lang w:bidi="ar"/>
        </w:rPr>
        <w:t>+</w:t>
      </w:r>
      <w:r>
        <w:rPr>
          <w:color w:val="auto"/>
          <w:sz w:val="24"/>
          <w:szCs w:val="24"/>
          <w:highlight w:val="none"/>
          <w:lang w:bidi="ar"/>
        </w:rPr>
        <w:t>、Na</w:t>
      </w:r>
      <w:r>
        <w:rPr>
          <w:color w:val="auto"/>
          <w:sz w:val="24"/>
          <w:szCs w:val="24"/>
          <w:highlight w:val="none"/>
          <w:vertAlign w:val="superscript"/>
          <w:lang w:bidi="ar"/>
        </w:rPr>
        <w:t>+</w:t>
      </w:r>
      <w:r>
        <w:rPr>
          <w:color w:val="auto"/>
          <w:sz w:val="24"/>
          <w:szCs w:val="24"/>
          <w:highlight w:val="none"/>
          <w:lang w:bidi="ar"/>
        </w:rPr>
        <w:t>、Ca</w:t>
      </w:r>
      <w:r>
        <w:rPr>
          <w:color w:val="auto"/>
          <w:sz w:val="24"/>
          <w:szCs w:val="24"/>
          <w:highlight w:val="none"/>
          <w:vertAlign w:val="superscript"/>
          <w:lang w:bidi="ar"/>
        </w:rPr>
        <w:t>2+</w:t>
      </w:r>
      <w:r>
        <w:rPr>
          <w:color w:val="auto"/>
          <w:sz w:val="24"/>
          <w:szCs w:val="24"/>
          <w:highlight w:val="none"/>
          <w:lang w:bidi="ar"/>
        </w:rPr>
        <w:t>、Mg</w:t>
      </w:r>
      <w:r>
        <w:rPr>
          <w:color w:val="auto"/>
          <w:sz w:val="24"/>
          <w:szCs w:val="24"/>
          <w:highlight w:val="none"/>
          <w:vertAlign w:val="superscript"/>
          <w:lang w:bidi="ar"/>
        </w:rPr>
        <w:t>2+</w:t>
      </w:r>
      <w:r>
        <w:rPr>
          <w:color w:val="auto"/>
          <w:sz w:val="24"/>
          <w:szCs w:val="24"/>
          <w:highlight w:val="none"/>
          <w:lang w:bidi="ar"/>
        </w:rPr>
        <w:t>、CO</w:t>
      </w:r>
      <w:r>
        <w:rPr>
          <w:color w:val="auto"/>
          <w:sz w:val="24"/>
          <w:szCs w:val="24"/>
          <w:highlight w:val="none"/>
          <w:vertAlign w:val="subscript"/>
          <w:lang w:bidi="ar"/>
        </w:rPr>
        <w:t>3</w:t>
      </w:r>
      <w:r>
        <w:rPr>
          <w:color w:val="auto"/>
          <w:sz w:val="24"/>
          <w:szCs w:val="24"/>
          <w:highlight w:val="none"/>
          <w:vertAlign w:val="superscript"/>
          <w:lang w:bidi="ar"/>
        </w:rPr>
        <w:t>2-</w:t>
      </w:r>
      <w:r>
        <w:rPr>
          <w:color w:val="auto"/>
          <w:sz w:val="24"/>
          <w:szCs w:val="24"/>
          <w:highlight w:val="none"/>
          <w:lang w:bidi="ar"/>
        </w:rPr>
        <w:t>、HCO</w:t>
      </w:r>
      <w:r>
        <w:rPr>
          <w:color w:val="auto"/>
          <w:sz w:val="24"/>
          <w:szCs w:val="24"/>
          <w:highlight w:val="none"/>
          <w:vertAlign w:val="subscript"/>
          <w:lang w:bidi="ar"/>
        </w:rPr>
        <w:t>3</w:t>
      </w:r>
      <w:r>
        <w:rPr>
          <w:color w:val="auto"/>
          <w:sz w:val="24"/>
          <w:szCs w:val="24"/>
          <w:highlight w:val="none"/>
          <w:vertAlign w:val="superscript"/>
          <w:lang w:bidi="ar"/>
        </w:rPr>
        <w:t>-</w:t>
      </w:r>
      <w:r>
        <w:rPr>
          <w:color w:val="auto"/>
          <w:sz w:val="24"/>
          <w:szCs w:val="24"/>
          <w:highlight w:val="none"/>
          <w:lang w:bidi="ar"/>
        </w:rPr>
        <w:t>、Cl</w:t>
      </w:r>
      <w:r>
        <w:rPr>
          <w:color w:val="auto"/>
          <w:sz w:val="24"/>
          <w:szCs w:val="24"/>
          <w:highlight w:val="none"/>
          <w:vertAlign w:val="superscript"/>
          <w:lang w:bidi="ar"/>
        </w:rPr>
        <w:t>-</w:t>
      </w:r>
      <w:r>
        <w:rPr>
          <w:color w:val="auto"/>
          <w:sz w:val="24"/>
          <w:szCs w:val="24"/>
          <w:highlight w:val="none"/>
          <w:lang w:bidi="ar"/>
        </w:rPr>
        <w:t>、SO</w:t>
      </w:r>
      <w:r>
        <w:rPr>
          <w:color w:val="auto"/>
          <w:sz w:val="24"/>
          <w:szCs w:val="24"/>
          <w:highlight w:val="none"/>
          <w:vertAlign w:val="subscript"/>
          <w:lang w:bidi="ar"/>
        </w:rPr>
        <w:t>4</w:t>
      </w:r>
      <w:r>
        <w:rPr>
          <w:color w:val="auto"/>
          <w:sz w:val="24"/>
          <w:szCs w:val="24"/>
          <w:highlight w:val="none"/>
          <w:vertAlign w:val="superscript"/>
          <w:lang w:bidi="ar"/>
        </w:rPr>
        <w:t>2-</w:t>
      </w:r>
      <w:r>
        <w:rPr>
          <w:color w:val="auto"/>
          <w:sz w:val="24"/>
          <w:szCs w:val="24"/>
          <w:highlight w:val="none"/>
          <w:lang w:bidi="ar"/>
        </w:rPr>
        <w:t>、</w:t>
      </w:r>
      <w:r>
        <w:rPr>
          <w:rFonts w:ascii="宋体" w:hAnsi="宋体" w:eastAsia="宋体" w:cs="宋体"/>
          <w:color w:val="auto"/>
          <w:sz w:val="24"/>
          <w:szCs w:val="24"/>
        </w:rPr>
        <w:t>pH</w:t>
      </w:r>
      <w:r>
        <w:rPr>
          <w:rFonts w:ascii="宋体" w:hAnsi="宋体" w:eastAsia="宋体" w:cs="宋体"/>
          <w:color w:val="auto"/>
          <w:spacing w:val="3"/>
          <w:sz w:val="24"/>
          <w:szCs w:val="24"/>
        </w:rPr>
        <w:t>、氨氮、硝酸盐氮、亚硝酸盐氮、挥发性酚类、氯化物、总硬度、铁、</w:t>
      </w:r>
      <w:r>
        <w:rPr>
          <w:rFonts w:ascii="宋体" w:hAnsi="宋体" w:eastAsia="宋体" w:cs="宋体"/>
          <w:color w:val="auto"/>
          <w:spacing w:val="17"/>
          <w:sz w:val="24"/>
          <w:szCs w:val="24"/>
        </w:rPr>
        <w:t xml:space="preserve"> </w:t>
      </w:r>
      <w:r>
        <w:rPr>
          <w:rFonts w:ascii="宋体" w:hAnsi="宋体" w:eastAsia="宋体" w:cs="宋体"/>
          <w:color w:val="auto"/>
          <w:spacing w:val="4"/>
          <w:sz w:val="24"/>
          <w:szCs w:val="24"/>
        </w:rPr>
        <w:t>锰、汞、砷、镉、六价铬、铅、铜、锌、溶解性总固体、耗氧量、硫化物、硫</w:t>
      </w:r>
      <w:r>
        <w:rPr>
          <w:rFonts w:ascii="宋体" w:hAnsi="宋体" w:eastAsia="宋体" w:cs="宋体"/>
          <w:color w:val="auto"/>
          <w:spacing w:val="-3"/>
          <w:sz w:val="24"/>
          <w:szCs w:val="24"/>
        </w:rPr>
        <w:t>酸盐、阴离子表面活性剂、钡</w:t>
      </w:r>
      <w:r>
        <w:rPr>
          <w:rFonts w:hint="eastAsia" w:ascii="宋体" w:hAnsi="宋体" w:eastAsia="宋体" w:cs="宋体"/>
          <w:color w:val="auto"/>
          <w:spacing w:val="-3"/>
          <w:sz w:val="24"/>
          <w:szCs w:val="24"/>
          <w:lang w:eastAsia="zh-CN"/>
        </w:rPr>
        <w:t>、氟化物、氰化物、石油类</w:t>
      </w:r>
      <w:r>
        <w:rPr>
          <w:color w:val="auto"/>
          <w:sz w:val="24"/>
          <w:szCs w:val="24"/>
          <w:highlight w:val="none"/>
          <w:lang w:bidi="ar"/>
        </w:rPr>
        <w:t>等</w:t>
      </w:r>
      <w:r>
        <w:rPr>
          <w:color w:val="auto"/>
          <w:sz w:val="24"/>
          <w:szCs w:val="24"/>
          <w:highlight w:val="none"/>
        </w:rPr>
        <w:t>。</w:t>
      </w:r>
    </w:p>
    <w:p>
      <w:pPr>
        <w:pStyle w:val="57"/>
        <w:keepNext w:val="0"/>
        <w:keepLines w:val="0"/>
        <w:pageBreakBefore w:val="0"/>
        <w:widowControl/>
        <w:kinsoku/>
        <w:wordWrap/>
        <w:overflowPunct/>
        <w:topLinePunct w:val="0"/>
        <w:autoSpaceDE/>
        <w:autoSpaceDN/>
        <w:bidi w:val="0"/>
        <w:textAlignment w:val="auto"/>
        <w:rPr>
          <w:color w:val="auto"/>
          <w:highlight w:val="none"/>
        </w:rPr>
      </w:pPr>
      <w:r>
        <w:rPr>
          <w:color w:val="auto"/>
          <w:highlight w:val="none"/>
        </w:rPr>
        <w:t>分析方法：采样按照《环境影响评价技术导则 地下水环境》</w:t>
      </w:r>
      <w:r>
        <w:rPr>
          <w:rFonts w:hint="eastAsia"/>
          <w:color w:val="auto"/>
          <w:highlight w:val="none"/>
        </w:rPr>
        <w:t>（</w:t>
      </w:r>
      <w:r>
        <w:rPr>
          <w:color w:val="auto"/>
          <w:highlight w:val="none"/>
        </w:rPr>
        <w:t>HJ610-2016</w:t>
      </w:r>
      <w:r>
        <w:rPr>
          <w:rFonts w:hint="eastAsia"/>
          <w:color w:val="auto"/>
          <w:highlight w:val="none"/>
        </w:rPr>
        <w:t>）</w:t>
      </w:r>
      <w:r>
        <w:rPr>
          <w:color w:val="auto"/>
          <w:highlight w:val="none"/>
        </w:rPr>
        <w:t>执行，监测分析方法按照《地下水环境监测技术规范》（</w:t>
      </w:r>
      <w:r>
        <w:rPr>
          <w:rFonts w:hint="eastAsia"/>
          <w:color w:val="auto"/>
          <w:highlight w:val="none"/>
          <w:lang w:eastAsia="zh-CN"/>
        </w:rPr>
        <w:t>HJ 164-2020</w:t>
      </w:r>
      <w:r>
        <w:rPr>
          <w:color w:val="auto"/>
          <w:highlight w:val="none"/>
        </w:rPr>
        <w:t>）、《地下水质量标准》（GB /T14848-2017）、《环境水质监测质量保证手册》</w:t>
      </w:r>
      <w:r>
        <w:rPr>
          <w:rFonts w:hint="eastAsia"/>
          <w:color w:val="auto"/>
          <w:highlight w:val="none"/>
        </w:rPr>
        <w:t>（</w:t>
      </w:r>
      <w:r>
        <w:rPr>
          <w:color w:val="auto"/>
          <w:highlight w:val="none"/>
        </w:rPr>
        <w:t>第二版</w:t>
      </w:r>
      <w:r>
        <w:rPr>
          <w:rFonts w:hint="eastAsia"/>
          <w:color w:val="auto"/>
          <w:highlight w:val="none"/>
        </w:rPr>
        <w:t>）</w:t>
      </w:r>
      <w:r>
        <w:rPr>
          <w:color w:val="auto"/>
          <w:highlight w:val="none"/>
        </w:rPr>
        <w:t>有关标准和规范执行。</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（4）监测结果</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监测结果见表4.</w:t>
      </w:r>
      <w:r>
        <w:rPr>
          <w:rFonts w:hint="eastAsia"/>
          <w:color w:val="auto"/>
          <w:highlight w:val="none"/>
        </w:rPr>
        <w:t>3-1</w:t>
      </w:r>
      <w:r>
        <w:rPr>
          <w:color w:val="auto"/>
          <w:highlight w:val="none"/>
        </w:rPr>
        <w:t>。</w:t>
      </w:r>
    </w:p>
    <w:bookmarkEnd w:id="513"/>
    <w:p>
      <w:pPr>
        <w:pStyle w:val="53"/>
        <w:pageBreakBefore w:val="0"/>
        <w:widowControl/>
        <w:kinsoku/>
        <w:wordWrap/>
        <w:overflowPunct/>
        <w:topLinePunct w:val="0"/>
        <w:autoSpaceDE/>
        <w:autoSpaceDN/>
        <w:bidi w:val="0"/>
        <w:spacing w:line="480" w:lineRule="exact"/>
        <w:textAlignment w:val="auto"/>
        <w:rPr>
          <w:rFonts w:eastAsia="宋体"/>
          <w:color w:val="auto"/>
          <w:highlight w:val="none"/>
        </w:rPr>
      </w:pPr>
      <w:bookmarkStart w:id="519" w:name="_Hlk68961785"/>
      <w:r>
        <w:rPr>
          <w:rFonts w:hint="eastAsia" w:eastAsia="宋体"/>
          <w:color w:val="auto"/>
          <w:highlight w:val="none"/>
        </w:rPr>
        <w:t>4.3.2地下水环境质量现状评价</w:t>
      </w:r>
    </w:p>
    <w:bookmarkEnd w:id="519"/>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（1）评价标准</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石油类参照《地表水环境质量标准》（GB 3838-2002）Ⅲ类标准；其他因子执行《地下水质量标准》</w:t>
      </w:r>
      <w:r>
        <w:rPr>
          <w:rFonts w:hint="eastAsia"/>
          <w:color w:val="auto"/>
          <w:highlight w:val="none"/>
          <w:lang w:eastAsia="zh-CN"/>
        </w:rPr>
        <w:t>（</w:t>
      </w:r>
      <w:r>
        <w:rPr>
          <w:color w:val="auto"/>
          <w:highlight w:val="none"/>
        </w:rPr>
        <w:t>GB/T14848-2017</w:t>
      </w:r>
      <w:r>
        <w:rPr>
          <w:rFonts w:hint="eastAsia"/>
          <w:color w:val="auto"/>
          <w:highlight w:val="none"/>
          <w:lang w:eastAsia="zh-CN"/>
        </w:rPr>
        <w:t>）</w:t>
      </w:r>
      <w:r>
        <w:rPr>
          <w:color w:val="auto"/>
          <w:highlight w:val="none"/>
        </w:rPr>
        <w:t>Ⅲ类标准。</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（2）评价方法</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评价方法采用标准指数法。</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hAnsi="宋体" w:cs="宋体"/>
          <w:color w:val="auto"/>
          <w:highlight w:val="none"/>
        </w:rPr>
        <w:t>①</w:t>
      </w:r>
      <w:r>
        <w:rPr>
          <w:color w:val="auto"/>
          <w:highlight w:val="none"/>
        </w:rPr>
        <w:t>对于评价标准为定值的水质因子，其标准指数计算公式：</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drawing>
          <wp:anchor distT="0" distB="0" distL="114300" distR="114300" simplePos="0" relativeHeight="251698176" behindDoc="0" locked="0" layoutInCell="1" allowOverlap="1">
            <wp:simplePos x="0" y="0"/>
            <wp:positionH relativeFrom="column">
              <wp:posOffset>2376805</wp:posOffset>
            </wp:positionH>
            <wp:positionV relativeFrom="paragraph">
              <wp:posOffset>31750</wp:posOffset>
            </wp:positionV>
            <wp:extent cx="654050" cy="464820"/>
            <wp:effectExtent l="0" t="0" r="12700" b="12700"/>
            <wp:wrapNone/>
            <wp:docPr id="14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图片 4"/>
                    <pic:cNvPicPr>
                      <a:picLocks noChangeAspect="1"/>
                    </pic:cNvPicPr>
                  </pic:nvPicPr>
                  <pic:blipFill>
                    <a:blip r:embed="rId21"/>
                    <a:stretch>
                      <a:fillRect/>
                    </a:stretch>
                  </pic:blipFill>
                  <pic:spPr>
                    <a:xfrm>
                      <a:off x="0" y="0"/>
                      <a:ext cx="654050" cy="464820"/>
                    </a:xfrm>
                    <a:prstGeom prst="rect">
                      <a:avLst/>
                    </a:prstGeom>
                    <a:noFill/>
                    <a:ln>
                      <a:noFill/>
                    </a:ln>
                  </pic:spPr>
                </pic:pic>
              </a:graphicData>
            </a:graphic>
          </wp:anchor>
        </w:drawing>
      </w:r>
    </w:p>
    <w:p>
      <w:pPr>
        <w:pStyle w:val="57"/>
        <w:pageBreakBefore w:val="0"/>
        <w:widowControl/>
        <w:kinsoku/>
        <w:wordWrap/>
        <w:overflowPunct/>
        <w:topLinePunct w:val="0"/>
        <w:autoSpaceDE/>
        <w:autoSpaceDN/>
        <w:bidi w:val="0"/>
        <w:spacing w:line="480" w:lineRule="exact"/>
        <w:textAlignment w:val="auto"/>
        <w:rPr>
          <w:color w:val="auto"/>
          <w:spacing w:val="5"/>
          <w:highlight w:val="none"/>
        </w:rPr>
      </w:pP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式中：</w:t>
      </w:r>
      <w:r>
        <w:rPr>
          <w:i/>
          <w:iCs/>
          <w:color w:val="auto"/>
          <w:highlight w:val="none"/>
        </w:rPr>
        <w:t>P</w:t>
      </w:r>
      <w:r>
        <w:rPr>
          <w:i/>
          <w:iCs/>
          <w:color w:val="auto"/>
          <w:highlight w:val="none"/>
          <w:vertAlign w:val="subscript"/>
        </w:rPr>
        <w:t>i</w:t>
      </w:r>
      <w:r>
        <w:rPr>
          <w:color w:val="auto"/>
          <w:highlight w:val="none"/>
        </w:rPr>
        <w:t>——第</w:t>
      </w:r>
      <w:r>
        <w:rPr>
          <w:i/>
          <w:iCs/>
          <w:color w:val="auto"/>
          <w:highlight w:val="none"/>
        </w:rPr>
        <w:t>i</w:t>
      </w:r>
      <w:r>
        <w:rPr>
          <w:color w:val="auto"/>
          <w:highlight w:val="none"/>
        </w:rPr>
        <w:t>个水质因子的标准指数，无量纲；</w:t>
      </w:r>
    </w:p>
    <w:p>
      <w:pPr>
        <w:pStyle w:val="57"/>
        <w:pageBreakBefore w:val="0"/>
        <w:widowControl/>
        <w:kinsoku/>
        <w:wordWrap/>
        <w:overflowPunct/>
        <w:topLinePunct w:val="0"/>
        <w:autoSpaceDE/>
        <w:autoSpaceDN/>
        <w:bidi w:val="0"/>
        <w:spacing w:line="480" w:lineRule="exact"/>
        <w:textAlignment w:val="auto"/>
        <w:rPr>
          <w:color w:val="auto"/>
          <w:highlight w:val="none"/>
        </w:rPr>
      </w:pPr>
      <w:r>
        <w:rPr>
          <w:i/>
          <w:iCs/>
          <w:color w:val="auto"/>
          <w:highlight w:val="none"/>
        </w:rPr>
        <w:t>C</w:t>
      </w:r>
      <w:r>
        <w:rPr>
          <w:i/>
          <w:iCs/>
          <w:color w:val="auto"/>
          <w:highlight w:val="none"/>
          <w:vertAlign w:val="subscript"/>
        </w:rPr>
        <w:t>i</w:t>
      </w:r>
      <w:r>
        <w:rPr>
          <w:color w:val="auto"/>
          <w:highlight w:val="none"/>
        </w:rPr>
        <w:t>——第</w:t>
      </w:r>
      <w:r>
        <w:rPr>
          <w:i/>
          <w:iCs/>
          <w:color w:val="auto"/>
          <w:highlight w:val="none"/>
        </w:rPr>
        <w:t>i</w:t>
      </w:r>
      <w:r>
        <w:rPr>
          <w:color w:val="auto"/>
          <w:highlight w:val="none"/>
        </w:rPr>
        <w:t>个水质因子的监测浓度，mg/L；</w:t>
      </w:r>
    </w:p>
    <w:p>
      <w:pPr>
        <w:pStyle w:val="57"/>
        <w:pageBreakBefore w:val="0"/>
        <w:widowControl/>
        <w:kinsoku/>
        <w:wordWrap/>
        <w:overflowPunct/>
        <w:topLinePunct w:val="0"/>
        <w:autoSpaceDE/>
        <w:autoSpaceDN/>
        <w:bidi w:val="0"/>
        <w:spacing w:line="480" w:lineRule="exact"/>
        <w:textAlignment w:val="auto"/>
        <w:rPr>
          <w:color w:val="auto"/>
          <w:highlight w:val="none"/>
        </w:rPr>
      </w:pPr>
      <w:r>
        <w:rPr>
          <w:i/>
          <w:iCs/>
          <w:color w:val="auto"/>
          <w:highlight w:val="none"/>
        </w:rPr>
        <w:t>C</w:t>
      </w:r>
      <w:r>
        <w:rPr>
          <w:i/>
          <w:iCs/>
          <w:color w:val="auto"/>
          <w:highlight w:val="none"/>
          <w:vertAlign w:val="subscript"/>
        </w:rPr>
        <w:t>si</w:t>
      </w:r>
      <w:r>
        <w:rPr>
          <w:color w:val="auto"/>
          <w:highlight w:val="none"/>
        </w:rPr>
        <w:t>——第</w:t>
      </w:r>
      <w:r>
        <w:rPr>
          <w:i/>
          <w:iCs/>
          <w:color w:val="auto"/>
          <w:highlight w:val="none"/>
        </w:rPr>
        <w:t>i</w:t>
      </w:r>
      <w:r>
        <w:rPr>
          <w:color w:val="auto"/>
          <w:highlight w:val="none"/>
        </w:rPr>
        <w:t>个水质因子的标准浓度，mg/L。</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hAnsi="宋体" w:cs="宋体"/>
          <w:color w:val="auto"/>
          <w:highlight w:val="none"/>
        </w:rPr>
        <w:t>②</w:t>
      </w:r>
      <w:r>
        <w:rPr>
          <w:color w:val="auto"/>
          <w:highlight w:val="none"/>
        </w:rPr>
        <w:t>对于评价标准为区间值的水质因子</w:t>
      </w:r>
      <w:r>
        <w:rPr>
          <w:rFonts w:hint="eastAsia"/>
          <w:color w:val="auto"/>
          <w:highlight w:val="none"/>
        </w:rPr>
        <w:t>（</w:t>
      </w:r>
      <w:r>
        <w:rPr>
          <w:color w:val="auto"/>
          <w:highlight w:val="none"/>
        </w:rPr>
        <w:t>如</w:t>
      </w:r>
      <w:r>
        <w:rPr>
          <w:i/>
          <w:iCs/>
          <w:color w:val="auto"/>
          <w:highlight w:val="none"/>
        </w:rPr>
        <w:t>pH</w:t>
      </w:r>
      <w:r>
        <w:rPr>
          <w:color w:val="auto"/>
          <w:highlight w:val="none"/>
        </w:rPr>
        <w:t>值</w:t>
      </w:r>
      <w:r>
        <w:rPr>
          <w:rFonts w:hint="eastAsia"/>
          <w:color w:val="auto"/>
          <w:highlight w:val="none"/>
        </w:rPr>
        <w:t>）</w:t>
      </w:r>
      <w:r>
        <w:rPr>
          <w:color w:val="auto"/>
          <w:highlight w:val="none"/>
        </w:rPr>
        <w:t>，其标准指数计算公式：</w:t>
      </w:r>
    </w:p>
    <w:p>
      <w:pPr>
        <w:pStyle w:val="57"/>
        <w:pageBreakBefore w:val="0"/>
        <w:widowControl/>
        <w:kinsoku/>
        <w:wordWrap/>
        <w:overflowPunct/>
        <w:topLinePunct w:val="0"/>
        <w:autoSpaceDE/>
        <w:autoSpaceDN/>
        <w:bidi w:val="0"/>
        <w:spacing w:line="480" w:lineRule="exact"/>
        <w:textAlignment w:val="auto"/>
        <w:rPr>
          <w:rFonts w:hint="default" w:eastAsia="宋体"/>
          <w:color w:val="auto"/>
          <w:szCs w:val="24"/>
          <w:highlight w:val="none"/>
          <w:lang w:val="en-US" w:eastAsia="zh-CN"/>
        </w:rPr>
      </w:pPr>
      <w:r>
        <w:rPr>
          <w:color w:val="auto"/>
          <w:szCs w:val="24"/>
          <w:highlight w:val="none"/>
        </w:rPr>
        <w:drawing>
          <wp:anchor distT="0" distB="0" distL="114300" distR="114300" simplePos="0" relativeHeight="251699200" behindDoc="0" locked="0" layoutInCell="1" allowOverlap="1">
            <wp:simplePos x="0" y="0"/>
            <wp:positionH relativeFrom="column">
              <wp:posOffset>391795</wp:posOffset>
            </wp:positionH>
            <wp:positionV relativeFrom="paragraph">
              <wp:posOffset>200660</wp:posOffset>
            </wp:positionV>
            <wp:extent cx="1308100" cy="466725"/>
            <wp:effectExtent l="0" t="0" r="0" b="8255"/>
            <wp:wrapNone/>
            <wp:docPr id="14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5"/>
                    <pic:cNvPicPr>
                      <a:picLocks noChangeAspect="1"/>
                    </pic:cNvPicPr>
                  </pic:nvPicPr>
                  <pic:blipFill>
                    <a:blip r:embed="rId22"/>
                    <a:stretch>
                      <a:fillRect/>
                    </a:stretch>
                  </pic:blipFill>
                  <pic:spPr>
                    <a:xfrm>
                      <a:off x="0" y="0"/>
                      <a:ext cx="1308100" cy="466725"/>
                    </a:xfrm>
                    <a:prstGeom prst="rect">
                      <a:avLst/>
                    </a:prstGeom>
                    <a:noFill/>
                    <a:ln>
                      <a:noFill/>
                    </a:ln>
                  </pic:spPr>
                </pic:pic>
              </a:graphicData>
            </a:graphic>
          </wp:anchor>
        </w:drawing>
      </w:r>
      <w:r>
        <w:rPr>
          <w:rFonts w:hint="eastAsia"/>
          <w:color w:val="auto"/>
          <w:szCs w:val="24"/>
          <w:highlight w:val="none"/>
          <w:lang w:val="en-US" w:eastAsia="zh-CN"/>
        </w:rPr>
        <w:t xml:space="preserve">    </w:t>
      </w:r>
    </w:p>
    <w:p>
      <w:pPr>
        <w:pStyle w:val="57"/>
        <w:pageBreakBefore w:val="0"/>
        <w:widowControl/>
        <w:kinsoku/>
        <w:wordWrap/>
        <w:overflowPunct/>
        <w:topLinePunct w:val="0"/>
        <w:autoSpaceDE/>
        <w:autoSpaceDN/>
        <w:bidi w:val="0"/>
        <w:spacing w:line="480" w:lineRule="exact"/>
        <w:ind w:firstLine="2880" w:firstLineChars="1200"/>
        <w:textAlignment w:val="auto"/>
        <w:rPr>
          <w:color w:val="auto"/>
          <w:highlight w:val="none"/>
        </w:rPr>
      </w:pPr>
      <w:r>
        <w:rPr>
          <w:color w:val="auto"/>
          <w:highlight w:val="none"/>
        </w:rPr>
        <w:t>，pH≤7时；</w:t>
      </w:r>
    </w:p>
    <w:p>
      <w:pPr>
        <w:pStyle w:val="57"/>
        <w:pageBreakBefore w:val="0"/>
        <w:widowControl/>
        <w:kinsoku/>
        <w:wordWrap/>
        <w:overflowPunct/>
        <w:topLinePunct w:val="0"/>
        <w:autoSpaceDE/>
        <w:autoSpaceDN/>
        <w:bidi w:val="0"/>
        <w:spacing w:line="480" w:lineRule="exact"/>
        <w:ind w:firstLine="2880" w:firstLineChars="1200"/>
        <w:textAlignment w:val="auto"/>
        <w:rPr>
          <w:color w:val="auto"/>
          <w:highlight w:val="none"/>
        </w:rPr>
      </w:pPr>
      <w:r>
        <w:rPr>
          <w:color w:val="auto"/>
          <w:szCs w:val="24"/>
          <w:highlight w:val="none"/>
        </w:rPr>
        <w:drawing>
          <wp:anchor distT="0" distB="0" distL="114300" distR="114300" simplePos="0" relativeHeight="251700224" behindDoc="0" locked="0" layoutInCell="1" allowOverlap="1">
            <wp:simplePos x="0" y="0"/>
            <wp:positionH relativeFrom="column">
              <wp:posOffset>360045</wp:posOffset>
            </wp:positionH>
            <wp:positionV relativeFrom="paragraph">
              <wp:posOffset>53340</wp:posOffset>
            </wp:positionV>
            <wp:extent cx="1280160" cy="458470"/>
            <wp:effectExtent l="0" t="0" r="15240" b="17780"/>
            <wp:wrapNone/>
            <wp:docPr id="14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6"/>
                    <pic:cNvPicPr>
                      <a:picLocks noChangeAspect="1"/>
                    </pic:cNvPicPr>
                  </pic:nvPicPr>
                  <pic:blipFill>
                    <a:blip r:embed="rId23"/>
                    <a:stretch>
                      <a:fillRect/>
                    </a:stretch>
                  </pic:blipFill>
                  <pic:spPr>
                    <a:xfrm>
                      <a:off x="0" y="0"/>
                      <a:ext cx="1280160" cy="458470"/>
                    </a:xfrm>
                    <a:prstGeom prst="rect">
                      <a:avLst/>
                    </a:prstGeom>
                    <a:noFill/>
                    <a:ln>
                      <a:noFill/>
                    </a:ln>
                  </pic:spPr>
                </pic:pic>
              </a:graphicData>
            </a:graphic>
          </wp:anchor>
        </w:drawing>
      </w:r>
      <w:r>
        <w:rPr>
          <w:color w:val="auto"/>
          <w:highlight w:val="none"/>
        </w:rPr>
        <w:t>，pH＞7时；</w:t>
      </w:r>
    </w:p>
    <w:p>
      <w:pPr>
        <w:pStyle w:val="57"/>
        <w:pageBreakBefore w:val="0"/>
        <w:widowControl/>
        <w:kinsoku/>
        <w:wordWrap/>
        <w:overflowPunct/>
        <w:topLinePunct w:val="0"/>
        <w:autoSpaceDE/>
        <w:autoSpaceDN/>
        <w:bidi w:val="0"/>
        <w:spacing w:line="480" w:lineRule="exact"/>
        <w:textAlignment w:val="auto"/>
        <w:rPr>
          <w:color w:val="auto"/>
          <w:highlight w:val="none"/>
        </w:rPr>
      </w:pP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式中：</w:t>
      </w:r>
      <w:r>
        <w:rPr>
          <w:i/>
          <w:color w:val="auto"/>
          <w:highlight w:val="none"/>
        </w:rPr>
        <w:t>P</w:t>
      </w:r>
      <w:r>
        <w:rPr>
          <w:i/>
          <w:color w:val="auto"/>
          <w:highlight w:val="none"/>
          <w:vertAlign w:val="subscript"/>
        </w:rPr>
        <w:t>pH</w:t>
      </w:r>
      <w:r>
        <w:rPr>
          <w:color w:val="auto"/>
          <w:highlight w:val="none"/>
        </w:rPr>
        <w:t>—pH的标准指数，无量纲；</w:t>
      </w:r>
    </w:p>
    <w:p>
      <w:pPr>
        <w:pStyle w:val="57"/>
        <w:pageBreakBefore w:val="0"/>
        <w:widowControl/>
        <w:kinsoku/>
        <w:wordWrap/>
        <w:overflowPunct/>
        <w:topLinePunct w:val="0"/>
        <w:autoSpaceDE/>
        <w:autoSpaceDN/>
        <w:bidi w:val="0"/>
        <w:spacing w:line="480" w:lineRule="exact"/>
        <w:textAlignment w:val="auto"/>
        <w:rPr>
          <w:color w:val="auto"/>
          <w:highlight w:val="none"/>
        </w:rPr>
      </w:pPr>
      <w:r>
        <w:rPr>
          <w:i/>
          <w:color w:val="auto"/>
          <w:highlight w:val="none"/>
        </w:rPr>
        <w:t>pH</w:t>
      </w:r>
      <w:r>
        <w:rPr>
          <w:color w:val="auto"/>
          <w:highlight w:val="none"/>
        </w:rPr>
        <w:t>—pH监测值；</w:t>
      </w:r>
    </w:p>
    <w:p>
      <w:pPr>
        <w:pStyle w:val="57"/>
        <w:pageBreakBefore w:val="0"/>
        <w:widowControl/>
        <w:kinsoku/>
        <w:wordWrap/>
        <w:overflowPunct/>
        <w:topLinePunct w:val="0"/>
        <w:autoSpaceDE/>
        <w:autoSpaceDN/>
        <w:bidi w:val="0"/>
        <w:spacing w:line="480" w:lineRule="exact"/>
        <w:textAlignment w:val="auto"/>
        <w:rPr>
          <w:color w:val="auto"/>
          <w:highlight w:val="none"/>
        </w:rPr>
      </w:pPr>
      <w:r>
        <w:rPr>
          <w:i/>
          <w:color w:val="auto"/>
          <w:highlight w:val="none"/>
        </w:rPr>
        <w:t>pH</w:t>
      </w:r>
      <w:r>
        <w:rPr>
          <w:i/>
          <w:color w:val="auto"/>
          <w:highlight w:val="none"/>
          <w:vertAlign w:val="subscript"/>
        </w:rPr>
        <w:t>sd</w:t>
      </w:r>
      <w:r>
        <w:rPr>
          <w:color w:val="auto"/>
          <w:highlight w:val="none"/>
        </w:rPr>
        <w:t>—标准中pH的下限值；</w:t>
      </w:r>
    </w:p>
    <w:p>
      <w:pPr>
        <w:pStyle w:val="57"/>
        <w:pageBreakBefore w:val="0"/>
        <w:widowControl/>
        <w:kinsoku/>
        <w:wordWrap/>
        <w:overflowPunct/>
        <w:topLinePunct w:val="0"/>
        <w:autoSpaceDE/>
        <w:autoSpaceDN/>
        <w:bidi w:val="0"/>
        <w:spacing w:line="480" w:lineRule="exact"/>
        <w:textAlignment w:val="auto"/>
        <w:rPr>
          <w:color w:val="auto"/>
          <w:highlight w:val="none"/>
        </w:rPr>
      </w:pPr>
      <w:r>
        <w:rPr>
          <w:i/>
          <w:color w:val="auto"/>
          <w:highlight w:val="none"/>
        </w:rPr>
        <w:t>pH</w:t>
      </w:r>
      <w:r>
        <w:rPr>
          <w:i/>
          <w:color w:val="auto"/>
          <w:highlight w:val="none"/>
          <w:vertAlign w:val="subscript"/>
        </w:rPr>
        <w:t>su</w:t>
      </w:r>
      <w:r>
        <w:rPr>
          <w:color w:val="auto"/>
          <w:highlight w:val="none"/>
        </w:rPr>
        <w:t>—标准中pH的上限值。</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（3）评价结果</w:t>
      </w:r>
    </w:p>
    <w:p>
      <w:pPr>
        <w:pStyle w:val="57"/>
        <w:pageBreakBefore w:val="0"/>
        <w:widowControl/>
        <w:kinsoku/>
        <w:wordWrap/>
        <w:overflowPunct/>
        <w:topLinePunct w:val="0"/>
        <w:autoSpaceDE/>
        <w:autoSpaceDN/>
        <w:bidi w:val="0"/>
        <w:spacing w:line="480" w:lineRule="exact"/>
        <w:textAlignment w:val="auto"/>
        <w:rPr>
          <w:color w:val="auto"/>
          <w:highlight w:val="none"/>
        </w:rPr>
      </w:pPr>
      <w:bookmarkStart w:id="520" w:name="_Hlk62561677"/>
      <w:r>
        <w:rPr>
          <w:color w:val="auto"/>
          <w:highlight w:val="none"/>
        </w:rPr>
        <w:t>项目区地下水监测及评价结果详见表4.</w:t>
      </w:r>
      <w:r>
        <w:rPr>
          <w:rFonts w:hint="eastAsia"/>
          <w:color w:val="auto"/>
          <w:highlight w:val="none"/>
        </w:rPr>
        <w:t>3-1</w:t>
      </w:r>
      <w:r>
        <w:rPr>
          <w:color w:val="auto"/>
          <w:highlight w:val="none"/>
        </w:rPr>
        <w:t>。从表4.</w:t>
      </w:r>
      <w:r>
        <w:rPr>
          <w:rFonts w:hint="eastAsia"/>
          <w:color w:val="auto"/>
          <w:highlight w:val="none"/>
        </w:rPr>
        <w:t>3-1</w:t>
      </w:r>
      <w:r>
        <w:rPr>
          <w:color w:val="auto"/>
          <w:highlight w:val="none"/>
        </w:rPr>
        <w:t>可以看出，根据监测结果可知，</w:t>
      </w:r>
      <w:r>
        <w:rPr>
          <w:rFonts w:hint="eastAsia"/>
          <w:color w:val="auto"/>
          <w:highlight w:val="none"/>
        </w:rPr>
        <w:t>在监测期间，潜水监测点除总硬度、锰存在一定程度超标外，其余因子均满足《地下水质量标准》</w:t>
      </w:r>
      <w:r>
        <w:rPr>
          <w:rFonts w:hint="eastAsia"/>
          <w:color w:val="auto"/>
          <w:highlight w:val="none"/>
          <w:lang w:eastAsia="zh-CN"/>
        </w:rPr>
        <w:t>（</w:t>
      </w:r>
      <w:r>
        <w:rPr>
          <w:rFonts w:hint="eastAsia"/>
          <w:color w:val="auto"/>
          <w:highlight w:val="none"/>
        </w:rPr>
        <w:t>GB/T14848-2017</w:t>
      </w:r>
      <w:r>
        <w:rPr>
          <w:rFonts w:hint="eastAsia"/>
          <w:color w:val="auto"/>
          <w:highlight w:val="none"/>
          <w:lang w:eastAsia="zh-CN"/>
        </w:rPr>
        <w:t>）</w:t>
      </w:r>
      <w:r>
        <w:rPr>
          <w:rFonts w:hint="eastAsia"/>
          <w:color w:val="auto"/>
          <w:highlight w:val="none"/>
        </w:rPr>
        <w:t>Ⅲ类标准，各潜水监测点中石油类满足《地表水环境质量标准》</w:t>
      </w:r>
      <w:r>
        <w:rPr>
          <w:rFonts w:hint="eastAsia"/>
          <w:color w:val="auto"/>
          <w:highlight w:val="none"/>
          <w:lang w:eastAsia="zh-CN"/>
        </w:rPr>
        <w:t>（</w:t>
      </w:r>
      <w:r>
        <w:rPr>
          <w:rFonts w:hint="eastAsia"/>
          <w:color w:val="auto"/>
          <w:highlight w:val="none"/>
        </w:rPr>
        <w:t>GB3838-2002</w:t>
      </w:r>
      <w:r>
        <w:rPr>
          <w:rFonts w:hint="eastAsia"/>
          <w:color w:val="auto"/>
          <w:highlight w:val="none"/>
          <w:lang w:eastAsia="zh-CN"/>
        </w:rPr>
        <w:t>）</w:t>
      </w:r>
      <w:r>
        <w:rPr>
          <w:rFonts w:hint="eastAsia"/>
          <w:color w:val="auto"/>
          <w:highlight w:val="none"/>
        </w:rPr>
        <w:t>Ⅲ类标准要求。潜水</w:t>
      </w:r>
      <w:r>
        <w:rPr>
          <w:rFonts w:hint="eastAsia"/>
          <w:color w:val="auto"/>
          <w:highlight w:val="none"/>
          <w:lang w:eastAsia="zh-CN"/>
        </w:rPr>
        <w:t>监测点位</w:t>
      </w:r>
      <w:r>
        <w:rPr>
          <w:rFonts w:hint="eastAsia"/>
          <w:color w:val="auto"/>
          <w:highlight w:val="none"/>
        </w:rPr>
        <w:t>硬度、锰超标与区域水文地质条件有关，该地区地下水位高，土壤含盐量大，盐分易升至地表造成的。</w:t>
      </w:r>
    </w:p>
    <w:bookmarkEnd w:id="520"/>
    <w:p>
      <w:pPr>
        <w:rPr>
          <w:color w:val="auto"/>
          <w:highlight w:val="none"/>
          <w:lang w:bidi="ar"/>
        </w:rPr>
      </w:pPr>
    </w:p>
    <w:p>
      <w:pPr>
        <w:pStyle w:val="5"/>
        <w:rPr>
          <w:color w:val="auto"/>
          <w:highlight w:val="none"/>
          <w:lang w:bidi="ar"/>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521" w:name="OLE_LINK38"/>
      <w:r>
        <w:rPr>
          <w:color w:val="auto"/>
          <w:highlight w:val="none"/>
        </w:rPr>
        <w:t>表4.</w:t>
      </w:r>
      <w:r>
        <w:rPr>
          <w:rFonts w:hint="eastAsia"/>
          <w:color w:val="auto"/>
          <w:highlight w:val="none"/>
        </w:rPr>
        <w:t>3-1（1）</w:t>
      </w:r>
      <w:r>
        <w:rPr>
          <w:color w:val="auto"/>
          <w:highlight w:val="none"/>
        </w:rPr>
        <w:t xml:space="preserve">     地下水质量现状监测及评价结果一览表</w:t>
      </w:r>
    </w:p>
    <w:bookmarkEnd w:id="521"/>
    <w:tbl>
      <w:tblPr>
        <w:tblStyle w:val="62"/>
        <w:tblW w:w="14089"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18"/>
        <w:gridCol w:w="659"/>
        <w:gridCol w:w="927"/>
        <w:gridCol w:w="900"/>
        <w:gridCol w:w="1073"/>
        <w:gridCol w:w="952"/>
        <w:gridCol w:w="1065"/>
        <w:gridCol w:w="1068"/>
        <w:gridCol w:w="1195"/>
        <w:gridCol w:w="1197"/>
        <w:gridCol w:w="977"/>
        <w:gridCol w:w="977"/>
        <w:gridCol w:w="98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8762" w:type="dxa"/>
            <w:gridSpan w:val="8"/>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bookmarkStart w:id="522" w:name="OLE_LINK39"/>
            <w:r>
              <w:rPr>
                <w:rFonts w:hint="default" w:ascii="Times New Roman" w:hAnsi="Times New Roman" w:eastAsia="宋体" w:cs="Times New Roman"/>
                <w:color w:val="auto"/>
                <w:sz w:val="21"/>
                <w:szCs w:val="21"/>
                <w:highlight w:val="none"/>
                <w:lang w:val="en-US" w:eastAsia="zh-CN" w:bidi="ar"/>
              </w:rPr>
              <w:t>检测结果</w:t>
            </w:r>
          </w:p>
        </w:tc>
        <w:tc>
          <w:tcPr>
            <w:tcW w:w="5327" w:type="dxa"/>
            <w:gridSpan w:val="5"/>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标准指数（无量纲）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3704" w:type="dxa"/>
            <w:gridSpan w:val="3"/>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检测点位</w:t>
            </w:r>
          </w:p>
        </w:tc>
        <w:tc>
          <w:tcPr>
            <w:tcW w:w="900"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w:t>
            </w:r>
          </w:p>
        </w:tc>
        <w:tc>
          <w:tcPr>
            <w:tcW w:w="1073"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w:t>
            </w:r>
          </w:p>
        </w:tc>
        <w:tc>
          <w:tcPr>
            <w:tcW w:w="952"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3</w:t>
            </w:r>
          </w:p>
        </w:tc>
        <w:tc>
          <w:tcPr>
            <w:tcW w:w="1065"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4</w:t>
            </w:r>
          </w:p>
        </w:tc>
        <w:tc>
          <w:tcPr>
            <w:tcW w:w="1068"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w:t>
            </w:r>
          </w:p>
        </w:tc>
        <w:tc>
          <w:tcPr>
            <w:tcW w:w="1195"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1</w:t>
            </w:r>
          </w:p>
        </w:tc>
        <w:tc>
          <w:tcPr>
            <w:tcW w:w="1197"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2</w:t>
            </w:r>
          </w:p>
        </w:tc>
        <w:tc>
          <w:tcPr>
            <w:tcW w:w="977"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3</w:t>
            </w:r>
          </w:p>
        </w:tc>
        <w:tc>
          <w:tcPr>
            <w:tcW w:w="977"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4</w:t>
            </w:r>
          </w:p>
        </w:tc>
        <w:tc>
          <w:tcPr>
            <w:tcW w:w="981"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检测项目</w:t>
            </w:r>
          </w:p>
        </w:tc>
        <w:tc>
          <w:tcPr>
            <w:tcW w:w="659"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单位</w:t>
            </w:r>
          </w:p>
        </w:tc>
        <w:tc>
          <w:tcPr>
            <w:tcW w:w="927"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标准限值（III类）</w:t>
            </w:r>
          </w:p>
        </w:tc>
        <w:tc>
          <w:tcPr>
            <w:tcW w:w="900"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夏水7</w:t>
            </w:r>
          </w:p>
        </w:tc>
        <w:tc>
          <w:tcPr>
            <w:tcW w:w="1073"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夏水9</w:t>
            </w:r>
          </w:p>
        </w:tc>
        <w:tc>
          <w:tcPr>
            <w:tcW w:w="952"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夏水18</w:t>
            </w:r>
          </w:p>
        </w:tc>
        <w:tc>
          <w:tcPr>
            <w:tcW w:w="1065"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夏水21</w:t>
            </w:r>
          </w:p>
        </w:tc>
        <w:tc>
          <w:tcPr>
            <w:tcW w:w="1068"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夏水19</w:t>
            </w:r>
          </w:p>
        </w:tc>
        <w:tc>
          <w:tcPr>
            <w:tcW w:w="1195"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夏水7</w:t>
            </w:r>
          </w:p>
        </w:tc>
        <w:tc>
          <w:tcPr>
            <w:tcW w:w="1197"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夏水9</w:t>
            </w:r>
          </w:p>
        </w:tc>
        <w:tc>
          <w:tcPr>
            <w:tcW w:w="977"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夏水18</w:t>
            </w:r>
          </w:p>
        </w:tc>
        <w:tc>
          <w:tcPr>
            <w:tcW w:w="977"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夏水21</w:t>
            </w:r>
          </w:p>
        </w:tc>
        <w:tc>
          <w:tcPr>
            <w:tcW w:w="981"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夏水19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pStyle w:val="79"/>
              <w:spacing w:before="94" w:line="18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pH</w:t>
            </w:r>
          </w:p>
        </w:tc>
        <w:tc>
          <w:tcPr>
            <w:tcW w:w="659" w:type="dxa"/>
            <w:tcBorders>
              <w:tl2br w:val="nil"/>
              <w:tr2bl w:val="nil"/>
            </w:tcBorders>
            <w:vAlign w:val="center"/>
          </w:tcPr>
          <w:p>
            <w:pPr>
              <w:pStyle w:val="79"/>
              <w:spacing w:before="58" w:line="221"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无量纲</w:t>
            </w:r>
          </w:p>
        </w:tc>
        <w:tc>
          <w:tcPr>
            <w:tcW w:w="927" w:type="dxa"/>
            <w:tcBorders>
              <w:tl2br w:val="nil"/>
              <w:tr2bl w:val="nil"/>
            </w:tcBorders>
            <w:vAlign w:val="center"/>
          </w:tcPr>
          <w:p>
            <w:pPr>
              <w:pStyle w:val="79"/>
              <w:spacing w:before="57" w:line="215" w:lineRule="auto"/>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6.5~8.5</w:t>
            </w:r>
          </w:p>
        </w:tc>
        <w:tc>
          <w:tcPr>
            <w:tcW w:w="900" w:type="dxa"/>
            <w:tcBorders>
              <w:tl2br w:val="nil"/>
              <w:tr2bl w:val="nil"/>
            </w:tcBorders>
            <w:vAlign w:val="center"/>
          </w:tcPr>
          <w:p>
            <w:pPr>
              <w:pStyle w:val="79"/>
              <w:spacing w:before="57" w:line="215" w:lineRule="auto"/>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6.8</w:t>
            </w:r>
          </w:p>
        </w:tc>
        <w:tc>
          <w:tcPr>
            <w:tcW w:w="1073" w:type="dxa"/>
            <w:tcBorders>
              <w:tl2br w:val="nil"/>
              <w:tr2bl w:val="nil"/>
            </w:tcBorders>
            <w:vAlign w:val="center"/>
          </w:tcPr>
          <w:p>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8.3</w:t>
            </w:r>
          </w:p>
        </w:tc>
        <w:tc>
          <w:tcPr>
            <w:tcW w:w="952" w:type="dxa"/>
            <w:tcBorders>
              <w:tl2br w:val="nil"/>
              <w:tr2bl w:val="nil"/>
            </w:tcBorders>
            <w:vAlign w:val="center"/>
          </w:tcPr>
          <w:p>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7.2</w:t>
            </w:r>
          </w:p>
        </w:tc>
        <w:tc>
          <w:tcPr>
            <w:tcW w:w="1065" w:type="dxa"/>
            <w:tcBorders>
              <w:tl2br w:val="nil"/>
              <w:tr2bl w:val="nil"/>
            </w:tcBorders>
            <w:vAlign w:val="center"/>
          </w:tcPr>
          <w:p>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7.4</w:t>
            </w:r>
          </w:p>
        </w:tc>
        <w:tc>
          <w:tcPr>
            <w:tcW w:w="1068" w:type="dxa"/>
            <w:tcBorders>
              <w:tl2br w:val="nil"/>
              <w:tr2bl w:val="nil"/>
            </w:tcBorders>
            <w:vAlign w:val="center"/>
          </w:tcPr>
          <w:p>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7.2</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0.4000</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0.8667</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0.1333</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0.2667</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0.1333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pStyle w:val="79"/>
              <w:spacing w:before="5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氨氮</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≤0.50</w:t>
            </w:r>
          </w:p>
        </w:tc>
        <w:tc>
          <w:tcPr>
            <w:tcW w:w="900" w:type="dxa"/>
            <w:tcBorders>
              <w:tl2br w:val="nil"/>
              <w:tr2bl w:val="nil"/>
            </w:tcBorders>
            <w:vAlign w:val="center"/>
          </w:tcPr>
          <w:p>
            <w:pPr>
              <w:pStyle w:val="79"/>
              <w:spacing w:before="92"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0.352</w:t>
            </w:r>
          </w:p>
        </w:tc>
        <w:tc>
          <w:tcPr>
            <w:tcW w:w="1073"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0.416</w:t>
            </w:r>
          </w:p>
        </w:tc>
        <w:tc>
          <w:tcPr>
            <w:tcW w:w="952" w:type="dxa"/>
            <w:tcBorders>
              <w:tl2br w:val="nil"/>
              <w:tr2bl w:val="nil"/>
            </w:tcBorders>
            <w:vAlign w:val="center"/>
          </w:tcPr>
          <w:p>
            <w:pPr>
              <w:pStyle w:val="79"/>
              <w:spacing w:before="92"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0.403</w:t>
            </w:r>
          </w:p>
        </w:tc>
        <w:tc>
          <w:tcPr>
            <w:tcW w:w="1065" w:type="dxa"/>
            <w:tcBorders>
              <w:tl2br w:val="nil"/>
              <w:tr2bl w:val="nil"/>
            </w:tcBorders>
            <w:vAlign w:val="center"/>
          </w:tcPr>
          <w:p>
            <w:pPr>
              <w:pStyle w:val="79"/>
              <w:spacing w:before="92"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0.389</w:t>
            </w:r>
          </w:p>
        </w:tc>
        <w:tc>
          <w:tcPr>
            <w:tcW w:w="1068"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0.411</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0.7040</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0.8320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0.8060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0.7780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0.8220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pStyle w:val="79"/>
              <w:spacing w:before="5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硝酸盐氮</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20.0</w:t>
            </w:r>
          </w:p>
        </w:tc>
        <w:tc>
          <w:tcPr>
            <w:tcW w:w="900" w:type="dxa"/>
            <w:tcBorders>
              <w:tl2br w:val="nil"/>
              <w:tr2bl w:val="nil"/>
            </w:tcBorders>
            <w:vAlign w:val="center"/>
          </w:tcPr>
          <w:p>
            <w:pPr>
              <w:pStyle w:val="79"/>
              <w:spacing w:before="92"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0.09</w:t>
            </w:r>
          </w:p>
        </w:tc>
        <w:tc>
          <w:tcPr>
            <w:tcW w:w="1073"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0.13</w:t>
            </w:r>
          </w:p>
        </w:tc>
        <w:tc>
          <w:tcPr>
            <w:tcW w:w="952"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0.11</w:t>
            </w:r>
          </w:p>
        </w:tc>
        <w:tc>
          <w:tcPr>
            <w:tcW w:w="1065"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0.11</w:t>
            </w:r>
          </w:p>
        </w:tc>
        <w:tc>
          <w:tcPr>
            <w:tcW w:w="1068"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0.14</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0.0900</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0.1300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0.1100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0.1100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亚硝酸盐氮</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1.0</w:t>
            </w:r>
          </w:p>
        </w:tc>
        <w:tc>
          <w:tcPr>
            <w:tcW w:w="900" w:type="dxa"/>
            <w:tcBorders>
              <w:tl2br w:val="nil"/>
              <w:tr2bl w:val="nil"/>
            </w:tcBorders>
            <w:vAlign w:val="center"/>
          </w:tcPr>
          <w:p>
            <w:pPr>
              <w:pStyle w:val="79"/>
              <w:spacing w:before="87"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0.13</w:t>
            </w:r>
          </w:p>
        </w:tc>
        <w:tc>
          <w:tcPr>
            <w:tcW w:w="1073" w:type="dxa"/>
            <w:tcBorders>
              <w:tl2br w:val="nil"/>
              <w:tr2bl w:val="nil"/>
            </w:tcBorders>
            <w:vAlign w:val="center"/>
          </w:tcPr>
          <w:p>
            <w:pPr>
              <w:pStyle w:val="79"/>
              <w:spacing w:before="88"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0.2</w:t>
            </w:r>
          </w:p>
        </w:tc>
        <w:tc>
          <w:tcPr>
            <w:tcW w:w="952" w:type="dxa"/>
            <w:tcBorders>
              <w:tl2br w:val="nil"/>
              <w:tr2bl w:val="nil"/>
            </w:tcBorders>
            <w:vAlign w:val="center"/>
          </w:tcPr>
          <w:p>
            <w:pPr>
              <w:pStyle w:val="79"/>
              <w:spacing w:before="88"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0.22</w:t>
            </w:r>
          </w:p>
        </w:tc>
        <w:tc>
          <w:tcPr>
            <w:tcW w:w="1065" w:type="dxa"/>
            <w:tcBorders>
              <w:tl2br w:val="nil"/>
              <w:tr2bl w:val="nil"/>
            </w:tcBorders>
            <w:vAlign w:val="center"/>
          </w:tcPr>
          <w:p>
            <w:pPr>
              <w:pStyle w:val="79"/>
              <w:spacing w:before="87"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0.16</w:t>
            </w:r>
          </w:p>
        </w:tc>
        <w:tc>
          <w:tcPr>
            <w:tcW w:w="1068" w:type="dxa"/>
            <w:tcBorders>
              <w:tl2br w:val="nil"/>
              <w:tr2bl w:val="nil"/>
            </w:tcBorders>
            <w:vAlign w:val="center"/>
          </w:tcPr>
          <w:p>
            <w:pPr>
              <w:pStyle w:val="79"/>
              <w:spacing w:before="87"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0.16</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0.0065</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0.0100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0.0110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0.0080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0.0080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pStyle w:val="79"/>
              <w:spacing w:before="52" w:line="22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挥发酚</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0.002</w:t>
            </w:r>
          </w:p>
        </w:tc>
        <w:tc>
          <w:tcPr>
            <w:tcW w:w="900" w:type="dxa"/>
            <w:tcBorders>
              <w:tl2br w:val="nil"/>
              <w:tr2bl w:val="nil"/>
            </w:tcBorders>
            <w:vAlign w:val="center"/>
          </w:tcPr>
          <w:p>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1073" w:type="dxa"/>
            <w:tcBorders>
              <w:tl2br w:val="nil"/>
              <w:tr2bl w:val="nil"/>
            </w:tcBorders>
            <w:vAlign w:val="center"/>
          </w:tcPr>
          <w:p>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952" w:type="dxa"/>
            <w:tcBorders>
              <w:tl2br w:val="nil"/>
              <w:tr2bl w:val="nil"/>
            </w:tcBorders>
            <w:vAlign w:val="center"/>
          </w:tcPr>
          <w:p>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1065" w:type="dxa"/>
            <w:tcBorders>
              <w:tl2br w:val="nil"/>
              <w:tr2bl w:val="nil"/>
            </w:tcBorders>
            <w:vAlign w:val="center"/>
          </w:tcPr>
          <w:p>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1068" w:type="dxa"/>
            <w:tcBorders>
              <w:tl2br w:val="nil"/>
              <w:tr2bl w:val="nil"/>
            </w:tcBorders>
            <w:vAlign w:val="center"/>
          </w:tcPr>
          <w:p>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0.0003L</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0.0750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pStyle w:val="79"/>
              <w:spacing w:before="4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耗氧量</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3.0</w:t>
            </w:r>
          </w:p>
        </w:tc>
        <w:tc>
          <w:tcPr>
            <w:tcW w:w="900" w:type="dxa"/>
            <w:tcBorders>
              <w:tl2br w:val="nil"/>
              <w:tr2bl w:val="nil"/>
            </w:tcBorders>
            <w:vAlign w:val="center"/>
          </w:tcPr>
          <w:p>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w:t>
            </w:r>
          </w:p>
        </w:tc>
        <w:tc>
          <w:tcPr>
            <w:tcW w:w="1073" w:type="dxa"/>
            <w:tcBorders>
              <w:tl2br w:val="nil"/>
              <w:tr2bl w:val="nil"/>
            </w:tcBorders>
            <w:vAlign w:val="center"/>
          </w:tcPr>
          <w:p>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1.6</w:t>
            </w:r>
          </w:p>
        </w:tc>
        <w:tc>
          <w:tcPr>
            <w:tcW w:w="952" w:type="dxa"/>
            <w:tcBorders>
              <w:tl2br w:val="nil"/>
              <w:tr2bl w:val="nil"/>
            </w:tcBorders>
            <w:vAlign w:val="center"/>
          </w:tcPr>
          <w:p>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1.9</w:t>
            </w:r>
          </w:p>
        </w:tc>
        <w:tc>
          <w:tcPr>
            <w:tcW w:w="1065" w:type="dxa"/>
            <w:tcBorders>
              <w:tl2br w:val="nil"/>
              <w:tr2bl w:val="nil"/>
            </w:tcBorders>
            <w:vAlign w:val="center"/>
          </w:tcPr>
          <w:p>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1.8</w:t>
            </w:r>
          </w:p>
        </w:tc>
        <w:tc>
          <w:tcPr>
            <w:tcW w:w="1068" w:type="dxa"/>
            <w:tcBorders>
              <w:tl2br w:val="nil"/>
              <w:tr2bl w:val="nil"/>
            </w:tcBorders>
            <w:vAlign w:val="center"/>
          </w:tcPr>
          <w:p>
            <w:pPr>
              <w:pStyle w:val="79"/>
              <w:spacing w:before="8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1.6</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0.4667</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0.5333</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0.6333</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0.6000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0.5333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pStyle w:val="79"/>
              <w:spacing w:before="50" w:line="22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b/>
                <w:bCs/>
                <w:color w:val="auto"/>
                <w:sz w:val="21"/>
                <w:szCs w:val="21"/>
                <w:highlight w:val="none"/>
                <w:lang w:val="en-US" w:eastAsia="zh-CN" w:bidi="ar"/>
              </w:rPr>
              <w:t>总硬度</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eastAsia="zh-CN" w:bidi="ar"/>
              </w:rPr>
            </w:pPr>
            <w:bookmarkStart w:id="523" w:name="OLE_LINK42"/>
            <w:r>
              <w:rPr>
                <w:rFonts w:hint="default" w:eastAsia="宋体"/>
                <w:color w:val="auto"/>
                <w:highlight w:val="none"/>
                <w:lang w:bidi="ar"/>
              </w:rPr>
              <w:t>≤</w:t>
            </w:r>
            <w:r>
              <w:rPr>
                <w:rFonts w:hint="eastAsia" w:eastAsia="宋体"/>
                <w:color w:val="auto"/>
                <w:highlight w:val="none"/>
                <w:lang w:val="en-US" w:eastAsia="zh-CN" w:bidi="ar"/>
              </w:rPr>
              <w:t>450</w:t>
            </w:r>
            <w:bookmarkEnd w:id="523"/>
          </w:p>
        </w:tc>
        <w:tc>
          <w:tcPr>
            <w:tcW w:w="900" w:type="dxa"/>
            <w:tcBorders>
              <w:tl2br w:val="nil"/>
              <w:tr2bl w:val="nil"/>
            </w:tcBorders>
            <w:vAlign w:val="center"/>
          </w:tcPr>
          <w:p>
            <w:pPr>
              <w:pStyle w:val="79"/>
              <w:spacing w:before="84" w:line="183"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2"/>
                <w:sz w:val="21"/>
                <w:szCs w:val="21"/>
              </w:rPr>
              <w:t>2106</w:t>
            </w:r>
          </w:p>
        </w:tc>
        <w:tc>
          <w:tcPr>
            <w:tcW w:w="1073" w:type="dxa"/>
            <w:tcBorders>
              <w:tl2br w:val="nil"/>
              <w:tr2bl w:val="nil"/>
            </w:tcBorders>
            <w:vAlign w:val="center"/>
          </w:tcPr>
          <w:p>
            <w:pPr>
              <w:pStyle w:val="79"/>
              <w:spacing w:before="84" w:line="183"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2"/>
                <w:sz w:val="21"/>
                <w:szCs w:val="21"/>
              </w:rPr>
              <w:t>2019</w:t>
            </w:r>
          </w:p>
        </w:tc>
        <w:tc>
          <w:tcPr>
            <w:tcW w:w="952" w:type="dxa"/>
            <w:tcBorders>
              <w:tl2br w:val="nil"/>
              <w:tr2bl w:val="nil"/>
            </w:tcBorders>
            <w:vAlign w:val="center"/>
          </w:tcPr>
          <w:p>
            <w:pPr>
              <w:pStyle w:val="79"/>
              <w:spacing w:before="84" w:line="183"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5"/>
                <w:sz w:val="21"/>
                <w:szCs w:val="21"/>
              </w:rPr>
              <w:t>1897</w:t>
            </w:r>
          </w:p>
        </w:tc>
        <w:tc>
          <w:tcPr>
            <w:tcW w:w="1065" w:type="dxa"/>
            <w:tcBorders>
              <w:tl2br w:val="nil"/>
              <w:tr2bl w:val="nil"/>
            </w:tcBorders>
            <w:vAlign w:val="center"/>
          </w:tcPr>
          <w:p>
            <w:pPr>
              <w:pStyle w:val="79"/>
              <w:spacing w:before="85" w:line="182"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2"/>
                <w:sz w:val="21"/>
                <w:szCs w:val="21"/>
              </w:rPr>
              <w:t>2034</w:t>
            </w:r>
          </w:p>
        </w:tc>
        <w:tc>
          <w:tcPr>
            <w:tcW w:w="1068" w:type="dxa"/>
            <w:tcBorders>
              <w:tl2br w:val="nil"/>
              <w:tr2bl w:val="nil"/>
            </w:tcBorders>
            <w:vAlign w:val="center"/>
          </w:tcPr>
          <w:p>
            <w:pPr>
              <w:pStyle w:val="79"/>
              <w:spacing w:before="85" w:line="182" w:lineRule="auto"/>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pacing w:val="-2"/>
                <w:sz w:val="21"/>
                <w:szCs w:val="21"/>
              </w:rPr>
              <w:t>2052</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4.6800</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4.4867</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4.2156</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4.5200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4.5600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溶解性总固体</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1000</w:t>
            </w:r>
          </w:p>
        </w:tc>
        <w:tc>
          <w:tcPr>
            <w:tcW w:w="900" w:type="dxa"/>
            <w:tcBorders>
              <w:tl2br w:val="nil"/>
              <w:tr2bl w:val="nil"/>
            </w:tcBorders>
            <w:vAlign w:val="center"/>
          </w:tcPr>
          <w:p>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523</w:t>
            </w:r>
          </w:p>
        </w:tc>
        <w:tc>
          <w:tcPr>
            <w:tcW w:w="1073" w:type="dxa"/>
            <w:tcBorders>
              <w:tl2br w:val="nil"/>
              <w:tr2bl w:val="nil"/>
            </w:tcBorders>
            <w:vAlign w:val="center"/>
          </w:tcPr>
          <w:p>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498</w:t>
            </w:r>
          </w:p>
        </w:tc>
        <w:tc>
          <w:tcPr>
            <w:tcW w:w="952" w:type="dxa"/>
            <w:tcBorders>
              <w:tl2br w:val="nil"/>
              <w:tr2bl w:val="nil"/>
            </w:tcBorders>
            <w:vAlign w:val="center"/>
          </w:tcPr>
          <w:p>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463</w:t>
            </w:r>
          </w:p>
        </w:tc>
        <w:tc>
          <w:tcPr>
            <w:tcW w:w="1065" w:type="dxa"/>
            <w:tcBorders>
              <w:tl2br w:val="nil"/>
              <w:tr2bl w:val="nil"/>
            </w:tcBorders>
            <w:vAlign w:val="center"/>
          </w:tcPr>
          <w:p>
            <w:pPr>
              <w:pStyle w:val="79"/>
              <w:spacing w:before="86"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501</w:t>
            </w:r>
          </w:p>
        </w:tc>
        <w:tc>
          <w:tcPr>
            <w:tcW w:w="1068" w:type="dxa"/>
            <w:tcBorders>
              <w:tl2br w:val="nil"/>
              <w:tr2bl w:val="nil"/>
            </w:tcBorders>
            <w:vAlign w:val="center"/>
          </w:tcPr>
          <w:p>
            <w:pPr>
              <w:pStyle w:val="79"/>
              <w:spacing w:before="8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469</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0.5230</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0.4980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0.4630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0.5010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0.4690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氯化物（以Cl</w:t>
            </w:r>
            <w:r>
              <w:rPr>
                <w:rFonts w:hint="default" w:eastAsia="宋体"/>
                <w:color w:val="auto"/>
                <w:highlight w:val="none"/>
                <w:vertAlign w:val="superscript"/>
                <w:lang w:bidi="ar"/>
              </w:rPr>
              <w:t>-</w:t>
            </w:r>
            <w:r>
              <w:rPr>
                <w:rFonts w:hint="default" w:eastAsia="宋体"/>
                <w:color w:val="auto"/>
                <w:highlight w:val="none"/>
                <w:lang w:bidi="ar"/>
              </w:rPr>
              <w:t>计）</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bidi="ar"/>
              </w:rPr>
            </w:pPr>
            <w:bookmarkStart w:id="524" w:name="OLE_LINK43"/>
            <w:r>
              <w:rPr>
                <w:rFonts w:hint="default" w:eastAsia="宋体"/>
                <w:color w:val="auto"/>
                <w:highlight w:val="none"/>
                <w:lang w:bidi="ar"/>
              </w:rPr>
              <w:t>≤</w:t>
            </w:r>
            <w:r>
              <w:rPr>
                <w:rFonts w:hint="eastAsia" w:eastAsia="宋体"/>
                <w:color w:val="auto"/>
                <w:highlight w:val="none"/>
                <w:lang w:val="en-US" w:eastAsia="zh-CN" w:bidi="ar"/>
              </w:rPr>
              <w:t>250</w:t>
            </w:r>
            <w:bookmarkEnd w:id="524"/>
          </w:p>
        </w:tc>
        <w:tc>
          <w:tcPr>
            <w:tcW w:w="900" w:type="dxa"/>
            <w:tcBorders>
              <w:tl2br w:val="nil"/>
              <w:tr2bl w:val="nil"/>
            </w:tcBorders>
            <w:vAlign w:val="center"/>
          </w:tcPr>
          <w:p>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116</w:t>
            </w:r>
          </w:p>
        </w:tc>
        <w:tc>
          <w:tcPr>
            <w:tcW w:w="1073" w:type="dxa"/>
            <w:tcBorders>
              <w:tl2br w:val="nil"/>
              <w:tr2bl w:val="nil"/>
            </w:tcBorders>
            <w:vAlign w:val="center"/>
          </w:tcPr>
          <w:p>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183</w:t>
            </w:r>
          </w:p>
        </w:tc>
        <w:tc>
          <w:tcPr>
            <w:tcW w:w="952" w:type="dxa"/>
            <w:tcBorders>
              <w:tl2br w:val="nil"/>
              <w:tr2bl w:val="nil"/>
            </w:tcBorders>
            <w:vAlign w:val="center"/>
          </w:tcPr>
          <w:p>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146</w:t>
            </w:r>
          </w:p>
        </w:tc>
        <w:tc>
          <w:tcPr>
            <w:tcW w:w="1065" w:type="dxa"/>
            <w:tcBorders>
              <w:tl2br w:val="nil"/>
              <w:tr2bl w:val="nil"/>
            </w:tcBorders>
            <w:vAlign w:val="center"/>
          </w:tcPr>
          <w:p>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135</w:t>
            </w:r>
          </w:p>
        </w:tc>
        <w:tc>
          <w:tcPr>
            <w:tcW w:w="1068" w:type="dxa"/>
            <w:tcBorders>
              <w:tl2br w:val="nil"/>
              <w:tr2bl w:val="nil"/>
            </w:tcBorders>
            <w:vAlign w:val="center"/>
          </w:tcPr>
          <w:p>
            <w:pPr>
              <w:pStyle w:val="79"/>
              <w:spacing w:before="8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150</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0.4640</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0.7320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0.5840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0.5400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0.6000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硫酸盐（以SO4</w:t>
            </w:r>
            <w:r>
              <w:rPr>
                <w:rFonts w:hint="eastAsia" w:eastAsia="宋体"/>
                <w:color w:val="auto"/>
                <w:highlight w:val="none"/>
                <w:vertAlign w:val="superscript"/>
                <w:lang w:val="en-US" w:eastAsia="zh-CN" w:bidi="ar"/>
              </w:rPr>
              <w:t>2-</w:t>
            </w:r>
            <w:r>
              <w:rPr>
                <w:rFonts w:hint="default" w:eastAsia="宋体"/>
                <w:color w:val="auto"/>
                <w:highlight w:val="none"/>
                <w:lang w:bidi="ar"/>
              </w:rPr>
              <w:t>计）</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bidi="ar"/>
              </w:rPr>
            </w:pPr>
            <w:bookmarkStart w:id="525" w:name="OLE_LINK44"/>
            <w:r>
              <w:rPr>
                <w:rFonts w:hint="default" w:eastAsia="宋体"/>
                <w:color w:val="auto"/>
                <w:highlight w:val="none"/>
                <w:lang w:bidi="ar"/>
              </w:rPr>
              <w:t>≤</w:t>
            </w:r>
            <w:r>
              <w:rPr>
                <w:rFonts w:hint="eastAsia" w:eastAsia="宋体"/>
                <w:color w:val="auto"/>
                <w:highlight w:val="none"/>
                <w:lang w:val="en-US" w:eastAsia="zh-CN" w:bidi="ar"/>
              </w:rPr>
              <w:t>250</w:t>
            </w:r>
            <w:bookmarkEnd w:id="525"/>
          </w:p>
        </w:tc>
        <w:tc>
          <w:tcPr>
            <w:tcW w:w="900" w:type="dxa"/>
            <w:tcBorders>
              <w:tl2br w:val="nil"/>
              <w:tr2bl w:val="nil"/>
            </w:tcBorders>
            <w:vAlign w:val="center"/>
          </w:tcPr>
          <w:p>
            <w:pPr>
              <w:pStyle w:val="79"/>
              <w:spacing w:before="90"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98</w:t>
            </w:r>
          </w:p>
        </w:tc>
        <w:tc>
          <w:tcPr>
            <w:tcW w:w="1073" w:type="dxa"/>
            <w:tcBorders>
              <w:tl2br w:val="nil"/>
              <w:tr2bl w:val="nil"/>
            </w:tcBorders>
            <w:vAlign w:val="center"/>
          </w:tcPr>
          <w:p>
            <w:pPr>
              <w:pStyle w:val="79"/>
              <w:spacing w:before="89"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123</w:t>
            </w:r>
          </w:p>
        </w:tc>
        <w:tc>
          <w:tcPr>
            <w:tcW w:w="952" w:type="dxa"/>
            <w:tcBorders>
              <w:tl2br w:val="nil"/>
              <w:tr2bl w:val="nil"/>
            </w:tcBorders>
            <w:vAlign w:val="center"/>
          </w:tcPr>
          <w:p>
            <w:pPr>
              <w:pStyle w:val="79"/>
              <w:spacing w:before="90"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93</w:t>
            </w:r>
          </w:p>
        </w:tc>
        <w:tc>
          <w:tcPr>
            <w:tcW w:w="1065" w:type="dxa"/>
            <w:tcBorders>
              <w:tl2br w:val="nil"/>
              <w:tr2bl w:val="nil"/>
            </w:tcBorders>
            <w:vAlign w:val="center"/>
          </w:tcPr>
          <w:p>
            <w:pPr>
              <w:pStyle w:val="79"/>
              <w:spacing w:before="89"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102</w:t>
            </w:r>
          </w:p>
        </w:tc>
        <w:tc>
          <w:tcPr>
            <w:tcW w:w="1068" w:type="dxa"/>
            <w:tcBorders>
              <w:tl2br w:val="nil"/>
              <w:tr2bl w:val="nil"/>
            </w:tcBorders>
            <w:vAlign w:val="center"/>
          </w:tcPr>
          <w:p>
            <w:pPr>
              <w:pStyle w:val="79"/>
              <w:spacing w:before="90"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96</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0.3920</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0.4920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0.3720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0.4080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0.3840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硫化物</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0.02</w:t>
            </w:r>
          </w:p>
        </w:tc>
        <w:tc>
          <w:tcPr>
            <w:tcW w:w="900"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1073"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952"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1065"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1068" w:type="dxa"/>
            <w:tcBorders>
              <w:tl2br w:val="nil"/>
              <w:tr2bl w:val="nil"/>
            </w:tcBorders>
            <w:vAlign w:val="center"/>
          </w:tcPr>
          <w:p>
            <w:pPr>
              <w:pStyle w:val="79"/>
              <w:spacing w:before="91"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0.01L</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阴离子表面活性剂</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bidi="ar"/>
              </w:rPr>
            </w:pPr>
            <w:bookmarkStart w:id="526" w:name="OLE_LINK45"/>
            <w:r>
              <w:rPr>
                <w:rFonts w:hint="default" w:eastAsia="宋体"/>
                <w:color w:val="auto"/>
                <w:highlight w:val="none"/>
                <w:lang w:bidi="ar"/>
              </w:rPr>
              <w:t>≤</w:t>
            </w:r>
            <w:r>
              <w:rPr>
                <w:rFonts w:hint="eastAsia" w:eastAsia="宋体"/>
                <w:color w:val="auto"/>
                <w:highlight w:val="none"/>
                <w:lang w:val="en-US" w:eastAsia="zh-CN" w:bidi="ar"/>
              </w:rPr>
              <w:t>0.3</w:t>
            </w:r>
            <w:bookmarkEnd w:id="526"/>
          </w:p>
        </w:tc>
        <w:tc>
          <w:tcPr>
            <w:tcW w:w="900"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1073"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952"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1065"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1068"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0.05L</w:t>
            </w:r>
          </w:p>
        </w:tc>
        <w:tc>
          <w:tcPr>
            <w:tcW w:w="1195"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c>
          <w:tcPr>
            <w:tcW w:w="119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c>
          <w:tcPr>
            <w:tcW w:w="977"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c>
          <w:tcPr>
            <w:tcW w:w="981"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0.0833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钾</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pPr>
              <w:pStyle w:val="79"/>
              <w:spacing w:before="94"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52.4</w:t>
            </w:r>
          </w:p>
        </w:tc>
        <w:tc>
          <w:tcPr>
            <w:tcW w:w="1073" w:type="dxa"/>
            <w:tcBorders>
              <w:tl2br w:val="nil"/>
              <w:tr2bl w:val="nil"/>
            </w:tcBorders>
            <w:vAlign w:val="center"/>
          </w:tcPr>
          <w:p>
            <w:pPr>
              <w:pStyle w:val="79"/>
              <w:spacing w:before="94"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34.68</w:t>
            </w:r>
          </w:p>
        </w:tc>
        <w:tc>
          <w:tcPr>
            <w:tcW w:w="952" w:type="dxa"/>
            <w:tcBorders>
              <w:tl2br w:val="nil"/>
              <w:tr2bl w:val="nil"/>
            </w:tcBorders>
            <w:vAlign w:val="center"/>
          </w:tcPr>
          <w:p>
            <w:pPr>
              <w:pStyle w:val="79"/>
              <w:spacing w:before="94"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42.65</w:t>
            </w:r>
          </w:p>
        </w:tc>
        <w:tc>
          <w:tcPr>
            <w:tcW w:w="1065" w:type="dxa"/>
            <w:tcBorders>
              <w:tl2br w:val="nil"/>
              <w:tr2bl w:val="nil"/>
            </w:tcBorders>
            <w:vAlign w:val="center"/>
          </w:tcPr>
          <w:p>
            <w:pPr>
              <w:pStyle w:val="79"/>
              <w:spacing w:before="93"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40.81</w:t>
            </w:r>
          </w:p>
        </w:tc>
        <w:tc>
          <w:tcPr>
            <w:tcW w:w="1068" w:type="dxa"/>
            <w:tcBorders>
              <w:tl2br w:val="nil"/>
              <w:tr2bl w:val="nil"/>
            </w:tcBorders>
            <w:vAlign w:val="center"/>
          </w:tcPr>
          <w:p>
            <w:pPr>
              <w:pStyle w:val="79"/>
              <w:spacing w:before="94"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47.08</w:t>
            </w:r>
          </w:p>
        </w:tc>
        <w:tc>
          <w:tcPr>
            <w:tcW w:w="1195" w:type="dxa"/>
            <w:tcBorders>
              <w:tl2br w:val="nil"/>
              <w:tr2bl w:val="nil"/>
            </w:tcBorders>
            <w:vAlign w:val="center"/>
          </w:tcPr>
          <w:p>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pPr>
              <w:pStyle w:val="79"/>
              <w:spacing w:before="58"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钠</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pPr>
              <w:pStyle w:val="79"/>
              <w:spacing w:before="9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63.43</w:t>
            </w:r>
          </w:p>
        </w:tc>
        <w:tc>
          <w:tcPr>
            <w:tcW w:w="1073" w:type="dxa"/>
            <w:tcBorders>
              <w:tl2br w:val="nil"/>
              <w:tr2bl w:val="nil"/>
            </w:tcBorders>
            <w:vAlign w:val="center"/>
          </w:tcPr>
          <w:p>
            <w:pPr>
              <w:pStyle w:val="79"/>
              <w:spacing w:before="90"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61.39</w:t>
            </w:r>
          </w:p>
        </w:tc>
        <w:tc>
          <w:tcPr>
            <w:tcW w:w="952" w:type="dxa"/>
            <w:tcBorders>
              <w:tl2br w:val="nil"/>
              <w:tr2bl w:val="nil"/>
            </w:tcBorders>
            <w:vAlign w:val="center"/>
          </w:tcPr>
          <w:p>
            <w:pPr>
              <w:pStyle w:val="79"/>
              <w:spacing w:before="9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56.85</w:t>
            </w:r>
          </w:p>
        </w:tc>
        <w:tc>
          <w:tcPr>
            <w:tcW w:w="1065" w:type="dxa"/>
            <w:tcBorders>
              <w:tl2br w:val="nil"/>
              <w:tr2bl w:val="nil"/>
            </w:tcBorders>
            <w:vAlign w:val="center"/>
          </w:tcPr>
          <w:p>
            <w:pPr>
              <w:pStyle w:val="79"/>
              <w:spacing w:before="9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63.37</w:t>
            </w:r>
          </w:p>
        </w:tc>
        <w:tc>
          <w:tcPr>
            <w:tcW w:w="1068" w:type="dxa"/>
            <w:tcBorders>
              <w:tl2br w:val="nil"/>
              <w:tr2bl w:val="nil"/>
            </w:tcBorders>
            <w:vAlign w:val="center"/>
          </w:tcPr>
          <w:p>
            <w:pPr>
              <w:pStyle w:val="79"/>
              <w:spacing w:before="9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63.02</w:t>
            </w:r>
          </w:p>
        </w:tc>
        <w:tc>
          <w:tcPr>
            <w:tcW w:w="1195" w:type="dxa"/>
            <w:tcBorders>
              <w:tl2br w:val="nil"/>
              <w:tr2bl w:val="nil"/>
            </w:tcBorders>
            <w:vAlign w:val="center"/>
          </w:tcPr>
          <w:p>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pPr>
              <w:pStyle w:val="79"/>
              <w:spacing w:before="55"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钙</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44</w:t>
            </w:r>
          </w:p>
        </w:tc>
        <w:tc>
          <w:tcPr>
            <w:tcW w:w="1073" w:type="dxa"/>
            <w:tcBorders>
              <w:tl2br w:val="nil"/>
              <w:tr2bl w:val="nil"/>
            </w:tcBorders>
            <w:vAlign w:val="center"/>
          </w:tcPr>
          <w:p>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43</w:t>
            </w:r>
          </w:p>
        </w:tc>
        <w:tc>
          <w:tcPr>
            <w:tcW w:w="952" w:type="dxa"/>
            <w:tcBorders>
              <w:tl2br w:val="nil"/>
              <w:tr2bl w:val="nil"/>
            </w:tcBorders>
            <w:vAlign w:val="center"/>
          </w:tcPr>
          <w:p>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46</w:t>
            </w:r>
          </w:p>
        </w:tc>
        <w:tc>
          <w:tcPr>
            <w:tcW w:w="1065" w:type="dxa"/>
            <w:tcBorders>
              <w:tl2br w:val="nil"/>
              <w:tr2bl w:val="nil"/>
            </w:tcBorders>
            <w:vAlign w:val="center"/>
          </w:tcPr>
          <w:p>
            <w:pPr>
              <w:pStyle w:val="79"/>
              <w:spacing w:before="93"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45</w:t>
            </w:r>
          </w:p>
        </w:tc>
        <w:tc>
          <w:tcPr>
            <w:tcW w:w="1068" w:type="dxa"/>
            <w:tcBorders>
              <w:tl2br w:val="nil"/>
              <w:tr2bl w:val="nil"/>
            </w:tcBorders>
            <w:vAlign w:val="center"/>
          </w:tcPr>
          <w:p>
            <w:pPr>
              <w:pStyle w:val="79"/>
              <w:spacing w:before="92"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41</w:t>
            </w:r>
          </w:p>
        </w:tc>
        <w:tc>
          <w:tcPr>
            <w:tcW w:w="1195" w:type="dxa"/>
            <w:tcBorders>
              <w:tl2br w:val="nil"/>
              <w:tr2bl w:val="nil"/>
            </w:tcBorders>
            <w:vAlign w:val="center"/>
          </w:tcPr>
          <w:p>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pPr>
              <w:pStyle w:val="79"/>
              <w:spacing w:before="57"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镁</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24</w:t>
            </w:r>
          </w:p>
        </w:tc>
        <w:tc>
          <w:tcPr>
            <w:tcW w:w="1073"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52</w:t>
            </w:r>
          </w:p>
        </w:tc>
        <w:tc>
          <w:tcPr>
            <w:tcW w:w="952"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33</w:t>
            </w:r>
          </w:p>
        </w:tc>
        <w:tc>
          <w:tcPr>
            <w:tcW w:w="1065"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36</w:t>
            </w:r>
          </w:p>
        </w:tc>
        <w:tc>
          <w:tcPr>
            <w:tcW w:w="1068" w:type="dxa"/>
            <w:tcBorders>
              <w:tl2br w:val="nil"/>
              <w:tr2bl w:val="nil"/>
            </w:tcBorders>
            <w:vAlign w:val="center"/>
          </w:tcPr>
          <w:p>
            <w:pPr>
              <w:pStyle w:val="79"/>
              <w:spacing w:before="96"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3"/>
                <w:sz w:val="21"/>
                <w:szCs w:val="21"/>
              </w:rPr>
              <w:t>39</w:t>
            </w:r>
          </w:p>
        </w:tc>
        <w:tc>
          <w:tcPr>
            <w:tcW w:w="1195" w:type="dxa"/>
            <w:tcBorders>
              <w:tl2br w:val="nil"/>
              <w:tr2bl w:val="nil"/>
            </w:tcBorders>
            <w:vAlign w:val="center"/>
          </w:tcPr>
          <w:p>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pPr>
              <w:pStyle w:val="79"/>
              <w:spacing w:before="60"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碳酸根</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73" w:type="dxa"/>
            <w:tcBorders>
              <w:tl2br w:val="nil"/>
              <w:tr2bl w:val="nil"/>
            </w:tcBorders>
            <w:vAlign w:val="center"/>
          </w:tcPr>
          <w:p>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952" w:type="dxa"/>
            <w:tcBorders>
              <w:tl2br w:val="nil"/>
              <w:tr2bl w:val="nil"/>
            </w:tcBorders>
            <w:vAlign w:val="center"/>
          </w:tcPr>
          <w:p>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5" w:type="dxa"/>
            <w:tcBorders>
              <w:tl2br w:val="nil"/>
              <w:tr2bl w:val="nil"/>
            </w:tcBorders>
            <w:vAlign w:val="center"/>
          </w:tcPr>
          <w:p>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068" w:type="dxa"/>
            <w:tcBorders>
              <w:tl2br w:val="nil"/>
              <w:tr2bl w:val="nil"/>
            </w:tcBorders>
            <w:vAlign w:val="center"/>
          </w:tcPr>
          <w:p>
            <w:pPr>
              <w:pStyle w:val="79"/>
              <w:spacing w:before="97"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0</w:t>
            </w:r>
          </w:p>
        </w:tc>
        <w:tc>
          <w:tcPr>
            <w:tcW w:w="1195" w:type="dxa"/>
            <w:tcBorders>
              <w:tl2br w:val="nil"/>
              <w:tr2bl w:val="nil"/>
            </w:tcBorders>
            <w:vAlign w:val="center"/>
          </w:tcPr>
          <w:p>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pPr>
              <w:pStyle w:val="79"/>
              <w:spacing w:before="61"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碳酸氢根</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900" w:type="dxa"/>
            <w:tcBorders>
              <w:tl2br w:val="nil"/>
              <w:tr2bl w:val="nil"/>
            </w:tcBorders>
            <w:vAlign w:val="center"/>
          </w:tcPr>
          <w:p>
            <w:pPr>
              <w:pStyle w:val="79"/>
              <w:spacing w:before="9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143</w:t>
            </w:r>
          </w:p>
        </w:tc>
        <w:tc>
          <w:tcPr>
            <w:tcW w:w="1073" w:type="dxa"/>
            <w:tcBorders>
              <w:tl2br w:val="nil"/>
              <w:tr2bl w:val="nil"/>
            </w:tcBorders>
            <w:vAlign w:val="center"/>
          </w:tcPr>
          <w:p>
            <w:pPr>
              <w:pStyle w:val="79"/>
              <w:spacing w:before="9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91</w:t>
            </w:r>
          </w:p>
        </w:tc>
        <w:tc>
          <w:tcPr>
            <w:tcW w:w="952" w:type="dxa"/>
            <w:tcBorders>
              <w:tl2br w:val="nil"/>
              <w:tr2bl w:val="nil"/>
            </w:tcBorders>
            <w:vAlign w:val="center"/>
          </w:tcPr>
          <w:p>
            <w:pPr>
              <w:pStyle w:val="79"/>
              <w:spacing w:before="97"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111</w:t>
            </w:r>
          </w:p>
        </w:tc>
        <w:tc>
          <w:tcPr>
            <w:tcW w:w="1065" w:type="dxa"/>
            <w:tcBorders>
              <w:tl2br w:val="nil"/>
              <w:tr2bl w:val="nil"/>
            </w:tcBorders>
            <w:vAlign w:val="center"/>
          </w:tcPr>
          <w:p>
            <w:pPr>
              <w:pStyle w:val="79"/>
              <w:spacing w:before="9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143</w:t>
            </w:r>
          </w:p>
        </w:tc>
        <w:tc>
          <w:tcPr>
            <w:tcW w:w="1068" w:type="dxa"/>
            <w:tcBorders>
              <w:tl2br w:val="nil"/>
              <w:tr2bl w:val="nil"/>
            </w:tcBorders>
            <w:vAlign w:val="center"/>
          </w:tcPr>
          <w:p>
            <w:pPr>
              <w:pStyle w:val="79"/>
              <w:spacing w:before="98" w:line="183"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5"/>
                <w:sz w:val="21"/>
                <w:szCs w:val="21"/>
              </w:rPr>
              <w:t>147</w:t>
            </w:r>
          </w:p>
        </w:tc>
        <w:tc>
          <w:tcPr>
            <w:tcW w:w="1195" w:type="dxa"/>
            <w:tcBorders>
              <w:tl2br w:val="nil"/>
              <w:tr2bl w:val="nil"/>
            </w:tcBorders>
            <w:vAlign w:val="center"/>
          </w:tcPr>
          <w:p>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1197" w:type="dxa"/>
            <w:tcBorders>
              <w:tl2br w:val="nil"/>
              <w:tr2bl w:val="nil"/>
            </w:tcBorders>
            <w:vAlign w:val="center"/>
          </w:tcPr>
          <w:p>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77" w:type="dxa"/>
            <w:tcBorders>
              <w:tl2br w:val="nil"/>
              <w:tr2bl w:val="nil"/>
            </w:tcBorders>
            <w:vAlign w:val="center"/>
          </w:tcPr>
          <w:p>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c>
          <w:tcPr>
            <w:tcW w:w="981" w:type="dxa"/>
            <w:tcBorders>
              <w:tl2br w:val="nil"/>
              <w:tr2bl w:val="nil"/>
            </w:tcBorders>
            <w:vAlign w:val="center"/>
          </w:tcPr>
          <w:p>
            <w:pPr>
              <w:pStyle w:val="79"/>
              <w:spacing w:before="63" w:line="226"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汞</w:t>
            </w:r>
          </w:p>
        </w:tc>
        <w:tc>
          <w:tcPr>
            <w:tcW w:w="659"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µg/L</w:t>
            </w:r>
          </w:p>
        </w:tc>
        <w:tc>
          <w:tcPr>
            <w:tcW w:w="927"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0.001</w:t>
            </w:r>
          </w:p>
        </w:tc>
        <w:tc>
          <w:tcPr>
            <w:tcW w:w="900"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1073"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952"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1065"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1068"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0.04L</w:t>
            </w:r>
          </w:p>
        </w:tc>
        <w:tc>
          <w:tcPr>
            <w:tcW w:w="1195"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c>
          <w:tcPr>
            <w:tcW w:w="1197"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c>
          <w:tcPr>
            <w:tcW w:w="977"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c>
          <w:tcPr>
            <w:tcW w:w="977"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c>
          <w:tcPr>
            <w:tcW w:w="981"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1"/>
                <w:sz w:val="21"/>
                <w:szCs w:val="21"/>
              </w:rPr>
              <w:t>0.0200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砷</w:t>
            </w:r>
          </w:p>
        </w:tc>
        <w:tc>
          <w:tcPr>
            <w:tcW w:w="659"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927"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0.01</w:t>
            </w:r>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0.3L</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铁</w:t>
            </w:r>
          </w:p>
        </w:tc>
        <w:tc>
          <w:tcPr>
            <w:tcW w:w="659"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bidi="ar"/>
              </w:rPr>
            </w:pPr>
            <w:bookmarkStart w:id="527" w:name="OLE_LINK46"/>
            <w:r>
              <w:rPr>
                <w:rFonts w:hint="default" w:eastAsia="宋体"/>
                <w:color w:val="auto"/>
                <w:highlight w:val="none"/>
                <w:lang w:bidi="ar"/>
              </w:rPr>
              <w:t>≤</w:t>
            </w:r>
            <w:r>
              <w:rPr>
                <w:rFonts w:hint="eastAsia" w:eastAsia="宋体"/>
                <w:color w:val="auto"/>
                <w:highlight w:val="none"/>
                <w:lang w:val="en-US" w:eastAsia="zh-CN" w:bidi="ar"/>
              </w:rPr>
              <w:t>0</w:t>
            </w:r>
            <w:bookmarkEnd w:id="527"/>
            <w:r>
              <w:rPr>
                <w:rFonts w:hint="eastAsia" w:eastAsia="宋体"/>
                <w:color w:val="auto"/>
                <w:highlight w:val="none"/>
                <w:lang w:val="en-US" w:eastAsia="zh-CN" w:bidi="ar"/>
              </w:rPr>
              <w:t>.3</w:t>
            </w:r>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0.13</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0.03L</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0.03L</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0.03L</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0.03L</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0.4333</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锰</w:t>
            </w:r>
          </w:p>
        </w:tc>
        <w:tc>
          <w:tcPr>
            <w:tcW w:w="659"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0.10</w:t>
            </w:r>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0.27</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0.98</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0.54</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0.43</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0.51</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2.7000</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9.8000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5.4000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4.3000</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eastAsia="宋体" w:cs="Times New Roman"/>
                <w:b/>
                <w:bCs/>
                <w:color w:val="auto"/>
                <w:spacing w:val="-2"/>
                <w:sz w:val="21"/>
                <w:szCs w:val="21"/>
              </w:rPr>
              <w:t>5.1000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铅</w:t>
            </w:r>
          </w:p>
        </w:tc>
        <w:tc>
          <w:tcPr>
            <w:tcW w:w="659"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927"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0.20</w:t>
            </w:r>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2.5L</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镉</w:t>
            </w:r>
          </w:p>
        </w:tc>
        <w:tc>
          <w:tcPr>
            <w:tcW w:w="659" w:type="dxa"/>
            <w:tcBorders>
              <w:tl2br w:val="nil"/>
              <w:tr2bl w:val="nil"/>
            </w:tcBorders>
            <w:vAlign w:val="top"/>
          </w:tcPr>
          <w:p>
            <w:pPr>
              <w:textAlignment w:val="center"/>
              <w:rPr>
                <w:rFonts w:hint="default" w:eastAsia="宋体"/>
                <w:color w:val="auto"/>
                <w:highlight w:val="none"/>
                <w:lang w:val="en-US" w:eastAsia="en-US" w:bidi="ar"/>
              </w:rPr>
            </w:pPr>
            <w:bookmarkStart w:id="528" w:name="OLE_LINK48"/>
            <w:r>
              <w:rPr>
                <w:rFonts w:hint="default" w:eastAsia="宋体"/>
                <w:color w:val="auto"/>
                <w:highlight w:val="none"/>
                <w:lang w:bidi="ar"/>
              </w:rPr>
              <w:t>µg/L</w:t>
            </w:r>
            <w:bookmarkEnd w:id="528"/>
          </w:p>
        </w:tc>
        <w:tc>
          <w:tcPr>
            <w:tcW w:w="927" w:type="dxa"/>
            <w:tcBorders>
              <w:tl2br w:val="nil"/>
              <w:tr2bl w:val="nil"/>
            </w:tcBorders>
            <w:vAlign w:val="center"/>
          </w:tcPr>
          <w:p>
            <w:pPr>
              <w:textAlignment w:val="center"/>
              <w:rPr>
                <w:rFonts w:hint="default" w:eastAsia="宋体"/>
                <w:color w:val="auto"/>
                <w:highlight w:val="none"/>
                <w:lang w:val="en-US" w:bidi="ar"/>
              </w:rPr>
            </w:pPr>
            <w:bookmarkStart w:id="529" w:name="OLE_LINK47"/>
            <w:r>
              <w:rPr>
                <w:rFonts w:hint="default" w:eastAsia="宋体"/>
                <w:color w:val="auto"/>
                <w:highlight w:val="none"/>
                <w:lang w:bidi="ar"/>
              </w:rPr>
              <w:t>≤</w:t>
            </w:r>
            <w:r>
              <w:rPr>
                <w:rFonts w:hint="eastAsia" w:eastAsia="宋体"/>
                <w:color w:val="auto"/>
                <w:highlight w:val="none"/>
                <w:lang w:val="en-US" w:eastAsia="zh-CN" w:bidi="ar"/>
              </w:rPr>
              <w:t>0.005</w:t>
            </w:r>
            <w:bookmarkEnd w:id="529"/>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0.5L</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钡</w:t>
            </w:r>
          </w:p>
        </w:tc>
        <w:tc>
          <w:tcPr>
            <w:tcW w:w="659"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927" w:type="dxa"/>
            <w:tcBorders>
              <w:tl2br w:val="nil"/>
              <w:tr2bl w:val="nil"/>
            </w:tcBorders>
            <w:vAlign w:val="center"/>
          </w:tcPr>
          <w:p>
            <w:pPr>
              <w:textAlignment w:val="center"/>
              <w:rPr>
                <w:rFonts w:hint="default" w:eastAsia="宋体"/>
                <w:color w:val="auto"/>
                <w:highlight w:val="none"/>
                <w:lang w:val="en-US" w:bidi="ar"/>
              </w:rPr>
            </w:pPr>
            <w:bookmarkStart w:id="530" w:name="OLE_LINK49"/>
            <w:r>
              <w:rPr>
                <w:rFonts w:hint="default" w:eastAsia="宋体"/>
                <w:color w:val="auto"/>
                <w:highlight w:val="none"/>
                <w:lang w:bidi="ar"/>
              </w:rPr>
              <w:t>≤</w:t>
            </w:r>
            <w:r>
              <w:rPr>
                <w:rFonts w:hint="eastAsia" w:eastAsia="宋体"/>
                <w:color w:val="auto"/>
                <w:highlight w:val="none"/>
                <w:lang w:val="en-US" w:eastAsia="zh-CN" w:bidi="ar"/>
              </w:rPr>
              <w:t>0.7</w:t>
            </w:r>
            <w:bookmarkEnd w:id="530"/>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0.2L</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铜</w:t>
            </w:r>
          </w:p>
        </w:tc>
        <w:tc>
          <w:tcPr>
            <w:tcW w:w="659"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bidi="ar"/>
              </w:rPr>
            </w:pPr>
            <w:bookmarkStart w:id="531" w:name="OLE_LINK50"/>
            <w:r>
              <w:rPr>
                <w:rFonts w:hint="default" w:eastAsia="宋体"/>
                <w:color w:val="auto"/>
                <w:highlight w:val="none"/>
                <w:lang w:bidi="ar"/>
              </w:rPr>
              <w:t>≤</w:t>
            </w:r>
            <w:r>
              <w:rPr>
                <w:rFonts w:hint="eastAsia" w:eastAsia="宋体"/>
                <w:color w:val="auto"/>
                <w:highlight w:val="none"/>
                <w:lang w:val="en-US" w:eastAsia="zh-CN" w:bidi="ar"/>
              </w:rPr>
              <w:t>1.00</w:t>
            </w:r>
            <w:bookmarkEnd w:id="531"/>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锌</w:t>
            </w:r>
          </w:p>
        </w:tc>
        <w:tc>
          <w:tcPr>
            <w:tcW w:w="659"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1.00</w:t>
            </w:r>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0.05L</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0.0250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六价铬</w:t>
            </w:r>
          </w:p>
        </w:tc>
        <w:tc>
          <w:tcPr>
            <w:tcW w:w="659"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0.05</w:t>
            </w:r>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0.004L</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0.0400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石油类</w:t>
            </w:r>
          </w:p>
        </w:tc>
        <w:tc>
          <w:tcPr>
            <w:tcW w:w="659"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927" w:type="dxa"/>
            <w:tcBorders>
              <w:tl2br w:val="nil"/>
              <w:tr2bl w:val="nil"/>
            </w:tcBorders>
            <w:vAlign w:val="center"/>
          </w:tcPr>
          <w:p>
            <w:pPr>
              <w:textAlignment w:val="center"/>
              <w:rPr>
                <w:rFonts w:hint="default" w:eastAsia="宋体"/>
                <w:color w:val="auto"/>
                <w:highlight w:val="none"/>
                <w:lang w:bidi="ar"/>
              </w:rPr>
            </w:pPr>
            <w:r>
              <w:rPr>
                <w:color w:val="auto"/>
                <w:highlight w:val="none"/>
                <w:lang w:bidi="ar"/>
              </w:rPr>
              <w:t>≤0.05</w:t>
            </w:r>
          </w:p>
        </w:tc>
        <w:tc>
          <w:tcPr>
            <w:tcW w:w="900"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1073"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952"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10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1068"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0.01L</w:t>
            </w:r>
          </w:p>
        </w:tc>
        <w:tc>
          <w:tcPr>
            <w:tcW w:w="119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c>
          <w:tcPr>
            <w:tcW w:w="119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c>
          <w:tcPr>
            <w:tcW w:w="977"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c>
          <w:tcPr>
            <w:tcW w:w="981"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rPr>
            </w:pPr>
            <w:r>
              <w:rPr>
                <w:rFonts w:hint="default" w:ascii="Times New Roman" w:hAnsi="Times New Roman" w:eastAsia="宋体" w:cs="Times New Roman"/>
                <w:color w:val="auto"/>
                <w:spacing w:val="-2"/>
                <w:sz w:val="21"/>
                <w:szCs w:val="21"/>
              </w:rPr>
              <w:t>0.1000</w:t>
            </w:r>
          </w:p>
        </w:tc>
      </w:tr>
      <w:bookmarkEnd w:id="522"/>
    </w:tbl>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211" w:firstLineChars="100"/>
        <w:jc w:val="center"/>
        <w:textAlignment w:val="baseline"/>
        <w:rPr>
          <w:color w:val="auto"/>
          <w:highlight w:val="none"/>
        </w:rPr>
      </w:pPr>
      <w:r>
        <w:rPr>
          <w:color w:val="auto"/>
          <w:highlight w:val="none"/>
        </w:rPr>
        <w:t>表4.</w:t>
      </w:r>
      <w:r>
        <w:rPr>
          <w:rFonts w:hint="eastAsia"/>
          <w:color w:val="auto"/>
          <w:highlight w:val="none"/>
        </w:rPr>
        <w:t>3-1（</w:t>
      </w:r>
      <w:r>
        <w:rPr>
          <w:rFonts w:hint="eastAsia"/>
          <w:color w:val="auto"/>
          <w:highlight w:val="none"/>
          <w:lang w:val="en-US" w:eastAsia="zh-CN"/>
        </w:rPr>
        <w:t>2</w:t>
      </w:r>
      <w:r>
        <w:rPr>
          <w:rFonts w:hint="eastAsia"/>
          <w:color w:val="auto"/>
          <w:highlight w:val="none"/>
        </w:rPr>
        <w:t>）</w:t>
      </w:r>
      <w:r>
        <w:rPr>
          <w:color w:val="auto"/>
          <w:highlight w:val="none"/>
        </w:rPr>
        <w:t xml:space="preserve">     地下水质量现状监测及评价结果一览表</w:t>
      </w:r>
    </w:p>
    <w:tbl>
      <w:tblPr>
        <w:tblStyle w:val="62"/>
        <w:tblW w:w="13639"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2118"/>
        <w:gridCol w:w="1102"/>
        <w:gridCol w:w="1920"/>
        <w:gridCol w:w="2365"/>
        <w:gridCol w:w="2004"/>
        <w:gridCol w:w="2244"/>
        <w:gridCol w:w="188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9509" w:type="dxa"/>
            <w:gridSpan w:val="5"/>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检测结果</w:t>
            </w:r>
          </w:p>
        </w:tc>
        <w:tc>
          <w:tcPr>
            <w:tcW w:w="4130" w:type="dxa"/>
            <w:gridSpan w:val="2"/>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标准指数（无量纲）</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5140" w:type="dxa"/>
            <w:gridSpan w:val="3"/>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bookmarkStart w:id="532" w:name="OLE_LINK41" w:colFirst="1" w:colLast="4"/>
            <w:r>
              <w:rPr>
                <w:rFonts w:hint="default" w:ascii="Times New Roman" w:hAnsi="Times New Roman" w:eastAsia="宋体" w:cs="Times New Roman"/>
                <w:color w:val="auto"/>
                <w:sz w:val="21"/>
                <w:szCs w:val="21"/>
                <w:highlight w:val="none"/>
                <w:lang w:val="en-US" w:eastAsia="zh-CN" w:bidi="ar"/>
              </w:rPr>
              <w:t>检测点位</w:t>
            </w:r>
          </w:p>
        </w:tc>
        <w:tc>
          <w:tcPr>
            <w:tcW w:w="2365"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6</w:t>
            </w:r>
          </w:p>
        </w:tc>
        <w:tc>
          <w:tcPr>
            <w:tcW w:w="2004"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7</w:t>
            </w:r>
          </w:p>
        </w:tc>
        <w:tc>
          <w:tcPr>
            <w:tcW w:w="2244"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6</w:t>
            </w:r>
          </w:p>
        </w:tc>
        <w:tc>
          <w:tcPr>
            <w:tcW w:w="1886"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ar"/>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6" w:hRule="atLeast"/>
          <w:jc w:val="center"/>
        </w:trPr>
        <w:tc>
          <w:tcPr>
            <w:tcW w:w="2118"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检测项目</w:t>
            </w:r>
          </w:p>
        </w:tc>
        <w:tc>
          <w:tcPr>
            <w:tcW w:w="1102"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单位</w:t>
            </w:r>
          </w:p>
        </w:tc>
        <w:tc>
          <w:tcPr>
            <w:tcW w:w="1920"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标准限值（III类）</w:t>
            </w:r>
          </w:p>
        </w:tc>
        <w:tc>
          <w:tcPr>
            <w:tcW w:w="2365" w:type="dxa"/>
            <w:tcBorders>
              <w:tl2br w:val="nil"/>
              <w:tr2bl w:val="nil"/>
            </w:tcBorders>
            <w:vAlign w:val="center"/>
          </w:tcPr>
          <w:p>
            <w:pPr>
              <w:jc w:val="center"/>
              <w:rPr>
                <w:rFonts w:hint="default" w:ascii="Times New Roman" w:hAnsi="Times New Roman" w:eastAsia="宋体" w:cs="Times New Roman"/>
                <w:color w:val="auto"/>
                <w:sz w:val="21"/>
                <w:szCs w:val="21"/>
                <w:highlight w:val="none"/>
                <w:lang w:val="en-US" w:eastAsia="zh-CN" w:bidi="en-US"/>
              </w:rPr>
            </w:pPr>
            <w:r>
              <w:rPr>
                <w:rFonts w:hint="eastAsia" w:ascii="Times New Roman" w:hAnsi="Times New Roman" w:eastAsia="宋体" w:cs="Times New Roman"/>
                <w:color w:val="auto"/>
                <w:sz w:val="21"/>
                <w:szCs w:val="21"/>
                <w:highlight w:val="none"/>
                <w:lang w:val="en-US" w:eastAsia="zh-CN" w:bidi="en-US"/>
              </w:rPr>
              <w:t>184团屯旺牧业地下水井</w:t>
            </w:r>
          </w:p>
        </w:tc>
        <w:tc>
          <w:tcPr>
            <w:tcW w:w="2004"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en-US"/>
              </w:rPr>
              <w:t>184团5连</w:t>
            </w:r>
          </w:p>
        </w:tc>
        <w:tc>
          <w:tcPr>
            <w:tcW w:w="2244"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eastAsia" w:ascii="Times New Roman" w:hAnsi="Times New Roman" w:eastAsia="宋体" w:cs="Times New Roman"/>
                <w:color w:val="auto"/>
                <w:sz w:val="21"/>
                <w:szCs w:val="21"/>
                <w:highlight w:val="none"/>
                <w:lang w:val="en-US" w:eastAsia="zh-CN" w:bidi="en-US"/>
              </w:rPr>
              <w:t>184团屯旺牧业地下水井</w:t>
            </w:r>
          </w:p>
        </w:tc>
        <w:tc>
          <w:tcPr>
            <w:tcW w:w="1886"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en-US"/>
              </w:rPr>
              <w:t>184团5连</w:t>
            </w:r>
          </w:p>
        </w:tc>
      </w:tr>
      <w:bookmarkEnd w:id="532"/>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pStyle w:val="79"/>
              <w:spacing w:before="94" w:line="18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pH</w:t>
            </w:r>
          </w:p>
        </w:tc>
        <w:tc>
          <w:tcPr>
            <w:tcW w:w="1102" w:type="dxa"/>
            <w:tcBorders>
              <w:tl2br w:val="nil"/>
              <w:tr2bl w:val="nil"/>
            </w:tcBorders>
            <w:vAlign w:val="center"/>
          </w:tcPr>
          <w:p>
            <w:pPr>
              <w:pStyle w:val="79"/>
              <w:spacing w:before="58" w:line="221" w:lineRule="auto"/>
              <w:jc w:val="center"/>
              <w:rPr>
                <w:rFonts w:hint="default" w:ascii="Times New Roman" w:hAnsi="Times New Roman" w:cs="Times New Roman"/>
                <w:color w:val="auto"/>
                <w:sz w:val="21"/>
                <w:szCs w:val="21"/>
              </w:rPr>
            </w:pPr>
            <w:r>
              <w:rPr>
                <w:rFonts w:hint="default" w:ascii="Times New Roman" w:hAnsi="Times New Roman" w:cs="Times New Roman"/>
                <w:color w:val="auto"/>
                <w:spacing w:val="-2"/>
                <w:sz w:val="21"/>
                <w:szCs w:val="21"/>
              </w:rPr>
              <w:t>无量纲</w:t>
            </w:r>
          </w:p>
        </w:tc>
        <w:tc>
          <w:tcPr>
            <w:tcW w:w="1920" w:type="dxa"/>
            <w:tcBorders>
              <w:tl2br w:val="nil"/>
              <w:tr2bl w:val="nil"/>
            </w:tcBorders>
            <w:vAlign w:val="center"/>
          </w:tcPr>
          <w:p>
            <w:pPr>
              <w:pStyle w:val="79"/>
              <w:spacing w:before="57" w:line="215" w:lineRule="auto"/>
              <w:jc w:val="center"/>
              <w:rPr>
                <w:rFonts w:hint="default" w:ascii="Times New Roman" w:hAnsi="Times New Roman" w:eastAsia="宋体" w:cs="Times New Roman"/>
                <w:color w:val="auto"/>
                <w:spacing w:val="-1"/>
                <w:sz w:val="21"/>
                <w:szCs w:val="21"/>
              </w:rPr>
            </w:pPr>
            <w:r>
              <w:rPr>
                <w:rFonts w:hint="default" w:ascii="Times New Roman" w:hAnsi="Times New Roman" w:eastAsia="宋体" w:cs="Times New Roman"/>
                <w:color w:val="auto"/>
                <w:spacing w:val="-1"/>
                <w:sz w:val="21"/>
                <w:szCs w:val="21"/>
              </w:rPr>
              <w:t>6.5~8.5</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7.1</w:t>
            </w:r>
          </w:p>
        </w:tc>
        <w:tc>
          <w:tcPr>
            <w:tcW w:w="2004" w:type="dxa"/>
            <w:tcBorders>
              <w:tl2br w:val="nil"/>
              <w:tr2bl w:val="nil"/>
            </w:tcBorders>
            <w:vAlign w:val="center"/>
          </w:tcPr>
          <w:p>
            <w:pPr>
              <w:pStyle w:val="79"/>
              <w:spacing w:before="93"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7.3</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0.067</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pStyle w:val="79"/>
              <w:spacing w:before="5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氨氮</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≤0.50</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0.058</w:t>
            </w:r>
          </w:p>
        </w:tc>
        <w:tc>
          <w:tcPr>
            <w:tcW w:w="2004"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0.082</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0.116</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pStyle w:val="79"/>
              <w:spacing w:before="5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硝酸盐氮</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20.0</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1.36</w:t>
            </w:r>
          </w:p>
        </w:tc>
        <w:tc>
          <w:tcPr>
            <w:tcW w:w="2004"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7.06</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0.068</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pStyle w:val="79"/>
              <w:spacing w:before="53" w:line="220" w:lineRule="auto"/>
              <w:jc w:val="center"/>
              <w:rPr>
                <w:rFonts w:hint="default" w:ascii="Times New Roman" w:hAnsi="Times New Roman" w:eastAsia="宋体" w:cs="Times New Roman"/>
                <w:color w:val="auto"/>
                <w:sz w:val="21"/>
                <w:szCs w:val="21"/>
                <w:highlight w:val="none"/>
                <w:lang w:val="en-US" w:eastAsia="zh-CN" w:bidi="ar"/>
              </w:rPr>
            </w:pPr>
            <w:bookmarkStart w:id="533" w:name="OLE_LINK52" w:colFirst="4" w:colLast="6"/>
            <w:r>
              <w:rPr>
                <w:rFonts w:hint="default" w:ascii="Times New Roman" w:hAnsi="Times New Roman" w:eastAsia="宋体" w:cs="Times New Roman"/>
                <w:color w:val="auto"/>
                <w:sz w:val="21"/>
                <w:szCs w:val="21"/>
                <w:highlight w:val="none"/>
                <w:lang w:val="en-US" w:eastAsia="zh-CN" w:bidi="ar"/>
              </w:rPr>
              <w:t>亚硝酸盐氮</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1.0</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pPr>
              <w:pStyle w:val="79"/>
              <w:spacing w:before="88" w:line="182" w:lineRule="auto"/>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ND</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pStyle w:val="79"/>
              <w:spacing w:before="96" w:line="182"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bookmarkEnd w:id="533"/>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pStyle w:val="79"/>
              <w:spacing w:before="52" w:line="221"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挥发酚</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0.002</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0.0010</w:t>
            </w:r>
          </w:p>
        </w:tc>
        <w:tc>
          <w:tcPr>
            <w:tcW w:w="2004" w:type="dxa"/>
            <w:tcBorders>
              <w:tl2br w:val="nil"/>
              <w:tr2bl w:val="nil"/>
            </w:tcBorders>
            <w:vAlign w:val="center"/>
          </w:tcPr>
          <w:p>
            <w:pPr>
              <w:pStyle w:val="79"/>
              <w:spacing w:before="87"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0.0007</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0.500</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0.36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pStyle w:val="79"/>
              <w:spacing w:before="47" w:line="220" w:lineRule="auto"/>
              <w:jc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耗氧量</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3.0</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0.8</w:t>
            </w:r>
          </w:p>
        </w:tc>
        <w:tc>
          <w:tcPr>
            <w:tcW w:w="2004" w:type="dxa"/>
            <w:tcBorders>
              <w:tl2br w:val="nil"/>
              <w:tr2bl w:val="nil"/>
            </w:tcBorders>
            <w:vAlign w:val="center"/>
          </w:tcPr>
          <w:p>
            <w:pPr>
              <w:pStyle w:val="79"/>
              <w:spacing w:before="82"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0.8</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0.267</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pStyle w:val="79"/>
              <w:spacing w:before="50" w:line="221" w:lineRule="auto"/>
              <w:jc w:val="center"/>
              <w:rPr>
                <w:rFonts w:hint="default" w:ascii="Times New Roman" w:hAnsi="Times New Roman" w:eastAsia="宋体" w:cs="Times New Roman"/>
                <w:b w:val="0"/>
                <w:bCs w:val="0"/>
                <w:color w:val="auto"/>
                <w:sz w:val="21"/>
                <w:szCs w:val="21"/>
                <w:highlight w:val="none"/>
                <w:lang w:val="en-US" w:eastAsia="zh-CN" w:bidi="ar"/>
              </w:rPr>
            </w:pPr>
            <w:r>
              <w:rPr>
                <w:rFonts w:hint="default" w:ascii="Times New Roman" w:hAnsi="Times New Roman" w:eastAsia="宋体" w:cs="Times New Roman"/>
                <w:b w:val="0"/>
                <w:bCs w:val="0"/>
                <w:color w:val="auto"/>
                <w:sz w:val="21"/>
                <w:szCs w:val="21"/>
                <w:highlight w:val="none"/>
                <w:lang w:val="en-US" w:eastAsia="zh-CN" w:bidi="ar"/>
              </w:rPr>
              <w:t>总硬度</w:t>
            </w:r>
          </w:p>
        </w:tc>
        <w:tc>
          <w:tcPr>
            <w:tcW w:w="1102" w:type="dxa"/>
            <w:tcBorders>
              <w:tl2br w:val="nil"/>
              <w:tr2bl w:val="nil"/>
            </w:tcBorders>
            <w:vAlign w:val="center"/>
          </w:tcPr>
          <w:p>
            <w:pPr>
              <w:textAlignment w:val="center"/>
              <w:rPr>
                <w:rFonts w:hint="default" w:eastAsia="宋体"/>
                <w:b w:val="0"/>
                <w:bCs w:val="0"/>
                <w:color w:val="auto"/>
                <w:highlight w:val="none"/>
                <w:lang w:bidi="ar"/>
              </w:rPr>
            </w:pPr>
            <w:r>
              <w:rPr>
                <w:rFonts w:hint="default" w:eastAsia="宋体"/>
                <w:b w:val="0"/>
                <w:bCs w:val="0"/>
                <w:color w:val="auto"/>
                <w:highlight w:val="none"/>
                <w:lang w:bidi="ar"/>
              </w:rPr>
              <w:t>mg/L</w:t>
            </w:r>
          </w:p>
        </w:tc>
        <w:tc>
          <w:tcPr>
            <w:tcW w:w="1920" w:type="dxa"/>
            <w:tcBorders>
              <w:tl2br w:val="nil"/>
              <w:tr2bl w:val="nil"/>
            </w:tcBorders>
            <w:vAlign w:val="center"/>
          </w:tcPr>
          <w:p>
            <w:pPr>
              <w:textAlignment w:val="center"/>
              <w:rPr>
                <w:rFonts w:hint="default" w:eastAsia="宋体"/>
                <w:b w:val="0"/>
                <w:bCs w:val="0"/>
                <w:color w:val="auto"/>
                <w:highlight w:val="none"/>
                <w:lang w:val="en-US" w:eastAsia="zh-CN" w:bidi="ar"/>
              </w:rPr>
            </w:pPr>
            <w:r>
              <w:rPr>
                <w:rFonts w:hint="default" w:eastAsia="宋体"/>
                <w:b w:val="0"/>
                <w:bCs w:val="0"/>
                <w:color w:val="auto"/>
                <w:highlight w:val="none"/>
                <w:lang w:bidi="ar"/>
              </w:rPr>
              <w:t>≤</w:t>
            </w:r>
            <w:r>
              <w:rPr>
                <w:rFonts w:hint="eastAsia" w:eastAsia="宋体"/>
                <w:b w:val="0"/>
                <w:bCs w:val="0"/>
                <w:color w:val="auto"/>
                <w:highlight w:val="none"/>
                <w:lang w:val="en-US" w:eastAsia="zh-CN" w:bidi="ar"/>
              </w:rPr>
              <w:t>450</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224</w:t>
            </w:r>
          </w:p>
        </w:tc>
        <w:tc>
          <w:tcPr>
            <w:tcW w:w="2004" w:type="dxa"/>
            <w:tcBorders>
              <w:tl2br w:val="nil"/>
              <w:tr2bl w:val="nil"/>
            </w:tcBorders>
            <w:vAlign w:val="center"/>
          </w:tcPr>
          <w:p>
            <w:pPr>
              <w:pStyle w:val="79"/>
              <w:spacing w:before="84" w:line="183" w:lineRule="auto"/>
              <w:jc w:val="center"/>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cs="Times New Roman"/>
                <w:b w:val="0"/>
                <w:bCs w:val="0"/>
                <w:color w:val="auto"/>
                <w:sz w:val="21"/>
                <w:szCs w:val="21"/>
                <w:lang w:val="en-US" w:eastAsia="zh-CN"/>
              </w:rPr>
              <w:t>302</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0.498</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b w:val="0"/>
                <w:bCs w:val="0"/>
                <w:color w:val="auto"/>
                <w:spacing w:val="-2"/>
                <w:sz w:val="21"/>
                <w:szCs w:val="21"/>
                <w:lang w:val="en-US" w:eastAsia="zh-CN"/>
              </w:rPr>
            </w:pPr>
            <w:r>
              <w:rPr>
                <w:rFonts w:hint="eastAsia" w:ascii="Times New Roman" w:hAnsi="Times New Roman" w:eastAsia="宋体" w:cs="Times New Roman"/>
                <w:b w:val="0"/>
                <w:bCs w:val="0"/>
                <w:color w:val="auto"/>
                <w:spacing w:val="-2"/>
                <w:sz w:val="21"/>
                <w:szCs w:val="21"/>
                <w:lang w:val="en-US" w:eastAsia="zh-CN"/>
              </w:rPr>
              <w:t>0.67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ascii="Times New Roman" w:hAnsi="Times New Roman" w:eastAsia="宋体" w:cs="Times New Roman"/>
                <w:color w:val="auto"/>
                <w:sz w:val="21"/>
                <w:szCs w:val="21"/>
                <w:highlight w:val="none"/>
                <w:lang w:val="en-US" w:eastAsia="zh-CN" w:bidi="ar"/>
              </w:rPr>
            </w:pPr>
            <w:r>
              <w:rPr>
                <w:rFonts w:hint="default" w:ascii="Times New Roman" w:hAnsi="Times New Roman" w:eastAsia="宋体" w:cs="Times New Roman"/>
                <w:color w:val="auto"/>
                <w:sz w:val="21"/>
                <w:szCs w:val="21"/>
                <w:highlight w:val="none"/>
                <w:lang w:val="en-US" w:eastAsia="zh-CN" w:bidi="ar"/>
              </w:rPr>
              <w:t>溶解性总固体</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1000</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452</w:t>
            </w:r>
          </w:p>
        </w:tc>
        <w:tc>
          <w:tcPr>
            <w:tcW w:w="2004" w:type="dxa"/>
            <w:tcBorders>
              <w:tl2br w:val="nil"/>
              <w:tr2bl w:val="nil"/>
            </w:tcBorders>
            <w:vAlign w:val="center"/>
          </w:tcPr>
          <w:p>
            <w:pPr>
              <w:pStyle w:val="79"/>
              <w:spacing w:before="87"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601</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0.452</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0.601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氯化物（以Cl</w:t>
            </w:r>
            <w:r>
              <w:rPr>
                <w:rFonts w:hint="default" w:eastAsia="宋体"/>
                <w:color w:val="auto"/>
                <w:highlight w:val="none"/>
                <w:vertAlign w:val="superscript"/>
                <w:lang w:bidi="ar"/>
              </w:rPr>
              <w:t>-</w:t>
            </w:r>
            <w:r>
              <w:rPr>
                <w:rFonts w:hint="default" w:eastAsia="宋体"/>
                <w:color w:val="auto"/>
                <w:highlight w:val="none"/>
                <w:lang w:bidi="ar"/>
              </w:rPr>
              <w:t>计）</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250</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w:t>
            </w:r>
          </w:p>
        </w:tc>
        <w:tc>
          <w:tcPr>
            <w:tcW w:w="2004" w:type="dxa"/>
            <w:tcBorders>
              <w:tl2br w:val="nil"/>
              <w:tr2bl w:val="nil"/>
            </w:tcBorders>
            <w:vAlign w:val="center"/>
          </w:tcPr>
          <w:p>
            <w:pPr>
              <w:pStyle w:val="79"/>
              <w:spacing w:before="88"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69.0</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0.112</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硫酸盐（以SO4</w:t>
            </w:r>
            <w:r>
              <w:rPr>
                <w:rFonts w:hint="eastAsia" w:eastAsia="宋体"/>
                <w:color w:val="auto"/>
                <w:highlight w:val="none"/>
                <w:vertAlign w:val="superscript"/>
                <w:lang w:val="en-US" w:eastAsia="zh-CN" w:bidi="ar"/>
              </w:rPr>
              <w:t>2-</w:t>
            </w:r>
            <w:r>
              <w:rPr>
                <w:rFonts w:hint="default" w:eastAsia="宋体"/>
                <w:color w:val="auto"/>
                <w:highlight w:val="none"/>
                <w:lang w:bidi="ar"/>
              </w:rPr>
              <w:t>计）</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250</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124</w:t>
            </w:r>
          </w:p>
        </w:tc>
        <w:tc>
          <w:tcPr>
            <w:tcW w:w="2004" w:type="dxa"/>
            <w:tcBorders>
              <w:tl2br w:val="nil"/>
              <w:tr2bl w:val="nil"/>
            </w:tcBorders>
            <w:vAlign w:val="center"/>
          </w:tcPr>
          <w:p>
            <w:pPr>
              <w:pStyle w:val="79"/>
              <w:spacing w:before="89" w:line="183"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102</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cs="Times New Roman"/>
                <w:color w:val="auto"/>
                <w:spacing w:val="-2"/>
                <w:sz w:val="21"/>
                <w:szCs w:val="21"/>
                <w:highlight w:val="none"/>
                <w:lang w:val="en-US" w:eastAsia="zh-CN"/>
              </w:rPr>
              <w:t>0.496</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highlight w:val="none"/>
                <w:lang w:val="en-US" w:eastAsia="zh-CN"/>
              </w:rPr>
            </w:pPr>
            <w:r>
              <w:rPr>
                <w:rFonts w:hint="eastAsia" w:ascii="Times New Roman" w:hAnsi="Times New Roman" w:eastAsia="宋体" w:cs="Times New Roman"/>
                <w:color w:val="auto"/>
                <w:spacing w:val="-2"/>
                <w:sz w:val="21"/>
                <w:szCs w:val="21"/>
                <w:highlight w:val="none"/>
                <w:lang w:val="en-US" w:eastAsia="zh-CN"/>
              </w:rPr>
              <w:t>0.41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硫化物</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0.02</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0.01</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阴离子表面活性剂</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0.3</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pPr>
              <w:pStyle w:val="79"/>
              <w:spacing w:before="96" w:line="182" w:lineRule="auto"/>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pStyle w:val="79"/>
              <w:spacing w:before="96" w:line="182"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钾</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1.71</w:t>
            </w:r>
          </w:p>
        </w:tc>
        <w:tc>
          <w:tcPr>
            <w:tcW w:w="2004" w:type="dxa"/>
            <w:tcBorders>
              <w:tl2br w:val="nil"/>
              <w:tr2bl w:val="nil"/>
            </w:tcBorders>
            <w:vAlign w:val="center"/>
          </w:tcPr>
          <w:p>
            <w:pPr>
              <w:pStyle w:val="79"/>
              <w:spacing w:before="94"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5.73</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spacing w:before="58"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钠</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70.9</w:t>
            </w:r>
          </w:p>
        </w:tc>
        <w:tc>
          <w:tcPr>
            <w:tcW w:w="2004" w:type="dxa"/>
            <w:tcBorders>
              <w:tl2br w:val="nil"/>
              <w:tr2bl w:val="nil"/>
            </w:tcBorders>
            <w:vAlign w:val="center"/>
          </w:tcPr>
          <w:p>
            <w:pPr>
              <w:pStyle w:val="79"/>
              <w:spacing w:before="90"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70.6</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spacing w:before="55"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钙</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47.1</w:t>
            </w:r>
          </w:p>
        </w:tc>
        <w:tc>
          <w:tcPr>
            <w:tcW w:w="2004" w:type="dxa"/>
            <w:tcBorders>
              <w:tl2br w:val="nil"/>
              <w:tr2bl w:val="nil"/>
            </w:tcBorders>
            <w:vAlign w:val="center"/>
          </w:tcPr>
          <w:p>
            <w:pPr>
              <w:pStyle w:val="79"/>
              <w:spacing w:before="93"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70.7</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spacing w:before="57"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镁</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28.9</w:t>
            </w:r>
          </w:p>
        </w:tc>
        <w:tc>
          <w:tcPr>
            <w:tcW w:w="200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21.3</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spacing w:before="60"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碳酸根</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&lt;</w:t>
            </w:r>
            <w:r>
              <w:rPr>
                <w:rFonts w:hint="eastAsia" w:ascii="Times New Roman" w:hAnsi="Times New Roman" w:eastAsia="宋体" w:cs="Times New Roman"/>
                <w:color w:val="auto"/>
                <w:sz w:val="21"/>
                <w:szCs w:val="21"/>
                <w:lang w:val="en-US" w:eastAsia="zh-CN"/>
              </w:rPr>
              <w:t>5</w:t>
            </w:r>
          </w:p>
        </w:tc>
        <w:tc>
          <w:tcPr>
            <w:tcW w:w="2004" w:type="dxa"/>
            <w:tcBorders>
              <w:tl2br w:val="nil"/>
              <w:tr2bl w:val="nil"/>
            </w:tcBorders>
            <w:vAlign w:val="center"/>
          </w:tcPr>
          <w:p>
            <w:pPr>
              <w:pStyle w:val="79"/>
              <w:spacing w:before="97" w:line="182" w:lineRule="auto"/>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&lt;</w:t>
            </w:r>
            <w:r>
              <w:rPr>
                <w:rFonts w:hint="default" w:ascii="Times New Roman" w:hAnsi="Times New Roman" w:cs="Times New Roman"/>
                <w:color w:val="auto"/>
                <w:sz w:val="21"/>
                <w:szCs w:val="21"/>
              </w:rPr>
              <w:t>5</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spacing w:before="61" w:line="226" w:lineRule="auto"/>
              <w:jc w:val="center"/>
              <w:rPr>
                <w:rFonts w:hint="eastAsia" w:ascii="Times New Roman" w:hAnsi="Times New Roman" w:eastAsia="宋体" w:cs="Times New Roman"/>
                <w:color w:val="auto"/>
                <w:sz w:val="21"/>
                <w:szCs w:val="21"/>
                <w:lang w:val="en-US" w:eastAsia="zh-CN"/>
              </w:rPr>
            </w:pPr>
            <w:r>
              <w:rPr>
                <w:rFonts w:hint="eastAsia" w:eastAsia="宋体"/>
                <w:color w:val="auto"/>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碳酸氢根</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eastAsia" w:eastAsia="宋体"/>
                <w:color w:val="auto"/>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305</w:t>
            </w:r>
          </w:p>
        </w:tc>
        <w:tc>
          <w:tcPr>
            <w:tcW w:w="2004" w:type="dxa"/>
            <w:tcBorders>
              <w:tl2br w:val="nil"/>
              <w:tr2bl w:val="nil"/>
            </w:tcBorders>
            <w:vAlign w:val="center"/>
          </w:tcPr>
          <w:p>
            <w:pPr>
              <w:pStyle w:val="79"/>
              <w:spacing w:before="98"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220</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spacing w:before="63" w:line="226"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汞</w:t>
            </w:r>
          </w:p>
        </w:tc>
        <w:tc>
          <w:tcPr>
            <w:tcW w:w="1102"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µg/L</w:t>
            </w:r>
          </w:p>
        </w:tc>
        <w:tc>
          <w:tcPr>
            <w:tcW w:w="1920" w:type="dxa"/>
            <w:tcBorders>
              <w:tl2br w:val="nil"/>
              <w:tr2bl w:val="nil"/>
            </w:tcBorders>
            <w:vAlign w:val="center"/>
          </w:tcPr>
          <w:p>
            <w:pPr>
              <w:textAlignment w:val="center"/>
              <w:rPr>
                <w:rFonts w:hint="default" w:eastAsia="宋体"/>
                <w:color w:val="auto"/>
                <w:highlight w:val="none"/>
                <w:lang w:val="en-US" w:eastAsia="zh-CN" w:bidi="ar"/>
              </w:rPr>
            </w:pPr>
            <w:r>
              <w:rPr>
                <w:rFonts w:hint="default" w:eastAsia="宋体"/>
                <w:color w:val="auto"/>
                <w:highlight w:val="none"/>
                <w:lang w:bidi="ar"/>
              </w:rPr>
              <w:t>≤</w:t>
            </w:r>
            <w:r>
              <w:rPr>
                <w:rFonts w:hint="eastAsia" w:eastAsia="宋体"/>
                <w:color w:val="auto"/>
                <w:highlight w:val="none"/>
                <w:lang w:val="en-US" w:eastAsia="zh-CN" w:bidi="ar"/>
              </w:rPr>
              <w:t>0.001</w:t>
            </w:r>
          </w:p>
        </w:tc>
        <w:tc>
          <w:tcPr>
            <w:tcW w:w="2365" w:type="dxa"/>
            <w:tcBorders>
              <w:tl2br w:val="nil"/>
              <w:tr2bl w:val="nil"/>
            </w:tcBorders>
            <w:vAlign w:val="center"/>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1.30</w:t>
            </w:r>
            <w:r>
              <w:rPr>
                <w:rFonts w:hint="default" w:ascii="Times New Roman" w:hAnsi="Times New Roman" w:eastAsia="宋体" w:cs="Times New Roman"/>
                <w:color w:val="auto"/>
                <w:sz w:val="21"/>
                <w:szCs w:val="21"/>
                <w:lang w:val="en-US" w:eastAsia="zh-CN"/>
              </w:rPr>
              <w:t>×10</w:t>
            </w:r>
            <w:r>
              <w:rPr>
                <w:rFonts w:hint="default" w:ascii="Times New Roman" w:hAnsi="Times New Roman" w:eastAsia="宋体" w:cs="Times New Roman"/>
                <w:color w:val="auto"/>
                <w:sz w:val="21"/>
                <w:szCs w:val="21"/>
                <w:vertAlign w:val="superscript"/>
                <w:lang w:val="en-US" w:eastAsia="zh-CN"/>
              </w:rPr>
              <w:t>-4</w:t>
            </w:r>
          </w:p>
        </w:tc>
        <w:tc>
          <w:tcPr>
            <w:tcW w:w="2004" w:type="dxa"/>
            <w:tcBorders>
              <w:tl2br w:val="nil"/>
              <w:tr2bl w:val="nil"/>
            </w:tcBorders>
            <w:vAlign w:val="center"/>
          </w:tcPr>
          <w:p>
            <w:pPr>
              <w:pStyle w:val="79"/>
              <w:spacing w:before="101" w:line="182" w:lineRule="auto"/>
              <w:jc w:val="center"/>
              <w:rPr>
                <w:rFonts w:hint="default" w:ascii="Times New Roman" w:hAnsi="Times New Roman" w:cs="Times New Roman"/>
                <w:color w:val="auto"/>
                <w:sz w:val="21"/>
                <w:szCs w:val="21"/>
              </w:rPr>
            </w:pPr>
            <w:bookmarkStart w:id="534" w:name="OLE_LINK51"/>
            <w:r>
              <w:rPr>
                <w:rFonts w:hint="default" w:ascii="Times New Roman" w:hAnsi="Times New Roman" w:cs="Times New Roman"/>
                <w:color w:val="auto"/>
                <w:sz w:val="21"/>
                <w:szCs w:val="21"/>
              </w:rPr>
              <w:t>2.6×10</w:t>
            </w:r>
            <w:r>
              <w:rPr>
                <w:rFonts w:hint="default" w:ascii="Times New Roman" w:hAnsi="Times New Roman" w:cs="Times New Roman"/>
                <w:color w:val="auto"/>
                <w:sz w:val="21"/>
                <w:szCs w:val="21"/>
                <w:vertAlign w:val="superscript"/>
              </w:rPr>
              <w:t>-4</w:t>
            </w:r>
            <w:bookmarkEnd w:id="534"/>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0.13</w:t>
            </w:r>
          </w:p>
        </w:tc>
        <w:tc>
          <w:tcPr>
            <w:tcW w:w="1886" w:type="dxa"/>
            <w:tcBorders>
              <w:tl2br w:val="nil"/>
              <w:tr2bl w:val="nil"/>
            </w:tcBorders>
            <w:vAlign w:val="center"/>
          </w:tcPr>
          <w:p>
            <w:pPr>
              <w:pStyle w:val="79"/>
              <w:spacing w:before="101" w:line="182"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0.26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砷</w:t>
            </w:r>
          </w:p>
        </w:tc>
        <w:tc>
          <w:tcPr>
            <w:tcW w:w="1102"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0.01</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top"/>
          </w:tcPr>
          <w:p>
            <w:pPr>
              <w:pStyle w:val="79"/>
              <w:spacing w:before="91" w:line="183" w:lineRule="auto"/>
              <w:jc w:val="center"/>
              <w:rPr>
                <w:rFonts w:hint="eastAsia" w:ascii="Times New Roman" w:hAnsi="Times New Roman" w:eastAsia="宋体" w:cs="Times New Roman"/>
                <w:color w:val="auto"/>
                <w:spacing w:val="-2"/>
                <w:sz w:val="21"/>
                <w:szCs w:val="21"/>
                <w:lang w:eastAsia="zh-CN"/>
              </w:rPr>
            </w:pPr>
            <w:r>
              <w:rPr>
                <w:rFonts w:hint="eastAsia" w:ascii="Times New Roman" w:hAnsi="Times New Roman" w:cs="Times New Roman"/>
                <w:color w:val="auto"/>
                <w:sz w:val="21"/>
                <w:szCs w:val="21"/>
                <w:lang w:val="en-US" w:eastAsia="zh-CN"/>
              </w:rPr>
              <w:t>3.0</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superscript"/>
                <w:lang w:val="en-US" w:eastAsia="zh-CN"/>
              </w:rPr>
              <w:t>3</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铁</w:t>
            </w:r>
          </w:p>
        </w:tc>
        <w:tc>
          <w:tcPr>
            <w:tcW w:w="1102"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0.3</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pPr>
              <w:pStyle w:val="79"/>
              <w:spacing w:before="88" w:line="182" w:lineRule="auto"/>
              <w:jc w:val="center"/>
              <w:rPr>
                <w:rFonts w:hint="default" w:ascii="Times New Roman" w:hAnsi="Times New Roman" w:eastAsia="宋体" w:cs="Times New Roman"/>
                <w:color w:val="auto"/>
                <w:spacing w:val="-2"/>
                <w:sz w:val="21"/>
                <w:szCs w:val="21"/>
              </w:rPr>
            </w:pPr>
            <w:r>
              <w:rPr>
                <w:rFonts w:hint="default" w:ascii="Times New Roman" w:hAnsi="Times New Roman" w:cs="Times New Roman"/>
                <w:color w:val="auto"/>
                <w:sz w:val="21"/>
                <w:szCs w:val="21"/>
              </w:rPr>
              <w:t>ND</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rPr>
            </w:pPr>
            <w:r>
              <w:rPr>
                <w:rFonts w:hint="eastAsia" w:ascii="Times New Roman" w:hAnsi="Times New Roman" w:eastAsia="宋体" w:cs="Times New Roman"/>
                <w:color w:val="auto"/>
                <w:spacing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锰</w:t>
            </w:r>
          </w:p>
        </w:tc>
        <w:tc>
          <w:tcPr>
            <w:tcW w:w="1102"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0.10</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0.02</w:t>
            </w:r>
          </w:p>
        </w:tc>
        <w:tc>
          <w:tcPr>
            <w:tcW w:w="2004" w:type="dxa"/>
            <w:tcBorders>
              <w:tl2br w:val="nil"/>
              <w:tr2bl w:val="nil"/>
            </w:tcBorders>
            <w:vAlign w:val="center"/>
          </w:tcPr>
          <w:p>
            <w:pPr>
              <w:pStyle w:val="79"/>
              <w:spacing w:before="88" w:line="182" w:lineRule="auto"/>
              <w:jc w:val="center"/>
              <w:rPr>
                <w:rFonts w:hint="default" w:ascii="Times New Roman" w:hAnsi="Times New Roman" w:eastAsia="宋体" w:cs="Times New Roman"/>
                <w:b/>
                <w:bCs/>
                <w:color w:val="auto"/>
                <w:spacing w:val="-2"/>
                <w:sz w:val="21"/>
                <w:szCs w:val="21"/>
              </w:rPr>
            </w:pPr>
            <w:r>
              <w:rPr>
                <w:rFonts w:hint="default" w:ascii="Times New Roman" w:hAnsi="Times New Roman" w:cs="Times New Roman"/>
                <w:color w:val="auto"/>
                <w:sz w:val="21"/>
                <w:szCs w:val="21"/>
              </w:rPr>
              <w:t>ND</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b/>
                <w:bCs/>
                <w:color w:val="auto"/>
                <w:spacing w:val="-2"/>
                <w:sz w:val="21"/>
                <w:szCs w:val="21"/>
              </w:rPr>
            </w:pPr>
            <w:r>
              <w:rPr>
                <w:rFonts w:hint="eastAsia" w:ascii="Times New Roman" w:hAnsi="Times New Roman" w:eastAsia="宋体" w:cs="Times New Roman"/>
                <w:color w:val="auto"/>
                <w:spacing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铅</w:t>
            </w:r>
          </w:p>
        </w:tc>
        <w:tc>
          <w:tcPr>
            <w:tcW w:w="1102"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0.20</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top"/>
          </w:tcPr>
          <w:p>
            <w:pPr>
              <w:pStyle w:val="79"/>
              <w:spacing w:before="91" w:line="183" w:lineRule="auto"/>
              <w:jc w:val="center"/>
              <w:rPr>
                <w:rFonts w:hint="eastAsia" w:ascii="Times New Roman" w:hAnsi="Times New Roman" w:eastAsia="宋体" w:cs="Times New Roman"/>
                <w:color w:val="auto"/>
                <w:spacing w:val="-2"/>
                <w:sz w:val="21"/>
                <w:szCs w:val="21"/>
                <w:lang w:eastAsia="zh-CN"/>
              </w:rPr>
            </w:pPr>
            <w:r>
              <w:rPr>
                <w:rFonts w:hint="eastAsia" w:ascii="Times New Roman" w:hAnsi="Times New Roman" w:cs="Times New Roman"/>
                <w:color w:val="auto"/>
                <w:sz w:val="21"/>
                <w:szCs w:val="21"/>
                <w:lang w:val="en-US" w:eastAsia="zh-CN"/>
              </w:rPr>
              <w:t>7.5</w:t>
            </w:r>
            <w:r>
              <w:rPr>
                <w:rFonts w:hint="default" w:ascii="Times New Roman" w:hAnsi="Times New Roman" w:cs="Times New Roman"/>
                <w:color w:val="auto"/>
                <w:sz w:val="21"/>
                <w:szCs w:val="21"/>
              </w:rPr>
              <w:t>×10</w:t>
            </w:r>
            <w:r>
              <w:rPr>
                <w:rFonts w:hint="default" w:ascii="Times New Roman" w:hAnsi="Times New Roman" w:cs="Times New Roman"/>
                <w:color w:val="auto"/>
                <w:sz w:val="21"/>
                <w:szCs w:val="21"/>
                <w:vertAlign w:val="superscript"/>
              </w:rPr>
              <w:t>-</w:t>
            </w:r>
            <w:r>
              <w:rPr>
                <w:rFonts w:hint="eastAsia" w:ascii="Times New Roman" w:hAnsi="Times New Roman" w:cs="Times New Roman"/>
                <w:color w:val="auto"/>
                <w:sz w:val="21"/>
                <w:szCs w:val="21"/>
                <w:vertAlign w:val="superscript"/>
                <w:lang w:val="en-US" w:eastAsia="zh-CN"/>
              </w:rPr>
              <w:t>3</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0.75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镉</w:t>
            </w:r>
          </w:p>
        </w:tc>
        <w:tc>
          <w:tcPr>
            <w:tcW w:w="1102"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0.005</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pPr>
              <w:pStyle w:val="79"/>
              <w:spacing w:before="88" w:line="182" w:lineRule="auto"/>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cs="Times New Roman"/>
                <w:color w:val="auto"/>
                <w:sz w:val="21"/>
                <w:szCs w:val="21"/>
              </w:rPr>
              <w:t>ND</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en-US"/>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钡</w:t>
            </w:r>
          </w:p>
        </w:tc>
        <w:tc>
          <w:tcPr>
            <w:tcW w:w="1102"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µg/L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color w:val="auto"/>
                <w:highlight w:val="none"/>
                <w:lang w:val="en-US" w:eastAsia="zh-CN" w:bidi="ar"/>
              </w:rPr>
              <w:t>700</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5.6</w:t>
            </w:r>
          </w:p>
        </w:tc>
        <w:tc>
          <w:tcPr>
            <w:tcW w:w="2004" w:type="dxa"/>
            <w:tcBorders>
              <w:tl2br w:val="nil"/>
              <w:tr2bl w:val="nil"/>
            </w:tcBorders>
            <w:vAlign w:val="top"/>
          </w:tcPr>
          <w:p>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0.008</w:t>
            </w:r>
          </w:p>
        </w:tc>
        <w:tc>
          <w:tcPr>
            <w:tcW w:w="1886" w:type="dxa"/>
            <w:tcBorders>
              <w:tl2br w:val="nil"/>
              <w:tr2bl w:val="nil"/>
            </w:tcBorders>
            <w:vAlign w:val="top"/>
          </w:tcPr>
          <w:p>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铜</w:t>
            </w:r>
          </w:p>
        </w:tc>
        <w:tc>
          <w:tcPr>
            <w:tcW w:w="1102"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1.00</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top"/>
          </w:tcPr>
          <w:p>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锌</w:t>
            </w:r>
          </w:p>
        </w:tc>
        <w:tc>
          <w:tcPr>
            <w:tcW w:w="1102"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bidi="ar"/>
              </w:rPr>
            </w:pPr>
            <w:r>
              <w:rPr>
                <w:rFonts w:hint="default" w:eastAsia="宋体"/>
                <w:color w:val="auto"/>
                <w:highlight w:val="none"/>
                <w:lang w:bidi="ar"/>
              </w:rPr>
              <w:t>≤</w:t>
            </w:r>
            <w:r>
              <w:rPr>
                <w:rFonts w:hint="eastAsia" w:eastAsia="宋体"/>
                <w:color w:val="auto"/>
                <w:highlight w:val="none"/>
                <w:lang w:val="en-US" w:eastAsia="zh-CN" w:bidi="ar"/>
              </w:rPr>
              <w:t>1.00</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top"/>
          </w:tcPr>
          <w:p>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pPr>
              <w:pStyle w:val="79"/>
              <w:spacing w:before="91" w:line="183" w:lineRule="auto"/>
              <w:jc w:val="center"/>
              <w:rPr>
                <w:rFonts w:hint="eastAsia"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六价铬</w:t>
            </w:r>
          </w:p>
        </w:tc>
        <w:tc>
          <w:tcPr>
            <w:tcW w:w="1102"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bidi="ar"/>
              </w:rPr>
            </w:pPr>
            <w:r>
              <w:rPr>
                <w:rFonts w:hint="default" w:eastAsia="宋体"/>
                <w:color w:val="auto"/>
                <w:highlight w:val="none"/>
                <w:lang w:bidi="ar"/>
              </w:rPr>
              <w:t>≤</w:t>
            </w:r>
            <w:r>
              <w:rPr>
                <w:rFonts w:hint="eastAsia" w:eastAsia="宋体"/>
                <w:color w:val="auto"/>
                <w:highlight w:val="none"/>
                <w:lang w:val="en-US" w:eastAsia="zh-CN" w:bidi="ar"/>
              </w:rPr>
              <w:t>0.05</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ND</w:t>
            </w:r>
          </w:p>
        </w:tc>
        <w:tc>
          <w:tcPr>
            <w:tcW w:w="2004" w:type="dxa"/>
            <w:tcBorders>
              <w:tl2br w:val="nil"/>
              <w:tr2bl w:val="nil"/>
            </w:tcBorders>
            <w:vAlign w:val="center"/>
          </w:tcPr>
          <w:p>
            <w:pPr>
              <w:pStyle w:val="79"/>
              <w:spacing w:before="88" w:line="182" w:lineRule="auto"/>
              <w:jc w:val="center"/>
              <w:rPr>
                <w:rFonts w:hint="default" w:ascii="Times New Roman" w:hAnsi="Times New Roman" w:eastAsia="宋体" w:cs="Times New Roman"/>
                <w:color w:val="auto"/>
                <w:sz w:val="21"/>
                <w:szCs w:val="21"/>
                <w:lang w:val="en-US" w:eastAsia="en-US" w:bidi="ar-SA"/>
              </w:rPr>
            </w:pPr>
            <w:r>
              <w:rPr>
                <w:rFonts w:hint="default" w:ascii="Times New Roman" w:hAnsi="Times New Roman" w:cs="Times New Roman"/>
                <w:color w:val="auto"/>
                <w:sz w:val="21"/>
                <w:szCs w:val="21"/>
              </w:rPr>
              <w:t>ND</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en-US"/>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val="en-US" w:eastAsia="en-US" w:bidi="ar"/>
              </w:rPr>
            </w:pPr>
            <w:r>
              <w:rPr>
                <w:rFonts w:hint="default" w:eastAsia="宋体"/>
                <w:color w:val="auto"/>
                <w:highlight w:val="none"/>
                <w:lang w:bidi="ar"/>
              </w:rPr>
              <w:t>石油类</w:t>
            </w:r>
          </w:p>
        </w:tc>
        <w:tc>
          <w:tcPr>
            <w:tcW w:w="1102" w:type="dxa"/>
            <w:tcBorders>
              <w:tl2br w:val="nil"/>
              <w:tr2bl w:val="nil"/>
            </w:tcBorders>
            <w:vAlign w:val="top"/>
          </w:tcPr>
          <w:p>
            <w:pPr>
              <w:textAlignment w:val="center"/>
              <w:rPr>
                <w:rFonts w:hint="default" w:eastAsia="宋体"/>
                <w:color w:val="auto"/>
                <w:highlight w:val="none"/>
                <w:lang w:val="en-US" w:eastAsia="en-US" w:bidi="ar"/>
              </w:rPr>
            </w:pPr>
            <w:bookmarkStart w:id="535" w:name="OLE_LINK53"/>
            <w:r>
              <w:rPr>
                <w:rFonts w:hint="default" w:eastAsia="宋体"/>
                <w:color w:val="auto"/>
                <w:highlight w:val="none"/>
                <w:lang w:bidi="ar"/>
              </w:rPr>
              <w:t>mg/L</w:t>
            </w:r>
            <w:bookmarkEnd w:id="535"/>
          </w:p>
        </w:tc>
        <w:tc>
          <w:tcPr>
            <w:tcW w:w="1920" w:type="dxa"/>
            <w:tcBorders>
              <w:tl2br w:val="nil"/>
              <w:tr2bl w:val="nil"/>
            </w:tcBorders>
            <w:vAlign w:val="center"/>
          </w:tcPr>
          <w:p>
            <w:pPr>
              <w:textAlignment w:val="center"/>
              <w:rPr>
                <w:rFonts w:hint="default" w:eastAsia="宋体"/>
                <w:color w:val="auto"/>
                <w:highlight w:val="none"/>
                <w:lang w:bidi="ar"/>
              </w:rPr>
            </w:pPr>
            <w:bookmarkStart w:id="536" w:name="OLE_LINK54"/>
            <w:r>
              <w:rPr>
                <w:color w:val="auto"/>
                <w:highlight w:val="none"/>
                <w:lang w:bidi="ar"/>
              </w:rPr>
              <w:t>≤0.05</w:t>
            </w:r>
            <w:bookmarkEnd w:id="536"/>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0.01</w:t>
            </w:r>
          </w:p>
        </w:tc>
        <w:tc>
          <w:tcPr>
            <w:tcW w:w="2004"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0.01</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w:t>
            </w:r>
          </w:p>
        </w:tc>
        <w:tc>
          <w:tcPr>
            <w:tcW w:w="1886"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bidi="ar"/>
              </w:rPr>
            </w:pPr>
            <w:r>
              <w:rPr>
                <w:rFonts w:hint="default" w:eastAsia="宋体"/>
                <w:color w:val="auto"/>
                <w:highlight w:val="none"/>
                <w:lang w:bidi="ar"/>
              </w:rPr>
              <w:t>氟化物</w:t>
            </w:r>
          </w:p>
        </w:tc>
        <w:tc>
          <w:tcPr>
            <w:tcW w:w="1102" w:type="dxa"/>
            <w:tcBorders>
              <w:tl2br w:val="nil"/>
              <w:tr2bl w:val="nil"/>
            </w:tcBorders>
            <w:vAlign w:val="top"/>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default" w:eastAsia="宋体"/>
                <w:color w:val="auto"/>
                <w:highlight w:val="none"/>
                <w:lang w:val="en-US" w:eastAsia="zh-CN" w:bidi="ar"/>
              </w:rPr>
            </w:pPr>
            <w:r>
              <w:rPr>
                <w:color w:val="auto"/>
                <w:highlight w:val="none"/>
                <w:lang w:bidi="ar"/>
              </w:rPr>
              <w:t>≤</w:t>
            </w:r>
            <w:r>
              <w:rPr>
                <w:rFonts w:hint="eastAsia"/>
                <w:color w:val="auto"/>
                <w:highlight w:val="none"/>
                <w:lang w:val="en-US" w:eastAsia="zh-CN" w:bidi="ar"/>
              </w:rPr>
              <w:t>1.0</w:t>
            </w:r>
          </w:p>
        </w:tc>
        <w:tc>
          <w:tcPr>
            <w:tcW w:w="2365" w:type="dxa"/>
            <w:tcBorders>
              <w:tl2br w:val="nil"/>
              <w:tr2bl w:val="nil"/>
            </w:tcBorders>
            <w:vAlign w:val="top"/>
          </w:tcPr>
          <w:p>
            <w:pPr>
              <w:spacing w:before="91" w:line="183" w:lineRule="auto"/>
              <w:jc w:val="center"/>
              <w:rPr>
                <w:rFonts w:hint="default" w:ascii="Times New Roman" w:hAnsi="Times New Roman" w:eastAsia="宋体" w:cs="Times New Roman"/>
                <w:color w:val="auto"/>
                <w:sz w:val="21"/>
                <w:szCs w:val="21"/>
                <w:lang w:val="en-US" w:eastAsia="zh-CN"/>
              </w:rPr>
            </w:pPr>
            <w:r>
              <w:rPr>
                <w:rFonts w:hint="eastAsia" w:eastAsia="宋体"/>
                <w:color w:val="auto"/>
                <w:highlight w:val="none"/>
                <w:lang w:val="en-US" w:eastAsia="zh-CN" w:bidi="ar"/>
              </w:rPr>
              <w:t>/</w:t>
            </w:r>
          </w:p>
        </w:tc>
        <w:tc>
          <w:tcPr>
            <w:tcW w:w="2004"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0.21</w:t>
            </w:r>
          </w:p>
        </w:tc>
        <w:tc>
          <w:tcPr>
            <w:tcW w:w="2244" w:type="dxa"/>
            <w:tcBorders>
              <w:tl2br w:val="nil"/>
              <w:tr2bl w:val="nil"/>
            </w:tcBorders>
            <w:vAlign w:val="top"/>
          </w:tcPr>
          <w:p>
            <w:pPr>
              <w:pStyle w:val="79"/>
              <w:spacing w:before="96" w:line="182"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pacing w:val="-2"/>
                <w:sz w:val="21"/>
                <w:szCs w:val="21"/>
                <w:lang w:val="en-US" w:eastAsia="zh-CN"/>
              </w:rPr>
            </w:pPr>
            <w:r>
              <w:rPr>
                <w:rFonts w:hint="eastAsia" w:ascii="Times New Roman" w:hAnsi="Times New Roman" w:eastAsia="宋体" w:cs="Times New Roman"/>
                <w:color w:val="auto"/>
                <w:spacing w:val="-2"/>
                <w:sz w:val="21"/>
                <w:szCs w:val="21"/>
                <w:lang w:val="en-US" w:eastAsia="zh-CN"/>
              </w:rPr>
              <w:t>0.21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bidi="ar"/>
              </w:rPr>
            </w:pPr>
            <w:bookmarkStart w:id="537" w:name="OLE_LINK55" w:colFirst="4" w:colLast="6"/>
            <w:r>
              <w:rPr>
                <w:rFonts w:hint="default" w:eastAsia="宋体"/>
                <w:color w:val="auto"/>
                <w:highlight w:val="none"/>
                <w:lang w:bidi="ar"/>
              </w:rPr>
              <w:t>氰化物</w:t>
            </w:r>
          </w:p>
        </w:tc>
        <w:tc>
          <w:tcPr>
            <w:tcW w:w="1102" w:type="dxa"/>
            <w:tcBorders>
              <w:tl2br w:val="nil"/>
              <w:tr2bl w:val="nil"/>
            </w:tcBorders>
            <w:vAlign w:val="top"/>
          </w:tcPr>
          <w:p>
            <w:pPr>
              <w:textAlignment w:val="center"/>
              <w:rPr>
                <w:rFonts w:hint="default" w:eastAsia="宋体"/>
                <w:color w:val="auto"/>
                <w:highlight w:val="none"/>
                <w:lang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color w:val="auto"/>
                <w:highlight w:val="none"/>
                <w:lang w:bidi="ar"/>
              </w:rPr>
            </w:pPr>
            <w:r>
              <w:rPr>
                <w:color w:val="auto"/>
                <w:highlight w:val="none"/>
                <w:lang w:bidi="ar"/>
              </w:rPr>
              <w:t>≤0.05</w:t>
            </w:r>
          </w:p>
        </w:tc>
        <w:tc>
          <w:tcPr>
            <w:tcW w:w="2365" w:type="dxa"/>
            <w:tcBorders>
              <w:tl2br w:val="nil"/>
              <w:tr2bl w:val="nil"/>
            </w:tcBorders>
            <w:vAlign w:val="top"/>
          </w:tcPr>
          <w:p>
            <w:pPr>
              <w:spacing w:before="91" w:line="183" w:lineRule="auto"/>
              <w:jc w:val="center"/>
              <w:rPr>
                <w:rFonts w:hint="default" w:ascii="Times New Roman" w:hAnsi="Times New Roman" w:eastAsia="宋体" w:cs="Times New Roman"/>
                <w:color w:val="auto"/>
                <w:sz w:val="21"/>
                <w:szCs w:val="21"/>
                <w:lang w:val="en-US" w:eastAsia="zh-CN"/>
              </w:rPr>
            </w:pPr>
            <w:r>
              <w:rPr>
                <w:rFonts w:hint="eastAsia" w:eastAsia="宋体"/>
                <w:color w:val="auto"/>
                <w:highlight w:val="none"/>
                <w:lang w:val="en-US" w:eastAsia="zh-CN" w:bidi="ar"/>
              </w:rPr>
              <w:t>/</w:t>
            </w:r>
          </w:p>
        </w:tc>
        <w:tc>
          <w:tcPr>
            <w:tcW w:w="2004" w:type="dxa"/>
            <w:tcBorders>
              <w:tl2br w:val="nil"/>
              <w:tr2bl w:val="nil"/>
            </w:tcBorders>
            <w:vAlign w:val="center"/>
          </w:tcPr>
          <w:p>
            <w:pPr>
              <w:pStyle w:val="79"/>
              <w:spacing w:before="88" w:line="182" w:lineRule="auto"/>
              <w:jc w:val="center"/>
              <w:rPr>
                <w:rFonts w:hint="eastAsia" w:ascii="Times New Roman" w:hAnsi="Times New Roman" w:eastAsia="宋体" w:cs="Times New Roman"/>
                <w:color w:val="auto"/>
                <w:sz w:val="21"/>
                <w:szCs w:val="21"/>
                <w:lang w:val="en-US" w:eastAsia="zh-CN" w:bidi="ar-SA"/>
              </w:rPr>
            </w:pPr>
            <w:r>
              <w:rPr>
                <w:rFonts w:hint="default" w:ascii="Times New Roman" w:hAnsi="Times New Roman" w:cs="Times New Roman"/>
                <w:color w:val="auto"/>
                <w:sz w:val="21"/>
                <w:szCs w:val="21"/>
              </w:rPr>
              <w:t>ND</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en-US"/>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pStyle w:val="79"/>
              <w:spacing w:before="96" w:line="182" w:lineRule="auto"/>
              <w:jc w:val="center"/>
              <w:rPr>
                <w:rFonts w:hint="eastAsia" w:ascii="Times New Roman" w:hAnsi="Times New Roman" w:eastAsia="宋体" w:cs="Times New Roman"/>
                <w:color w:val="auto"/>
                <w:spacing w:val="-2"/>
                <w:sz w:val="21"/>
                <w:szCs w:val="21"/>
                <w:lang w:val="en-US" w:eastAsia="zh-CN" w:bidi="ar-SA"/>
              </w:rPr>
            </w:pPr>
            <w:r>
              <w:rPr>
                <w:rFonts w:hint="eastAsia" w:ascii="Times New Roman" w:hAnsi="Times New Roman" w:eastAsia="宋体" w:cs="Times New Roman"/>
                <w:color w:val="auto"/>
                <w:spacing w:val="-2"/>
                <w:sz w:val="21"/>
                <w:szCs w:val="21"/>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118" w:type="dxa"/>
            <w:tcBorders>
              <w:tl2br w:val="nil"/>
              <w:tr2bl w:val="nil"/>
            </w:tcBorders>
            <w:vAlign w:val="top"/>
          </w:tcPr>
          <w:p>
            <w:pPr>
              <w:textAlignment w:val="center"/>
              <w:rPr>
                <w:rFonts w:hint="default" w:eastAsia="宋体"/>
                <w:color w:val="auto"/>
                <w:highlight w:val="none"/>
                <w:lang w:bidi="ar"/>
              </w:rPr>
            </w:pPr>
            <w:r>
              <w:rPr>
                <w:rFonts w:hint="default" w:ascii="Times New Roman" w:hAnsi="Times New Roman" w:eastAsia="宋体" w:cs="Times New Roman"/>
                <w:color w:val="auto"/>
                <w:highlight w:val="none"/>
                <w:lang w:val="en-US" w:eastAsia="zh-CN" w:bidi="ar"/>
              </w:rPr>
              <w:t>氯离子</w:t>
            </w:r>
          </w:p>
        </w:tc>
        <w:tc>
          <w:tcPr>
            <w:tcW w:w="1102" w:type="dxa"/>
            <w:tcBorders>
              <w:tl2br w:val="nil"/>
              <w:tr2bl w:val="nil"/>
            </w:tcBorders>
            <w:vAlign w:val="center"/>
          </w:tcPr>
          <w:p>
            <w:pPr>
              <w:textAlignment w:val="center"/>
              <w:rPr>
                <w:rFonts w:hint="default" w:ascii="Times New Roman" w:hAnsi="Times New Roman" w:eastAsia="宋体" w:cs="Times New Roman"/>
                <w:color w:val="auto"/>
                <w:sz w:val="21"/>
                <w:szCs w:val="21"/>
                <w:highlight w:val="none"/>
                <w:lang w:val="en-US" w:eastAsia="zh-CN" w:bidi="ar"/>
              </w:rPr>
            </w:pPr>
            <w:r>
              <w:rPr>
                <w:rFonts w:hint="default" w:eastAsia="宋体"/>
                <w:color w:val="auto"/>
                <w:highlight w:val="none"/>
                <w:lang w:bidi="ar"/>
              </w:rPr>
              <w:t>mg/L</w:t>
            </w:r>
          </w:p>
        </w:tc>
        <w:tc>
          <w:tcPr>
            <w:tcW w:w="1920" w:type="dxa"/>
            <w:tcBorders>
              <w:tl2br w:val="nil"/>
              <w:tr2bl w:val="nil"/>
            </w:tcBorders>
            <w:vAlign w:val="center"/>
          </w:tcPr>
          <w:p>
            <w:pPr>
              <w:textAlignment w:val="center"/>
              <w:rPr>
                <w:rFonts w:hint="eastAsia" w:ascii="Times New Roman" w:hAnsi="Times New Roman" w:eastAsia="宋体" w:cs="Times New Roman"/>
                <w:color w:val="auto"/>
                <w:sz w:val="21"/>
                <w:szCs w:val="21"/>
                <w:highlight w:val="none"/>
                <w:lang w:val="en-US" w:eastAsia="zh-CN" w:bidi="ar"/>
              </w:rPr>
            </w:pPr>
            <w:r>
              <w:rPr>
                <w:rFonts w:hint="eastAsia" w:eastAsia="宋体"/>
                <w:color w:val="auto"/>
                <w:highlight w:val="none"/>
                <w:lang w:val="en-US" w:eastAsia="zh-CN" w:bidi="ar"/>
              </w:rPr>
              <w:t>/</w:t>
            </w:r>
          </w:p>
        </w:tc>
        <w:tc>
          <w:tcPr>
            <w:tcW w:w="2365" w:type="dxa"/>
            <w:tcBorders>
              <w:tl2br w:val="nil"/>
              <w:tr2bl w:val="nil"/>
            </w:tcBorders>
            <w:vAlign w:val="top"/>
          </w:tcPr>
          <w:p>
            <w:pPr>
              <w:pStyle w:val="79"/>
              <w:spacing w:before="91" w:line="183" w:lineRule="auto"/>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24.1</w:t>
            </w:r>
          </w:p>
        </w:tc>
        <w:tc>
          <w:tcPr>
            <w:tcW w:w="2004" w:type="dxa"/>
            <w:tcBorders>
              <w:tl2br w:val="nil"/>
              <w:tr2bl w:val="nil"/>
            </w:tcBorders>
            <w:vAlign w:val="center"/>
          </w:tcPr>
          <w:p>
            <w:pPr>
              <w:spacing w:before="88" w:line="182" w:lineRule="auto"/>
              <w:jc w:val="center"/>
              <w:rPr>
                <w:rFonts w:hint="default" w:ascii="Times New Roman" w:hAnsi="Times New Roman" w:cs="Times New Roman"/>
                <w:color w:val="auto"/>
                <w:sz w:val="21"/>
                <w:szCs w:val="21"/>
              </w:rPr>
            </w:pPr>
            <w:r>
              <w:rPr>
                <w:rFonts w:hint="eastAsia" w:eastAsia="宋体"/>
                <w:color w:val="auto"/>
                <w:highlight w:val="none"/>
                <w:lang w:val="en-US" w:eastAsia="zh-CN" w:bidi="ar"/>
              </w:rPr>
              <w:t>/</w:t>
            </w:r>
          </w:p>
        </w:tc>
        <w:tc>
          <w:tcPr>
            <w:tcW w:w="2244" w:type="dxa"/>
            <w:tcBorders>
              <w:tl2br w:val="nil"/>
              <w:tr2bl w:val="nil"/>
            </w:tcBorders>
            <w:vAlign w:val="center"/>
          </w:tcPr>
          <w:p>
            <w:pPr>
              <w:pStyle w:val="79"/>
              <w:spacing w:before="96" w:line="182" w:lineRule="auto"/>
              <w:jc w:val="center"/>
              <w:rPr>
                <w:rFonts w:hint="default" w:ascii="Times New Roman" w:hAnsi="Times New Roman" w:eastAsia="宋体" w:cs="Times New Roman"/>
                <w:color w:val="auto"/>
                <w:spacing w:val="-2"/>
                <w:sz w:val="21"/>
                <w:szCs w:val="21"/>
                <w:lang w:val="en-US" w:eastAsia="en-US"/>
              </w:rPr>
            </w:pPr>
            <w:r>
              <w:rPr>
                <w:rFonts w:hint="eastAsia" w:ascii="Times New Roman" w:hAnsi="Times New Roman" w:eastAsia="宋体" w:cs="Times New Roman"/>
                <w:color w:val="auto"/>
                <w:spacing w:val="-2"/>
                <w:sz w:val="21"/>
                <w:szCs w:val="21"/>
                <w:lang w:val="en-US" w:eastAsia="zh-CN"/>
              </w:rPr>
              <w:t>/</w:t>
            </w:r>
          </w:p>
        </w:tc>
        <w:tc>
          <w:tcPr>
            <w:tcW w:w="1886" w:type="dxa"/>
            <w:tcBorders>
              <w:tl2br w:val="nil"/>
              <w:tr2bl w:val="nil"/>
            </w:tcBorders>
            <w:vAlign w:val="center"/>
          </w:tcPr>
          <w:p>
            <w:pPr>
              <w:spacing w:before="96" w:line="182" w:lineRule="auto"/>
              <w:jc w:val="center"/>
              <w:rPr>
                <w:rFonts w:hint="eastAsia" w:ascii="Times New Roman" w:hAnsi="Times New Roman" w:eastAsia="宋体" w:cs="Times New Roman"/>
                <w:color w:val="auto"/>
                <w:spacing w:val="-2"/>
                <w:sz w:val="21"/>
                <w:szCs w:val="21"/>
                <w:lang w:val="en-US" w:eastAsia="zh-CN"/>
              </w:rPr>
            </w:pPr>
            <w:r>
              <w:rPr>
                <w:rFonts w:hint="eastAsia" w:eastAsia="宋体"/>
                <w:color w:val="auto"/>
                <w:highlight w:val="none"/>
                <w:lang w:val="en-US" w:eastAsia="zh-CN" w:bidi="ar"/>
              </w:rPr>
              <w:t>/</w:t>
            </w:r>
          </w:p>
        </w:tc>
      </w:tr>
      <w:bookmarkEnd w:id="537"/>
    </w:tbl>
    <w:p>
      <w:pPr>
        <w:pStyle w:val="33"/>
        <w:rPr>
          <w:color w:val="auto"/>
        </w:rPr>
      </w:pPr>
    </w:p>
    <w:p>
      <w:pPr>
        <w:rPr>
          <w:color w:val="auto"/>
          <w:highlight w:val="none"/>
        </w:rPr>
        <w:sectPr>
          <w:pgSz w:w="16838" w:h="11905" w:orient="landscape"/>
          <w:pgMar w:top="1814" w:right="1474" w:bottom="1474" w:left="147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49"/>
        <w:pageBreakBefore w:val="0"/>
        <w:kinsoku/>
        <w:wordWrap/>
        <w:overflowPunct/>
        <w:topLinePunct w:val="0"/>
        <w:autoSpaceDE/>
        <w:autoSpaceDN/>
        <w:bidi w:val="0"/>
        <w:spacing w:line="480" w:lineRule="exact"/>
        <w:rPr>
          <w:rFonts w:eastAsia="宋体"/>
          <w:color w:val="auto"/>
          <w:highlight w:val="none"/>
        </w:rPr>
      </w:pPr>
      <w:bookmarkStart w:id="538" w:name="_Toc494483619"/>
      <w:bookmarkStart w:id="539" w:name="_Toc28718"/>
      <w:bookmarkStart w:id="540" w:name="_Toc374724188"/>
      <w:bookmarkStart w:id="541" w:name="_Toc173941870"/>
      <w:bookmarkStart w:id="542" w:name="_Toc353966743"/>
      <w:bookmarkStart w:id="543" w:name="_Toc28401"/>
      <w:bookmarkStart w:id="544" w:name="_Toc517376640"/>
      <w:r>
        <w:rPr>
          <w:rFonts w:eastAsia="宋体"/>
          <w:color w:val="auto"/>
          <w:highlight w:val="none"/>
        </w:rPr>
        <w:t>4.</w:t>
      </w:r>
      <w:r>
        <w:rPr>
          <w:rFonts w:hint="eastAsia" w:eastAsia="宋体"/>
          <w:color w:val="auto"/>
          <w:highlight w:val="none"/>
        </w:rPr>
        <w:t>4</w:t>
      </w:r>
      <w:r>
        <w:rPr>
          <w:rFonts w:eastAsia="宋体"/>
          <w:color w:val="auto"/>
          <w:highlight w:val="none"/>
        </w:rPr>
        <w:t>地表水环境现状调查与评价</w:t>
      </w:r>
      <w:bookmarkEnd w:id="538"/>
      <w:bookmarkEnd w:id="539"/>
      <w:bookmarkEnd w:id="540"/>
      <w:bookmarkEnd w:id="541"/>
      <w:bookmarkEnd w:id="542"/>
      <w:bookmarkEnd w:id="543"/>
      <w:bookmarkEnd w:id="544"/>
    </w:p>
    <w:p>
      <w:pPr>
        <w:pStyle w:val="57"/>
        <w:pageBreakBefore w:val="0"/>
        <w:kinsoku/>
        <w:wordWrap/>
        <w:overflowPunct/>
        <w:topLinePunct w:val="0"/>
        <w:autoSpaceDE/>
        <w:autoSpaceDN/>
        <w:bidi w:val="0"/>
        <w:spacing w:line="480" w:lineRule="exact"/>
        <w:rPr>
          <w:rFonts w:hint="eastAsia" w:eastAsia="宋体"/>
          <w:color w:val="auto"/>
          <w:highlight w:val="none"/>
          <w:lang w:eastAsia="zh-CN"/>
        </w:rPr>
      </w:pPr>
      <w:bookmarkStart w:id="545" w:name="_Toc22064"/>
      <w:bookmarkStart w:id="546" w:name="_Toc173941872"/>
      <w:r>
        <w:rPr>
          <w:rFonts w:hint="eastAsia" w:eastAsia="宋体"/>
          <w:color w:val="auto"/>
          <w:highlight w:val="none"/>
        </w:rPr>
        <w:t>按照《环境影响评价技术导则 地表水环境》（HJ2.3-2018），项目属于水污染影响型建设项目。在油田正常开采及油气集输过程中，本工程产生的含油污水、井下作业废水不外排，且本工程周边5km范围内无天然地表水体，且距离</w:t>
      </w:r>
      <w:r>
        <w:rPr>
          <w:rFonts w:hint="eastAsia" w:eastAsia="宋体"/>
          <w:color w:val="auto"/>
          <w:highlight w:val="none"/>
          <w:lang w:val="en-US" w:eastAsia="zh-CN"/>
        </w:rPr>
        <w:t>玛纳斯湖</w:t>
      </w:r>
      <w:r>
        <w:rPr>
          <w:rFonts w:hint="eastAsia" w:eastAsia="宋体"/>
          <w:color w:val="auto"/>
          <w:highlight w:val="none"/>
        </w:rPr>
        <w:t>最近距离约</w:t>
      </w:r>
      <w:r>
        <w:rPr>
          <w:rFonts w:hint="eastAsia" w:eastAsia="宋体"/>
          <w:color w:val="auto"/>
          <w:highlight w:val="none"/>
          <w:lang w:val="en-US" w:eastAsia="zh-CN"/>
        </w:rPr>
        <w:t>31.5</w:t>
      </w:r>
      <w:r>
        <w:rPr>
          <w:rFonts w:hint="eastAsia" w:eastAsia="宋体"/>
          <w:color w:val="auto"/>
          <w:highlight w:val="none"/>
        </w:rPr>
        <w:t>km。项目地表水环境影响评价等级为三级B，无需开展地表水环境影响评价。本次地表水环境影响评价重点论证项目废水综合利用不外排的可行性和可靠性，废水处理设施的依托可行性</w:t>
      </w:r>
      <w:r>
        <w:rPr>
          <w:rFonts w:hint="eastAsia" w:eastAsia="宋体"/>
          <w:color w:val="auto"/>
          <w:highlight w:val="none"/>
          <w:lang w:eastAsia="zh-CN"/>
        </w:rPr>
        <w:t>。</w:t>
      </w:r>
    </w:p>
    <w:p>
      <w:pPr>
        <w:pStyle w:val="49"/>
        <w:pageBreakBefore w:val="0"/>
        <w:kinsoku/>
        <w:wordWrap/>
        <w:overflowPunct/>
        <w:topLinePunct w:val="0"/>
        <w:autoSpaceDE/>
        <w:autoSpaceDN/>
        <w:bidi w:val="0"/>
        <w:spacing w:line="480" w:lineRule="exact"/>
        <w:rPr>
          <w:rFonts w:eastAsia="宋体"/>
          <w:color w:val="auto"/>
          <w:highlight w:val="none"/>
        </w:rPr>
      </w:pPr>
      <w:bookmarkStart w:id="547" w:name="_Toc4239"/>
      <w:r>
        <w:rPr>
          <w:rFonts w:eastAsia="宋体"/>
          <w:color w:val="auto"/>
          <w:highlight w:val="none"/>
        </w:rPr>
        <w:t>4.5土壤环境现状调查与评价</w:t>
      </w:r>
      <w:bookmarkEnd w:id="545"/>
      <w:bookmarkEnd w:id="546"/>
      <w:bookmarkEnd w:id="547"/>
    </w:p>
    <w:p>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"_Toc30106" </w:instrText>
      </w:r>
      <w:r>
        <w:rPr>
          <w:color w:val="auto"/>
          <w:highlight w:val="none"/>
        </w:rPr>
        <w:fldChar w:fldCharType="separate"/>
      </w:r>
      <w:r>
        <w:rPr>
          <w:rFonts w:hint="eastAsia"/>
          <w:color w:val="auto"/>
          <w:highlight w:val="none"/>
        </w:rPr>
        <w:t>4.5.1土壤类型及分布调查</w:t>
      </w:r>
      <w:r>
        <w:rPr>
          <w:rFonts w:hint="eastAsia"/>
          <w:color w:val="auto"/>
          <w:highlight w:val="none"/>
        </w:rPr>
        <w:fldChar w:fldCharType="end"/>
      </w:r>
    </w:p>
    <w:p>
      <w:pPr>
        <w:pStyle w:val="57"/>
        <w:pageBreakBefore w:val="0"/>
        <w:kinsoku/>
        <w:wordWrap/>
        <w:overflowPunct/>
        <w:topLinePunct w:val="0"/>
        <w:autoSpaceDE/>
        <w:autoSpaceDN/>
        <w:bidi w:val="0"/>
        <w:spacing w:line="480" w:lineRule="exact"/>
        <w:rPr>
          <w:rFonts w:hint="eastAsia"/>
          <w:color w:val="auto"/>
          <w:highlight w:val="none"/>
        </w:rPr>
      </w:pPr>
      <w:r>
        <w:rPr>
          <w:color w:val="auto"/>
          <w:highlight w:val="none"/>
        </w:rPr>
        <w:t>根据遥感影像图、新疆维吾尔自治区土壤类型图、《新疆土壤》及现场踏勘结果，评价区土壤类型主要</w:t>
      </w:r>
      <w:r>
        <w:rPr>
          <w:rFonts w:hint="eastAsia"/>
          <w:color w:val="auto"/>
          <w:highlight w:val="none"/>
        </w:rPr>
        <w:t>为</w:t>
      </w:r>
      <w:bookmarkStart w:id="548" w:name="OLE_LINK57"/>
      <w:r>
        <w:rPr>
          <w:rFonts w:hint="eastAsia"/>
          <w:color w:val="auto"/>
          <w:highlight w:val="none"/>
          <w:lang w:val="en-US" w:eastAsia="zh-CN"/>
        </w:rPr>
        <w:t>灰棕漠土、草甸土</w:t>
      </w:r>
      <w:bookmarkEnd w:id="548"/>
      <w:r>
        <w:rPr>
          <w:rFonts w:hint="eastAsia"/>
          <w:color w:val="auto"/>
          <w:highlight w:val="none"/>
        </w:rPr>
        <w:t>。土壤类型分布图见图4.5-1。</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（1）灰棕漠土</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灰棕漠土是新疆北部地区温带荒漠的地带性土壤，该土类是在北疆温带地区干旱荒漠气候条件和粗骨质（砾质—砂质）成土母质上形成的，其形成和分布与大风的作用密切相关，在大风的作用下，地表细颗粒物质被强大的风力搬运殆尽，留存的砾石和砂粒在风和短暂暴雨的作用下，互相镶嵌形成部分较密实的砾幕，也就是黑褐色的“荒漠漆皮”。因而其生产性能较差，植物生长极少，部分区域甚至为不毛之地。在灰棕漠的形成过程中，生物累积作用很小，土壤表层的有机质含量仅为3g～5g/kg，在剖面中无明显聚积层。灰棕漠土为粗骨性母质，细土物质很少，土体非常干燥，地表有一层厚约2</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3cm而略带黄灰色的结皮砾幕，混有砾石和碎石；下为浅褐棕色或褐红。棕色、砾质沙壤的不明显层片状层，比较疏松，一般厚约8</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12cm；以下开始出现石膏聚积层，大量石膏聚积在10</w:t>
      </w:r>
      <w:r>
        <w:rPr>
          <w:rFonts w:hint="eastAsia" w:cs="Times New Roman"/>
          <w:color w:val="auto"/>
          <w:highlight w:val="none"/>
          <w:lang w:val="en-US" w:eastAsia="zh-CN"/>
        </w:rPr>
        <w:t>～</w:t>
      </w:r>
      <w:r>
        <w:rPr>
          <w:rFonts w:hint="eastAsia" w:ascii="Times New Roman" w:hAnsi="Times New Roman" w:eastAsia="宋体" w:cs="Times New Roman"/>
          <w:color w:val="auto"/>
          <w:highlight w:val="none"/>
          <w:lang w:val="en-US" w:eastAsia="zh-CN"/>
        </w:rPr>
        <w:t>40cm。</w:t>
      </w:r>
    </w:p>
    <w:p>
      <w:pPr>
        <w:pStyle w:val="57"/>
        <w:pageBreakBefore w:val="0"/>
        <w:kinsoku/>
        <w:wordWrap/>
        <w:overflowPunct/>
        <w:topLinePunct w:val="0"/>
        <w:autoSpaceDE/>
        <w:autoSpaceDN/>
        <w:bidi w:val="0"/>
        <w:spacing w:line="480" w:lineRule="exact"/>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2</w:t>
      </w:r>
      <w:r>
        <w:rPr>
          <w:rFonts w:hint="eastAsia"/>
          <w:color w:val="auto"/>
          <w:highlight w:val="none"/>
          <w:lang w:eastAsia="zh-CN"/>
        </w:rPr>
        <w:t>）</w:t>
      </w:r>
      <w:r>
        <w:rPr>
          <w:rFonts w:hint="eastAsia"/>
          <w:color w:val="auto"/>
          <w:highlight w:val="none"/>
          <w:lang w:val="en-US" w:eastAsia="zh-CN"/>
        </w:rPr>
        <w:t>草甸土</w:t>
      </w:r>
    </w:p>
    <w:p>
      <w:pPr>
        <w:pStyle w:val="57"/>
        <w:pageBreakBefore w:val="0"/>
        <w:kinsoku/>
        <w:wordWrap/>
        <w:overflowPunct/>
        <w:topLinePunct w:val="0"/>
        <w:autoSpaceDE/>
        <w:autoSpaceDN/>
        <w:bidi w:val="0"/>
        <w:spacing w:line="480" w:lineRule="exact"/>
        <w:rPr>
          <w:rFonts w:hint="eastAsia"/>
          <w:color w:val="auto"/>
          <w:highlight w:val="none"/>
          <w:lang w:eastAsia="zh-CN"/>
        </w:rPr>
      </w:pPr>
      <w:r>
        <w:rPr>
          <w:rFonts w:hint="eastAsia"/>
          <w:color w:val="auto"/>
          <w:highlight w:val="none"/>
          <w:lang w:val="en-US" w:eastAsia="zh-CN"/>
        </w:rPr>
        <w:t>草甸土发育于地势低平、受地下水或潜水的直接浸润并生长草甸植物的土壤。属半水成土。其主要特征是有机质含量较高，腐殖质层较厚，土壤团粒结构较好，水分较充分。草甸土的成土过程具有腐殖质累积的草甸化过程和氧化还原交替特征。草甸土区水分供应充足，植被生长繁茂，根系又深又密，每年为土壤提供了大量的有机残体，在土壤冻结后，分解缓慢且不彻底，因而在土壤中逐渐积累了很高含量的腐殖质。同时由于地下水位的周期性升降，土壤氧化还原交替进行，形成了锈色斑纹层。</w:t>
      </w:r>
    </w:p>
    <w:p>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"_Toc23969" </w:instrText>
      </w:r>
      <w:r>
        <w:rPr>
          <w:color w:val="auto"/>
          <w:highlight w:val="none"/>
        </w:rPr>
        <w:fldChar w:fldCharType="separate"/>
      </w:r>
      <w:r>
        <w:rPr>
          <w:rFonts w:hint="eastAsia"/>
          <w:color w:val="auto"/>
          <w:highlight w:val="none"/>
        </w:rPr>
        <w:t>4.5.2 土壤理化性质</w:t>
      </w:r>
      <w:r>
        <w:rPr>
          <w:rFonts w:hint="eastAsia"/>
          <w:color w:val="auto"/>
          <w:highlight w:val="none"/>
        </w:rPr>
        <w:fldChar w:fldCharType="end"/>
      </w:r>
      <w:r>
        <w:rPr>
          <w:rFonts w:hint="eastAsia"/>
          <w:color w:val="auto"/>
          <w:highlight w:val="none"/>
        </w:rPr>
        <w:t>调查</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根据项目工程分析情况，针对项目占地的土壤理化性质进行分析，主要包括土体结构、土壤结构、土壤质地、阳离子交换量、</w:t>
      </w:r>
      <w:r>
        <w:rPr>
          <w:rFonts w:hint="eastAsia"/>
          <w:color w:val="auto"/>
          <w:highlight w:val="none"/>
        </w:rPr>
        <w:t>氧化还原电位</w:t>
      </w:r>
      <w:r>
        <w:rPr>
          <w:color w:val="auto"/>
          <w:highlight w:val="none"/>
        </w:rPr>
        <w:t>、饱和导水率、土壤容重、孔隙度等。取样点位为项目</w:t>
      </w:r>
      <w:r>
        <w:rPr>
          <w:rFonts w:hint="eastAsia"/>
          <w:color w:val="auto"/>
          <w:highlight w:val="none"/>
        </w:rPr>
        <w:t>本工程</w:t>
      </w:r>
      <w:r>
        <w:rPr>
          <w:color w:val="auto"/>
          <w:highlight w:val="none"/>
        </w:rPr>
        <w:t>附近土壤表层样（0-0.2m）。</w:t>
      </w:r>
      <w:r>
        <w:rPr>
          <w:rFonts w:hint="eastAsia"/>
          <w:color w:val="auto"/>
          <w:highlight w:val="none"/>
        </w:rPr>
        <w:t>调查</w:t>
      </w:r>
      <w:r>
        <w:rPr>
          <w:color w:val="auto"/>
          <w:highlight w:val="none"/>
        </w:rPr>
        <w:t>结果如表4.</w:t>
      </w:r>
      <w:r>
        <w:rPr>
          <w:rFonts w:hint="eastAsia"/>
          <w:color w:val="auto"/>
          <w:highlight w:val="none"/>
        </w:rPr>
        <w:t>5-1</w:t>
      </w:r>
      <w:r>
        <w:rPr>
          <w:color w:val="auto"/>
          <w:highlight w:val="none"/>
        </w:rPr>
        <w:t>所示</w:t>
      </w:r>
      <w:r>
        <w:rPr>
          <w:rFonts w:hint="eastAsia"/>
          <w:color w:val="auto"/>
          <w:highlight w:val="none"/>
        </w:rPr>
        <w:t>。</w:t>
      </w:r>
    </w:p>
    <w:p>
      <w:pPr>
        <w:pStyle w:val="54"/>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表4.5-1   土壤理化特性调查表</w:t>
      </w:r>
    </w:p>
    <w:tbl>
      <w:tblPr>
        <w:tblStyle w:val="34"/>
        <w:tblW w:w="477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73"/>
        <w:gridCol w:w="3435"/>
        <w:gridCol w:w="363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blHeader/>
          <w:jc w:val="center"/>
        </w:trPr>
        <w:tc>
          <w:tcPr>
            <w:tcW w:w="2848" w:type="pct"/>
            <w:gridSpan w:val="2"/>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点号</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宋体"/>
                <w:color w:val="auto"/>
                <w:sz w:val="21"/>
                <w:szCs w:val="21"/>
                <w:highlight w:val="none"/>
                <w:lang w:eastAsia="zh-CN"/>
              </w:rPr>
            </w:pPr>
            <w:r>
              <w:rPr>
                <w:rFonts w:hint="eastAsia"/>
                <w:color w:val="auto"/>
                <w:sz w:val="21"/>
                <w:szCs w:val="21"/>
                <w:highlight w:val="none"/>
                <w:lang w:eastAsia="zh-CN"/>
              </w:rPr>
              <w:t>FTYHW1011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8" w:type="pct"/>
            <w:gridSpan w:val="2"/>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坐标</w:t>
            </w:r>
          </w:p>
        </w:tc>
        <w:tc>
          <w:tcPr>
            <w:tcW w:w="2151"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rFonts w:hint="eastAsia" w:eastAsia="宋体"/>
                <w:color w:val="auto"/>
                <w:sz w:val="21"/>
                <w:szCs w:val="21"/>
                <w:highlight w:val="none"/>
                <w:lang w:eastAsia="zh-CN"/>
              </w:rPr>
            </w:pPr>
            <w:r>
              <w:rPr>
                <w:rFonts w:hint="eastAsia" w:cs="Times New Roman"/>
                <w:bCs/>
                <w:color w:val="auto"/>
                <w:sz w:val="21"/>
                <w:szCs w:val="21"/>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2848" w:type="pct"/>
            <w:gridSpan w:val="2"/>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层次</w:t>
            </w:r>
          </w:p>
        </w:tc>
        <w:tc>
          <w:tcPr>
            <w:tcW w:w="2151"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rPr>
              <w:t>表层土（0-0.2m）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restar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现场记录</w:t>
            </w: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颜色</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黄棕色</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结构</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s="Times New Roman"/>
                <w:color w:val="auto"/>
                <w:sz w:val="21"/>
                <w:szCs w:val="21"/>
                <w:highlight w:val="none"/>
                <w:lang w:val="en-US" w:eastAsia="zh-CN"/>
              </w:rPr>
              <w:t>核状</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质地</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砂土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砂砾含量</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其他异物</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restar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实验室测定</w:t>
            </w: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阳离子交换量cmol</w:t>
            </w:r>
            <w:r>
              <w:rPr>
                <w:color w:val="auto"/>
                <w:sz w:val="21"/>
                <w:szCs w:val="21"/>
                <w:highlight w:val="none"/>
                <w:vertAlign w:val="superscript"/>
              </w:rPr>
              <w:t>+</w:t>
            </w:r>
            <w:r>
              <w:rPr>
                <w:color w:val="auto"/>
                <w:sz w:val="21"/>
                <w:szCs w:val="21"/>
                <w:highlight w:val="none"/>
              </w:rPr>
              <w:t>/kg</w:t>
            </w:r>
          </w:p>
        </w:tc>
        <w:tc>
          <w:tcPr>
            <w:tcW w:w="2151"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9.30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pH值（无量纲）</w:t>
            </w:r>
          </w:p>
        </w:tc>
        <w:tc>
          <w:tcPr>
            <w:tcW w:w="2151"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7.77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氧化还原电（mv）</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859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饱和导水率cm/s</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6.2</w:t>
            </w:r>
            <w:r>
              <w:rPr>
                <w:rFonts w:hint="default"/>
                <w:color w:val="auto"/>
                <w:sz w:val="21"/>
                <w:szCs w:val="21"/>
                <w:highlight w:val="none"/>
                <w:lang w:val="en-US" w:eastAsia="zh-CN"/>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土壤容重g/cm</w:t>
            </w:r>
            <w:r>
              <w:rPr>
                <w:color w:val="auto"/>
                <w:sz w:val="21"/>
                <w:szCs w:val="21"/>
                <w:highlight w:val="none"/>
                <w:vertAlign w:val="superscript"/>
              </w:rPr>
              <w:t>3</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1.39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孔隙度%</w:t>
            </w:r>
          </w:p>
        </w:tc>
        <w:tc>
          <w:tcPr>
            <w:tcW w:w="2151" w:type="pct"/>
            <w:tcBorders>
              <w:tl2br w:val="nil"/>
              <w:tr2bl w:val="nil"/>
            </w:tcBorders>
            <w:shd w:val="clear" w:color="auto" w:fill="auto"/>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rFonts w:hint="eastAsia"/>
                <w:color w:val="auto"/>
                <w:sz w:val="21"/>
                <w:szCs w:val="21"/>
                <w:highlight w:val="none"/>
                <w:lang w:val="en-US" w:eastAsia="zh-CN"/>
              </w:rPr>
              <w:t>36.4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3" w:type="pct"/>
            <w:vMerge w:val="continue"/>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p>
        </w:tc>
        <w:tc>
          <w:tcPr>
            <w:tcW w:w="2034"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color w:val="auto"/>
                <w:sz w:val="21"/>
                <w:szCs w:val="21"/>
                <w:highlight w:val="none"/>
              </w:rPr>
            </w:pPr>
            <w:r>
              <w:rPr>
                <w:color w:val="auto"/>
                <w:sz w:val="21"/>
                <w:szCs w:val="21"/>
                <w:highlight w:val="none"/>
              </w:rPr>
              <w:t>水溶性盐总量g/kg</w:t>
            </w:r>
          </w:p>
        </w:tc>
        <w:tc>
          <w:tcPr>
            <w:tcW w:w="2151" w:type="pct"/>
            <w:tcBorders>
              <w:tl2br w:val="nil"/>
              <w:tr2bl w:val="nil"/>
            </w:tcBorders>
            <w:vAlign w:val="center"/>
          </w:tcPr>
          <w:p>
            <w:pPr>
              <w:pStyle w:val="41"/>
              <w:keepNext w:val="0"/>
              <w:keepLines w:val="0"/>
              <w:pageBreakBefore w:val="0"/>
              <w:widowControl/>
              <w:kinsoku/>
              <w:wordWrap/>
              <w:overflowPunct/>
              <w:topLinePunct w:val="0"/>
              <w:autoSpaceDE/>
              <w:autoSpaceDN/>
              <w:bidi w:val="0"/>
              <w:adjustRightInd w:val="0"/>
              <w:snapToGrid w:val="0"/>
              <w:spacing w:line="240" w:lineRule="auto"/>
              <w:textAlignment w:val="auto"/>
              <w:rPr>
                <w:rFonts w:hint="default"/>
                <w:color w:val="auto"/>
                <w:sz w:val="21"/>
                <w:szCs w:val="21"/>
                <w:highlight w:val="none"/>
                <w:lang w:val="en-US" w:eastAsia="zh-CN"/>
              </w:rPr>
            </w:pPr>
            <w:r>
              <w:rPr>
                <w:rFonts w:hint="eastAsia"/>
                <w:color w:val="auto"/>
                <w:sz w:val="21"/>
                <w:szCs w:val="21"/>
                <w:highlight w:val="none"/>
                <w:lang w:val="en-US" w:eastAsia="zh-CN"/>
              </w:rPr>
              <w:t>23.6</w:t>
            </w:r>
          </w:p>
        </w:tc>
      </w:tr>
    </w:tbl>
    <w:p>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"_Toc28258" </w:instrText>
      </w:r>
      <w:r>
        <w:rPr>
          <w:color w:val="auto"/>
          <w:highlight w:val="none"/>
        </w:rPr>
        <w:fldChar w:fldCharType="separate"/>
      </w:r>
      <w:r>
        <w:rPr>
          <w:rFonts w:hint="eastAsia"/>
          <w:color w:val="auto"/>
          <w:highlight w:val="none"/>
        </w:rPr>
        <w:t>4.5.3 土壤环境现状监测</w:t>
      </w:r>
      <w:r>
        <w:rPr>
          <w:rFonts w:hint="eastAsia"/>
          <w:color w:val="auto"/>
          <w:highlight w:val="none"/>
        </w:rPr>
        <w:fldChar w:fldCharType="end"/>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根据《环境影响评价技术导则 土壤环境</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HJ964-2018</w:t>
      </w:r>
      <w:r>
        <w:rPr>
          <w:rFonts w:hint="eastAsia"/>
          <w:color w:val="auto"/>
          <w:highlight w:val="none"/>
        </w:rPr>
        <w:t>）</w:t>
      </w:r>
      <w:r>
        <w:rPr>
          <w:color w:val="auto"/>
          <w:highlight w:val="none"/>
        </w:rPr>
        <w:t>和《环境影响评价技术导则 陆地石油天然气开发建设项目》</w:t>
      </w:r>
      <w:r>
        <w:rPr>
          <w:rFonts w:hint="eastAsia"/>
          <w:color w:val="auto"/>
          <w:highlight w:val="none"/>
          <w:lang w:eastAsia="zh-CN"/>
        </w:rPr>
        <w:t>（</w:t>
      </w:r>
      <w:r>
        <w:rPr>
          <w:color w:val="auto"/>
          <w:highlight w:val="none"/>
        </w:rPr>
        <w:t>HJ349-2023</w:t>
      </w:r>
      <w:r>
        <w:rPr>
          <w:rFonts w:hint="eastAsia"/>
          <w:color w:val="auto"/>
          <w:highlight w:val="none"/>
          <w:lang w:eastAsia="zh-CN"/>
        </w:rPr>
        <w:t>）</w:t>
      </w:r>
      <w:r>
        <w:rPr>
          <w:color w:val="auto"/>
          <w:highlight w:val="none"/>
        </w:rPr>
        <w:t>，工程所在区域属于土壤盐化地区，</w:t>
      </w:r>
      <w:r>
        <w:rPr>
          <w:rFonts w:hint="eastAsia"/>
          <w:color w:val="auto"/>
          <w:highlight w:val="none"/>
        </w:rPr>
        <w:t>本工程</w:t>
      </w:r>
      <w:r>
        <w:rPr>
          <w:color w:val="auto"/>
          <w:highlight w:val="none"/>
        </w:rPr>
        <w:t>类别同时按照生态影响型项目和污染影响型项目考虑。根据项目位置和HJ964-2018布点要求，本评价在占地范围内设置</w:t>
      </w:r>
      <w:r>
        <w:rPr>
          <w:rFonts w:hint="eastAsia"/>
          <w:color w:val="auto"/>
          <w:highlight w:val="none"/>
        </w:rPr>
        <w:t>3</w:t>
      </w:r>
      <w:r>
        <w:rPr>
          <w:color w:val="auto"/>
          <w:highlight w:val="none"/>
        </w:rPr>
        <w:t>个柱状样和</w:t>
      </w:r>
      <w:r>
        <w:rPr>
          <w:rFonts w:hint="eastAsia"/>
          <w:color w:val="auto"/>
          <w:highlight w:val="none"/>
          <w:lang w:val="en-US" w:eastAsia="zh-CN"/>
        </w:rPr>
        <w:t>6</w:t>
      </w:r>
      <w:r>
        <w:rPr>
          <w:color w:val="auto"/>
          <w:highlight w:val="none"/>
        </w:rPr>
        <w:t>个表层样，占地范围外设置</w:t>
      </w:r>
      <w:r>
        <w:rPr>
          <w:rFonts w:hint="eastAsia"/>
          <w:color w:val="auto"/>
          <w:highlight w:val="none"/>
          <w:lang w:val="en-US" w:eastAsia="zh-CN"/>
        </w:rPr>
        <w:t>7</w:t>
      </w:r>
      <w:r>
        <w:rPr>
          <w:color w:val="auto"/>
          <w:highlight w:val="none"/>
        </w:rPr>
        <w:t>个表层样；土壤类型</w:t>
      </w:r>
      <w:r>
        <w:rPr>
          <w:rFonts w:hint="eastAsia"/>
          <w:color w:val="auto"/>
          <w:highlight w:val="none"/>
        </w:rPr>
        <w:t>主要</w:t>
      </w:r>
      <w:r>
        <w:rPr>
          <w:color w:val="auto"/>
          <w:highlight w:val="none"/>
        </w:rPr>
        <w:t>为</w:t>
      </w:r>
      <w:r>
        <w:rPr>
          <w:rFonts w:hint="eastAsia"/>
          <w:color w:val="auto"/>
          <w:highlight w:val="none"/>
        </w:rPr>
        <w:t>灰棕漠土、草甸土</w:t>
      </w:r>
      <w:r>
        <w:rPr>
          <w:color w:val="auto"/>
          <w:highlight w:val="none"/>
        </w:rPr>
        <w:t>。土壤监测布点符合HJ964-2018、HJ349-2023中污染影响型和生态影响型项目布点要求。</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根据项目区域土壤类型的特点，以及土地利用方式，分为建设用地和农用地进行评价。本次评价土壤检测委托</w:t>
      </w:r>
      <w:r>
        <w:rPr>
          <w:rFonts w:hint="eastAsia"/>
          <w:color w:val="auto"/>
          <w:highlight w:val="none"/>
          <w:lang w:eastAsia="zh-CN"/>
        </w:rPr>
        <w:t>克拉玛依钧仪衡环境检测有限公司</w:t>
      </w:r>
      <w:r>
        <w:rPr>
          <w:color w:val="auto"/>
          <w:highlight w:val="none"/>
        </w:rPr>
        <w:t>对土壤环境质量现状进行了监测，</w:t>
      </w:r>
      <w:r>
        <w:rPr>
          <w:rFonts w:hint="eastAsia"/>
          <w:color w:val="auto"/>
          <w:highlight w:val="none"/>
        </w:rPr>
        <w:t>取样</w:t>
      </w:r>
      <w:r>
        <w:rPr>
          <w:color w:val="auto"/>
          <w:highlight w:val="none"/>
        </w:rPr>
        <w:t>时间为202</w:t>
      </w:r>
      <w:r>
        <w:rPr>
          <w:rFonts w:hint="eastAsia"/>
          <w:color w:val="auto"/>
          <w:highlight w:val="none"/>
        </w:rPr>
        <w:t>5</w:t>
      </w:r>
      <w:r>
        <w:rPr>
          <w:color w:val="auto"/>
          <w:highlight w:val="none"/>
        </w:rPr>
        <w:t>年</w:t>
      </w:r>
      <w:r>
        <w:rPr>
          <w:rFonts w:hint="eastAsia"/>
          <w:color w:val="auto"/>
          <w:highlight w:val="none"/>
          <w:lang w:val="en-US" w:eastAsia="zh-CN"/>
        </w:rPr>
        <w:t>7</w:t>
      </w:r>
      <w:r>
        <w:rPr>
          <w:color w:val="auto"/>
          <w:highlight w:val="none"/>
        </w:rPr>
        <w:t>月</w:t>
      </w:r>
      <w:r>
        <w:rPr>
          <w:rFonts w:hint="eastAsia"/>
          <w:color w:val="auto"/>
          <w:highlight w:val="none"/>
          <w:lang w:val="en-US" w:eastAsia="zh-CN"/>
        </w:rPr>
        <w:t>29</w:t>
      </w:r>
      <w:r>
        <w:rPr>
          <w:rFonts w:hint="eastAsia"/>
          <w:color w:val="auto"/>
          <w:highlight w:val="none"/>
        </w:rPr>
        <w:t>日</w:t>
      </w:r>
      <w:r>
        <w:rPr>
          <w:color w:val="auto"/>
          <w:highlight w:val="none"/>
        </w:rPr>
        <w:t>。</w:t>
      </w:r>
      <w:r>
        <w:rPr>
          <w:rFonts w:hint="eastAsia"/>
          <w:color w:val="auto"/>
          <w:highlight w:val="none"/>
        </w:rPr>
        <w:t>土壤监测点位及监测因子见表4.5-2。</w:t>
      </w:r>
    </w:p>
    <w:p>
      <w:pPr>
        <w:pStyle w:val="54"/>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w:t>
      </w:r>
      <w:r>
        <w:rPr>
          <w:color w:val="auto"/>
          <w:highlight w:val="none"/>
        </w:rPr>
        <w:t>4.</w:t>
      </w:r>
      <w:r>
        <w:rPr>
          <w:rFonts w:hint="eastAsia"/>
          <w:color w:val="auto"/>
          <w:highlight w:val="none"/>
        </w:rPr>
        <w:t>5-2</w:t>
      </w:r>
      <w:r>
        <w:rPr>
          <w:color w:val="auto"/>
          <w:highlight w:val="none"/>
        </w:rPr>
        <w:t xml:space="preserve">   </w:t>
      </w:r>
      <w:r>
        <w:rPr>
          <w:rFonts w:hint="eastAsia"/>
          <w:color w:val="auto"/>
          <w:highlight w:val="none"/>
        </w:rPr>
        <w:t>土壤监测点位及监测因子</w:t>
      </w:r>
    </w:p>
    <w:tbl>
      <w:tblPr>
        <w:tblStyle w:val="34"/>
        <w:tblW w:w="520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71"/>
        <w:gridCol w:w="325"/>
        <w:gridCol w:w="538"/>
        <w:gridCol w:w="3187"/>
        <w:gridCol w:w="669"/>
        <w:gridCol w:w="531"/>
        <w:gridCol w:w="913"/>
        <w:gridCol w:w="249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blHeader/>
          <w:jc w:val="center"/>
        </w:trPr>
        <w:tc>
          <w:tcPr>
            <w:tcW w:w="385" w:type="pct"/>
            <w:gridSpan w:val="2"/>
            <w:tcBorders>
              <w:tl2br w:val="nil"/>
              <w:tr2bl w:val="nil"/>
            </w:tcBorders>
            <w:vAlign w:val="center"/>
          </w:tcPr>
          <w:p>
            <w:pPr>
              <w:pStyle w:val="41"/>
              <w:bidi w:val="0"/>
              <w:rPr>
                <w:color w:val="auto"/>
                <w:highlight w:val="none"/>
              </w:rPr>
            </w:pPr>
            <w:bookmarkStart w:id="549" w:name="OLE_LINK64"/>
            <w:r>
              <w:rPr>
                <w:color w:val="auto"/>
                <w:highlight w:val="none"/>
              </w:rPr>
              <w:t>监测项目</w:t>
            </w:r>
          </w:p>
        </w:tc>
        <w:tc>
          <w:tcPr>
            <w:tcW w:w="297" w:type="pct"/>
            <w:tcBorders>
              <w:tl2br w:val="nil"/>
              <w:tr2bl w:val="nil"/>
            </w:tcBorders>
            <w:vAlign w:val="center"/>
          </w:tcPr>
          <w:p>
            <w:pPr>
              <w:pStyle w:val="41"/>
              <w:bidi w:val="0"/>
              <w:rPr>
                <w:color w:val="auto"/>
                <w:highlight w:val="none"/>
              </w:rPr>
            </w:pPr>
            <w:r>
              <w:rPr>
                <w:rFonts w:hint="eastAsia"/>
                <w:color w:val="auto"/>
                <w:highlight w:val="none"/>
              </w:rPr>
              <w:t>序号</w:t>
            </w:r>
          </w:p>
        </w:tc>
        <w:tc>
          <w:tcPr>
            <w:tcW w:w="1764" w:type="pct"/>
            <w:tcBorders>
              <w:tl2br w:val="nil"/>
              <w:tr2bl w:val="nil"/>
            </w:tcBorders>
            <w:vAlign w:val="center"/>
          </w:tcPr>
          <w:p>
            <w:pPr>
              <w:pStyle w:val="41"/>
              <w:bidi w:val="0"/>
              <w:rPr>
                <w:color w:val="auto"/>
                <w:highlight w:val="none"/>
              </w:rPr>
            </w:pPr>
            <w:r>
              <w:rPr>
                <w:rFonts w:hint="eastAsia"/>
                <w:color w:val="auto"/>
                <w:highlight w:val="none"/>
              </w:rPr>
              <w:t>监测点位</w:t>
            </w:r>
          </w:p>
        </w:tc>
        <w:tc>
          <w:tcPr>
            <w:tcW w:w="370" w:type="pct"/>
            <w:tcBorders>
              <w:tl2br w:val="nil"/>
              <w:tr2bl w:val="nil"/>
            </w:tcBorders>
            <w:vAlign w:val="center"/>
          </w:tcPr>
          <w:p>
            <w:pPr>
              <w:pStyle w:val="41"/>
              <w:bidi w:val="0"/>
              <w:rPr>
                <w:color w:val="auto"/>
                <w:spacing w:val="-11"/>
                <w:sz w:val="21"/>
                <w:highlight w:val="none"/>
              </w:rPr>
            </w:pPr>
            <w:r>
              <w:rPr>
                <w:color w:val="auto"/>
                <w:spacing w:val="-11"/>
                <w:sz w:val="21"/>
                <w:highlight w:val="none"/>
              </w:rPr>
              <w:t>监测点</w:t>
            </w:r>
            <w:r>
              <w:rPr>
                <w:rFonts w:hint="eastAsia"/>
                <w:color w:val="auto"/>
                <w:spacing w:val="-11"/>
                <w:sz w:val="21"/>
                <w:highlight w:val="none"/>
              </w:rPr>
              <w:t>情况</w:t>
            </w:r>
          </w:p>
        </w:tc>
        <w:tc>
          <w:tcPr>
            <w:tcW w:w="294" w:type="pct"/>
            <w:tcBorders>
              <w:tl2br w:val="nil"/>
              <w:tr2bl w:val="nil"/>
            </w:tcBorders>
            <w:vAlign w:val="center"/>
          </w:tcPr>
          <w:p>
            <w:pPr>
              <w:pStyle w:val="41"/>
              <w:bidi w:val="0"/>
              <w:rPr>
                <w:color w:val="auto"/>
                <w:spacing w:val="-11"/>
                <w:sz w:val="21"/>
                <w:highlight w:val="none"/>
              </w:rPr>
            </w:pPr>
            <w:r>
              <w:rPr>
                <w:color w:val="auto"/>
                <w:spacing w:val="-11"/>
                <w:sz w:val="21"/>
                <w:highlight w:val="none"/>
              </w:rPr>
              <w:t>监测</w:t>
            </w:r>
          </w:p>
          <w:p>
            <w:pPr>
              <w:pStyle w:val="41"/>
              <w:bidi w:val="0"/>
              <w:rPr>
                <w:color w:val="auto"/>
                <w:spacing w:val="-11"/>
                <w:sz w:val="21"/>
                <w:highlight w:val="none"/>
              </w:rPr>
            </w:pPr>
            <w:r>
              <w:rPr>
                <w:color w:val="auto"/>
                <w:spacing w:val="-11"/>
                <w:sz w:val="21"/>
                <w:highlight w:val="none"/>
              </w:rPr>
              <w:t>时间</w:t>
            </w:r>
          </w:p>
        </w:tc>
        <w:tc>
          <w:tcPr>
            <w:tcW w:w="505" w:type="pct"/>
            <w:tcBorders>
              <w:tl2br w:val="nil"/>
              <w:tr2bl w:val="nil"/>
            </w:tcBorders>
            <w:vAlign w:val="center"/>
          </w:tcPr>
          <w:p>
            <w:pPr>
              <w:pStyle w:val="41"/>
              <w:bidi w:val="0"/>
              <w:rPr>
                <w:color w:val="auto"/>
                <w:spacing w:val="-11"/>
                <w:sz w:val="21"/>
                <w:highlight w:val="none"/>
              </w:rPr>
            </w:pPr>
            <w:r>
              <w:rPr>
                <w:color w:val="auto"/>
                <w:spacing w:val="-11"/>
                <w:sz w:val="21"/>
                <w:highlight w:val="none"/>
              </w:rPr>
              <w:t>监测</w:t>
            </w:r>
          </w:p>
          <w:p>
            <w:pPr>
              <w:pStyle w:val="41"/>
              <w:bidi w:val="0"/>
              <w:rPr>
                <w:color w:val="auto"/>
                <w:spacing w:val="-11"/>
                <w:sz w:val="21"/>
                <w:highlight w:val="none"/>
              </w:rPr>
            </w:pPr>
            <w:r>
              <w:rPr>
                <w:color w:val="auto"/>
                <w:spacing w:val="-11"/>
                <w:sz w:val="21"/>
                <w:highlight w:val="none"/>
              </w:rPr>
              <w:t>频率/要求</w:t>
            </w:r>
          </w:p>
        </w:tc>
        <w:tc>
          <w:tcPr>
            <w:tcW w:w="1382" w:type="pct"/>
            <w:tcBorders>
              <w:tl2br w:val="nil"/>
              <w:tr2bl w:val="nil"/>
            </w:tcBorders>
            <w:vAlign w:val="center"/>
          </w:tcPr>
          <w:p>
            <w:pPr>
              <w:pStyle w:val="41"/>
              <w:bidi w:val="0"/>
              <w:rPr>
                <w:color w:val="auto"/>
                <w:highlight w:val="none"/>
              </w:rPr>
            </w:pPr>
            <w:r>
              <w:rPr>
                <w:color w:val="auto"/>
                <w:highlight w:val="none"/>
              </w:rPr>
              <w:t>监测因子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restart"/>
            <w:tcBorders>
              <w:tl2br w:val="nil"/>
              <w:tr2bl w:val="nil"/>
            </w:tcBorders>
            <w:shd w:val="clear" w:color="auto" w:fill="auto"/>
            <w:vAlign w:val="center"/>
          </w:tcPr>
          <w:p>
            <w:pPr>
              <w:pStyle w:val="41"/>
              <w:bidi w:val="0"/>
              <w:rPr>
                <w:color w:val="auto"/>
                <w:highlight w:val="none"/>
              </w:rPr>
            </w:pPr>
            <w:r>
              <w:rPr>
                <w:color w:val="auto"/>
                <w:highlight w:val="none"/>
              </w:rPr>
              <w:t>土壤</w:t>
            </w:r>
          </w:p>
        </w:tc>
        <w:tc>
          <w:tcPr>
            <w:tcW w:w="179" w:type="pct"/>
            <w:vMerge w:val="restart"/>
            <w:tcBorders>
              <w:tl2br w:val="nil"/>
              <w:tr2bl w:val="nil"/>
            </w:tcBorders>
            <w:shd w:val="clear" w:color="auto" w:fill="auto"/>
            <w:vAlign w:val="center"/>
          </w:tcPr>
          <w:p>
            <w:pPr>
              <w:pStyle w:val="41"/>
              <w:bidi w:val="0"/>
              <w:rPr>
                <w:color w:val="auto"/>
                <w:highlight w:val="none"/>
              </w:rPr>
            </w:pPr>
            <w:r>
              <w:rPr>
                <w:color w:val="auto"/>
                <w:highlight w:val="none"/>
              </w:rPr>
              <w:t>占地范围内</w:t>
            </w:r>
          </w:p>
        </w:tc>
        <w:tc>
          <w:tcPr>
            <w:tcW w:w="297" w:type="pct"/>
            <w:tcBorders>
              <w:tl2br w:val="nil"/>
              <w:tr2bl w:val="nil"/>
            </w:tcBorders>
            <w:shd w:val="clear" w:color="auto" w:fill="auto"/>
            <w:vAlign w:val="center"/>
          </w:tcPr>
          <w:p>
            <w:pPr>
              <w:pStyle w:val="41"/>
              <w:bidi w:val="0"/>
              <w:rPr>
                <w:color w:val="auto"/>
                <w:highlight w:val="none"/>
              </w:rPr>
            </w:pPr>
            <w:bookmarkStart w:id="550" w:name="OLE_LINK58"/>
            <w:r>
              <w:rPr>
                <w:rFonts w:hint="eastAsia"/>
                <w:color w:val="auto"/>
                <w:highlight w:val="none"/>
              </w:rPr>
              <w:t>T1</w:t>
            </w:r>
            <w:bookmarkEnd w:id="550"/>
          </w:p>
        </w:tc>
        <w:tc>
          <w:tcPr>
            <w:tcW w:w="1764" w:type="pct"/>
            <w:tcBorders>
              <w:tl2br w:val="nil"/>
              <w:tr2bl w:val="nil"/>
            </w:tcBorders>
            <w:shd w:val="clear" w:color="auto" w:fill="auto"/>
            <w:vAlign w:val="center"/>
          </w:tcPr>
          <w:p>
            <w:pPr>
              <w:pStyle w:val="41"/>
              <w:bidi w:val="0"/>
              <w:rPr>
                <w:rFonts w:hint="default" w:ascii="Times New Roman" w:hAnsi="Times New Roman" w:eastAsia="宋体" w:cs="Times New Roman"/>
                <w:color w:val="auto"/>
                <w:highlight w:val="none"/>
                <w:lang w:val="en-US" w:eastAsia="zh-CN"/>
              </w:rPr>
            </w:pPr>
          </w:p>
        </w:tc>
        <w:tc>
          <w:tcPr>
            <w:tcW w:w="370" w:type="pct"/>
            <w:vMerge w:val="restart"/>
            <w:tcBorders>
              <w:tl2br w:val="nil"/>
              <w:tr2bl w:val="nil"/>
            </w:tcBorders>
            <w:vAlign w:val="center"/>
          </w:tcPr>
          <w:p>
            <w:pPr>
              <w:pStyle w:val="41"/>
              <w:bidi w:val="0"/>
              <w:rPr>
                <w:color w:val="auto"/>
                <w:highlight w:val="none"/>
              </w:rPr>
            </w:pPr>
            <w:r>
              <w:rPr>
                <w:rFonts w:hint="eastAsia"/>
                <w:color w:val="auto"/>
                <w:highlight w:val="none"/>
              </w:rPr>
              <w:t>表层样</w:t>
            </w:r>
          </w:p>
        </w:tc>
        <w:tc>
          <w:tcPr>
            <w:tcW w:w="294" w:type="pct"/>
            <w:vMerge w:val="restart"/>
            <w:tcBorders>
              <w:tl2br w:val="nil"/>
              <w:tr2bl w:val="nil"/>
            </w:tcBorders>
            <w:vAlign w:val="center"/>
          </w:tcPr>
          <w:p>
            <w:pPr>
              <w:pStyle w:val="41"/>
              <w:bidi w:val="0"/>
              <w:rPr>
                <w:color w:val="auto"/>
                <w:highlight w:val="none"/>
              </w:rPr>
            </w:pPr>
            <w:r>
              <w:rPr>
                <w:color w:val="auto"/>
                <w:highlight w:val="none"/>
              </w:rPr>
              <w:t>监测</w:t>
            </w:r>
          </w:p>
          <w:p>
            <w:pPr>
              <w:pStyle w:val="41"/>
              <w:bidi w:val="0"/>
              <w:rPr>
                <w:color w:val="auto"/>
                <w:highlight w:val="none"/>
              </w:rPr>
            </w:pPr>
            <w:r>
              <w:rPr>
                <w:color w:val="auto"/>
                <w:highlight w:val="none"/>
              </w:rPr>
              <w:t>1次</w:t>
            </w:r>
          </w:p>
        </w:tc>
        <w:tc>
          <w:tcPr>
            <w:tcW w:w="505" w:type="pct"/>
            <w:vMerge w:val="restart"/>
            <w:tcBorders>
              <w:tl2br w:val="nil"/>
              <w:tr2bl w:val="nil"/>
            </w:tcBorders>
            <w:vAlign w:val="center"/>
          </w:tcPr>
          <w:p>
            <w:pPr>
              <w:pStyle w:val="41"/>
              <w:bidi w:val="0"/>
              <w:rPr>
                <w:color w:val="auto"/>
                <w:highlight w:val="none"/>
              </w:rPr>
            </w:pPr>
            <w:r>
              <w:rPr>
                <w:color w:val="auto"/>
                <w:highlight w:val="none"/>
              </w:rPr>
              <w:t>表层样0-0.2m取样</w:t>
            </w:r>
          </w:p>
        </w:tc>
        <w:tc>
          <w:tcPr>
            <w:tcW w:w="1382" w:type="pct"/>
            <w:tcBorders>
              <w:tl2br w:val="nil"/>
              <w:tr2bl w:val="nil"/>
            </w:tcBorders>
            <w:vAlign w:val="center"/>
          </w:tcPr>
          <w:p>
            <w:pPr>
              <w:pStyle w:val="41"/>
              <w:bidi w:val="0"/>
              <w:rPr>
                <w:rFonts w:ascii="Times New Roman" w:hAnsi="Times New Roman" w:eastAsia="宋体" w:cs="Times New Roman"/>
                <w:color w:val="auto"/>
                <w:highlight w:val="none"/>
              </w:rPr>
            </w:pPr>
            <w:r>
              <w:rPr>
                <w:rFonts w:hint="eastAsia" w:ascii="Times New Roman" w:hAnsi="Times New Roman" w:eastAsia="宋体" w:cs="Times New Roman"/>
                <w:color w:val="auto"/>
                <w:highlight w:val="none"/>
              </w:rPr>
              <w:t>《土壤环境质量 建设用地土壤污染 风险管控标准</w:t>
            </w:r>
            <w:r>
              <w:rPr>
                <w:rFonts w:hint="eastAsia" w:cs="Times New Roman"/>
                <w:color w:val="auto"/>
                <w:highlight w:val="none"/>
                <w:lang w:eastAsia="zh-CN"/>
              </w:rPr>
              <w:t>（</w:t>
            </w:r>
            <w:r>
              <w:rPr>
                <w:rFonts w:hint="eastAsia" w:ascii="Times New Roman" w:hAnsi="Times New Roman" w:eastAsia="宋体" w:cs="Times New Roman"/>
                <w:color w:val="auto"/>
                <w:highlight w:val="none"/>
              </w:rPr>
              <w:t>试行</w:t>
            </w:r>
            <w:r>
              <w:rPr>
                <w:rFonts w:hint="eastAsia" w:cs="Times New Roman"/>
                <w:color w:val="auto"/>
                <w:highlight w:val="none"/>
                <w:lang w:eastAsia="zh-CN"/>
              </w:rPr>
              <w:t>）</w:t>
            </w:r>
            <w:r>
              <w:rPr>
                <w:rFonts w:hint="eastAsia" w:ascii="Times New Roman" w:hAnsi="Times New Roman" w:eastAsia="宋体" w:cs="Times New Roman"/>
                <w:color w:val="auto"/>
                <w:highlight w:val="none"/>
              </w:rPr>
              <w:t>》（</w:t>
            </w:r>
            <w:r>
              <w:rPr>
                <w:rFonts w:ascii="Times New Roman" w:hAnsi="Times New Roman" w:eastAsia="宋体" w:cs="Times New Roman"/>
                <w:color w:val="auto"/>
                <w:highlight w:val="none"/>
              </w:rPr>
              <w:t>GB36600-2018</w:t>
            </w:r>
            <w:r>
              <w:rPr>
                <w:rFonts w:hint="eastAsia" w:ascii="Times New Roman" w:hAnsi="Times New Roman" w:eastAsia="宋体" w:cs="Times New Roman"/>
                <w:color w:val="auto"/>
                <w:highlight w:val="none"/>
              </w:rPr>
              <w:t>）中的</w:t>
            </w:r>
            <w:r>
              <w:rPr>
                <w:rFonts w:ascii="Times New Roman" w:hAnsi="Times New Roman" w:eastAsia="宋体" w:cs="Times New Roman"/>
                <w:color w:val="auto"/>
                <w:highlight w:val="none"/>
              </w:rPr>
              <w:t>45</w:t>
            </w:r>
            <w:r>
              <w:rPr>
                <w:rFonts w:hint="eastAsia" w:ascii="Times New Roman" w:hAnsi="Times New Roman" w:eastAsia="宋体" w:cs="Times New Roman"/>
                <w:color w:val="auto"/>
                <w:highlight w:val="none"/>
              </w:rPr>
              <w:t>项</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特征因子：石油烃</w:t>
            </w:r>
            <w:r>
              <w:rPr>
                <w:rFonts w:ascii="Times New Roman" w:hAnsi="Times New Roman" w:eastAsia="宋体" w:cs="Times New Roman"/>
                <w:color w:val="auto"/>
                <w:highlight w:val="none"/>
              </w:rPr>
              <w:t>+</w:t>
            </w:r>
            <w:r>
              <w:rPr>
                <w:rFonts w:hint="eastAsia" w:ascii="Times New Roman" w:hAnsi="Times New Roman" w:eastAsia="宋体" w:cs="Times New Roman"/>
                <w:color w:val="auto"/>
                <w:highlight w:val="none"/>
              </w:rPr>
              <w:t>土壤盐分含量+pH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color w:val="auto"/>
              </w:rPr>
            </w:pPr>
          </w:p>
        </w:tc>
        <w:tc>
          <w:tcPr>
            <w:tcW w:w="179" w:type="pct"/>
            <w:vMerge w:val="continue"/>
            <w:tcBorders>
              <w:tl2br w:val="nil"/>
              <w:tr2bl w:val="nil"/>
            </w:tcBorders>
            <w:shd w:val="clear" w:color="auto" w:fill="auto"/>
            <w:vAlign w:val="center"/>
          </w:tcPr>
          <w:p>
            <w:pPr>
              <w:pStyle w:val="41"/>
              <w:bidi w:val="0"/>
              <w:rPr>
                <w:color w:val="auto"/>
              </w:rPr>
            </w:pPr>
          </w:p>
        </w:tc>
        <w:tc>
          <w:tcPr>
            <w:tcW w:w="297" w:type="pct"/>
            <w:tcBorders>
              <w:tl2br w:val="nil"/>
              <w:tr2bl w:val="nil"/>
            </w:tcBorders>
            <w:shd w:val="clear" w:color="auto" w:fill="auto"/>
            <w:vAlign w:val="center"/>
          </w:tcPr>
          <w:p>
            <w:pPr>
              <w:bidi w:val="0"/>
              <w:rPr>
                <w:rFonts w:hint="eastAsia" w:eastAsia="宋体"/>
                <w:color w:val="auto"/>
                <w:lang w:eastAsia="zh-CN"/>
              </w:rPr>
            </w:pPr>
            <w:r>
              <w:rPr>
                <w:rFonts w:hint="eastAsia"/>
                <w:color w:val="auto"/>
                <w:highlight w:val="none"/>
              </w:rPr>
              <w:t>T</w:t>
            </w:r>
            <w:r>
              <w:rPr>
                <w:rFonts w:hint="eastAsia"/>
                <w:color w:val="auto"/>
                <w:highlight w:val="none"/>
                <w:lang w:val="en-US" w:eastAsia="zh-CN"/>
              </w:rPr>
              <w:t>2</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rFonts w:hint="eastAsia"/>
                <w:color w:val="auto"/>
                <w:highlight w:val="none"/>
              </w:rPr>
            </w:pPr>
          </w:p>
        </w:tc>
        <w:tc>
          <w:tcPr>
            <w:tcW w:w="294" w:type="pct"/>
            <w:vMerge w:val="continue"/>
            <w:tcBorders>
              <w:tl2br w:val="nil"/>
              <w:tr2bl w:val="nil"/>
            </w:tcBorders>
            <w:vAlign w:val="center"/>
          </w:tcPr>
          <w:p>
            <w:pPr>
              <w:pStyle w:val="41"/>
              <w:bidi w:val="0"/>
              <w:rPr>
                <w:rFonts w:hint="eastAsia"/>
                <w:color w:val="auto"/>
                <w:highlight w:val="none"/>
              </w:rPr>
            </w:pPr>
          </w:p>
        </w:tc>
        <w:tc>
          <w:tcPr>
            <w:tcW w:w="505" w:type="pct"/>
            <w:vMerge w:val="continue"/>
            <w:tcBorders>
              <w:tl2br w:val="nil"/>
              <w:tr2bl w:val="nil"/>
            </w:tcBorders>
            <w:vAlign w:val="center"/>
          </w:tcPr>
          <w:p>
            <w:pPr>
              <w:pStyle w:val="41"/>
              <w:bidi w:val="0"/>
              <w:rPr>
                <w:rFonts w:hint="eastAsia"/>
                <w:color w:val="auto"/>
                <w:highlight w:val="none"/>
              </w:rPr>
            </w:pPr>
          </w:p>
        </w:tc>
        <w:tc>
          <w:tcPr>
            <w:tcW w:w="1382" w:type="pct"/>
            <w:vMerge w:val="restart"/>
            <w:tcBorders>
              <w:tl2br w:val="nil"/>
              <w:tr2bl w:val="nil"/>
            </w:tcBorders>
            <w:vAlign w:val="center"/>
          </w:tcPr>
          <w:p>
            <w:pPr>
              <w:pStyle w:val="41"/>
              <w:bidi w:val="0"/>
              <w:rPr>
                <w:rFonts w:hint="eastAsia" w:ascii="Times New Roman" w:hAnsi="Times New Roman" w:eastAsia="宋体" w:cs="Times New Roman"/>
                <w:color w:val="auto"/>
                <w:highlight w:val="none"/>
              </w:rPr>
            </w:pPr>
            <w:bookmarkStart w:id="551" w:name="OLE_LINK59"/>
            <w:r>
              <w:rPr>
                <w:rFonts w:hint="default" w:ascii="Times New Roman" w:hAnsi="Times New Roman" w:eastAsia="宋体" w:cs="Times New Roman"/>
                <w:color w:val="auto"/>
                <w:highlight w:val="none"/>
                <w:lang w:val="en-US" w:eastAsia="zh-CN"/>
              </w:rPr>
              <w:t>pH</w:t>
            </w:r>
            <w:r>
              <w:rPr>
                <w:rFonts w:hint="eastAsia" w:ascii="Times New Roman" w:hAnsi="Times New Roman" w:eastAsia="宋体" w:cs="Times New Roman"/>
                <w:color w:val="auto"/>
                <w:highlight w:val="none"/>
                <w:lang w:val="en-US" w:eastAsia="zh-CN"/>
              </w:rPr>
              <w:t>+土壤盐分含量+</w:t>
            </w:r>
            <w:r>
              <w:rPr>
                <w:rFonts w:hint="default" w:ascii="Times New Roman" w:hAnsi="Times New Roman" w:eastAsia="宋体" w:cs="Times New Roman"/>
                <w:color w:val="auto"/>
                <w:highlight w:val="none"/>
              </w:rPr>
              <w:t>特征因子石油烃</w:t>
            </w:r>
            <w:bookmarkEnd w:id="551"/>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color w:val="auto"/>
              </w:rPr>
            </w:pPr>
          </w:p>
        </w:tc>
        <w:tc>
          <w:tcPr>
            <w:tcW w:w="179" w:type="pct"/>
            <w:vMerge w:val="continue"/>
            <w:tcBorders>
              <w:tl2br w:val="nil"/>
              <w:tr2bl w:val="nil"/>
            </w:tcBorders>
            <w:shd w:val="clear" w:color="auto" w:fill="auto"/>
            <w:vAlign w:val="center"/>
          </w:tcPr>
          <w:p>
            <w:pPr>
              <w:pStyle w:val="41"/>
              <w:bidi w:val="0"/>
              <w:rPr>
                <w:color w:val="auto"/>
              </w:rPr>
            </w:pPr>
          </w:p>
        </w:tc>
        <w:tc>
          <w:tcPr>
            <w:tcW w:w="297" w:type="pct"/>
            <w:tcBorders>
              <w:tl2br w:val="nil"/>
              <w:tr2bl w:val="nil"/>
            </w:tcBorders>
            <w:shd w:val="clear" w:color="auto" w:fill="auto"/>
            <w:vAlign w:val="center"/>
          </w:tcPr>
          <w:p>
            <w:pPr>
              <w:bidi w:val="0"/>
              <w:rPr>
                <w:rFonts w:hint="eastAsia" w:eastAsia="宋体"/>
                <w:color w:val="auto"/>
                <w:lang w:eastAsia="zh-CN"/>
              </w:rPr>
            </w:pPr>
            <w:r>
              <w:rPr>
                <w:rFonts w:hint="eastAsia"/>
                <w:color w:val="auto"/>
                <w:highlight w:val="none"/>
              </w:rPr>
              <w:t>T</w:t>
            </w:r>
            <w:r>
              <w:rPr>
                <w:rFonts w:hint="eastAsia"/>
                <w:color w:val="auto"/>
                <w:highlight w:val="none"/>
                <w:lang w:val="en-US" w:eastAsia="zh-CN"/>
              </w:rPr>
              <w:t>3</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rFonts w:hint="eastAsia"/>
                <w:color w:val="auto"/>
                <w:highlight w:val="none"/>
              </w:rPr>
            </w:pPr>
          </w:p>
        </w:tc>
        <w:tc>
          <w:tcPr>
            <w:tcW w:w="294" w:type="pct"/>
            <w:vMerge w:val="continue"/>
            <w:tcBorders>
              <w:tl2br w:val="nil"/>
              <w:tr2bl w:val="nil"/>
            </w:tcBorders>
            <w:vAlign w:val="center"/>
          </w:tcPr>
          <w:p>
            <w:pPr>
              <w:pStyle w:val="41"/>
              <w:bidi w:val="0"/>
              <w:rPr>
                <w:rFonts w:hint="eastAsia"/>
                <w:color w:val="auto"/>
                <w:highlight w:val="none"/>
              </w:rPr>
            </w:pPr>
          </w:p>
        </w:tc>
        <w:tc>
          <w:tcPr>
            <w:tcW w:w="505" w:type="pct"/>
            <w:vMerge w:val="continue"/>
            <w:tcBorders>
              <w:tl2br w:val="nil"/>
              <w:tr2bl w:val="nil"/>
            </w:tcBorders>
            <w:vAlign w:val="center"/>
          </w:tcPr>
          <w:p>
            <w:pPr>
              <w:pStyle w:val="41"/>
              <w:bidi w:val="0"/>
              <w:rPr>
                <w:rFonts w:hint="eastAsia"/>
                <w:color w:val="auto"/>
                <w:highlight w:val="none"/>
              </w:rPr>
            </w:pPr>
          </w:p>
        </w:tc>
        <w:tc>
          <w:tcPr>
            <w:tcW w:w="1382" w:type="pct"/>
            <w:vMerge w:val="continue"/>
            <w:tcBorders>
              <w:tl2br w:val="nil"/>
              <w:tr2bl w:val="nil"/>
            </w:tcBorders>
            <w:vAlign w:val="center"/>
          </w:tcPr>
          <w:p>
            <w:pPr>
              <w:pStyle w:val="41"/>
              <w:bidi w:val="0"/>
              <w:rPr>
                <w:rFonts w:hint="eastAsia"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pPr>
              <w:pStyle w:val="41"/>
              <w:bidi w:val="0"/>
              <w:rPr>
                <w:rFonts w:hint="eastAsia"/>
                <w:color w:val="auto"/>
                <w:highlight w:val="none"/>
              </w:rPr>
            </w:pPr>
          </w:p>
        </w:tc>
        <w:tc>
          <w:tcPr>
            <w:tcW w:w="297" w:type="pct"/>
            <w:tcBorders>
              <w:tl2br w:val="nil"/>
              <w:tr2bl w:val="nil"/>
            </w:tcBorders>
            <w:shd w:val="clear" w:color="auto" w:fill="auto"/>
            <w:vAlign w:val="center"/>
          </w:tcPr>
          <w:p>
            <w:pPr>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4</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rFonts w:hint="eastAsia"/>
                <w:color w:val="auto"/>
                <w:highlight w:val="none"/>
              </w:rPr>
            </w:pPr>
          </w:p>
        </w:tc>
        <w:tc>
          <w:tcPr>
            <w:tcW w:w="294" w:type="pct"/>
            <w:vMerge w:val="continue"/>
            <w:tcBorders>
              <w:tl2br w:val="nil"/>
              <w:tr2bl w:val="nil"/>
            </w:tcBorders>
            <w:vAlign w:val="center"/>
          </w:tcPr>
          <w:p>
            <w:pPr>
              <w:pStyle w:val="41"/>
              <w:bidi w:val="0"/>
              <w:rPr>
                <w:rFonts w:hint="eastAsia"/>
                <w:color w:val="auto"/>
                <w:highlight w:val="none"/>
              </w:rPr>
            </w:pPr>
          </w:p>
        </w:tc>
        <w:tc>
          <w:tcPr>
            <w:tcW w:w="505" w:type="pct"/>
            <w:vMerge w:val="continue"/>
            <w:tcBorders>
              <w:tl2br w:val="nil"/>
              <w:tr2bl w:val="nil"/>
            </w:tcBorders>
            <w:vAlign w:val="center"/>
          </w:tcPr>
          <w:p>
            <w:pPr>
              <w:pStyle w:val="41"/>
              <w:bidi w:val="0"/>
              <w:rPr>
                <w:rFonts w:hint="eastAsia"/>
                <w:color w:val="auto"/>
                <w:highlight w:val="none"/>
              </w:rPr>
            </w:pPr>
          </w:p>
        </w:tc>
        <w:tc>
          <w:tcPr>
            <w:tcW w:w="1382" w:type="pct"/>
            <w:vMerge w:val="continue"/>
            <w:tcBorders>
              <w:tl2br w:val="nil"/>
              <w:tr2bl w:val="nil"/>
            </w:tcBorders>
            <w:vAlign w:val="center"/>
          </w:tcPr>
          <w:p>
            <w:pPr>
              <w:pStyle w:val="41"/>
              <w:bidi w:val="0"/>
              <w:rPr>
                <w:rFonts w:hint="eastAsia"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pPr>
              <w:pStyle w:val="41"/>
              <w:bidi w:val="0"/>
              <w:rPr>
                <w:rFonts w:hint="eastAsia"/>
                <w:color w:val="auto"/>
                <w:highlight w:val="none"/>
              </w:rPr>
            </w:pPr>
          </w:p>
        </w:tc>
        <w:tc>
          <w:tcPr>
            <w:tcW w:w="297" w:type="pct"/>
            <w:tcBorders>
              <w:tl2br w:val="nil"/>
              <w:tr2bl w:val="nil"/>
            </w:tcBorders>
            <w:shd w:val="clear" w:color="auto" w:fill="auto"/>
            <w:vAlign w:val="center"/>
          </w:tcPr>
          <w:p>
            <w:pPr>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5</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rFonts w:hint="eastAsia"/>
                <w:color w:val="auto"/>
                <w:highlight w:val="none"/>
              </w:rPr>
            </w:pPr>
          </w:p>
        </w:tc>
        <w:tc>
          <w:tcPr>
            <w:tcW w:w="294" w:type="pct"/>
            <w:vMerge w:val="continue"/>
            <w:tcBorders>
              <w:tl2br w:val="nil"/>
              <w:tr2bl w:val="nil"/>
            </w:tcBorders>
            <w:vAlign w:val="center"/>
          </w:tcPr>
          <w:p>
            <w:pPr>
              <w:pStyle w:val="41"/>
              <w:bidi w:val="0"/>
              <w:rPr>
                <w:rFonts w:hint="eastAsia"/>
                <w:color w:val="auto"/>
                <w:highlight w:val="none"/>
              </w:rPr>
            </w:pPr>
          </w:p>
        </w:tc>
        <w:tc>
          <w:tcPr>
            <w:tcW w:w="505" w:type="pct"/>
            <w:vMerge w:val="continue"/>
            <w:tcBorders>
              <w:tl2br w:val="nil"/>
              <w:tr2bl w:val="nil"/>
            </w:tcBorders>
            <w:vAlign w:val="center"/>
          </w:tcPr>
          <w:p>
            <w:pPr>
              <w:pStyle w:val="41"/>
              <w:bidi w:val="0"/>
              <w:rPr>
                <w:rFonts w:hint="eastAsia"/>
                <w:color w:val="auto"/>
                <w:highlight w:val="none"/>
              </w:rPr>
            </w:pPr>
          </w:p>
        </w:tc>
        <w:tc>
          <w:tcPr>
            <w:tcW w:w="1382" w:type="pct"/>
            <w:vMerge w:val="continue"/>
            <w:tcBorders>
              <w:tl2br w:val="nil"/>
              <w:tr2bl w:val="nil"/>
            </w:tcBorders>
            <w:vAlign w:val="center"/>
          </w:tcPr>
          <w:p>
            <w:pPr>
              <w:pStyle w:val="41"/>
              <w:bidi w:val="0"/>
              <w:rPr>
                <w:rFonts w:hint="eastAsia"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pPr>
              <w:pStyle w:val="41"/>
              <w:bidi w:val="0"/>
              <w:rPr>
                <w:rFonts w:hint="eastAsia"/>
                <w:color w:val="auto"/>
                <w:highlight w:val="none"/>
              </w:rPr>
            </w:pPr>
          </w:p>
        </w:tc>
        <w:tc>
          <w:tcPr>
            <w:tcW w:w="297" w:type="pct"/>
            <w:tcBorders>
              <w:tl2br w:val="nil"/>
              <w:tr2bl w:val="nil"/>
            </w:tcBorders>
            <w:shd w:val="clear" w:color="auto" w:fill="auto"/>
            <w:vAlign w:val="center"/>
          </w:tcPr>
          <w:p>
            <w:pPr>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6</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rFonts w:hint="eastAsia"/>
                <w:color w:val="auto"/>
                <w:highlight w:val="none"/>
              </w:rPr>
            </w:pPr>
          </w:p>
        </w:tc>
        <w:tc>
          <w:tcPr>
            <w:tcW w:w="294" w:type="pct"/>
            <w:vMerge w:val="continue"/>
            <w:tcBorders>
              <w:tl2br w:val="nil"/>
              <w:tr2bl w:val="nil"/>
            </w:tcBorders>
            <w:vAlign w:val="center"/>
          </w:tcPr>
          <w:p>
            <w:pPr>
              <w:pStyle w:val="41"/>
              <w:bidi w:val="0"/>
              <w:rPr>
                <w:rFonts w:hint="eastAsia"/>
                <w:color w:val="auto"/>
                <w:highlight w:val="none"/>
              </w:rPr>
            </w:pPr>
          </w:p>
        </w:tc>
        <w:tc>
          <w:tcPr>
            <w:tcW w:w="505" w:type="pct"/>
            <w:vMerge w:val="continue"/>
            <w:tcBorders>
              <w:tl2br w:val="nil"/>
              <w:tr2bl w:val="nil"/>
            </w:tcBorders>
            <w:vAlign w:val="center"/>
          </w:tcPr>
          <w:p>
            <w:pPr>
              <w:pStyle w:val="41"/>
              <w:bidi w:val="0"/>
              <w:rPr>
                <w:rFonts w:hint="eastAsia"/>
                <w:color w:val="auto"/>
                <w:highlight w:val="none"/>
              </w:rPr>
            </w:pPr>
          </w:p>
        </w:tc>
        <w:tc>
          <w:tcPr>
            <w:tcW w:w="1382" w:type="pct"/>
            <w:vMerge w:val="continue"/>
            <w:tcBorders>
              <w:tl2br w:val="nil"/>
              <w:tr2bl w:val="nil"/>
            </w:tcBorders>
            <w:vAlign w:val="center"/>
          </w:tcPr>
          <w:p>
            <w:pPr>
              <w:pStyle w:val="41"/>
              <w:bidi w:val="0"/>
              <w:rPr>
                <w:rFonts w:hint="eastAsia"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color w:val="auto"/>
                <w:highlight w:val="none"/>
              </w:rPr>
            </w:pPr>
          </w:p>
        </w:tc>
        <w:tc>
          <w:tcPr>
            <w:tcW w:w="179" w:type="pct"/>
            <w:vMerge w:val="continue"/>
            <w:tcBorders>
              <w:tl2br w:val="nil"/>
              <w:tr2bl w:val="nil"/>
            </w:tcBorders>
            <w:shd w:val="clear" w:color="auto" w:fill="auto"/>
            <w:vAlign w:val="center"/>
          </w:tcPr>
          <w:p>
            <w:pPr>
              <w:pStyle w:val="41"/>
              <w:bidi w:val="0"/>
              <w:rPr>
                <w:color w:val="auto"/>
                <w:highlight w:val="none"/>
              </w:rPr>
            </w:pPr>
          </w:p>
        </w:tc>
        <w:tc>
          <w:tcPr>
            <w:tcW w:w="297" w:type="pct"/>
            <w:tcBorders>
              <w:tl2br w:val="nil"/>
              <w:tr2bl w:val="nil"/>
            </w:tcBorders>
            <w:shd w:val="clear" w:color="auto" w:fill="auto"/>
            <w:vAlign w:val="center"/>
          </w:tcPr>
          <w:p>
            <w:pPr>
              <w:pStyle w:val="41"/>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7</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restart"/>
            <w:tcBorders>
              <w:tl2br w:val="nil"/>
              <w:tr2bl w:val="nil"/>
            </w:tcBorders>
            <w:vAlign w:val="center"/>
          </w:tcPr>
          <w:p>
            <w:pPr>
              <w:pStyle w:val="41"/>
              <w:bidi w:val="0"/>
              <w:rPr>
                <w:color w:val="auto"/>
                <w:highlight w:val="none"/>
              </w:rPr>
            </w:pPr>
            <w:r>
              <w:rPr>
                <w:rFonts w:hint="eastAsia"/>
                <w:color w:val="auto"/>
                <w:highlight w:val="none"/>
              </w:rPr>
              <w:t>柱状样</w:t>
            </w:r>
          </w:p>
        </w:tc>
        <w:tc>
          <w:tcPr>
            <w:tcW w:w="294" w:type="pct"/>
            <w:vMerge w:val="restart"/>
            <w:tcBorders>
              <w:tl2br w:val="nil"/>
              <w:tr2bl w:val="nil"/>
            </w:tcBorders>
            <w:vAlign w:val="center"/>
          </w:tcPr>
          <w:p>
            <w:pPr>
              <w:pStyle w:val="41"/>
              <w:bidi w:val="0"/>
              <w:rPr>
                <w:color w:val="auto"/>
                <w:highlight w:val="none"/>
              </w:rPr>
            </w:pPr>
            <w:r>
              <w:rPr>
                <w:rFonts w:hint="eastAsia"/>
                <w:color w:val="auto"/>
                <w:highlight w:val="none"/>
              </w:rPr>
              <w:t>监测</w:t>
            </w:r>
          </w:p>
          <w:p>
            <w:pPr>
              <w:pStyle w:val="41"/>
              <w:bidi w:val="0"/>
              <w:rPr>
                <w:color w:val="auto"/>
                <w:highlight w:val="none"/>
              </w:rPr>
            </w:pPr>
            <w:r>
              <w:rPr>
                <w:rFonts w:hint="eastAsia"/>
                <w:color w:val="auto"/>
                <w:highlight w:val="none"/>
              </w:rPr>
              <w:t>1次</w:t>
            </w:r>
          </w:p>
        </w:tc>
        <w:tc>
          <w:tcPr>
            <w:tcW w:w="505" w:type="pct"/>
            <w:vMerge w:val="restart"/>
            <w:tcBorders>
              <w:tl2br w:val="nil"/>
              <w:tr2bl w:val="nil"/>
            </w:tcBorders>
            <w:vAlign w:val="center"/>
          </w:tcPr>
          <w:p>
            <w:pPr>
              <w:pStyle w:val="41"/>
              <w:bidi w:val="0"/>
              <w:rPr>
                <w:color w:val="auto"/>
                <w:highlight w:val="none"/>
              </w:rPr>
            </w:pPr>
            <w:r>
              <w:rPr>
                <w:rFonts w:hint="eastAsia"/>
                <w:color w:val="auto"/>
                <w:highlight w:val="none"/>
              </w:rPr>
              <w:t>柱状样：0-0.5m、0.5-1.5m、1.5-3m分别取样</w:t>
            </w:r>
          </w:p>
        </w:tc>
        <w:tc>
          <w:tcPr>
            <w:tcW w:w="1382" w:type="pct"/>
            <w:vMerge w:val="continue"/>
            <w:tcBorders>
              <w:tl2br w:val="nil"/>
              <w:tr2bl w:val="nil"/>
            </w:tcBorders>
            <w:vAlign w:val="center"/>
          </w:tcPr>
          <w:p>
            <w:pPr>
              <w:pStyle w:val="41"/>
              <w:bidi w:val="0"/>
              <w:rPr>
                <w:rFonts w:hint="eastAsia"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color w:val="auto"/>
                <w:highlight w:val="none"/>
              </w:rPr>
            </w:pPr>
          </w:p>
        </w:tc>
        <w:tc>
          <w:tcPr>
            <w:tcW w:w="179" w:type="pct"/>
            <w:vMerge w:val="continue"/>
            <w:tcBorders>
              <w:tl2br w:val="nil"/>
              <w:tr2bl w:val="nil"/>
            </w:tcBorders>
            <w:shd w:val="clear" w:color="auto" w:fill="auto"/>
            <w:vAlign w:val="center"/>
          </w:tcPr>
          <w:p>
            <w:pPr>
              <w:pStyle w:val="41"/>
              <w:bidi w:val="0"/>
              <w:rPr>
                <w:color w:val="auto"/>
                <w:highlight w:val="none"/>
              </w:rPr>
            </w:pPr>
          </w:p>
        </w:tc>
        <w:tc>
          <w:tcPr>
            <w:tcW w:w="297" w:type="pct"/>
            <w:tcBorders>
              <w:tl2br w:val="nil"/>
              <w:tr2bl w:val="nil"/>
            </w:tcBorders>
            <w:shd w:val="clear" w:color="auto" w:fill="auto"/>
            <w:vAlign w:val="center"/>
          </w:tcPr>
          <w:p>
            <w:pPr>
              <w:pStyle w:val="41"/>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8</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color w:val="auto"/>
                <w:highlight w:val="none"/>
              </w:rPr>
            </w:pPr>
          </w:p>
        </w:tc>
        <w:tc>
          <w:tcPr>
            <w:tcW w:w="294" w:type="pct"/>
            <w:vMerge w:val="continue"/>
            <w:tcBorders>
              <w:tl2br w:val="nil"/>
              <w:tr2bl w:val="nil"/>
            </w:tcBorders>
            <w:vAlign w:val="center"/>
          </w:tcPr>
          <w:p>
            <w:pPr>
              <w:pStyle w:val="41"/>
              <w:bidi w:val="0"/>
              <w:rPr>
                <w:color w:val="auto"/>
                <w:highlight w:val="none"/>
              </w:rPr>
            </w:pPr>
          </w:p>
        </w:tc>
        <w:tc>
          <w:tcPr>
            <w:tcW w:w="505" w:type="pct"/>
            <w:vMerge w:val="continue"/>
            <w:tcBorders>
              <w:tl2br w:val="nil"/>
              <w:tr2bl w:val="nil"/>
            </w:tcBorders>
            <w:vAlign w:val="center"/>
          </w:tcPr>
          <w:p>
            <w:pPr>
              <w:pStyle w:val="41"/>
              <w:bidi w:val="0"/>
              <w:rPr>
                <w:color w:val="auto"/>
                <w:highlight w:val="none"/>
              </w:rPr>
            </w:pPr>
          </w:p>
        </w:tc>
        <w:tc>
          <w:tcPr>
            <w:tcW w:w="1382" w:type="pct"/>
            <w:vMerge w:val="continue"/>
            <w:tcBorders>
              <w:tl2br w:val="nil"/>
              <w:tr2bl w:val="nil"/>
            </w:tcBorders>
            <w:vAlign w:val="center"/>
          </w:tcPr>
          <w:p>
            <w:pPr>
              <w:pStyle w:val="41"/>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color w:val="auto"/>
                <w:highlight w:val="none"/>
              </w:rPr>
            </w:pPr>
          </w:p>
        </w:tc>
        <w:tc>
          <w:tcPr>
            <w:tcW w:w="179" w:type="pct"/>
            <w:vMerge w:val="continue"/>
            <w:tcBorders>
              <w:tl2br w:val="nil"/>
              <w:tr2bl w:val="nil"/>
            </w:tcBorders>
            <w:shd w:val="clear" w:color="auto" w:fill="auto"/>
            <w:vAlign w:val="center"/>
          </w:tcPr>
          <w:p>
            <w:pPr>
              <w:pStyle w:val="41"/>
              <w:bidi w:val="0"/>
              <w:rPr>
                <w:color w:val="auto"/>
                <w:highlight w:val="none"/>
              </w:rPr>
            </w:pPr>
          </w:p>
        </w:tc>
        <w:tc>
          <w:tcPr>
            <w:tcW w:w="297" w:type="pct"/>
            <w:tcBorders>
              <w:tl2br w:val="nil"/>
              <w:tr2bl w:val="nil"/>
            </w:tcBorders>
            <w:shd w:val="clear" w:color="auto" w:fill="auto"/>
            <w:vAlign w:val="center"/>
          </w:tcPr>
          <w:p>
            <w:pPr>
              <w:pStyle w:val="41"/>
              <w:bidi w:val="0"/>
              <w:rPr>
                <w:rFonts w:hint="eastAsia" w:eastAsia="宋体"/>
                <w:color w:val="auto"/>
                <w:highlight w:val="none"/>
                <w:lang w:eastAsia="zh-CN"/>
              </w:rPr>
            </w:pPr>
            <w:r>
              <w:rPr>
                <w:rFonts w:hint="eastAsia"/>
                <w:color w:val="auto"/>
                <w:highlight w:val="none"/>
              </w:rPr>
              <w:t>T</w:t>
            </w:r>
            <w:r>
              <w:rPr>
                <w:rFonts w:hint="eastAsia"/>
                <w:color w:val="auto"/>
                <w:highlight w:val="none"/>
                <w:lang w:val="en-US" w:eastAsia="zh-CN"/>
              </w:rPr>
              <w:t>9</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color w:val="auto"/>
                <w:highlight w:val="none"/>
              </w:rPr>
            </w:pPr>
          </w:p>
        </w:tc>
        <w:tc>
          <w:tcPr>
            <w:tcW w:w="294" w:type="pct"/>
            <w:vMerge w:val="continue"/>
            <w:tcBorders>
              <w:tl2br w:val="nil"/>
              <w:tr2bl w:val="nil"/>
            </w:tcBorders>
            <w:vAlign w:val="center"/>
          </w:tcPr>
          <w:p>
            <w:pPr>
              <w:pStyle w:val="41"/>
              <w:bidi w:val="0"/>
              <w:rPr>
                <w:color w:val="auto"/>
                <w:highlight w:val="none"/>
              </w:rPr>
            </w:pPr>
          </w:p>
        </w:tc>
        <w:tc>
          <w:tcPr>
            <w:tcW w:w="505" w:type="pct"/>
            <w:vMerge w:val="continue"/>
            <w:tcBorders>
              <w:tl2br w:val="nil"/>
              <w:tr2bl w:val="nil"/>
            </w:tcBorders>
            <w:vAlign w:val="center"/>
          </w:tcPr>
          <w:p>
            <w:pPr>
              <w:pStyle w:val="41"/>
              <w:bidi w:val="0"/>
              <w:rPr>
                <w:color w:val="auto"/>
                <w:highlight w:val="none"/>
              </w:rPr>
            </w:pPr>
          </w:p>
        </w:tc>
        <w:tc>
          <w:tcPr>
            <w:tcW w:w="1382" w:type="pct"/>
            <w:vMerge w:val="continue"/>
            <w:tcBorders>
              <w:tl2br w:val="nil"/>
              <w:tr2bl w:val="nil"/>
            </w:tcBorders>
            <w:vAlign w:val="center"/>
          </w:tcPr>
          <w:p>
            <w:pPr>
              <w:pStyle w:val="41"/>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599" w:hRule="atLeast"/>
          <w:jc w:val="center"/>
        </w:trPr>
        <w:tc>
          <w:tcPr>
            <w:tcW w:w="205" w:type="pct"/>
            <w:vMerge w:val="continue"/>
            <w:tcBorders>
              <w:tl2br w:val="nil"/>
              <w:tr2bl w:val="nil"/>
            </w:tcBorders>
            <w:shd w:val="clear" w:color="auto" w:fill="auto"/>
            <w:vAlign w:val="center"/>
          </w:tcPr>
          <w:p>
            <w:pPr>
              <w:pStyle w:val="41"/>
              <w:bidi w:val="0"/>
              <w:rPr>
                <w:color w:val="auto"/>
                <w:highlight w:val="none"/>
              </w:rPr>
            </w:pPr>
          </w:p>
        </w:tc>
        <w:tc>
          <w:tcPr>
            <w:tcW w:w="179" w:type="pct"/>
            <w:vMerge w:val="restart"/>
            <w:tcBorders>
              <w:tl2br w:val="nil"/>
              <w:tr2bl w:val="nil"/>
            </w:tcBorders>
            <w:shd w:val="clear" w:color="auto" w:fill="auto"/>
            <w:vAlign w:val="center"/>
          </w:tcPr>
          <w:p>
            <w:pPr>
              <w:pStyle w:val="41"/>
              <w:bidi w:val="0"/>
              <w:rPr>
                <w:color w:val="auto"/>
                <w:highlight w:val="none"/>
              </w:rPr>
            </w:pPr>
            <w:r>
              <w:rPr>
                <w:color w:val="auto"/>
                <w:highlight w:val="none"/>
              </w:rPr>
              <w:t>占地范围外</w:t>
            </w:r>
          </w:p>
        </w:tc>
        <w:tc>
          <w:tcPr>
            <w:tcW w:w="297" w:type="pct"/>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rPr>
              <w:t>T</w:t>
            </w:r>
            <w:r>
              <w:rPr>
                <w:rFonts w:hint="eastAsia"/>
                <w:color w:val="auto"/>
                <w:highlight w:val="none"/>
                <w:lang w:val="en-US" w:eastAsia="zh-CN"/>
              </w:rPr>
              <w:t>10</w:t>
            </w:r>
          </w:p>
        </w:tc>
        <w:tc>
          <w:tcPr>
            <w:tcW w:w="1764" w:type="pct"/>
            <w:tcBorders>
              <w:tl2br w:val="nil"/>
              <w:tr2bl w:val="nil"/>
            </w:tcBorders>
            <w:shd w:val="clear" w:color="auto" w:fill="auto"/>
            <w:vAlign w:val="center"/>
          </w:tcPr>
          <w:p>
            <w:pPr>
              <w:pStyle w:val="41"/>
              <w:bidi w:val="0"/>
              <w:rPr>
                <w:rFonts w:hint="default" w:ascii="Times New Roman" w:hAnsi="Times New Roman" w:eastAsia="宋体" w:cs="Times New Roman"/>
                <w:color w:val="auto"/>
                <w:highlight w:val="none"/>
                <w:lang w:val="en-US" w:eastAsia="zh-CN"/>
              </w:rPr>
            </w:pPr>
          </w:p>
        </w:tc>
        <w:tc>
          <w:tcPr>
            <w:tcW w:w="370" w:type="pct"/>
            <w:vMerge w:val="restart"/>
            <w:tcBorders>
              <w:tl2br w:val="nil"/>
              <w:tr2bl w:val="nil"/>
            </w:tcBorders>
            <w:vAlign w:val="center"/>
          </w:tcPr>
          <w:p>
            <w:pPr>
              <w:pStyle w:val="41"/>
              <w:bidi w:val="0"/>
              <w:rPr>
                <w:color w:val="auto"/>
                <w:highlight w:val="none"/>
              </w:rPr>
            </w:pPr>
            <w:r>
              <w:rPr>
                <w:rFonts w:hint="eastAsia"/>
                <w:color w:val="auto"/>
                <w:highlight w:val="none"/>
              </w:rPr>
              <w:t>表层样</w:t>
            </w:r>
          </w:p>
        </w:tc>
        <w:tc>
          <w:tcPr>
            <w:tcW w:w="294" w:type="pct"/>
            <w:vMerge w:val="restart"/>
            <w:tcBorders>
              <w:tl2br w:val="nil"/>
              <w:tr2bl w:val="nil"/>
            </w:tcBorders>
            <w:vAlign w:val="center"/>
          </w:tcPr>
          <w:p>
            <w:pPr>
              <w:pStyle w:val="41"/>
              <w:bidi w:val="0"/>
              <w:rPr>
                <w:color w:val="auto"/>
                <w:highlight w:val="none"/>
              </w:rPr>
            </w:pPr>
            <w:r>
              <w:rPr>
                <w:color w:val="auto"/>
                <w:highlight w:val="none"/>
              </w:rPr>
              <w:t>监测</w:t>
            </w:r>
          </w:p>
          <w:p>
            <w:pPr>
              <w:pStyle w:val="41"/>
              <w:bidi w:val="0"/>
              <w:rPr>
                <w:color w:val="auto"/>
                <w:highlight w:val="none"/>
              </w:rPr>
            </w:pPr>
            <w:r>
              <w:rPr>
                <w:color w:val="auto"/>
                <w:highlight w:val="none"/>
              </w:rPr>
              <w:t>1次</w:t>
            </w:r>
          </w:p>
        </w:tc>
        <w:tc>
          <w:tcPr>
            <w:tcW w:w="505" w:type="pct"/>
            <w:vMerge w:val="restart"/>
            <w:tcBorders>
              <w:tl2br w:val="nil"/>
              <w:tr2bl w:val="nil"/>
            </w:tcBorders>
            <w:vAlign w:val="center"/>
          </w:tcPr>
          <w:p>
            <w:pPr>
              <w:pStyle w:val="41"/>
              <w:bidi w:val="0"/>
              <w:rPr>
                <w:color w:val="auto"/>
                <w:highlight w:val="none"/>
              </w:rPr>
            </w:pPr>
            <w:r>
              <w:rPr>
                <w:color w:val="auto"/>
                <w:highlight w:val="none"/>
              </w:rPr>
              <w:t>表层样0-0.2m取样</w:t>
            </w:r>
          </w:p>
        </w:tc>
        <w:tc>
          <w:tcPr>
            <w:tcW w:w="1382" w:type="pct"/>
            <w:vMerge w:val="restart"/>
            <w:tcBorders>
              <w:tl2br w:val="nil"/>
              <w:tr2bl w:val="nil"/>
            </w:tcBorders>
            <w:vAlign w:val="center"/>
          </w:tcPr>
          <w:p>
            <w:pPr>
              <w:pStyle w:val="41"/>
              <w:bidi w:val="0"/>
              <w:rPr>
                <w:color w:val="auto"/>
                <w:highlight w:val="none"/>
              </w:rPr>
            </w:pPr>
            <w:r>
              <w:rPr>
                <w:rFonts w:hint="eastAsia"/>
                <w:color w:val="auto"/>
                <w:highlight w:val="none"/>
              </w:rPr>
              <w:t>《土壤环境质量 农用地土壤污染风险管控标准（试行）》（GB15618-2018）中表1规定的基本项目：pH+8项重金属+土壤盐分含量+石油烃</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color w:val="auto"/>
                <w:highlight w:val="none"/>
              </w:rPr>
            </w:pPr>
          </w:p>
        </w:tc>
        <w:tc>
          <w:tcPr>
            <w:tcW w:w="179" w:type="pct"/>
            <w:vMerge w:val="continue"/>
            <w:tcBorders>
              <w:tl2br w:val="nil"/>
              <w:tr2bl w:val="nil"/>
            </w:tcBorders>
            <w:shd w:val="clear" w:color="auto" w:fill="auto"/>
            <w:vAlign w:val="center"/>
          </w:tcPr>
          <w:p>
            <w:pPr>
              <w:pStyle w:val="41"/>
              <w:bidi w:val="0"/>
              <w:rPr>
                <w:color w:val="auto"/>
                <w:highlight w:val="none"/>
              </w:rPr>
            </w:pPr>
          </w:p>
        </w:tc>
        <w:tc>
          <w:tcPr>
            <w:tcW w:w="297" w:type="pct"/>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rPr>
              <w:t>T</w:t>
            </w:r>
            <w:r>
              <w:rPr>
                <w:rFonts w:hint="eastAsia"/>
                <w:color w:val="auto"/>
                <w:highlight w:val="none"/>
                <w:lang w:val="en-US" w:eastAsia="zh-CN"/>
              </w:rPr>
              <w:t>11</w:t>
            </w:r>
          </w:p>
        </w:tc>
        <w:tc>
          <w:tcPr>
            <w:tcW w:w="1764" w:type="pct"/>
            <w:tcBorders>
              <w:tl2br w:val="nil"/>
              <w:tr2bl w:val="nil"/>
            </w:tcBorders>
            <w:shd w:val="clear" w:color="auto" w:fill="auto"/>
            <w:vAlign w:val="center"/>
          </w:tcPr>
          <w:p>
            <w:pPr>
              <w:pStyle w:val="41"/>
              <w:bidi w:val="0"/>
              <w:rPr>
                <w:rFonts w:hint="default"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color w:val="auto"/>
                <w:highlight w:val="none"/>
              </w:rPr>
            </w:pPr>
          </w:p>
        </w:tc>
        <w:tc>
          <w:tcPr>
            <w:tcW w:w="294" w:type="pct"/>
            <w:vMerge w:val="continue"/>
            <w:tcBorders>
              <w:tl2br w:val="nil"/>
              <w:tr2bl w:val="nil"/>
            </w:tcBorders>
            <w:vAlign w:val="center"/>
          </w:tcPr>
          <w:p>
            <w:pPr>
              <w:pStyle w:val="41"/>
              <w:bidi w:val="0"/>
              <w:rPr>
                <w:color w:val="auto"/>
                <w:highlight w:val="none"/>
              </w:rPr>
            </w:pPr>
          </w:p>
        </w:tc>
        <w:tc>
          <w:tcPr>
            <w:tcW w:w="505" w:type="pct"/>
            <w:vMerge w:val="continue"/>
            <w:tcBorders>
              <w:tl2br w:val="nil"/>
              <w:tr2bl w:val="nil"/>
            </w:tcBorders>
            <w:vAlign w:val="center"/>
          </w:tcPr>
          <w:p>
            <w:pPr>
              <w:pStyle w:val="41"/>
              <w:bidi w:val="0"/>
              <w:rPr>
                <w:color w:val="auto"/>
                <w:highlight w:val="none"/>
              </w:rPr>
            </w:pPr>
          </w:p>
        </w:tc>
        <w:tc>
          <w:tcPr>
            <w:tcW w:w="1382" w:type="pct"/>
            <w:vMerge w:val="continue"/>
            <w:tcBorders>
              <w:tl2br w:val="nil"/>
              <w:tr2bl w:val="nil"/>
            </w:tcBorders>
            <w:vAlign w:val="center"/>
          </w:tcPr>
          <w:p>
            <w:pPr>
              <w:pStyle w:val="41"/>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05" w:type="pct"/>
            <w:vMerge w:val="continue"/>
            <w:tcBorders>
              <w:tl2br w:val="nil"/>
              <w:tr2bl w:val="nil"/>
            </w:tcBorders>
            <w:shd w:val="clear" w:color="auto" w:fill="auto"/>
            <w:vAlign w:val="center"/>
          </w:tcPr>
          <w:p>
            <w:pPr>
              <w:pStyle w:val="41"/>
              <w:bidi w:val="0"/>
              <w:rPr>
                <w:color w:val="auto"/>
                <w:highlight w:val="none"/>
              </w:rPr>
            </w:pPr>
          </w:p>
        </w:tc>
        <w:tc>
          <w:tcPr>
            <w:tcW w:w="179" w:type="pct"/>
            <w:vMerge w:val="continue"/>
            <w:tcBorders>
              <w:tl2br w:val="nil"/>
              <w:tr2bl w:val="nil"/>
            </w:tcBorders>
            <w:shd w:val="clear" w:color="auto" w:fill="auto"/>
            <w:vAlign w:val="center"/>
          </w:tcPr>
          <w:p>
            <w:pPr>
              <w:pStyle w:val="41"/>
              <w:bidi w:val="0"/>
              <w:rPr>
                <w:color w:val="auto"/>
                <w:highlight w:val="none"/>
              </w:rPr>
            </w:pPr>
          </w:p>
        </w:tc>
        <w:tc>
          <w:tcPr>
            <w:tcW w:w="297" w:type="pct"/>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rPr>
              <w:t>T</w:t>
            </w:r>
            <w:r>
              <w:rPr>
                <w:rFonts w:hint="eastAsia"/>
                <w:color w:val="auto"/>
                <w:highlight w:val="none"/>
                <w:lang w:val="en-US" w:eastAsia="zh-CN"/>
              </w:rPr>
              <w:t>12</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color w:val="auto"/>
                <w:highlight w:val="none"/>
              </w:rPr>
            </w:pPr>
          </w:p>
        </w:tc>
        <w:tc>
          <w:tcPr>
            <w:tcW w:w="294" w:type="pct"/>
            <w:vMerge w:val="continue"/>
            <w:tcBorders>
              <w:tl2br w:val="nil"/>
              <w:tr2bl w:val="nil"/>
            </w:tcBorders>
            <w:vAlign w:val="center"/>
          </w:tcPr>
          <w:p>
            <w:pPr>
              <w:pStyle w:val="41"/>
              <w:bidi w:val="0"/>
              <w:rPr>
                <w:color w:val="auto"/>
                <w:highlight w:val="none"/>
              </w:rPr>
            </w:pPr>
          </w:p>
        </w:tc>
        <w:tc>
          <w:tcPr>
            <w:tcW w:w="505" w:type="pct"/>
            <w:vMerge w:val="continue"/>
            <w:tcBorders>
              <w:tl2br w:val="nil"/>
              <w:tr2bl w:val="nil"/>
            </w:tcBorders>
            <w:vAlign w:val="center"/>
          </w:tcPr>
          <w:p>
            <w:pPr>
              <w:pStyle w:val="41"/>
              <w:bidi w:val="0"/>
              <w:rPr>
                <w:color w:val="auto"/>
                <w:highlight w:val="none"/>
              </w:rPr>
            </w:pPr>
          </w:p>
        </w:tc>
        <w:tc>
          <w:tcPr>
            <w:tcW w:w="1382" w:type="pct"/>
            <w:vMerge w:val="restart"/>
            <w:tcBorders>
              <w:tl2br w:val="nil"/>
              <w:tr2bl w:val="nil"/>
            </w:tcBorders>
            <w:vAlign w:val="center"/>
          </w:tcPr>
          <w:p>
            <w:pPr>
              <w:pStyle w:val="41"/>
              <w:bidi w:val="0"/>
              <w:rPr>
                <w:color w:val="auto"/>
                <w:highlight w:val="none"/>
              </w:rPr>
            </w:pPr>
            <w:r>
              <w:rPr>
                <w:rFonts w:hint="eastAsia"/>
                <w:color w:val="auto"/>
                <w:highlight w:val="none"/>
              </w:rPr>
              <w:t>pH+石油烃+土壤盐分含量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color w:val="auto"/>
                <w:highlight w:val="none"/>
              </w:rPr>
            </w:pPr>
          </w:p>
        </w:tc>
        <w:tc>
          <w:tcPr>
            <w:tcW w:w="179" w:type="pct"/>
            <w:vMerge w:val="continue"/>
            <w:tcBorders>
              <w:tl2br w:val="nil"/>
              <w:tr2bl w:val="nil"/>
            </w:tcBorders>
            <w:shd w:val="clear" w:color="auto" w:fill="auto"/>
            <w:vAlign w:val="center"/>
          </w:tcPr>
          <w:p>
            <w:pPr>
              <w:pStyle w:val="41"/>
              <w:bidi w:val="0"/>
              <w:rPr>
                <w:color w:val="auto"/>
                <w:highlight w:val="none"/>
              </w:rPr>
            </w:pPr>
          </w:p>
        </w:tc>
        <w:tc>
          <w:tcPr>
            <w:tcW w:w="297" w:type="pct"/>
            <w:tcBorders>
              <w:tl2br w:val="nil"/>
              <w:tr2bl w:val="nil"/>
            </w:tcBorders>
            <w:shd w:val="clear" w:color="auto" w:fill="auto"/>
            <w:vAlign w:val="center"/>
          </w:tcPr>
          <w:p>
            <w:pPr>
              <w:pStyle w:val="41"/>
              <w:bidi w:val="0"/>
              <w:rPr>
                <w:rFonts w:hint="default" w:eastAsia="宋体"/>
                <w:color w:val="auto"/>
                <w:highlight w:val="none"/>
                <w:lang w:val="en-US" w:eastAsia="zh-CN"/>
              </w:rPr>
            </w:pPr>
            <w:bookmarkStart w:id="552" w:name="OLE_LINK60"/>
            <w:r>
              <w:rPr>
                <w:rFonts w:hint="eastAsia"/>
                <w:color w:val="auto"/>
                <w:highlight w:val="none"/>
              </w:rPr>
              <w:t>T</w:t>
            </w:r>
            <w:r>
              <w:rPr>
                <w:rFonts w:hint="eastAsia"/>
                <w:color w:val="auto"/>
                <w:highlight w:val="none"/>
                <w:lang w:val="en-US" w:eastAsia="zh-CN"/>
              </w:rPr>
              <w:t>13</w:t>
            </w:r>
            <w:bookmarkEnd w:id="552"/>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color w:val="auto"/>
                <w:highlight w:val="none"/>
              </w:rPr>
            </w:pPr>
          </w:p>
        </w:tc>
        <w:tc>
          <w:tcPr>
            <w:tcW w:w="294" w:type="pct"/>
            <w:vMerge w:val="continue"/>
            <w:tcBorders>
              <w:tl2br w:val="nil"/>
              <w:tr2bl w:val="nil"/>
            </w:tcBorders>
            <w:vAlign w:val="center"/>
          </w:tcPr>
          <w:p>
            <w:pPr>
              <w:pStyle w:val="41"/>
              <w:bidi w:val="0"/>
              <w:rPr>
                <w:color w:val="auto"/>
                <w:highlight w:val="none"/>
              </w:rPr>
            </w:pPr>
          </w:p>
        </w:tc>
        <w:tc>
          <w:tcPr>
            <w:tcW w:w="505" w:type="pct"/>
            <w:vMerge w:val="continue"/>
            <w:tcBorders>
              <w:tl2br w:val="nil"/>
              <w:tr2bl w:val="nil"/>
            </w:tcBorders>
            <w:vAlign w:val="center"/>
          </w:tcPr>
          <w:p>
            <w:pPr>
              <w:pStyle w:val="41"/>
              <w:bidi w:val="0"/>
              <w:rPr>
                <w:color w:val="auto"/>
                <w:highlight w:val="none"/>
              </w:rPr>
            </w:pPr>
          </w:p>
        </w:tc>
        <w:tc>
          <w:tcPr>
            <w:tcW w:w="1382" w:type="pct"/>
            <w:vMerge w:val="continue"/>
            <w:tcBorders>
              <w:tl2br w:val="nil"/>
              <w:tr2bl w:val="nil"/>
            </w:tcBorders>
            <w:vAlign w:val="center"/>
          </w:tcPr>
          <w:p>
            <w:pPr>
              <w:pStyle w:val="41"/>
              <w:bidi w:val="0"/>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color w:val="auto"/>
              </w:rPr>
            </w:pPr>
          </w:p>
        </w:tc>
        <w:tc>
          <w:tcPr>
            <w:tcW w:w="179" w:type="pct"/>
            <w:vMerge w:val="continue"/>
            <w:tcBorders>
              <w:tl2br w:val="nil"/>
              <w:tr2bl w:val="nil"/>
            </w:tcBorders>
            <w:shd w:val="clear" w:color="auto" w:fill="auto"/>
            <w:vAlign w:val="center"/>
          </w:tcPr>
          <w:p>
            <w:pPr>
              <w:pStyle w:val="41"/>
              <w:bidi w:val="0"/>
              <w:rPr>
                <w:color w:val="auto"/>
              </w:rPr>
            </w:pPr>
          </w:p>
        </w:tc>
        <w:tc>
          <w:tcPr>
            <w:tcW w:w="297" w:type="pct"/>
            <w:tcBorders>
              <w:tl2br w:val="nil"/>
              <w:tr2bl w:val="nil"/>
            </w:tcBorders>
            <w:shd w:val="clear" w:color="auto" w:fill="auto"/>
            <w:vAlign w:val="center"/>
          </w:tcPr>
          <w:p>
            <w:pPr>
              <w:pStyle w:val="41"/>
              <w:bidi w:val="0"/>
              <w:rPr>
                <w:rFonts w:hint="eastAsia"/>
                <w:color w:val="auto"/>
                <w:highlight w:val="none"/>
              </w:rPr>
            </w:pPr>
            <w:r>
              <w:rPr>
                <w:rFonts w:hint="eastAsia"/>
                <w:color w:val="auto"/>
                <w:highlight w:val="none"/>
              </w:rPr>
              <w:t>T</w:t>
            </w:r>
            <w:r>
              <w:rPr>
                <w:rFonts w:hint="eastAsia"/>
                <w:color w:val="auto"/>
                <w:highlight w:val="none"/>
                <w:lang w:val="en-US" w:eastAsia="zh-CN"/>
              </w:rPr>
              <w:t>14</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rFonts w:hint="eastAsia"/>
                <w:color w:val="auto"/>
                <w:highlight w:val="none"/>
              </w:rPr>
            </w:pPr>
          </w:p>
        </w:tc>
        <w:tc>
          <w:tcPr>
            <w:tcW w:w="294" w:type="pct"/>
            <w:vMerge w:val="continue"/>
            <w:tcBorders>
              <w:tl2br w:val="nil"/>
              <w:tr2bl w:val="nil"/>
            </w:tcBorders>
            <w:vAlign w:val="center"/>
          </w:tcPr>
          <w:p>
            <w:pPr>
              <w:pStyle w:val="41"/>
              <w:bidi w:val="0"/>
              <w:rPr>
                <w:rFonts w:hint="eastAsia"/>
                <w:color w:val="auto"/>
                <w:highlight w:val="none"/>
              </w:rPr>
            </w:pPr>
          </w:p>
        </w:tc>
        <w:tc>
          <w:tcPr>
            <w:tcW w:w="505" w:type="pct"/>
            <w:vMerge w:val="continue"/>
            <w:tcBorders>
              <w:tl2br w:val="nil"/>
              <w:tr2bl w:val="nil"/>
            </w:tcBorders>
            <w:vAlign w:val="center"/>
          </w:tcPr>
          <w:p>
            <w:pPr>
              <w:pStyle w:val="41"/>
              <w:bidi w:val="0"/>
              <w:rPr>
                <w:rFonts w:hint="eastAsia"/>
                <w:color w:val="auto"/>
                <w:highlight w:val="none"/>
              </w:rPr>
            </w:pPr>
          </w:p>
        </w:tc>
        <w:tc>
          <w:tcPr>
            <w:tcW w:w="1382" w:type="pct"/>
            <w:vMerge w:val="continue"/>
            <w:tcBorders>
              <w:tl2br w:val="nil"/>
              <w:tr2bl w:val="nil"/>
            </w:tcBorders>
            <w:vAlign w:val="center"/>
          </w:tcPr>
          <w:p>
            <w:pPr>
              <w:pStyle w:val="41"/>
              <w:bidi w:val="0"/>
              <w:rPr>
                <w:rFonts w:hint="eastAsia"/>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pPr>
              <w:pStyle w:val="41"/>
              <w:bidi w:val="0"/>
              <w:rPr>
                <w:rFonts w:hint="eastAsia"/>
                <w:color w:val="auto"/>
                <w:highlight w:val="none"/>
              </w:rPr>
            </w:pPr>
          </w:p>
        </w:tc>
        <w:tc>
          <w:tcPr>
            <w:tcW w:w="297" w:type="pct"/>
            <w:tcBorders>
              <w:tl2br w:val="nil"/>
              <w:tr2bl w:val="nil"/>
            </w:tcBorders>
            <w:shd w:val="clear" w:color="auto" w:fill="auto"/>
            <w:vAlign w:val="center"/>
          </w:tcPr>
          <w:p>
            <w:pPr>
              <w:pStyle w:val="41"/>
              <w:bidi w:val="0"/>
              <w:rPr>
                <w:rFonts w:hint="eastAsia"/>
                <w:color w:val="auto"/>
                <w:highlight w:val="none"/>
              </w:rPr>
            </w:pPr>
            <w:r>
              <w:rPr>
                <w:rFonts w:hint="eastAsia"/>
                <w:color w:val="auto"/>
                <w:highlight w:val="none"/>
              </w:rPr>
              <w:t>T</w:t>
            </w:r>
            <w:r>
              <w:rPr>
                <w:rFonts w:hint="eastAsia"/>
                <w:color w:val="auto"/>
                <w:highlight w:val="none"/>
                <w:lang w:val="en-US" w:eastAsia="zh-CN"/>
              </w:rPr>
              <w:t>15</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rFonts w:hint="eastAsia"/>
                <w:color w:val="auto"/>
                <w:highlight w:val="none"/>
              </w:rPr>
            </w:pPr>
          </w:p>
        </w:tc>
        <w:tc>
          <w:tcPr>
            <w:tcW w:w="294" w:type="pct"/>
            <w:vMerge w:val="continue"/>
            <w:tcBorders>
              <w:tl2br w:val="nil"/>
              <w:tr2bl w:val="nil"/>
            </w:tcBorders>
            <w:vAlign w:val="center"/>
          </w:tcPr>
          <w:p>
            <w:pPr>
              <w:pStyle w:val="41"/>
              <w:bidi w:val="0"/>
              <w:rPr>
                <w:rFonts w:hint="eastAsia"/>
                <w:color w:val="auto"/>
                <w:highlight w:val="none"/>
              </w:rPr>
            </w:pPr>
          </w:p>
        </w:tc>
        <w:tc>
          <w:tcPr>
            <w:tcW w:w="505" w:type="pct"/>
            <w:vMerge w:val="continue"/>
            <w:tcBorders>
              <w:tl2br w:val="nil"/>
              <w:tr2bl w:val="nil"/>
            </w:tcBorders>
            <w:vAlign w:val="center"/>
          </w:tcPr>
          <w:p>
            <w:pPr>
              <w:pStyle w:val="41"/>
              <w:bidi w:val="0"/>
              <w:rPr>
                <w:rFonts w:hint="eastAsia"/>
                <w:color w:val="auto"/>
                <w:highlight w:val="none"/>
              </w:rPr>
            </w:pPr>
          </w:p>
        </w:tc>
        <w:tc>
          <w:tcPr>
            <w:tcW w:w="1382" w:type="pct"/>
            <w:vMerge w:val="continue"/>
            <w:tcBorders>
              <w:tl2br w:val="nil"/>
              <w:tr2bl w:val="nil"/>
            </w:tcBorders>
            <w:vAlign w:val="center"/>
          </w:tcPr>
          <w:p>
            <w:pPr>
              <w:pStyle w:val="41"/>
              <w:bidi w:val="0"/>
              <w:rPr>
                <w:rFonts w:hint="eastAsia"/>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05" w:type="pct"/>
            <w:vMerge w:val="continue"/>
            <w:tcBorders>
              <w:tl2br w:val="nil"/>
              <w:tr2bl w:val="nil"/>
            </w:tcBorders>
            <w:shd w:val="clear" w:color="auto" w:fill="auto"/>
            <w:vAlign w:val="center"/>
          </w:tcPr>
          <w:p>
            <w:pPr>
              <w:pStyle w:val="41"/>
              <w:bidi w:val="0"/>
              <w:rPr>
                <w:rFonts w:hint="eastAsia"/>
                <w:color w:val="auto"/>
                <w:highlight w:val="none"/>
              </w:rPr>
            </w:pPr>
          </w:p>
        </w:tc>
        <w:tc>
          <w:tcPr>
            <w:tcW w:w="179" w:type="pct"/>
            <w:vMerge w:val="continue"/>
            <w:tcBorders>
              <w:tl2br w:val="nil"/>
              <w:tr2bl w:val="nil"/>
            </w:tcBorders>
            <w:shd w:val="clear" w:color="auto" w:fill="auto"/>
            <w:vAlign w:val="center"/>
          </w:tcPr>
          <w:p>
            <w:pPr>
              <w:pStyle w:val="41"/>
              <w:bidi w:val="0"/>
              <w:rPr>
                <w:rFonts w:hint="eastAsia"/>
                <w:color w:val="auto"/>
                <w:highlight w:val="none"/>
              </w:rPr>
            </w:pPr>
          </w:p>
        </w:tc>
        <w:tc>
          <w:tcPr>
            <w:tcW w:w="297" w:type="pct"/>
            <w:tcBorders>
              <w:tl2br w:val="nil"/>
              <w:tr2bl w:val="nil"/>
            </w:tcBorders>
            <w:shd w:val="clear" w:color="auto" w:fill="auto"/>
            <w:vAlign w:val="center"/>
          </w:tcPr>
          <w:p>
            <w:pPr>
              <w:pStyle w:val="41"/>
              <w:bidi w:val="0"/>
              <w:rPr>
                <w:rFonts w:hint="eastAsia"/>
                <w:color w:val="auto"/>
                <w:highlight w:val="none"/>
              </w:rPr>
            </w:pPr>
            <w:r>
              <w:rPr>
                <w:rFonts w:hint="eastAsia"/>
                <w:color w:val="auto"/>
                <w:highlight w:val="none"/>
              </w:rPr>
              <w:t>T</w:t>
            </w:r>
            <w:r>
              <w:rPr>
                <w:rFonts w:hint="eastAsia"/>
                <w:color w:val="auto"/>
                <w:highlight w:val="none"/>
                <w:lang w:val="en-US" w:eastAsia="zh-CN"/>
              </w:rPr>
              <w:t>16</w:t>
            </w:r>
          </w:p>
        </w:tc>
        <w:tc>
          <w:tcPr>
            <w:tcW w:w="1764" w:type="pct"/>
            <w:tcBorders>
              <w:tl2br w:val="nil"/>
              <w:tr2bl w:val="nil"/>
            </w:tcBorders>
            <w:shd w:val="clear" w:color="auto" w:fill="auto"/>
            <w:vAlign w:val="center"/>
          </w:tcPr>
          <w:p>
            <w:pPr>
              <w:pStyle w:val="41"/>
              <w:bidi w:val="0"/>
              <w:rPr>
                <w:rFonts w:hint="eastAsia" w:ascii="Times New Roman" w:hAnsi="Times New Roman" w:eastAsia="宋体" w:cs="Times New Roman"/>
                <w:color w:val="auto"/>
                <w:highlight w:val="none"/>
                <w:lang w:val="en-US" w:eastAsia="zh-CN"/>
              </w:rPr>
            </w:pPr>
          </w:p>
        </w:tc>
        <w:tc>
          <w:tcPr>
            <w:tcW w:w="370" w:type="pct"/>
            <w:vMerge w:val="continue"/>
            <w:tcBorders>
              <w:tl2br w:val="nil"/>
              <w:tr2bl w:val="nil"/>
            </w:tcBorders>
            <w:vAlign w:val="center"/>
          </w:tcPr>
          <w:p>
            <w:pPr>
              <w:pStyle w:val="41"/>
              <w:bidi w:val="0"/>
              <w:rPr>
                <w:rFonts w:hint="eastAsia"/>
                <w:color w:val="auto"/>
                <w:highlight w:val="none"/>
              </w:rPr>
            </w:pPr>
          </w:p>
        </w:tc>
        <w:tc>
          <w:tcPr>
            <w:tcW w:w="294" w:type="pct"/>
            <w:vMerge w:val="continue"/>
            <w:tcBorders>
              <w:tl2br w:val="nil"/>
              <w:tr2bl w:val="nil"/>
            </w:tcBorders>
            <w:vAlign w:val="center"/>
          </w:tcPr>
          <w:p>
            <w:pPr>
              <w:pStyle w:val="41"/>
              <w:bidi w:val="0"/>
              <w:rPr>
                <w:rFonts w:hint="eastAsia"/>
                <w:color w:val="auto"/>
                <w:highlight w:val="none"/>
              </w:rPr>
            </w:pPr>
          </w:p>
        </w:tc>
        <w:tc>
          <w:tcPr>
            <w:tcW w:w="505" w:type="pct"/>
            <w:vMerge w:val="continue"/>
            <w:tcBorders>
              <w:tl2br w:val="nil"/>
              <w:tr2bl w:val="nil"/>
            </w:tcBorders>
            <w:vAlign w:val="center"/>
          </w:tcPr>
          <w:p>
            <w:pPr>
              <w:pStyle w:val="41"/>
              <w:bidi w:val="0"/>
              <w:rPr>
                <w:rFonts w:hint="eastAsia"/>
                <w:color w:val="auto"/>
                <w:highlight w:val="none"/>
              </w:rPr>
            </w:pPr>
          </w:p>
        </w:tc>
        <w:tc>
          <w:tcPr>
            <w:tcW w:w="1382" w:type="pct"/>
            <w:vMerge w:val="continue"/>
            <w:tcBorders>
              <w:tl2br w:val="nil"/>
              <w:tr2bl w:val="nil"/>
            </w:tcBorders>
            <w:vAlign w:val="center"/>
          </w:tcPr>
          <w:p>
            <w:pPr>
              <w:pStyle w:val="41"/>
              <w:bidi w:val="0"/>
              <w:rPr>
                <w:rFonts w:hint="eastAsia"/>
                <w:color w:val="auto"/>
                <w:highlight w:val="none"/>
              </w:rPr>
            </w:pPr>
          </w:p>
        </w:tc>
      </w:tr>
      <w:bookmarkEnd w:id="549"/>
    </w:tbl>
    <w:p>
      <w:pPr>
        <w:pStyle w:val="54"/>
        <w:spacing w:line="240" w:lineRule="auto"/>
        <w:ind w:firstLine="0" w:firstLineChars="0"/>
        <w:jc w:val="both"/>
        <w:rPr>
          <w:rFonts w:hint="eastAsia"/>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"_Toc23969" </w:instrText>
      </w:r>
      <w:r>
        <w:rPr>
          <w:color w:val="auto"/>
          <w:highlight w:val="none"/>
        </w:rPr>
        <w:fldChar w:fldCharType="separate"/>
      </w:r>
      <w:r>
        <w:rPr>
          <w:rFonts w:hint="eastAsia"/>
          <w:color w:val="auto"/>
          <w:highlight w:val="none"/>
        </w:rPr>
        <w:t>4.5.4 土壤环境现状评价</w:t>
      </w:r>
      <w:r>
        <w:rPr>
          <w:rFonts w:hint="eastAsia"/>
          <w:color w:val="auto"/>
          <w:highlight w:val="none"/>
        </w:rPr>
        <w:fldChar w:fldCharType="end"/>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（1）</w:t>
      </w:r>
      <w:r>
        <w:rPr>
          <w:color w:val="auto"/>
          <w:highlight w:val="none"/>
        </w:rPr>
        <w:t>评价标准</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油田内</w:t>
      </w:r>
      <w:r>
        <w:rPr>
          <w:rFonts w:hint="eastAsia"/>
          <w:color w:val="auto"/>
          <w:highlight w:val="none"/>
        </w:rPr>
        <w:t>地面工程、</w:t>
      </w:r>
      <w:r>
        <w:rPr>
          <w:color w:val="auto"/>
          <w:highlight w:val="none"/>
        </w:rPr>
        <w:t>井场</w:t>
      </w:r>
      <w:r>
        <w:rPr>
          <w:rFonts w:hint="eastAsia"/>
          <w:color w:val="auto"/>
          <w:highlight w:val="none"/>
        </w:rPr>
        <w:t>、站场</w:t>
      </w:r>
      <w:r>
        <w:rPr>
          <w:color w:val="auto"/>
          <w:highlight w:val="none"/>
        </w:rPr>
        <w:t>等建设用地</w:t>
      </w:r>
      <w:r>
        <w:rPr>
          <w:rFonts w:hint="eastAsia"/>
          <w:color w:val="auto"/>
          <w:highlight w:val="none"/>
        </w:rPr>
        <w:t>为第二类用地</w:t>
      </w:r>
      <w:r>
        <w:rPr>
          <w:rFonts w:hint="eastAsia"/>
          <w:color w:val="auto"/>
          <w:highlight w:val="none"/>
          <w:lang w:eastAsia="zh-CN"/>
        </w:rPr>
        <w:t>，在</w:t>
      </w:r>
      <w:r>
        <w:rPr>
          <w:color w:val="auto"/>
          <w:highlight w:val="none"/>
        </w:rPr>
        <w:t>占地范围内执行《土壤环境质量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第二类用地风险筛选值标准。</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占地范围外其他草地、</w:t>
      </w:r>
      <w:r>
        <w:rPr>
          <w:rFonts w:hint="eastAsia"/>
          <w:color w:val="auto"/>
          <w:highlight w:val="none"/>
          <w:lang w:val="en-US" w:eastAsia="zh-CN"/>
        </w:rPr>
        <w:t>灌木林地</w:t>
      </w:r>
      <w:r>
        <w:rPr>
          <w:rFonts w:hint="eastAsia"/>
          <w:color w:val="auto"/>
          <w:highlight w:val="none"/>
        </w:rPr>
        <w:t>执行《土壤环境质量</w:t>
      </w:r>
      <w:r>
        <w:rPr>
          <w:color w:val="auto"/>
          <w:highlight w:val="none"/>
        </w:rPr>
        <w:t xml:space="preserve"> 农用地土壤污染风险管控标准（试行）》（GB15618-2018）表1筛选值</w:t>
      </w:r>
      <w:r>
        <w:rPr>
          <w:rFonts w:hint="eastAsia"/>
          <w:color w:val="auto"/>
          <w:highlight w:val="none"/>
        </w:rPr>
        <w:t>标准，根据监测结果，在监测期间，本工程区域土壤p</w:t>
      </w:r>
      <w:r>
        <w:rPr>
          <w:color w:val="auto"/>
          <w:highlight w:val="none"/>
        </w:rPr>
        <w:t>H</w:t>
      </w:r>
      <w:r>
        <w:rPr>
          <w:rFonts w:hint="eastAsia"/>
          <w:color w:val="auto"/>
          <w:highlight w:val="none"/>
        </w:rPr>
        <w:t>＞7</w:t>
      </w:r>
      <w:r>
        <w:rPr>
          <w:rFonts w:hint="eastAsia"/>
          <w:color w:val="auto"/>
          <w:highlight w:val="none"/>
          <w:lang w:val="en-US" w:eastAsia="zh-CN"/>
        </w:rPr>
        <w:t>.5</w:t>
      </w:r>
      <w:r>
        <w:rPr>
          <w:rFonts w:hint="eastAsia"/>
          <w:color w:val="auto"/>
          <w:highlight w:val="none"/>
        </w:rPr>
        <w:t>，因此占地范围外土壤执行《土壤环境质量</w:t>
      </w:r>
      <w:r>
        <w:rPr>
          <w:color w:val="auto"/>
          <w:highlight w:val="none"/>
        </w:rPr>
        <w:t xml:space="preserve"> 农用地土壤污染风险管控标准（试行）》（GB15618-2018）表1</w:t>
      </w:r>
      <w:r>
        <w:rPr>
          <w:rFonts w:hint="eastAsia"/>
          <w:color w:val="auto"/>
          <w:highlight w:val="none"/>
        </w:rPr>
        <w:t>中</w:t>
      </w:r>
      <w:r>
        <w:rPr>
          <w:color w:val="auto"/>
          <w:highlight w:val="none"/>
        </w:rPr>
        <w:t>所列筛选值</w:t>
      </w:r>
      <w:r>
        <w:rPr>
          <w:rFonts w:hint="eastAsia"/>
          <w:color w:val="auto"/>
          <w:highlight w:val="none"/>
        </w:rPr>
        <w:t>标准。石油烃执行</w:t>
      </w:r>
      <w:r>
        <w:rPr>
          <w:color w:val="auto"/>
          <w:highlight w:val="none"/>
        </w:rPr>
        <w:t>《土壤环境质量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表2</w:t>
      </w:r>
      <w:r>
        <w:rPr>
          <w:rFonts w:hint="eastAsia"/>
          <w:color w:val="auto"/>
          <w:highlight w:val="none"/>
        </w:rPr>
        <w:t>第二类用地</w:t>
      </w:r>
      <w:r>
        <w:rPr>
          <w:color w:val="auto"/>
          <w:highlight w:val="none"/>
        </w:rPr>
        <w:t>筛选值标准</w:t>
      </w:r>
      <w:r>
        <w:rPr>
          <w:rFonts w:hint="eastAsia"/>
          <w:color w:val="auto"/>
          <w:highlight w:val="none"/>
        </w:rPr>
        <w:t>。</w:t>
      </w:r>
    </w:p>
    <w:p>
      <w:pPr>
        <w:pStyle w:val="57"/>
        <w:pageBreakBefore w:val="0"/>
        <w:kinsoku/>
        <w:wordWrap/>
        <w:overflowPunct/>
        <w:topLinePunct w:val="0"/>
        <w:autoSpaceDE/>
        <w:autoSpaceDN/>
        <w:bidi w:val="0"/>
        <w:spacing w:line="480" w:lineRule="exact"/>
        <w:rPr>
          <w:color w:val="auto"/>
          <w:highlight w:val="none"/>
        </w:rPr>
      </w:pPr>
      <w:r>
        <w:rPr>
          <w:rFonts w:hint="eastAsia" w:ascii="宋体" w:hAnsi="宋体" w:cs="宋体"/>
          <w:color w:val="auto"/>
          <w:highlight w:val="none"/>
        </w:rPr>
        <w:t>（2）</w:t>
      </w:r>
      <w:r>
        <w:rPr>
          <w:color w:val="auto"/>
          <w:highlight w:val="none"/>
        </w:rPr>
        <w:t>评价方法</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对污染物的评价，采用标准指数法。</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（3）评价结果</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土壤</w:t>
      </w:r>
      <w:r>
        <w:rPr>
          <w:color w:val="auto"/>
          <w:highlight w:val="none"/>
        </w:rPr>
        <w:t>评价结果见表4.</w:t>
      </w:r>
      <w:r>
        <w:rPr>
          <w:rFonts w:hint="eastAsia"/>
          <w:color w:val="auto"/>
          <w:highlight w:val="none"/>
        </w:rPr>
        <w:t>5-3</w:t>
      </w:r>
      <w:r>
        <w:rPr>
          <w:rFonts w:hint="eastAsia"/>
          <w:color w:val="auto"/>
          <w:highlight w:val="none"/>
          <w:lang w:eastAsia="zh-CN"/>
        </w:rPr>
        <w:t>～</w:t>
      </w:r>
      <w:r>
        <w:rPr>
          <w:color w:val="auto"/>
          <w:highlight w:val="none"/>
        </w:rPr>
        <w:t>表4.</w:t>
      </w:r>
      <w:r>
        <w:rPr>
          <w:rFonts w:hint="eastAsia"/>
          <w:color w:val="auto"/>
          <w:highlight w:val="none"/>
        </w:rPr>
        <w:t>5-</w:t>
      </w:r>
      <w:r>
        <w:rPr>
          <w:rFonts w:hint="eastAsia"/>
          <w:color w:val="auto"/>
          <w:highlight w:val="none"/>
          <w:lang w:val="en-US" w:eastAsia="zh-CN"/>
        </w:rPr>
        <w:t>5</w:t>
      </w:r>
      <w:r>
        <w:rPr>
          <w:color w:val="auto"/>
          <w:highlight w:val="none"/>
        </w:rPr>
        <w:t>。</w:t>
      </w:r>
    </w:p>
    <w:p>
      <w:pPr>
        <w:pStyle w:val="54"/>
        <w:pageBreakBefore w:val="0"/>
        <w:kinsoku/>
        <w:wordWrap/>
        <w:overflowPunct/>
        <w:topLinePunct w:val="0"/>
        <w:autoSpaceDE/>
        <w:autoSpaceDN/>
        <w:bidi w:val="0"/>
        <w:spacing w:line="480" w:lineRule="exact"/>
        <w:ind w:firstLine="482"/>
        <w:rPr>
          <w:color w:val="auto"/>
          <w:highlight w:val="none"/>
        </w:rPr>
      </w:pPr>
      <w:bookmarkStart w:id="553" w:name="_Toc23045"/>
      <w:r>
        <w:rPr>
          <w:rFonts w:hint="eastAsia"/>
          <w:color w:val="auto"/>
          <w:highlight w:val="none"/>
        </w:rPr>
        <w:t>表4.5-3  占地范围内表层样土壤环境质量评价</w:t>
      </w:r>
      <w:bookmarkEnd w:id="553"/>
    </w:p>
    <w:tbl>
      <w:tblPr>
        <w:tblStyle w:val="34"/>
        <w:tblW w:w="5041"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7"/>
        <w:gridCol w:w="1812"/>
        <w:gridCol w:w="775"/>
        <w:gridCol w:w="973"/>
        <w:gridCol w:w="975"/>
        <w:gridCol w:w="827"/>
        <w:gridCol w:w="686"/>
        <w:gridCol w:w="925"/>
        <w:gridCol w:w="850"/>
        <w:gridCol w:w="63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9" w:type="pct"/>
            <w:gridSpan w:val="4"/>
            <w:tcBorders>
              <w:tl2br w:val="nil"/>
              <w:tr2bl w:val="nil"/>
            </w:tcBorders>
            <w:shd w:val="clear" w:color="auto" w:fill="auto"/>
            <w:noWrap/>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监测点位</w:t>
            </w:r>
          </w:p>
        </w:tc>
        <w:tc>
          <w:tcPr>
            <w:tcW w:w="1396" w:type="pct"/>
            <w:gridSpan w:val="3"/>
            <w:tcBorders>
              <w:tl2br w:val="nil"/>
              <w:tr2bl w:val="nil"/>
            </w:tcBorders>
            <w:shd w:val="clear" w:color="auto" w:fill="auto"/>
            <w:noWrap/>
            <w:vAlign w:val="center"/>
          </w:tcPr>
          <w:p>
            <w:pPr>
              <w:pStyle w:val="41"/>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拟建</w:t>
            </w:r>
            <w:r>
              <w:rPr>
                <w:rFonts w:hint="eastAsia" w:cs="Times New Roman"/>
                <w:color w:val="auto"/>
                <w:sz w:val="21"/>
                <w:szCs w:val="21"/>
                <w:highlight w:val="none"/>
                <w:lang w:val="en-US" w:eastAsia="zh-CN"/>
              </w:rPr>
              <w:t>FTYHW1011</w:t>
            </w:r>
            <w:r>
              <w:rPr>
                <w:rFonts w:hint="default" w:ascii="Times New Roman" w:hAnsi="Times New Roman" w:eastAsia="宋体" w:cs="Times New Roman"/>
                <w:color w:val="auto"/>
                <w:sz w:val="21"/>
                <w:szCs w:val="21"/>
                <w:highlight w:val="none"/>
                <w:lang w:val="en-US" w:eastAsia="zh-CN"/>
              </w:rPr>
              <w:t>井场</w:t>
            </w:r>
          </w:p>
        </w:tc>
        <w:tc>
          <w:tcPr>
            <w:tcW w:w="1353" w:type="pct"/>
            <w:gridSpan w:val="3"/>
            <w:tcBorders>
              <w:tl2br w:val="nil"/>
              <w:tr2bl w:val="nil"/>
            </w:tcBorders>
            <w:shd w:val="clear" w:color="auto" w:fill="auto"/>
            <w:noWrap/>
            <w:vAlign w:val="center"/>
          </w:tcPr>
          <w:p>
            <w:pPr>
              <w:pStyle w:val="41"/>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乌33转油站站场</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249" w:type="pct"/>
            <w:gridSpan w:val="4"/>
            <w:tcBorders>
              <w:tl2br w:val="nil"/>
              <w:tr2bl w:val="nil"/>
            </w:tcBorders>
            <w:shd w:val="clear" w:color="auto" w:fill="auto"/>
            <w:noWrap/>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采样深度</w:t>
            </w:r>
          </w:p>
        </w:tc>
        <w:tc>
          <w:tcPr>
            <w:tcW w:w="1396" w:type="pct"/>
            <w:gridSpan w:val="3"/>
            <w:tcBorders>
              <w:tl2br w:val="nil"/>
              <w:tr2bl w:val="nil"/>
            </w:tcBorders>
            <w:shd w:val="clear" w:color="auto" w:fill="auto"/>
            <w:noWrap/>
            <w:vAlign w:val="center"/>
          </w:tcPr>
          <w:p>
            <w:pPr>
              <w:pStyle w:val="41"/>
              <w:bidi w:val="0"/>
              <w:jc w:val="center"/>
              <w:rPr>
                <w:rFonts w:hint="default" w:ascii="Times New Roman" w:hAnsi="Times New Roman" w:eastAsia="宋体" w:cs="Times New Roman"/>
                <w:color w:val="auto"/>
                <w:sz w:val="21"/>
                <w:szCs w:val="21"/>
                <w:highlight w:val="none"/>
              </w:rPr>
            </w:pPr>
            <w:bookmarkStart w:id="554" w:name="OLE_LINK62"/>
            <w:r>
              <w:rPr>
                <w:rFonts w:hint="default" w:ascii="Times New Roman" w:hAnsi="Times New Roman" w:eastAsia="宋体" w:cs="Times New Roman"/>
                <w:color w:val="auto"/>
                <w:sz w:val="21"/>
                <w:szCs w:val="21"/>
                <w:highlight w:val="none"/>
              </w:rPr>
              <w:t>0-20cm</w:t>
            </w:r>
            <w:bookmarkEnd w:id="554"/>
          </w:p>
        </w:tc>
        <w:tc>
          <w:tcPr>
            <w:tcW w:w="1353" w:type="pct"/>
            <w:gridSpan w:val="3"/>
            <w:tcBorders>
              <w:tl2br w:val="nil"/>
              <w:tr2bl w:val="nil"/>
            </w:tcBorders>
            <w:shd w:val="clear" w:color="auto" w:fill="auto"/>
            <w:noWrap/>
            <w:vAlign w:val="center"/>
          </w:tcPr>
          <w:p>
            <w:pPr>
              <w:pStyle w:val="41"/>
              <w:bidi w:val="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0-20cm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bookmarkStart w:id="555" w:name="OLE_LINK61" w:colFirst="4" w:colLast="6"/>
            <w:r>
              <w:rPr>
                <w:rFonts w:hint="default" w:ascii="Times New Roman" w:hAnsi="Times New Roman" w:cs="Times New Roman"/>
                <w:color w:val="auto"/>
                <w:sz w:val="21"/>
                <w:szCs w:val="21"/>
                <w:highlight w:val="none"/>
              </w:rPr>
              <w:t>序号</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检测项目</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单位</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筛选值（第二类用地）</w:t>
            </w:r>
          </w:p>
        </w:tc>
        <w:tc>
          <w:tcPr>
            <w:tcW w:w="54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监测数据</w:t>
            </w:r>
          </w:p>
        </w:tc>
        <w:tc>
          <w:tcPr>
            <w:tcW w:w="464"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Pi</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c>
          <w:tcPr>
            <w:tcW w:w="519" w:type="pct"/>
            <w:tcBorders>
              <w:tl2br w:val="nil"/>
              <w:tr2bl w:val="nil"/>
            </w:tcBorders>
            <w:shd w:val="clear" w:color="auto" w:fill="auto"/>
            <w:vAlign w:val="center"/>
          </w:tcPr>
          <w:p>
            <w:pPr>
              <w:pStyle w:val="41"/>
              <w:bidi w:val="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监测数据</w:t>
            </w:r>
          </w:p>
        </w:tc>
        <w:tc>
          <w:tcPr>
            <w:tcW w:w="477" w:type="pct"/>
            <w:tcBorders>
              <w:tl2br w:val="nil"/>
              <w:tr2bl w:val="nil"/>
            </w:tcBorders>
            <w:shd w:val="clear" w:color="auto" w:fill="auto"/>
            <w:vAlign w:val="center"/>
          </w:tcPr>
          <w:p>
            <w:pPr>
              <w:pStyle w:val="41"/>
              <w:bidi w:val="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Pi</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达标情况</w:t>
            </w:r>
          </w:p>
        </w:tc>
      </w:tr>
      <w:bookmarkEnd w:id="555"/>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pH</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4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7.77</w:t>
            </w:r>
          </w:p>
        </w:tc>
        <w:tc>
          <w:tcPr>
            <w:tcW w:w="464" w:type="pct"/>
            <w:tcBorders>
              <w:tl2br w:val="nil"/>
              <w:tr2bl w:val="nil"/>
            </w:tcBorders>
            <w:shd w:val="clear" w:color="auto" w:fill="auto"/>
            <w:vAlign w:val="center"/>
          </w:tcPr>
          <w:p>
            <w:pPr>
              <w:pStyle w:val="4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w:t>
            </w:r>
          </w:p>
        </w:tc>
        <w:tc>
          <w:tcPr>
            <w:tcW w:w="519"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7.83</w:t>
            </w:r>
          </w:p>
        </w:tc>
        <w:tc>
          <w:tcPr>
            <w:tcW w:w="477" w:type="pct"/>
            <w:tcBorders>
              <w:tl2br w:val="nil"/>
              <w:tr2bl w:val="nil"/>
            </w:tcBorders>
            <w:shd w:val="clear" w:color="auto" w:fill="auto"/>
            <w:vAlign w:val="center"/>
          </w:tcPr>
          <w:p>
            <w:pPr>
              <w:pStyle w:val="4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60</w:t>
            </w:r>
          </w:p>
        </w:tc>
        <w:tc>
          <w:tcPr>
            <w:tcW w:w="547"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3.37</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0.0562</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3.35</w:t>
            </w:r>
          </w:p>
        </w:tc>
        <w:tc>
          <w:tcPr>
            <w:tcW w:w="4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0.0558</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镉</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65</w:t>
            </w:r>
          </w:p>
        </w:tc>
        <w:tc>
          <w:tcPr>
            <w:tcW w:w="547"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0.03</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0.03</w:t>
            </w:r>
          </w:p>
        </w:tc>
        <w:tc>
          <w:tcPr>
            <w:tcW w:w="4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0.0005</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六价铬</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5.7</w:t>
            </w:r>
          </w:p>
        </w:tc>
        <w:tc>
          <w:tcPr>
            <w:tcW w:w="547"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铜</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18000</w:t>
            </w:r>
          </w:p>
        </w:tc>
        <w:tc>
          <w:tcPr>
            <w:tcW w:w="547"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26</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0.0014</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37</w:t>
            </w:r>
          </w:p>
        </w:tc>
        <w:tc>
          <w:tcPr>
            <w:tcW w:w="4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0.0021</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铅</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800</w:t>
            </w:r>
          </w:p>
        </w:tc>
        <w:tc>
          <w:tcPr>
            <w:tcW w:w="547"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1.7</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0.0021</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2.0</w:t>
            </w:r>
          </w:p>
        </w:tc>
        <w:tc>
          <w:tcPr>
            <w:tcW w:w="4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0.0025</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总汞</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w:t>
            </w:r>
          </w:p>
        </w:tc>
        <w:tc>
          <w:tcPr>
            <w:tcW w:w="547"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0.109</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0.0029</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0.117</w:t>
            </w:r>
          </w:p>
        </w:tc>
        <w:tc>
          <w:tcPr>
            <w:tcW w:w="4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0.0031</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镍</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900</w:t>
            </w:r>
          </w:p>
        </w:tc>
        <w:tc>
          <w:tcPr>
            <w:tcW w:w="547"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8</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0.0089</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10</w:t>
            </w:r>
          </w:p>
        </w:tc>
        <w:tc>
          <w:tcPr>
            <w:tcW w:w="4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0.0111</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四氯化碳</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547"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氯仿</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0.9</w:t>
            </w:r>
          </w:p>
        </w:tc>
        <w:tc>
          <w:tcPr>
            <w:tcW w:w="547"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6.4×10</w:t>
            </w:r>
            <w:r>
              <w:rPr>
                <w:rFonts w:hint="default" w:ascii="Times New Roman" w:hAnsi="Times New Roman" w:cs="Times New Roman"/>
                <w:b/>
                <w:bCs/>
                <w:color w:val="auto"/>
                <w:sz w:val="21"/>
                <w:szCs w:val="21"/>
                <w:vertAlign w:val="superscript"/>
                <w:lang w:val="en-US" w:eastAsia="zh-CN"/>
              </w:rPr>
              <w:t>-3</w:t>
            </w:r>
          </w:p>
        </w:tc>
        <w:tc>
          <w:tcPr>
            <w:tcW w:w="46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0.0071</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4.9×10</w:t>
            </w:r>
            <w:r>
              <w:rPr>
                <w:rFonts w:hint="default" w:ascii="Times New Roman" w:hAnsi="Times New Roman" w:cs="Times New Roman"/>
                <w:b/>
                <w:bCs/>
                <w:color w:val="auto"/>
                <w:sz w:val="21"/>
                <w:szCs w:val="21"/>
                <w:vertAlign w:val="superscript"/>
                <w:lang w:val="en-US" w:eastAsia="zh-CN"/>
              </w:rPr>
              <w:t>-3</w:t>
            </w:r>
          </w:p>
        </w:tc>
        <w:tc>
          <w:tcPr>
            <w:tcW w:w="47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cs="Times New Roman"/>
                <w:color w:val="auto"/>
                <w:sz w:val="21"/>
                <w:szCs w:val="21"/>
                <w:highlight w:val="none"/>
              </w:rPr>
            </w:pPr>
            <w:r>
              <w:rPr>
                <w:rFonts w:hint="default" w:ascii="Times New Roman" w:hAnsi="Times New Roman" w:eastAsia="宋体" w:cs="Times New Roman"/>
                <w:i w:val="0"/>
                <w:iCs w:val="0"/>
                <w:color w:val="auto"/>
                <w:kern w:val="0"/>
                <w:sz w:val="21"/>
                <w:szCs w:val="21"/>
                <w:u w:val="none"/>
                <w:lang w:val="en-US" w:eastAsia="zh-CN" w:bidi="ar"/>
              </w:rPr>
              <w:t>0.0054</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氯甲烷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9</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13</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1,2-二氯乙烷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1,1-二氯乙烯</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66</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顺式-1,2-二氯乙烯</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596</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16</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反式-1,2-二氯乙烯</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54</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17</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二氯甲烷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616</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18</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1,2-二氯丙烷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19</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1,1,1,2-四氯乙烷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1,1,2,2-四氯乙烷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6.8</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21</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四氯乙烯</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53</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1,1,1-三氯乙烷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840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23</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1,1,2-三氯乙烷</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24</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三氯乙烯</w:t>
            </w:r>
          </w:p>
        </w:tc>
        <w:tc>
          <w:tcPr>
            <w:tcW w:w="435" w:type="pct"/>
            <w:tcBorders>
              <w:tl2br w:val="nil"/>
              <w:tr2bl w:val="nil"/>
            </w:tcBorders>
            <w:shd w:val="clear" w:color="auto" w:fill="FFFFFF"/>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25</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1,2,3-三氯丙烷</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0.5</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氯乙烯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0.43</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氯苯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270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29</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1,2-二氯苯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560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30</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1,4-二氯苯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31</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乙苯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28</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32</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苯乙烯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1290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33</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甲苯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1200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34</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间/对二甲苯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570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35</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邻二甲苯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640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36</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硝基苯</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76</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37</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苯胺</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260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38</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2-氯酚</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2256</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39</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蒽</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40</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芘</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41</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b</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荧蒽</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42</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k</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荧蒽</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151</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43</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䓛</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1293</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44</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二苯并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a,h</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蒽</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茚并</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1,2,3-cd</w:t>
            </w:r>
            <w:r>
              <w:rPr>
                <w:rFonts w:hint="default" w:ascii="Times New Roman" w:hAnsi="Times New Roman" w:cs="Times New Roman"/>
                <w:color w:val="auto"/>
                <w:sz w:val="21"/>
                <w:szCs w:val="21"/>
                <w:highlight w:val="none"/>
                <w:lang w:eastAsia="zh-CN"/>
              </w:rPr>
              <w:t>〕</w:t>
            </w:r>
            <w:r>
              <w:rPr>
                <w:rFonts w:hint="default" w:ascii="Times New Roman" w:hAnsi="Times New Roman" w:cs="Times New Roman"/>
                <w:color w:val="auto"/>
                <w:sz w:val="21"/>
                <w:szCs w:val="21"/>
                <w:highlight w:val="none"/>
              </w:rPr>
              <w:t>芘</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15</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46</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萘</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70</w:t>
            </w:r>
          </w:p>
        </w:tc>
        <w:tc>
          <w:tcPr>
            <w:tcW w:w="54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64"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ND</w:t>
            </w:r>
          </w:p>
        </w:tc>
        <w:tc>
          <w:tcPr>
            <w:tcW w:w="477" w:type="pct"/>
            <w:tcBorders>
              <w:tl2br w:val="nil"/>
              <w:tr2bl w:val="nil"/>
            </w:tcBorders>
            <w:shd w:val="clear" w:color="auto" w:fill="auto"/>
            <w:vAlign w:val="center"/>
          </w:tcPr>
          <w:p>
            <w:pPr>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bookmarkStart w:id="556" w:name="OLE_LINK63" w:colFirst="6" w:colLast="9"/>
            <w:r>
              <w:rPr>
                <w:rFonts w:hint="default" w:ascii="Times New Roman" w:hAnsi="Times New Roman" w:cs="Times New Roman"/>
                <w:color w:val="auto"/>
                <w:sz w:val="21"/>
                <w:szCs w:val="21"/>
                <w:highlight w:val="none"/>
              </w:rPr>
              <w:t>47</w:t>
            </w:r>
          </w:p>
        </w:tc>
        <w:tc>
          <w:tcPr>
            <w:tcW w:w="101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石油烃</w:t>
            </w:r>
          </w:p>
        </w:tc>
        <w:tc>
          <w:tcPr>
            <w:tcW w:w="43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mg/kg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4500</w:t>
            </w:r>
          </w:p>
        </w:tc>
        <w:tc>
          <w:tcPr>
            <w:tcW w:w="54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25</w:t>
            </w:r>
          </w:p>
        </w:tc>
        <w:tc>
          <w:tcPr>
            <w:tcW w:w="464" w:type="pct"/>
            <w:tcBorders>
              <w:tl2br w:val="nil"/>
              <w:tr2bl w:val="nil"/>
            </w:tcBorders>
            <w:shd w:val="clear" w:color="auto" w:fill="auto"/>
            <w:vAlign w:val="center"/>
          </w:tcPr>
          <w:p>
            <w:pPr>
              <w:pStyle w:val="41"/>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0.0056</w:t>
            </w:r>
          </w:p>
        </w:tc>
        <w:tc>
          <w:tcPr>
            <w:tcW w:w="385"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lang w:val="en-US" w:eastAsia="zh-CN"/>
              </w:rPr>
              <w:t>56</w:t>
            </w:r>
          </w:p>
        </w:tc>
        <w:tc>
          <w:tcPr>
            <w:tcW w:w="477" w:type="pct"/>
            <w:tcBorders>
              <w:tl2br w:val="nil"/>
              <w:tr2bl w:val="nil"/>
            </w:tcBorders>
            <w:shd w:val="clear" w:color="auto" w:fill="auto"/>
            <w:vAlign w:val="center"/>
          </w:tcPr>
          <w:p>
            <w:pPr>
              <w:pStyle w:val="41"/>
              <w:bidi w:val="0"/>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0.0124</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bookmarkEnd w:id="556"/>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250" w:type="pct"/>
            <w:tcBorders>
              <w:tl2br w:val="nil"/>
              <w:tr2bl w:val="nil"/>
            </w:tcBorders>
            <w:shd w:val="clear" w:color="auto" w:fill="auto"/>
            <w:vAlign w:val="center"/>
          </w:tcPr>
          <w:p>
            <w:pPr>
              <w:pStyle w:val="4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48</w:t>
            </w:r>
          </w:p>
        </w:tc>
        <w:tc>
          <w:tcPr>
            <w:tcW w:w="1017" w:type="pct"/>
            <w:tcBorders>
              <w:tl2br w:val="nil"/>
              <w:tr2bl w:val="nil"/>
            </w:tcBorders>
            <w:shd w:val="clear" w:color="auto" w:fill="auto"/>
            <w:vAlign w:val="center"/>
          </w:tcPr>
          <w:p>
            <w:pPr>
              <w:pStyle w:val="77"/>
              <w:jc w:val="center"/>
              <w:rPr>
                <w:rFonts w:hint="default" w:ascii="Times New Roman" w:hAnsi="Times New Roman" w:eastAsia="宋体" w:cs="Times New Roman"/>
                <w:color w:val="auto"/>
                <w:kern w:val="2"/>
                <w:sz w:val="21"/>
                <w:szCs w:val="21"/>
                <w:highlight w:val="none"/>
                <w:lang w:val="en-US" w:eastAsia="zh-CN" w:bidi="ar"/>
              </w:rPr>
            </w:pPr>
            <w:r>
              <w:rPr>
                <w:rFonts w:hint="default" w:ascii="Times New Roman" w:hAnsi="Times New Roman" w:cs="Times New Roman"/>
                <w:color w:val="auto"/>
                <w:kern w:val="2"/>
                <w:sz w:val="21"/>
                <w:szCs w:val="21"/>
                <w:highlight w:val="none"/>
                <w:lang w:val="en-US" w:eastAsia="zh-CN" w:bidi="ar"/>
              </w:rPr>
              <w:t>全盐量</w:t>
            </w:r>
          </w:p>
        </w:tc>
        <w:tc>
          <w:tcPr>
            <w:tcW w:w="435" w:type="pct"/>
            <w:tcBorders>
              <w:tl2br w:val="nil"/>
              <w:tr2bl w:val="nil"/>
            </w:tcBorders>
            <w:shd w:val="clear" w:color="auto" w:fill="auto"/>
            <w:vAlign w:val="center"/>
          </w:tcPr>
          <w:p>
            <w:pPr>
              <w:pStyle w:val="77"/>
              <w:jc w:val="center"/>
              <w:rPr>
                <w:rFonts w:hint="default" w:ascii="Times New Roman" w:hAnsi="Times New Roman" w:eastAsia="宋体" w:cs="Times New Roman"/>
                <w:color w:val="auto"/>
                <w:kern w:val="0"/>
                <w:sz w:val="21"/>
                <w:szCs w:val="21"/>
                <w:highlight w:val="none"/>
                <w:lang w:val="en-US" w:eastAsia="zh-CN" w:bidi="ar"/>
              </w:rPr>
            </w:pPr>
            <w:r>
              <w:rPr>
                <w:rFonts w:hint="default" w:ascii="Times New Roman" w:hAnsi="Times New Roman" w:eastAsia="仿宋_GB2312" w:cs="Times New Roman"/>
                <w:color w:val="auto"/>
                <w:sz w:val="21"/>
                <w:szCs w:val="21"/>
                <w:highlight w:val="none"/>
                <w:lang w:val="en-US" w:eastAsia="zh-CN"/>
              </w:rPr>
              <w:t>g/kg</w:t>
            </w:r>
          </w:p>
        </w:tc>
        <w:tc>
          <w:tcPr>
            <w:tcW w:w="546" w:type="pct"/>
            <w:tcBorders>
              <w:tl2br w:val="nil"/>
              <w:tr2bl w:val="nil"/>
            </w:tcBorders>
            <w:shd w:val="clear" w:color="auto" w:fill="auto"/>
            <w:vAlign w:val="center"/>
          </w:tcPr>
          <w:p>
            <w:pPr>
              <w:pStyle w:val="41"/>
              <w:bidi w:val="0"/>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w:t>
            </w:r>
          </w:p>
        </w:tc>
        <w:tc>
          <w:tcPr>
            <w:tcW w:w="547"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lang w:val="en-US"/>
              </w:rPr>
            </w:pPr>
            <w:r>
              <w:rPr>
                <w:rFonts w:hint="eastAsia" w:cs="Times New Roman"/>
                <w:color w:val="auto"/>
                <w:sz w:val="21"/>
                <w:szCs w:val="21"/>
                <w:lang w:val="en-US" w:eastAsia="zh-CN"/>
              </w:rPr>
              <w:t>9.2</w:t>
            </w:r>
          </w:p>
        </w:tc>
        <w:tc>
          <w:tcPr>
            <w:tcW w:w="464" w:type="pct"/>
            <w:tcBorders>
              <w:tl2br w:val="nil"/>
              <w:tr2bl w:val="nil"/>
            </w:tcBorders>
            <w:shd w:val="clear" w:color="auto" w:fill="auto"/>
            <w:vAlign w:val="center"/>
          </w:tcPr>
          <w:p>
            <w:pPr>
              <w:pStyle w:val="41"/>
              <w:bidi w:val="0"/>
              <w:jc w:val="center"/>
              <w:rPr>
                <w:rFonts w:hint="default" w:ascii="Times New Roman" w:hAnsi="Times New Roman" w:cs="Times New Roman"/>
                <w:color w:val="auto"/>
                <w:sz w:val="21"/>
                <w:szCs w:val="21"/>
                <w:highlight w:val="none"/>
              </w:rPr>
            </w:pPr>
            <w:r>
              <w:rPr>
                <w:rFonts w:hint="default" w:ascii="Times New Roman" w:hAnsi="Times New Roman" w:cs="Times New Roman"/>
                <w:color w:val="auto"/>
                <w:sz w:val="21"/>
                <w:szCs w:val="21"/>
                <w:highlight w:val="none"/>
                <w:lang w:val="en-US" w:eastAsia="zh-CN"/>
              </w:rPr>
              <w:t>/</w:t>
            </w:r>
          </w:p>
        </w:tc>
        <w:tc>
          <w:tcPr>
            <w:tcW w:w="385"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c>
          <w:tcPr>
            <w:tcW w:w="519"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lang w:val="en-US" w:eastAsia="zh-CN"/>
              </w:rPr>
              <w:t>31.4</w:t>
            </w:r>
          </w:p>
        </w:tc>
        <w:tc>
          <w:tcPr>
            <w:tcW w:w="47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lang w:val="en-US" w:eastAsia="zh-CN"/>
              </w:rPr>
              <w:t>/</w:t>
            </w:r>
          </w:p>
        </w:tc>
        <w:tc>
          <w:tcPr>
            <w:tcW w:w="357"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cs="Times New Roman"/>
                <w:color w:val="auto"/>
                <w:sz w:val="21"/>
                <w:szCs w:val="21"/>
                <w:highlight w:val="none"/>
              </w:rPr>
              <w:t>达标</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color w:val="auto"/>
          <w:highlight w:val="none"/>
        </w:rPr>
        <w:t xml:space="preserve">表4.5-4  </w:t>
      </w:r>
      <w:r>
        <w:rPr>
          <w:color w:val="auto"/>
          <w:highlight w:val="none"/>
        </w:rPr>
        <w:t>占地范围内柱状样土壤环境质量评价</w:t>
      </w:r>
    </w:p>
    <w:tbl>
      <w:tblPr>
        <w:tblStyle w:val="34"/>
        <w:tblW w:w="5116" w:type="pct"/>
        <w:tblInd w:w="-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03"/>
        <w:gridCol w:w="1124"/>
        <w:gridCol w:w="823"/>
        <w:gridCol w:w="1003"/>
        <w:gridCol w:w="998"/>
        <w:gridCol w:w="1010"/>
        <w:gridCol w:w="1114"/>
        <w:gridCol w:w="777"/>
        <w:gridCol w:w="6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占地范围内</w:t>
            </w:r>
          </w:p>
        </w:tc>
        <w:tc>
          <w:tcPr>
            <w:tcW w:w="823" w:type="dxa"/>
            <w:vMerge w:val="restart"/>
            <w:tcBorders>
              <w:tl2br w:val="nil"/>
              <w:tr2bl w:val="nil"/>
            </w:tcBorders>
            <w:noWrap w:val="0"/>
            <w:vAlign w:val="center"/>
          </w:tcPr>
          <w:p>
            <w:pPr>
              <w:pStyle w:val="106"/>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kern w:val="2"/>
                <w:sz w:val="21"/>
                <w:szCs w:val="21"/>
                <w:highlight w:val="none"/>
                <w:shd w:val="clear" w:color="auto" w:fill="auto"/>
                <w:lang w:bidi="ar"/>
              </w:rPr>
              <w:t>pH值</w:t>
            </w:r>
          </w:p>
        </w:tc>
        <w:tc>
          <w:tcPr>
            <w:tcW w:w="1003" w:type="dxa"/>
            <w:vMerge w:val="restart"/>
            <w:tcBorders>
              <w:tl2br w:val="nil"/>
              <w:tr2bl w:val="nil"/>
            </w:tcBorders>
            <w:noWrap w:val="0"/>
            <w:vAlign w:val="center"/>
          </w:tcPr>
          <w:p>
            <w:pPr>
              <w:pStyle w:val="106"/>
              <w:jc w:val="center"/>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pacing w:val="-17"/>
                <w:kern w:val="2"/>
                <w:sz w:val="21"/>
                <w:szCs w:val="21"/>
                <w:highlight w:val="none"/>
                <w:shd w:val="clear" w:color="auto" w:fill="auto"/>
                <w:lang w:bidi="ar"/>
              </w:rPr>
              <w:t>全盐量</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r>
              <w:rPr>
                <w:rFonts w:hint="default" w:ascii="Times New Roman" w:hAnsi="Times New Roman" w:eastAsia="宋体" w:cs="Times New Roman"/>
                <w:color w:val="auto"/>
                <w:spacing w:val="-17"/>
                <w:kern w:val="2"/>
                <w:sz w:val="21"/>
                <w:szCs w:val="21"/>
                <w:highlight w:val="none"/>
                <w:shd w:val="clear" w:color="auto" w:fill="auto"/>
                <w:lang w:bidi="ar"/>
              </w:rPr>
              <w:t>mg/kg</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p>
        </w:tc>
        <w:tc>
          <w:tcPr>
            <w:tcW w:w="998"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监测层位</w:t>
            </w:r>
          </w:p>
        </w:tc>
        <w:tc>
          <w:tcPr>
            <w:tcW w:w="1010"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石油烃标准限值</w:t>
            </w:r>
          </w:p>
        </w:tc>
        <w:tc>
          <w:tcPr>
            <w:tcW w:w="1114"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pacing w:val="-11"/>
                <w:sz w:val="21"/>
                <w:szCs w:val="21"/>
                <w:highlight w:val="none"/>
                <w:shd w:val="clear" w:color="auto" w:fill="auto"/>
              </w:rPr>
              <w:t>石油烃</w:t>
            </w:r>
            <w:r>
              <w:rPr>
                <w:rFonts w:hint="eastAsia" w:cs="Times New Roman"/>
                <w:color w:val="auto"/>
                <w:spacing w:val="-11"/>
                <w:sz w:val="21"/>
                <w:szCs w:val="21"/>
                <w:highlight w:val="none"/>
                <w:shd w:val="clear" w:color="auto" w:fill="auto"/>
                <w:lang w:eastAsia="zh-CN"/>
              </w:rPr>
              <w:t>检测</w:t>
            </w:r>
            <w:r>
              <w:rPr>
                <w:rFonts w:hint="default" w:ascii="Times New Roman" w:hAnsi="Times New Roman" w:cs="Times New Roman"/>
                <w:color w:val="auto"/>
                <w:spacing w:val="-11"/>
                <w:sz w:val="21"/>
                <w:szCs w:val="21"/>
                <w:highlight w:val="none"/>
                <w:shd w:val="clear" w:color="auto" w:fill="auto"/>
              </w:rPr>
              <w:t>结果（mg/kg）</w:t>
            </w:r>
          </w:p>
        </w:tc>
        <w:tc>
          <w:tcPr>
            <w:tcW w:w="777"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标准指数</w:t>
            </w:r>
          </w:p>
        </w:tc>
        <w:tc>
          <w:tcPr>
            <w:tcW w:w="686"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27" w:type="dxa"/>
            <w:gridSpan w:val="2"/>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柱状样监测点位</w:t>
            </w:r>
          </w:p>
        </w:tc>
        <w:tc>
          <w:tcPr>
            <w:tcW w:w="823"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003"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998"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777"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686"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restart"/>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bookmarkStart w:id="557" w:name="OLE_LINK130" w:colFirst="3" w:colLast="3"/>
            <w:r>
              <w:rPr>
                <w:rFonts w:hint="eastAsia" w:ascii="Times New Roman" w:hAnsi="Times New Roman" w:eastAsia="宋体" w:cs="Times New Roman"/>
                <w:color w:val="auto"/>
                <w:sz w:val="21"/>
                <w:szCs w:val="21"/>
                <w:highlight w:val="none"/>
                <w:shd w:val="clear" w:color="auto" w:fill="auto"/>
                <w:lang w:val="en-US" w:eastAsia="zh-CN"/>
              </w:rPr>
              <w:t>T7</w:t>
            </w: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FTYHW1011</w:t>
            </w:r>
            <w:r>
              <w:rPr>
                <w:rFonts w:hint="default" w:ascii="Times New Roman" w:hAnsi="Times New Roman" w:eastAsia="宋体" w:cs="Times New Roman"/>
                <w:color w:val="auto"/>
                <w:sz w:val="21"/>
                <w:szCs w:val="21"/>
                <w:highlight w:val="none"/>
                <w:shd w:val="clear" w:color="auto" w:fill="auto"/>
                <w:lang w:val="en-US" w:eastAsia="zh-CN"/>
              </w:rPr>
              <w:t>井场</w:t>
            </w:r>
          </w:p>
        </w:tc>
        <w:tc>
          <w:tcPr>
            <w:tcW w:w="1124" w:type="dxa"/>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1</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8.42</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0.6</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1010"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4500</w:t>
            </w: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2</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9.07</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0.7</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18</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3</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9.04</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0.4</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20</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57"/>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restart"/>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T8</w:t>
            </w: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FTYHW0912</w:t>
            </w:r>
            <w:r>
              <w:rPr>
                <w:rFonts w:hint="eastAsia" w:ascii="Times New Roman" w:hAnsi="Times New Roman" w:eastAsia="宋体" w:cs="Times New Roman"/>
                <w:color w:val="auto"/>
                <w:sz w:val="21"/>
                <w:szCs w:val="21"/>
                <w:highlight w:val="none"/>
                <w:shd w:val="clear" w:color="auto" w:fill="auto"/>
                <w:lang w:val="en-US" w:eastAsia="zh-CN"/>
              </w:rPr>
              <w:t>井场</w:t>
            </w:r>
          </w:p>
        </w:tc>
        <w:tc>
          <w:tcPr>
            <w:tcW w:w="1124" w:type="dxa"/>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4</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9.48</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0.3</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19</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5</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9.46</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0.8</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6</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9.46</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0.8</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restart"/>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bookmarkStart w:id="558" w:name="OLE_LINK134" w:colFirst="3" w:colLast="3"/>
            <w:r>
              <w:rPr>
                <w:rFonts w:hint="eastAsia" w:ascii="Times New Roman" w:hAnsi="Times New Roman" w:eastAsia="宋体" w:cs="Times New Roman"/>
                <w:color w:val="auto"/>
                <w:sz w:val="21"/>
                <w:szCs w:val="21"/>
                <w:highlight w:val="none"/>
                <w:shd w:val="clear" w:color="auto" w:fill="auto"/>
                <w:lang w:val="en-US" w:eastAsia="zh-CN"/>
              </w:rPr>
              <w:t>T9</w:t>
            </w: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FTYHW1234</w:t>
            </w:r>
            <w:r>
              <w:rPr>
                <w:rFonts w:hint="eastAsia" w:ascii="Times New Roman" w:hAnsi="Times New Roman" w:eastAsia="宋体" w:cs="Times New Roman"/>
                <w:color w:val="auto"/>
                <w:sz w:val="21"/>
                <w:szCs w:val="21"/>
                <w:highlight w:val="none"/>
                <w:shd w:val="clear" w:color="auto" w:fill="auto"/>
                <w:lang w:val="en-US" w:eastAsia="zh-CN"/>
              </w:rPr>
              <w:t>井场</w:t>
            </w:r>
          </w:p>
        </w:tc>
        <w:tc>
          <w:tcPr>
            <w:tcW w:w="1124" w:type="dxa"/>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7</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9.10</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0.002</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8</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9.15</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18</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3" w:type="dxa"/>
            <w:vMerge w:val="continue"/>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p>
        </w:tc>
        <w:tc>
          <w:tcPr>
            <w:tcW w:w="1124" w:type="dxa"/>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T</w:t>
            </w:r>
            <w:r>
              <w:rPr>
                <w:rFonts w:hint="eastAsia" w:ascii="Times New Roman" w:hAnsi="Times New Roman" w:eastAsia="宋体" w:cs="Times New Roman"/>
                <w:color w:val="auto"/>
                <w:sz w:val="21"/>
                <w:szCs w:val="21"/>
                <w:highlight w:val="none"/>
                <w:shd w:val="clear" w:color="auto" w:fill="auto"/>
                <w:lang w:val="en-US" w:eastAsia="zh-CN"/>
              </w:rPr>
              <w:t>9</w:t>
            </w:r>
            <w:r>
              <w:rPr>
                <w:rFonts w:hint="default" w:ascii="Times New Roman" w:hAnsi="Times New Roman" w:eastAsia="宋体" w:cs="Times New Roman"/>
                <w:color w:val="auto"/>
                <w:sz w:val="21"/>
                <w:szCs w:val="21"/>
                <w:highlight w:val="none"/>
                <w:shd w:val="clear" w:color="auto" w:fill="auto"/>
                <w:lang w:val="en-US" w:eastAsia="zh-CN"/>
              </w:rPr>
              <w:t>-1-1</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8.91</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1.9</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21</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0.005</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58"/>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占地范围内</w:t>
            </w:r>
          </w:p>
        </w:tc>
        <w:tc>
          <w:tcPr>
            <w:tcW w:w="823"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lang w:bidi="ar"/>
              </w:rPr>
              <w:t>pH值</w:t>
            </w:r>
          </w:p>
        </w:tc>
        <w:tc>
          <w:tcPr>
            <w:tcW w:w="1003"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spacing w:val="-17"/>
                <w:kern w:val="2"/>
                <w:sz w:val="21"/>
                <w:szCs w:val="21"/>
                <w:highlight w:val="none"/>
                <w:shd w:val="clear" w:color="auto" w:fill="auto"/>
                <w:lang w:bidi="ar"/>
              </w:rPr>
              <w:t>全盐量</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r>
              <w:rPr>
                <w:rFonts w:hint="default" w:ascii="Times New Roman" w:hAnsi="Times New Roman" w:eastAsia="宋体" w:cs="Times New Roman"/>
                <w:color w:val="auto"/>
                <w:spacing w:val="-17"/>
                <w:kern w:val="2"/>
                <w:sz w:val="21"/>
                <w:szCs w:val="21"/>
                <w:highlight w:val="none"/>
                <w:shd w:val="clear" w:color="auto" w:fill="auto"/>
                <w:lang w:bidi="ar"/>
              </w:rPr>
              <w:t>mg/kg</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p>
        </w:tc>
        <w:tc>
          <w:tcPr>
            <w:tcW w:w="998"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监测层位</w:t>
            </w:r>
          </w:p>
        </w:tc>
        <w:tc>
          <w:tcPr>
            <w:tcW w:w="1010"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石油烃标准限值</w:t>
            </w:r>
          </w:p>
        </w:tc>
        <w:tc>
          <w:tcPr>
            <w:tcW w:w="1114" w:type="dxa"/>
            <w:vMerge w:val="restart"/>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pacing w:val="-11"/>
                <w:sz w:val="21"/>
                <w:szCs w:val="21"/>
                <w:highlight w:val="none"/>
                <w:shd w:val="clear" w:color="auto" w:fill="auto"/>
              </w:rPr>
              <w:t>监测结果（mg/kg）</w:t>
            </w:r>
          </w:p>
        </w:tc>
        <w:tc>
          <w:tcPr>
            <w:tcW w:w="777" w:type="dxa"/>
            <w:vMerge w:val="restart"/>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标准指数</w:t>
            </w:r>
          </w:p>
        </w:tc>
        <w:tc>
          <w:tcPr>
            <w:tcW w:w="686"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106"/>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表层样</w:t>
            </w:r>
            <w:r>
              <w:rPr>
                <w:rFonts w:hint="default" w:ascii="Times New Roman" w:hAnsi="Times New Roman" w:eastAsia="宋体" w:cs="Times New Roman"/>
                <w:color w:val="auto"/>
                <w:sz w:val="21"/>
                <w:szCs w:val="21"/>
                <w:highlight w:val="none"/>
                <w:shd w:val="clear" w:color="auto" w:fill="auto"/>
                <w:lang w:val="en-US" w:eastAsia="zh-CN"/>
              </w:rPr>
              <w:t>监测点位</w:t>
            </w:r>
          </w:p>
        </w:tc>
        <w:tc>
          <w:tcPr>
            <w:tcW w:w="823"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003"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998"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vMerge w:val="continue"/>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7" w:type="dxa"/>
            <w:vMerge w:val="continue"/>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86"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bidi w:val="0"/>
              <w:rPr>
                <w:rFonts w:hint="default" w:ascii="Times New Roman" w:hAnsi="Times New Roman" w:eastAsia="宋体" w:cs="Times New Roman"/>
                <w:color w:val="auto"/>
                <w:kern w:val="2"/>
                <w:sz w:val="21"/>
                <w:szCs w:val="21"/>
                <w:highlight w:val="none"/>
                <w:shd w:val="clear" w:color="auto" w:fill="auto"/>
                <w:lang w:val="en-US" w:eastAsia="zh-CN" w:bidi="ar-SA"/>
              </w:rPr>
            </w:pPr>
            <w:bookmarkStart w:id="559" w:name="OLE_LINK125" w:colFirst="5" w:colLast="6"/>
            <w:bookmarkStart w:id="560" w:name="OLE_LINK136" w:colFirst="1" w:colLast="1"/>
            <w:bookmarkStart w:id="561" w:name="OLE_LINK137" w:colFirst="2" w:colLast="2"/>
            <w:r>
              <w:rPr>
                <w:rFonts w:hint="eastAsia" w:ascii="Times New Roman" w:hAnsi="Times New Roman" w:eastAsia="宋体" w:cs="Times New Roman"/>
                <w:color w:val="auto"/>
                <w:kern w:val="2"/>
                <w:sz w:val="21"/>
                <w:szCs w:val="21"/>
                <w:highlight w:val="none"/>
                <w:shd w:val="clear" w:color="auto" w:fill="auto"/>
                <w:lang w:val="en-US" w:eastAsia="zh-CN" w:bidi="ar-SA"/>
              </w:rPr>
              <w:t>T3</w:t>
            </w:r>
            <w:bookmarkStart w:id="562" w:name="OLE_LINK65"/>
            <w:r>
              <w:rPr>
                <w:rFonts w:hint="default" w:ascii="Times New Roman" w:hAnsi="Times New Roman" w:eastAsia="宋体" w:cs="Times New Roman"/>
                <w:color w:val="auto"/>
                <w:kern w:val="2"/>
                <w:sz w:val="21"/>
                <w:szCs w:val="21"/>
                <w:highlight w:val="none"/>
                <w:shd w:val="clear" w:color="auto" w:fill="auto"/>
                <w:lang w:val="en-US" w:eastAsia="zh-CN" w:bidi="ar-SA"/>
              </w:rPr>
              <w:t>拟建</w:t>
            </w:r>
            <w:bookmarkEnd w:id="562"/>
            <w:r>
              <w:rPr>
                <w:rFonts w:hint="eastAsia" w:cs="Times New Roman"/>
                <w:color w:val="auto"/>
                <w:kern w:val="2"/>
                <w:sz w:val="21"/>
                <w:szCs w:val="21"/>
                <w:highlight w:val="none"/>
                <w:shd w:val="clear" w:color="auto" w:fill="auto"/>
                <w:lang w:val="en-US" w:eastAsia="zh-CN" w:bidi="ar-SA"/>
              </w:rPr>
              <w:t>FTYHW1235</w:t>
            </w:r>
            <w:r>
              <w:rPr>
                <w:rFonts w:hint="default" w:ascii="Times New Roman" w:hAnsi="Times New Roman" w:eastAsia="宋体" w:cs="Times New Roman"/>
                <w:color w:val="auto"/>
                <w:kern w:val="2"/>
                <w:sz w:val="21"/>
                <w:szCs w:val="21"/>
                <w:highlight w:val="none"/>
                <w:shd w:val="clear" w:color="auto" w:fill="auto"/>
                <w:lang w:val="en-US" w:eastAsia="zh-CN" w:bidi="ar-SA"/>
              </w:rPr>
              <w:t>井场</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7.56</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15.8</w:t>
            </w:r>
          </w:p>
        </w:tc>
        <w:tc>
          <w:tcPr>
            <w:tcW w:w="998" w:type="dxa"/>
            <w:tcBorders>
              <w:tl2br w:val="nil"/>
              <w:tr2bl w:val="nil"/>
            </w:tcBorders>
            <w:noWrap w:val="0"/>
            <w:vAlign w:val="center"/>
          </w:tcPr>
          <w:p>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4500</w:t>
            </w: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32</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0.007</w:t>
            </w:r>
          </w:p>
        </w:tc>
        <w:tc>
          <w:tcPr>
            <w:tcW w:w="686"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59"/>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41"/>
              <w:bidi w:val="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T4</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kern w:val="2"/>
                <w:sz w:val="21"/>
                <w:szCs w:val="21"/>
                <w:highlight w:val="none"/>
                <w:shd w:val="clear" w:color="auto" w:fill="auto"/>
                <w:lang w:val="en-US" w:eastAsia="zh-CN" w:bidi="ar-SA"/>
              </w:rPr>
              <w:t>FTYHW1012</w:t>
            </w:r>
            <w:r>
              <w:rPr>
                <w:rFonts w:hint="default" w:ascii="Times New Roman" w:hAnsi="Times New Roman" w:eastAsia="宋体" w:cs="Times New Roman"/>
                <w:color w:val="auto"/>
                <w:kern w:val="2"/>
                <w:sz w:val="21"/>
                <w:szCs w:val="21"/>
                <w:highlight w:val="none"/>
                <w:shd w:val="clear" w:color="auto" w:fill="auto"/>
                <w:lang w:val="en-US" w:eastAsia="zh-CN" w:bidi="ar-SA"/>
              </w:rPr>
              <w:t>井场</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7.77</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28.0</w:t>
            </w:r>
          </w:p>
        </w:tc>
        <w:tc>
          <w:tcPr>
            <w:tcW w:w="998" w:type="dxa"/>
            <w:tcBorders>
              <w:tl2br w:val="nil"/>
              <w:tr2bl w:val="nil"/>
            </w:tcBorders>
            <w:noWrap w:val="0"/>
            <w:vAlign w:val="center"/>
          </w:tcPr>
          <w:p>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31</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0.007</w:t>
            </w:r>
          </w:p>
        </w:tc>
        <w:tc>
          <w:tcPr>
            <w:tcW w:w="686"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bidi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2"/>
                <w:sz w:val="21"/>
                <w:szCs w:val="21"/>
                <w:highlight w:val="none"/>
                <w:shd w:val="clear" w:color="auto" w:fill="auto"/>
                <w:lang w:val="en-US" w:eastAsia="zh-CN" w:bidi="ar-SA"/>
              </w:rPr>
              <w:t>T5</w:t>
            </w:r>
            <w:r>
              <w:rPr>
                <w:rFonts w:hint="default" w:ascii="Times New Roman" w:hAnsi="Times New Roman" w:eastAsia="宋体" w:cs="Times New Roman"/>
                <w:color w:val="auto"/>
                <w:kern w:val="2"/>
                <w:sz w:val="21"/>
                <w:szCs w:val="21"/>
                <w:highlight w:val="none"/>
                <w:shd w:val="clear" w:color="auto" w:fill="auto"/>
                <w:lang w:val="en-US" w:eastAsia="zh-CN" w:bidi="ar-SA"/>
              </w:rPr>
              <w:t>拟建FTYHW0911</w:t>
            </w:r>
            <w:r>
              <w:rPr>
                <w:rFonts w:hint="eastAsia" w:ascii="Times New Roman" w:hAnsi="Times New Roman" w:eastAsia="宋体" w:cs="Times New Roman"/>
                <w:color w:val="auto"/>
                <w:kern w:val="2"/>
                <w:sz w:val="21"/>
                <w:szCs w:val="21"/>
                <w:highlight w:val="none"/>
                <w:shd w:val="clear" w:color="auto" w:fill="auto"/>
                <w:lang w:val="en-US" w:eastAsia="zh-CN" w:bidi="ar-SA"/>
              </w:rPr>
              <w:t>井场</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7.70</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15.3</w:t>
            </w:r>
          </w:p>
        </w:tc>
        <w:tc>
          <w:tcPr>
            <w:tcW w:w="998" w:type="dxa"/>
            <w:tcBorders>
              <w:tl2br w:val="nil"/>
              <w:tr2bl w:val="nil"/>
            </w:tcBorders>
            <w:noWrap w:val="0"/>
            <w:vAlign w:val="center"/>
          </w:tcPr>
          <w:p>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17</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bidi w:val="0"/>
              <w:rPr>
                <w:rFonts w:hint="eastAsia" w:ascii="Times New Roman" w:hAnsi="Times New Roman" w:eastAsia="宋体" w:cs="Times New Roman"/>
                <w:color w:val="auto"/>
                <w:kern w:val="2"/>
                <w:sz w:val="21"/>
                <w:szCs w:val="21"/>
                <w:highlight w:val="none"/>
                <w:shd w:val="clear" w:color="auto" w:fill="auto"/>
                <w:lang w:val="en-US" w:eastAsia="zh-CN" w:bidi="ar-SA"/>
              </w:rPr>
            </w:pPr>
            <w:bookmarkStart w:id="563" w:name="OLE_LINK131" w:colFirst="5" w:colLast="6"/>
            <w:r>
              <w:rPr>
                <w:rFonts w:hint="eastAsia" w:ascii="Times New Roman" w:hAnsi="Times New Roman" w:eastAsia="宋体" w:cs="Times New Roman"/>
                <w:color w:val="auto"/>
                <w:kern w:val="2"/>
                <w:sz w:val="21"/>
                <w:szCs w:val="21"/>
                <w:highlight w:val="none"/>
                <w:shd w:val="clear" w:color="auto" w:fill="auto"/>
                <w:lang w:val="en-US" w:eastAsia="zh-CN" w:bidi="ar-SA"/>
              </w:rPr>
              <w:t>T6</w:t>
            </w:r>
            <w:r>
              <w:rPr>
                <w:rFonts w:hint="default" w:ascii="Times New Roman" w:hAnsi="Times New Roman" w:eastAsia="宋体" w:cs="Times New Roman"/>
                <w:color w:val="auto"/>
                <w:kern w:val="2"/>
                <w:sz w:val="21"/>
                <w:szCs w:val="21"/>
                <w:highlight w:val="none"/>
                <w:shd w:val="clear" w:color="auto" w:fill="auto"/>
                <w:lang w:val="en-US" w:eastAsia="zh-CN" w:bidi="ar-SA"/>
              </w:rPr>
              <w:t>拟建FTYHW1010</w:t>
            </w:r>
            <w:r>
              <w:rPr>
                <w:rFonts w:hint="eastAsia" w:ascii="Times New Roman" w:hAnsi="Times New Roman" w:eastAsia="宋体" w:cs="Times New Roman"/>
                <w:color w:val="auto"/>
                <w:kern w:val="2"/>
                <w:sz w:val="21"/>
                <w:szCs w:val="21"/>
                <w:highlight w:val="none"/>
                <w:shd w:val="clear" w:color="auto" w:fill="auto"/>
                <w:lang w:val="en-US" w:eastAsia="zh-CN" w:bidi="ar-SA"/>
              </w:rPr>
              <w:t>井场</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7.74</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17.7</w:t>
            </w:r>
          </w:p>
        </w:tc>
        <w:tc>
          <w:tcPr>
            <w:tcW w:w="998" w:type="dxa"/>
            <w:tcBorders>
              <w:tl2br w:val="nil"/>
              <w:tr2bl w:val="nil"/>
            </w:tcBorders>
            <w:noWrap w:val="0"/>
            <w:vAlign w:val="center"/>
          </w:tcPr>
          <w:p>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15</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60"/>
      <w:bookmarkEnd w:id="561"/>
      <w:bookmarkEnd w:id="563"/>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106"/>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占地范围</w:t>
            </w:r>
            <w:r>
              <w:rPr>
                <w:rFonts w:hint="eastAsia" w:ascii="Times New Roman" w:hAnsi="Times New Roman" w:cs="Times New Roman"/>
                <w:color w:val="auto"/>
                <w:sz w:val="21"/>
                <w:szCs w:val="21"/>
                <w:highlight w:val="none"/>
                <w:shd w:val="clear" w:color="auto" w:fill="auto"/>
                <w:lang w:val="en-US" w:eastAsia="zh-CN"/>
              </w:rPr>
              <w:t>外</w:t>
            </w:r>
          </w:p>
        </w:tc>
        <w:tc>
          <w:tcPr>
            <w:tcW w:w="823"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kern w:val="2"/>
                <w:sz w:val="21"/>
                <w:szCs w:val="21"/>
                <w:highlight w:val="none"/>
                <w:shd w:val="clear" w:color="auto" w:fill="auto"/>
                <w:lang w:bidi="ar"/>
              </w:rPr>
              <w:t>pH值</w:t>
            </w:r>
          </w:p>
        </w:tc>
        <w:tc>
          <w:tcPr>
            <w:tcW w:w="1003"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spacing w:val="-17"/>
                <w:kern w:val="2"/>
                <w:sz w:val="21"/>
                <w:szCs w:val="21"/>
                <w:highlight w:val="none"/>
                <w:shd w:val="clear" w:color="auto" w:fill="auto"/>
                <w:lang w:bidi="ar"/>
              </w:rPr>
              <w:t>全盐量</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r>
              <w:rPr>
                <w:rFonts w:hint="default" w:ascii="Times New Roman" w:hAnsi="Times New Roman" w:eastAsia="宋体" w:cs="Times New Roman"/>
                <w:color w:val="auto"/>
                <w:spacing w:val="-17"/>
                <w:kern w:val="2"/>
                <w:sz w:val="21"/>
                <w:szCs w:val="21"/>
                <w:highlight w:val="none"/>
                <w:shd w:val="clear" w:color="auto" w:fill="auto"/>
                <w:lang w:bidi="ar"/>
              </w:rPr>
              <w:t>mg/kg</w:t>
            </w:r>
            <w:r>
              <w:rPr>
                <w:rFonts w:hint="eastAsia" w:ascii="Times New Roman" w:hAnsi="Times New Roman" w:eastAsia="宋体" w:cs="Times New Roman"/>
                <w:color w:val="auto"/>
                <w:spacing w:val="-17"/>
                <w:kern w:val="2"/>
                <w:sz w:val="21"/>
                <w:szCs w:val="21"/>
                <w:highlight w:val="none"/>
                <w:shd w:val="clear" w:color="auto" w:fill="auto"/>
                <w:lang w:eastAsia="zh-CN" w:bidi="ar"/>
              </w:rPr>
              <w:t>）</w:t>
            </w:r>
          </w:p>
        </w:tc>
        <w:tc>
          <w:tcPr>
            <w:tcW w:w="998"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监测层位</w:t>
            </w:r>
          </w:p>
        </w:tc>
        <w:tc>
          <w:tcPr>
            <w:tcW w:w="1010"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石油烃标准限值</w:t>
            </w:r>
          </w:p>
        </w:tc>
        <w:tc>
          <w:tcPr>
            <w:tcW w:w="1114" w:type="dxa"/>
            <w:vMerge w:val="restart"/>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pacing w:val="-11"/>
                <w:sz w:val="21"/>
                <w:szCs w:val="21"/>
                <w:highlight w:val="none"/>
                <w:shd w:val="clear" w:color="auto" w:fill="auto"/>
              </w:rPr>
              <w:t>监测结果（mg/kg）</w:t>
            </w:r>
          </w:p>
        </w:tc>
        <w:tc>
          <w:tcPr>
            <w:tcW w:w="777" w:type="dxa"/>
            <w:vMerge w:val="restart"/>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标准指数</w:t>
            </w:r>
          </w:p>
        </w:tc>
        <w:tc>
          <w:tcPr>
            <w:tcW w:w="686"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评价结果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表层样</w:t>
            </w:r>
            <w:r>
              <w:rPr>
                <w:rFonts w:hint="default" w:ascii="Times New Roman" w:hAnsi="Times New Roman" w:cs="Times New Roman"/>
                <w:color w:val="auto"/>
                <w:sz w:val="21"/>
                <w:szCs w:val="21"/>
                <w:highlight w:val="none"/>
                <w:shd w:val="clear" w:color="auto" w:fill="auto"/>
              </w:rPr>
              <w:t>监测点位</w:t>
            </w:r>
          </w:p>
        </w:tc>
        <w:tc>
          <w:tcPr>
            <w:tcW w:w="823"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003"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998"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vMerge w:val="continue"/>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777" w:type="dxa"/>
            <w:vMerge w:val="continue"/>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86"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41"/>
              <w:bidi w:val="0"/>
              <w:ind w:firstLine="0" w:firstLineChars="0"/>
              <w:rPr>
                <w:rFonts w:hint="eastAsia" w:ascii="Times New Roman" w:hAnsi="Times New Roman" w:eastAsia="宋体" w:cs="Times New Roman"/>
                <w:color w:val="auto"/>
                <w:sz w:val="21"/>
                <w:szCs w:val="20"/>
                <w:highlight w:val="none"/>
                <w:lang w:val="en-US" w:eastAsia="zh-CN" w:bidi="ar-SA"/>
              </w:rPr>
            </w:pPr>
            <w:bookmarkStart w:id="564" w:name="OLE_LINK133" w:colFirst="5" w:colLast="6"/>
            <w:bookmarkStart w:id="565" w:name="OLE_LINK127" w:colFirst="0" w:colLast="0"/>
            <w:bookmarkStart w:id="566" w:name="OLE_LINK138" w:colFirst="1" w:colLast="1"/>
            <w:r>
              <w:rPr>
                <w:rFonts w:hint="eastAsia"/>
                <w:color w:val="auto"/>
                <w:highlight w:val="none"/>
              </w:rPr>
              <w:t>T</w:t>
            </w:r>
            <w:r>
              <w:rPr>
                <w:rFonts w:hint="eastAsia"/>
                <w:color w:val="auto"/>
                <w:highlight w:val="none"/>
                <w:lang w:val="en-US" w:eastAsia="zh-CN"/>
              </w:rPr>
              <w:t>12</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FTYHW1011</w:t>
            </w:r>
            <w:r>
              <w:rPr>
                <w:rFonts w:hint="default" w:ascii="Times New Roman" w:hAnsi="Times New Roman" w:eastAsia="宋体" w:cs="Times New Roman"/>
                <w:color w:val="auto"/>
                <w:highlight w:val="none"/>
                <w:lang w:val="en-US" w:eastAsia="zh-CN"/>
              </w:rPr>
              <w:t>井场200m外</w:t>
            </w:r>
          </w:p>
        </w:tc>
        <w:tc>
          <w:tcPr>
            <w:tcW w:w="823" w:type="dxa"/>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8.80</w:t>
            </w:r>
          </w:p>
        </w:tc>
        <w:tc>
          <w:tcPr>
            <w:tcW w:w="1003" w:type="dxa"/>
            <w:tcBorders>
              <w:tl2br w:val="nil"/>
              <w:tr2bl w:val="nil"/>
            </w:tcBorders>
            <w:noWrap w:val="0"/>
            <w:vAlign w:val="center"/>
          </w:tcPr>
          <w:p>
            <w:pPr>
              <w:pStyle w:val="106"/>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1.4</w:t>
            </w:r>
          </w:p>
        </w:tc>
        <w:tc>
          <w:tcPr>
            <w:tcW w:w="998"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restart"/>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4500</w:t>
            </w: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12</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64"/>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0"/>
                <w:highlight w:val="none"/>
                <w:lang w:val="en-US" w:eastAsia="zh-CN" w:bidi="ar-SA"/>
              </w:rPr>
            </w:pPr>
            <w:r>
              <w:rPr>
                <w:rFonts w:hint="eastAsia"/>
                <w:color w:val="auto"/>
                <w:highlight w:val="none"/>
              </w:rPr>
              <w:t>T</w:t>
            </w:r>
            <w:r>
              <w:rPr>
                <w:rFonts w:hint="eastAsia"/>
                <w:color w:val="auto"/>
                <w:highlight w:val="none"/>
                <w:lang w:val="en-US" w:eastAsia="zh-CN"/>
              </w:rPr>
              <w:t>13</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FTYHW1012</w:t>
            </w:r>
            <w:r>
              <w:rPr>
                <w:rFonts w:hint="default" w:ascii="Times New Roman" w:hAnsi="Times New Roman" w:eastAsia="宋体" w:cs="Times New Roman"/>
                <w:color w:val="auto"/>
                <w:highlight w:val="none"/>
                <w:lang w:val="en-US" w:eastAsia="zh-CN"/>
              </w:rPr>
              <w:t>井场200m外</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8.60</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20.4</w:t>
            </w:r>
          </w:p>
        </w:tc>
        <w:tc>
          <w:tcPr>
            <w:tcW w:w="998" w:type="dxa"/>
            <w:tcBorders>
              <w:tl2br w:val="nil"/>
              <w:tr2bl w:val="nil"/>
            </w:tcBorders>
            <w:noWrap w:val="0"/>
            <w:vAlign w:val="center"/>
          </w:tcPr>
          <w:p>
            <w:pPr>
              <w:pStyle w:val="106"/>
              <w:jc w:val="center"/>
              <w:rPr>
                <w:rFonts w:hint="default" w:ascii="Times New Roman" w:hAnsi="Times New Roman" w:eastAsia="宋体" w:cs="Times New Roman"/>
                <w:color w:val="auto"/>
                <w:spacing w:val="-20"/>
                <w:sz w:val="21"/>
                <w:szCs w:val="21"/>
                <w:highlight w:val="none"/>
                <w:shd w:val="clear" w:color="auto" w:fill="auto"/>
              </w:rPr>
            </w:pPr>
            <w:bookmarkStart w:id="567" w:name="OLE_LINK129"/>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bookmarkEnd w:id="567"/>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17</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0.004</w:t>
            </w:r>
          </w:p>
        </w:tc>
        <w:tc>
          <w:tcPr>
            <w:tcW w:w="686"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bookmarkStart w:id="568" w:name="OLE_LINK132"/>
            <w:r>
              <w:rPr>
                <w:rFonts w:hint="default" w:ascii="Times New Roman" w:hAnsi="Times New Roman" w:cs="Times New Roman"/>
                <w:color w:val="auto"/>
                <w:sz w:val="21"/>
                <w:szCs w:val="21"/>
                <w:highlight w:val="none"/>
                <w:shd w:val="clear" w:color="auto" w:fill="auto"/>
              </w:rPr>
              <w:t>达标</w:t>
            </w:r>
            <w:bookmarkEnd w:id="568"/>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0"/>
                <w:highlight w:val="none"/>
                <w:lang w:val="en-US" w:eastAsia="zh-CN" w:bidi="ar-SA"/>
              </w:rPr>
            </w:pPr>
            <w:r>
              <w:rPr>
                <w:rFonts w:hint="eastAsia"/>
                <w:color w:val="auto"/>
                <w:highlight w:val="none"/>
              </w:rPr>
              <w:t>T</w:t>
            </w:r>
            <w:r>
              <w:rPr>
                <w:rFonts w:hint="eastAsia"/>
                <w:color w:val="auto"/>
                <w:highlight w:val="none"/>
                <w:lang w:val="en-US" w:eastAsia="zh-CN"/>
              </w:rPr>
              <w:t>14</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FTYHW1235</w:t>
            </w:r>
            <w:r>
              <w:rPr>
                <w:rFonts w:hint="default" w:ascii="Times New Roman" w:hAnsi="Times New Roman" w:eastAsia="宋体" w:cs="Times New Roman"/>
                <w:color w:val="auto"/>
                <w:highlight w:val="none"/>
                <w:lang w:val="en-US" w:eastAsia="zh-CN"/>
              </w:rPr>
              <w:t>井200m外</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7.74</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16.2</w:t>
            </w:r>
          </w:p>
        </w:tc>
        <w:tc>
          <w:tcPr>
            <w:tcW w:w="998" w:type="dxa"/>
            <w:tcBorders>
              <w:tl2br w:val="nil"/>
              <w:tr2bl w:val="nil"/>
            </w:tcBorders>
            <w:noWrap w:val="0"/>
            <w:vAlign w:val="center"/>
          </w:tcPr>
          <w:p>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1" w:hRule="atLeast"/>
        </w:trPr>
        <w:tc>
          <w:tcPr>
            <w:tcW w:w="2627" w:type="dxa"/>
            <w:gridSpan w:val="2"/>
            <w:tcBorders>
              <w:tl2br w:val="nil"/>
              <w:tr2bl w:val="nil"/>
            </w:tcBorders>
            <w:noWrap w:val="0"/>
            <w:vAlign w:val="center"/>
          </w:tcPr>
          <w:p>
            <w:pPr>
              <w:pStyle w:val="41"/>
              <w:bidi w:val="0"/>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rPr>
              <w:t>T</w:t>
            </w:r>
            <w:r>
              <w:rPr>
                <w:rFonts w:hint="eastAsia"/>
                <w:color w:val="auto"/>
                <w:highlight w:val="none"/>
                <w:lang w:val="en-US" w:eastAsia="zh-CN"/>
              </w:rPr>
              <w:t>15</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FTYHW0912</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82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8.58</w:t>
            </w:r>
          </w:p>
        </w:tc>
        <w:tc>
          <w:tcPr>
            <w:tcW w:w="1003"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0.8</w:t>
            </w:r>
          </w:p>
        </w:tc>
        <w:tc>
          <w:tcPr>
            <w:tcW w:w="998" w:type="dxa"/>
            <w:tcBorders>
              <w:tl2br w:val="nil"/>
              <w:tr2bl w:val="nil"/>
            </w:tcBorders>
            <w:noWrap w:val="0"/>
            <w:vAlign w:val="center"/>
          </w:tcPr>
          <w:p>
            <w:pPr>
              <w:pStyle w:val="106"/>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14</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0.003</w:t>
            </w:r>
          </w:p>
        </w:tc>
        <w:tc>
          <w:tcPr>
            <w:tcW w:w="686"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627" w:type="dxa"/>
            <w:gridSpan w:val="2"/>
            <w:tcBorders>
              <w:tl2br w:val="nil"/>
              <w:tr2bl w:val="nil"/>
            </w:tcBorders>
            <w:noWrap w:val="0"/>
            <w:vAlign w:val="center"/>
          </w:tcPr>
          <w:p>
            <w:pPr>
              <w:pStyle w:val="41"/>
              <w:bidi w:val="0"/>
              <w:ind w:firstLine="0" w:firstLineChars="0"/>
              <w:rPr>
                <w:rFonts w:hint="eastAsia" w:ascii="Times New Roman" w:hAnsi="Times New Roman" w:eastAsia="宋体" w:cs="Times New Roman"/>
                <w:color w:val="auto"/>
                <w:sz w:val="21"/>
                <w:szCs w:val="20"/>
                <w:highlight w:val="none"/>
                <w:lang w:val="en-US" w:eastAsia="zh-CN" w:bidi="ar-SA"/>
              </w:rPr>
            </w:pPr>
            <w:r>
              <w:rPr>
                <w:rFonts w:hint="eastAsia"/>
                <w:color w:val="auto"/>
                <w:highlight w:val="none"/>
              </w:rPr>
              <w:t>T</w:t>
            </w:r>
            <w:r>
              <w:rPr>
                <w:rFonts w:hint="eastAsia"/>
                <w:color w:val="auto"/>
                <w:highlight w:val="none"/>
                <w:lang w:val="en-US" w:eastAsia="zh-CN"/>
              </w:rPr>
              <w:t>16</w:t>
            </w: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default" w:ascii="Times New Roman" w:hAnsi="Times New Roman" w:eastAsia="宋体" w:cs="Times New Roman"/>
                <w:color w:val="auto"/>
                <w:highlight w:val="none"/>
                <w:lang w:val="en-US" w:eastAsia="zh-CN"/>
              </w:rPr>
              <w:t>FTYHW1010</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823" w:type="dxa"/>
            <w:tcBorders>
              <w:tl2br w:val="nil"/>
              <w:tr2bl w:val="nil"/>
            </w:tcBorders>
            <w:noWrap w:val="0"/>
            <w:vAlign w:val="center"/>
          </w:tcPr>
          <w:p>
            <w:pPr>
              <w:pStyle w:val="106"/>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7.90</w:t>
            </w:r>
          </w:p>
        </w:tc>
        <w:tc>
          <w:tcPr>
            <w:tcW w:w="1003" w:type="dxa"/>
            <w:tcBorders>
              <w:tl2br w:val="nil"/>
              <w:tr2bl w:val="nil"/>
            </w:tcBorders>
            <w:noWrap w:val="0"/>
            <w:vAlign w:val="center"/>
          </w:tcPr>
          <w:p>
            <w:pPr>
              <w:pStyle w:val="106"/>
              <w:jc w:val="center"/>
              <w:rPr>
                <w:rFonts w:hint="default"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2.7</w:t>
            </w:r>
          </w:p>
        </w:tc>
        <w:tc>
          <w:tcPr>
            <w:tcW w:w="998" w:type="dxa"/>
            <w:tcBorders>
              <w:tl2br w:val="nil"/>
              <w:tr2bl w:val="nil"/>
            </w:tcBorders>
            <w:noWrap w:val="0"/>
            <w:vAlign w:val="center"/>
          </w:tcPr>
          <w:p>
            <w:pPr>
              <w:jc w:val="center"/>
              <w:rPr>
                <w:rFonts w:hint="default" w:ascii="Times New Roman" w:hAnsi="Times New Roman" w:eastAsia="宋体" w:cs="Times New Roman"/>
                <w:color w:val="auto"/>
                <w:spacing w:val="-20"/>
                <w:sz w:val="21"/>
                <w:szCs w:val="21"/>
                <w:highlight w:val="none"/>
                <w:shd w:val="clear" w:color="auto" w:fill="auto"/>
              </w:rPr>
            </w:pPr>
            <w:r>
              <w:rPr>
                <w:rFonts w:hint="default" w:ascii="Times New Roman" w:hAnsi="Times New Roman" w:eastAsia="宋体" w:cs="Times New Roman"/>
                <w:color w:val="auto"/>
                <w:spacing w:val="-20"/>
                <w:sz w:val="21"/>
                <w:szCs w:val="21"/>
                <w:highlight w:val="none"/>
                <w:shd w:val="clear" w:color="auto" w:fill="auto"/>
              </w:rPr>
              <w:t>0</w:t>
            </w:r>
            <w:r>
              <w:rPr>
                <w:rFonts w:hint="eastAsia" w:ascii="Times New Roman" w:hAnsi="Times New Roman" w:cs="Times New Roman"/>
                <w:color w:val="auto"/>
                <w:spacing w:val="-20"/>
                <w:sz w:val="21"/>
                <w:szCs w:val="21"/>
                <w:highlight w:val="none"/>
                <w:shd w:val="clear" w:color="auto" w:fill="auto"/>
                <w:lang w:eastAsia="zh-CN"/>
              </w:rPr>
              <w:t>~</w:t>
            </w:r>
            <w:r>
              <w:rPr>
                <w:rFonts w:hint="default" w:ascii="Times New Roman" w:hAnsi="Times New Roman" w:eastAsia="宋体" w:cs="Times New Roman"/>
                <w:color w:val="auto"/>
                <w:spacing w:val="-20"/>
                <w:sz w:val="21"/>
                <w:szCs w:val="21"/>
                <w:highlight w:val="none"/>
                <w:shd w:val="clear" w:color="auto" w:fill="auto"/>
              </w:rPr>
              <w:t>20cm</w:t>
            </w:r>
          </w:p>
        </w:tc>
        <w:tc>
          <w:tcPr>
            <w:tcW w:w="1010" w:type="dxa"/>
            <w:vMerge w:val="continue"/>
            <w:tcBorders>
              <w:tl2br w:val="nil"/>
              <w:tr2bl w:val="nil"/>
            </w:tcBorders>
            <w:noWrap w:val="0"/>
            <w:vAlign w:val="center"/>
          </w:tcPr>
          <w:p>
            <w:pPr>
              <w:pStyle w:val="106"/>
              <w:jc w:val="center"/>
              <w:rPr>
                <w:rFonts w:hint="default" w:ascii="Times New Roman" w:hAnsi="Times New Roman" w:cs="Times New Roman"/>
                <w:color w:val="auto"/>
                <w:sz w:val="21"/>
                <w:szCs w:val="21"/>
                <w:highlight w:val="none"/>
                <w:shd w:val="clear" w:color="auto" w:fill="auto"/>
              </w:rPr>
            </w:pPr>
          </w:p>
        </w:tc>
        <w:tc>
          <w:tcPr>
            <w:tcW w:w="1114"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33</w:t>
            </w:r>
          </w:p>
        </w:tc>
        <w:tc>
          <w:tcPr>
            <w:tcW w:w="777" w:type="dxa"/>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仿宋_GB2312" w:cs="Times New Roman"/>
                <w:color w:val="auto"/>
                <w:sz w:val="21"/>
                <w:szCs w:val="21"/>
                <w:highlight w:val="none"/>
                <w:shd w:val="clear" w:color="auto" w:fill="auto"/>
                <w:lang w:val="en-US" w:eastAsia="zh-CN"/>
              </w:rPr>
            </w:pPr>
            <w:r>
              <w:rPr>
                <w:rFonts w:hint="eastAsia" w:eastAsia="仿宋_GB2312" w:cs="Times New Roman"/>
                <w:color w:val="auto"/>
                <w:sz w:val="21"/>
                <w:szCs w:val="21"/>
                <w:highlight w:val="none"/>
                <w:shd w:val="clear" w:color="auto" w:fill="auto"/>
                <w:lang w:val="en-US" w:eastAsia="zh-CN"/>
              </w:rPr>
              <w:t>0.007</w:t>
            </w:r>
          </w:p>
        </w:tc>
        <w:tc>
          <w:tcPr>
            <w:tcW w:w="686" w:type="dxa"/>
            <w:tcBorders>
              <w:tl2br w:val="nil"/>
              <w:tr2bl w:val="nil"/>
            </w:tcBorders>
            <w:noWrap w:val="0"/>
            <w:vAlign w:val="center"/>
          </w:tcPr>
          <w:p>
            <w:pPr>
              <w:widowControl/>
              <w:jc w:val="center"/>
              <w:textAlignment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bookmarkEnd w:id="565"/>
      <w:bookmarkEnd w:id="566"/>
    </w:tbl>
    <w:p>
      <w:pPr>
        <w:pStyle w:val="54"/>
        <w:ind w:left="0" w:leftChars="0" w:firstLine="0" w:firstLineChars="0"/>
        <w:jc w:val="center"/>
        <w:rPr>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rFonts w:hint="default" w:eastAsia="黑体"/>
          <w:color w:val="auto"/>
          <w:highlight w:val="none"/>
          <w:lang w:val="en-US" w:eastAsia="zh-CN"/>
        </w:rPr>
      </w:pPr>
      <w:r>
        <w:rPr>
          <w:color w:val="auto"/>
          <w:highlight w:val="none"/>
        </w:rPr>
        <w:t>表4.</w:t>
      </w:r>
      <w:r>
        <w:rPr>
          <w:rFonts w:hint="eastAsia"/>
          <w:color w:val="auto"/>
          <w:highlight w:val="none"/>
        </w:rPr>
        <w:t>5-</w:t>
      </w:r>
      <w:r>
        <w:rPr>
          <w:rFonts w:hint="eastAsia"/>
          <w:color w:val="auto"/>
          <w:highlight w:val="none"/>
          <w:lang w:val="en-US" w:eastAsia="zh-CN"/>
        </w:rPr>
        <w:t>5</w:t>
      </w:r>
      <w:r>
        <w:rPr>
          <w:rFonts w:hint="eastAsia"/>
          <w:color w:val="auto"/>
          <w:highlight w:val="none"/>
        </w:rPr>
        <w:t xml:space="preserve"> </w:t>
      </w:r>
      <w:r>
        <w:rPr>
          <w:color w:val="auto"/>
          <w:highlight w:val="none"/>
        </w:rPr>
        <w:t xml:space="preserve"> 占地范围外土壤环境质量评价</w:t>
      </w:r>
      <w:r>
        <w:rPr>
          <w:rFonts w:hint="eastAsia"/>
          <w:color w:val="auto"/>
          <w:highlight w:val="none"/>
          <w:lang w:val="en-US" w:eastAsia="zh-CN"/>
        </w:rPr>
        <w:t xml:space="preserve">  </w:t>
      </w:r>
      <w:r>
        <w:rPr>
          <w:rFonts w:hint="eastAsia"/>
          <w:color w:val="auto"/>
          <w:highlight w:val="none"/>
        </w:rPr>
        <w:t>（筛选值</w:t>
      </w:r>
      <w:r>
        <w:rPr>
          <w:color w:val="auto"/>
          <w:highlight w:val="none"/>
        </w:rPr>
        <w:t>pH</w:t>
      </w:r>
      <w:r>
        <w:rPr>
          <w:rFonts w:hint="eastAsia"/>
          <w:color w:val="auto"/>
          <w:highlight w:val="none"/>
          <w:lang w:val="en-US" w:eastAsia="zh-CN"/>
        </w:rPr>
        <w:t>＞</w:t>
      </w:r>
      <w:r>
        <w:rPr>
          <w:rFonts w:hint="eastAsia"/>
          <w:color w:val="auto"/>
          <w:highlight w:val="none"/>
        </w:rPr>
        <w:t>7.5）</w:t>
      </w:r>
    </w:p>
    <w:tbl>
      <w:tblPr>
        <w:tblStyle w:val="34"/>
        <w:tblW w:w="8825" w:type="dxa"/>
        <w:tblInd w:w="9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27"/>
        <w:gridCol w:w="1492"/>
        <w:gridCol w:w="1000"/>
        <w:gridCol w:w="787"/>
        <w:gridCol w:w="1264"/>
        <w:gridCol w:w="1186"/>
        <w:gridCol w:w="1538"/>
        <w:gridCol w:w="9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06" w:type="dxa"/>
            <w:gridSpan w:val="4"/>
            <w:tcBorders>
              <w:tl2br w:val="nil"/>
              <w:tr2bl w:val="nil"/>
            </w:tcBorders>
            <w:shd w:val="clear" w:color="auto" w:fill="auto"/>
            <w:noWrap/>
            <w:vAlign w:val="center"/>
          </w:tcPr>
          <w:p>
            <w:pPr>
              <w:pStyle w:val="41"/>
              <w:bidi w:val="0"/>
              <w:rPr>
                <w:color w:val="auto"/>
                <w:highlight w:val="none"/>
              </w:rPr>
            </w:pPr>
            <w:r>
              <w:rPr>
                <w:rFonts w:hint="eastAsia"/>
                <w:color w:val="auto"/>
                <w:highlight w:val="none"/>
              </w:rPr>
              <w:t>监测点位</w:t>
            </w:r>
          </w:p>
        </w:tc>
        <w:tc>
          <w:tcPr>
            <w:tcW w:w="2450" w:type="dxa"/>
            <w:gridSpan w:val="2"/>
            <w:tcBorders>
              <w:tl2br w:val="nil"/>
              <w:tr2bl w:val="nil"/>
            </w:tcBorders>
            <w:shd w:val="clear" w:color="auto" w:fill="auto"/>
            <w:noWrap/>
            <w:vAlign w:val="center"/>
          </w:tcPr>
          <w:p>
            <w:pPr>
              <w:pStyle w:val="41"/>
              <w:bidi w:val="0"/>
              <w:rPr>
                <w:color w:val="auto"/>
                <w:highlight w:val="none"/>
              </w:rPr>
            </w:pPr>
            <w:r>
              <w:rPr>
                <w:rFonts w:hint="default" w:ascii="Times New Roman" w:hAnsi="Times New Roman" w:eastAsia="宋体" w:cs="Times New Roman"/>
                <w:color w:val="auto"/>
                <w:highlight w:val="none"/>
                <w:lang w:val="en-US" w:eastAsia="zh-CN"/>
              </w:rPr>
              <w:t>拟建FTYHW0911</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2469" w:type="dxa"/>
            <w:gridSpan w:val="2"/>
            <w:tcBorders>
              <w:tl2br w:val="nil"/>
              <w:tr2bl w:val="nil"/>
            </w:tcBorders>
            <w:shd w:val="clear" w:color="auto" w:fill="auto"/>
            <w:noWrap/>
            <w:vAlign w:val="center"/>
          </w:tcPr>
          <w:p>
            <w:pPr>
              <w:pStyle w:val="41"/>
              <w:bidi w:val="0"/>
              <w:rPr>
                <w:color w:val="auto"/>
                <w:highlight w:val="none"/>
              </w:rPr>
            </w:pPr>
            <w:bookmarkStart w:id="569" w:name="OLE_LINK128"/>
            <w:r>
              <w:rPr>
                <w:rFonts w:hint="default" w:ascii="Times New Roman" w:hAnsi="Times New Roman" w:eastAsia="宋体" w:cs="Times New Roman"/>
                <w:color w:val="auto"/>
                <w:highlight w:val="none"/>
                <w:lang w:val="en-US" w:eastAsia="zh-CN"/>
              </w:rPr>
              <w:t>拟建</w:t>
            </w:r>
            <w:r>
              <w:rPr>
                <w:rFonts w:hint="eastAsia" w:ascii="Times New Roman" w:hAnsi="Times New Roman" w:eastAsia="宋体" w:cs="Times New Roman"/>
                <w:color w:val="auto"/>
                <w:highlight w:val="none"/>
                <w:lang w:val="en-US" w:eastAsia="zh-CN"/>
              </w:rPr>
              <w:t>净化油外输管线</w:t>
            </w:r>
            <w:r>
              <w:rPr>
                <w:rFonts w:hint="default" w:ascii="Times New Roman" w:hAnsi="Times New Roman" w:eastAsia="宋体" w:cs="Times New Roman"/>
                <w:color w:val="auto"/>
                <w:highlight w:val="none"/>
                <w:lang w:val="en-US" w:eastAsia="zh-CN"/>
              </w:rPr>
              <w:t>200m外</w:t>
            </w:r>
            <w:bookmarkEnd w:id="569"/>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3906" w:type="dxa"/>
            <w:gridSpan w:val="4"/>
            <w:tcBorders>
              <w:tl2br w:val="nil"/>
              <w:tr2bl w:val="nil"/>
            </w:tcBorders>
            <w:shd w:val="clear" w:color="auto" w:fill="auto"/>
            <w:noWrap/>
            <w:vAlign w:val="center"/>
          </w:tcPr>
          <w:p>
            <w:pPr>
              <w:pStyle w:val="41"/>
              <w:bidi w:val="0"/>
              <w:rPr>
                <w:color w:val="auto"/>
                <w:highlight w:val="none"/>
              </w:rPr>
            </w:pPr>
            <w:r>
              <w:rPr>
                <w:rFonts w:hint="eastAsia"/>
                <w:color w:val="auto"/>
                <w:highlight w:val="none"/>
              </w:rPr>
              <w:t>采样深度</w:t>
            </w:r>
          </w:p>
        </w:tc>
        <w:tc>
          <w:tcPr>
            <w:tcW w:w="2450" w:type="dxa"/>
            <w:gridSpan w:val="2"/>
            <w:tcBorders>
              <w:tl2br w:val="nil"/>
              <w:tr2bl w:val="nil"/>
            </w:tcBorders>
            <w:shd w:val="clear" w:color="auto" w:fill="auto"/>
            <w:noWrap/>
            <w:vAlign w:val="center"/>
          </w:tcPr>
          <w:p>
            <w:pPr>
              <w:pStyle w:val="41"/>
              <w:bidi w:val="0"/>
              <w:rPr>
                <w:color w:val="auto"/>
                <w:highlight w:val="none"/>
              </w:rPr>
            </w:pPr>
            <w:r>
              <w:rPr>
                <w:color w:val="auto"/>
                <w:highlight w:val="none"/>
              </w:rPr>
              <w:t>0-20cm</w:t>
            </w:r>
          </w:p>
        </w:tc>
        <w:tc>
          <w:tcPr>
            <w:tcW w:w="2469" w:type="dxa"/>
            <w:gridSpan w:val="2"/>
            <w:tcBorders>
              <w:tl2br w:val="nil"/>
              <w:tr2bl w:val="nil"/>
            </w:tcBorders>
            <w:shd w:val="clear" w:color="auto" w:fill="auto"/>
            <w:noWrap/>
            <w:vAlign w:val="center"/>
          </w:tcPr>
          <w:p>
            <w:pPr>
              <w:pStyle w:val="41"/>
              <w:bidi w:val="0"/>
              <w:rPr>
                <w:color w:val="auto"/>
                <w:highlight w:val="none"/>
              </w:rPr>
            </w:pPr>
            <w:r>
              <w:rPr>
                <w:color w:val="auto"/>
                <w:highlight w:val="none"/>
              </w:rPr>
              <w:t>0-20cm</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序号</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检测项目</w:t>
            </w:r>
          </w:p>
        </w:tc>
        <w:tc>
          <w:tcPr>
            <w:tcW w:w="1000"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单位</w:t>
            </w:r>
          </w:p>
        </w:tc>
        <w:tc>
          <w:tcPr>
            <w:tcW w:w="787"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筛选值</w:t>
            </w:r>
          </w:p>
        </w:tc>
        <w:tc>
          <w:tcPr>
            <w:tcW w:w="1264"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监测数据</w:t>
            </w:r>
          </w:p>
        </w:tc>
        <w:tc>
          <w:tcPr>
            <w:tcW w:w="1186" w:type="dxa"/>
            <w:tcBorders>
              <w:tl2br w:val="nil"/>
              <w:tr2bl w:val="nil"/>
            </w:tcBorders>
            <w:shd w:val="clear" w:color="auto" w:fill="auto"/>
            <w:vAlign w:val="center"/>
          </w:tcPr>
          <w:p>
            <w:pPr>
              <w:pStyle w:val="41"/>
              <w:bidi w:val="0"/>
              <w:rPr>
                <w:color w:val="auto"/>
                <w:highlight w:val="none"/>
              </w:rPr>
            </w:pPr>
            <w:r>
              <w:rPr>
                <w:color w:val="auto"/>
                <w:highlight w:val="none"/>
              </w:rPr>
              <w:t>Pi</w:t>
            </w:r>
          </w:p>
        </w:tc>
        <w:tc>
          <w:tcPr>
            <w:tcW w:w="1538"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监测数据</w:t>
            </w:r>
          </w:p>
        </w:tc>
        <w:tc>
          <w:tcPr>
            <w:tcW w:w="931" w:type="dxa"/>
            <w:tcBorders>
              <w:tl2br w:val="nil"/>
              <w:tr2bl w:val="nil"/>
            </w:tcBorders>
            <w:shd w:val="clear" w:color="auto" w:fill="auto"/>
            <w:vAlign w:val="center"/>
          </w:tcPr>
          <w:p>
            <w:pPr>
              <w:pStyle w:val="41"/>
              <w:bidi w:val="0"/>
              <w:rPr>
                <w:color w:val="auto"/>
                <w:highlight w:val="none"/>
              </w:rPr>
            </w:pPr>
            <w:r>
              <w:rPr>
                <w:color w:val="auto"/>
                <w:highlight w:val="none"/>
              </w:rPr>
              <w:t>Pi</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1</w:t>
            </w:r>
          </w:p>
        </w:tc>
        <w:tc>
          <w:tcPr>
            <w:tcW w:w="1492" w:type="dxa"/>
            <w:tcBorders>
              <w:tl2br w:val="nil"/>
              <w:tr2bl w:val="nil"/>
            </w:tcBorders>
            <w:shd w:val="clear" w:color="auto" w:fill="auto"/>
            <w:vAlign w:val="center"/>
          </w:tcPr>
          <w:p>
            <w:pPr>
              <w:pStyle w:val="41"/>
              <w:bidi w:val="0"/>
              <w:rPr>
                <w:color w:val="auto"/>
                <w:highlight w:val="none"/>
              </w:rPr>
            </w:pPr>
            <w:r>
              <w:rPr>
                <w:color w:val="auto"/>
                <w:highlight w:val="none"/>
              </w:rPr>
              <w:t>pH</w:t>
            </w:r>
            <w:r>
              <w:rPr>
                <w:rFonts w:hint="eastAsia"/>
                <w:color w:val="auto"/>
                <w:highlight w:val="none"/>
              </w:rPr>
              <w:t>值</w:t>
            </w:r>
          </w:p>
        </w:tc>
        <w:tc>
          <w:tcPr>
            <w:tcW w:w="1000"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无量纲</w:t>
            </w:r>
          </w:p>
        </w:tc>
        <w:tc>
          <w:tcPr>
            <w:tcW w:w="787" w:type="dxa"/>
            <w:tcBorders>
              <w:tl2br w:val="nil"/>
              <w:tr2bl w:val="nil"/>
            </w:tcBorders>
            <w:shd w:val="clear" w:color="auto" w:fill="auto"/>
            <w:vAlign w:val="center"/>
          </w:tcPr>
          <w:p>
            <w:pPr>
              <w:pStyle w:val="41"/>
              <w:bidi w:val="0"/>
              <w:rPr>
                <w:color w:val="auto"/>
                <w:highlight w:val="none"/>
              </w:rPr>
            </w:pPr>
            <w:r>
              <w:rPr>
                <w:color w:val="auto"/>
                <w:highlight w:val="none"/>
              </w:rPr>
              <w:t>/</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9.3</w:t>
            </w:r>
          </w:p>
        </w:tc>
        <w:tc>
          <w:tcPr>
            <w:tcW w:w="1186" w:type="dxa"/>
            <w:tcBorders>
              <w:tl2br w:val="nil"/>
              <w:tr2bl w:val="nil"/>
            </w:tcBorders>
            <w:shd w:val="clear" w:color="auto" w:fill="auto"/>
            <w:vAlign w:val="center"/>
          </w:tcPr>
          <w:p>
            <w:pPr>
              <w:pStyle w:val="41"/>
              <w:bidi w:val="0"/>
              <w:rPr>
                <w:color w:val="auto"/>
                <w:highlight w:val="none"/>
              </w:rPr>
            </w:pPr>
            <w:r>
              <w:rPr>
                <w:color w:val="auto"/>
                <w:highlight w:val="none"/>
              </w:rPr>
              <w:t>/</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8.72</w:t>
            </w:r>
          </w:p>
        </w:tc>
        <w:tc>
          <w:tcPr>
            <w:tcW w:w="931" w:type="dxa"/>
            <w:tcBorders>
              <w:tl2br w:val="nil"/>
              <w:tr2bl w:val="nil"/>
            </w:tcBorders>
            <w:shd w:val="clear" w:color="auto" w:fill="auto"/>
            <w:vAlign w:val="center"/>
          </w:tcPr>
          <w:p>
            <w:pPr>
              <w:pStyle w:val="41"/>
              <w:bidi w:val="0"/>
              <w:rPr>
                <w:color w:val="auto"/>
                <w:highlight w:val="none"/>
              </w:rPr>
            </w:pPr>
            <w:r>
              <w:rPr>
                <w:color w:val="auto"/>
                <w:highlight w:val="none"/>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2</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镉</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0.6</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0.02</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0.033</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0.01</w:t>
            </w:r>
          </w:p>
        </w:tc>
        <w:tc>
          <w:tcPr>
            <w:tcW w:w="931"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3</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汞</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3.4</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0.107</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0.031</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0.106</w:t>
            </w:r>
          </w:p>
        </w:tc>
        <w:tc>
          <w:tcPr>
            <w:tcW w:w="931"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0.031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4</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砷</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25</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3.30</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0.132</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3.06</w:t>
            </w:r>
          </w:p>
        </w:tc>
        <w:tc>
          <w:tcPr>
            <w:tcW w:w="931"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0.122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5</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铅</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170</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3.2</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0.019</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1.2</w:t>
            </w:r>
          </w:p>
        </w:tc>
        <w:tc>
          <w:tcPr>
            <w:tcW w:w="931"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0.007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6</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铬</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250</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10</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0.040</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11</w:t>
            </w:r>
          </w:p>
        </w:tc>
        <w:tc>
          <w:tcPr>
            <w:tcW w:w="931"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0.044</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7</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铜</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pPr>
              <w:pStyle w:val="41"/>
              <w:bidi w:val="0"/>
              <w:rPr>
                <w:color w:val="auto"/>
                <w:highlight w:val="none"/>
              </w:rPr>
            </w:pPr>
            <w:r>
              <w:rPr>
                <w:color w:val="auto"/>
                <w:highlight w:val="none"/>
              </w:rPr>
              <w:t>100</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19</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0.190</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22</w:t>
            </w:r>
          </w:p>
        </w:tc>
        <w:tc>
          <w:tcPr>
            <w:tcW w:w="931"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0.220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8</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镍</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190</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12</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0.063</w:t>
            </w:r>
          </w:p>
        </w:tc>
        <w:tc>
          <w:tcPr>
            <w:tcW w:w="1538" w:type="dxa"/>
            <w:tcBorders>
              <w:tl2br w:val="nil"/>
              <w:tr2bl w:val="nil"/>
            </w:tcBorders>
            <w:shd w:val="clear" w:color="auto" w:fill="auto"/>
            <w:vAlign w:val="center"/>
          </w:tcPr>
          <w:p>
            <w:pPr>
              <w:pStyle w:val="41"/>
              <w:bidi w:val="0"/>
              <w:rPr>
                <w:rFonts w:hint="eastAsia" w:eastAsia="宋体"/>
                <w:color w:val="auto"/>
                <w:highlight w:val="none"/>
                <w:lang w:val="en-US" w:eastAsia="zh-CN"/>
              </w:rPr>
            </w:pPr>
            <w:r>
              <w:rPr>
                <w:rFonts w:hint="eastAsia"/>
                <w:color w:val="auto"/>
                <w:highlight w:val="none"/>
                <w:lang w:val="en-US" w:eastAsia="zh-CN"/>
              </w:rPr>
              <w:t>8</w:t>
            </w:r>
          </w:p>
        </w:tc>
        <w:tc>
          <w:tcPr>
            <w:tcW w:w="931"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0.042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9</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锌</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mg/kg</w:t>
            </w:r>
          </w:p>
        </w:tc>
        <w:tc>
          <w:tcPr>
            <w:tcW w:w="787" w:type="dxa"/>
            <w:tcBorders>
              <w:tl2br w:val="nil"/>
              <w:tr2bl w:val="nil"/>
            </w:tcBorders>
            <w:shd w:val="clear" w:color="auto" w:fill="auto"/>
            <w:noWrap/>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300</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32</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0.107</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17</w:t>
            </w:r>
          </w:p>
        </w:tc>
        <w:tc>
          <w:tcPr>
            <w:tcW w:w="931"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10</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石油烃</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mg/kg</w:t>
            </w:r>
          </w:p>
        </w:tc>
        <w:tc>
          <w:tcPr>
            <w:tcW w:w="787" w:type="dxa"/>
            <w:tcBorders>
              <w:tl2br w:val="nil"/>
              <w:tr2bl w:val="nil"/>
            </w:tcBorders>
            <w:shd w:val="clear" w:color="auto" w:fill="auto"/>
            <w:vAlign w:val="center"/>
          </w:tcPr>
          <w:p>
            <w:pPr>
              <w:pStyle w:val="41"/>
              <w:bidi w:val="0"/>
              <w:rPr>
                <w:color w:val="auto"/>
                <w:highlight w:val="none"/>
              </w:rPr>
            </w:pPr>
            <w:r>
              <w:rPr>
                <w:color w:val="auto"/>
                <w:highlight w:val="none"/>
              </w:rPr>
              <w:t>4500</w:t>
            </w:r>
          </w:p>
        </w:tc>
        <w:tc>
          <w:tcPr>
            <w:tcW w:w="1264" w:type="dxa"/>
            <w:tcBorders>
              <w:tl2br w:val="nil"/>
              <w:tr2bl w:val="nil"/>
            </w:tcBorders>
            <w:shd w:val="clear" w:color="auto" w:fill="auto"/>
            <w:vAlign w:val="center"/>
          </w:tcPr>
          <w:p>
            <w:pPr>
              <w:pStyle w:val="41"/>
              <w:bidi w:val="0"/>
              <w:rPr>
                <w:rFonts w:hint="eastAsia" w:eastAsia="宋体"/>
                <w:color w:val="auto"/>
                <w:highlight w:val="none"/>
                <w:lang w:val="en-US" w:eastAsia="zh-CN"/>
              </w:rPr>
            </w:pPr>
            <w:r>
              <w:rPr>
                <w:rFonts w:hint="eastAsia"/>
                <w:color w:val="auto"/>
                <w:highlight w:val="none"/>
                <w:lang w:val="en-US" w:eastAsia="zh-CN"/>
              </w:rPr>
              <w:t>7</w:t>
            </w:r>
          </w:p>
        </w:tc>
        <w:tc>
          <w:tcPr>
            <w:tcW w:w="1186"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0.002</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13</w:t>
            </w:r>
          </w:p>
        </w:tc>
        <w:tc>
          <w:tcPr>
            <w:tcW w:w="931" w:type="dxa"/>
            <w:tcBorders>
              <w:tl2br w:val="nil"/>
              <w:tr2bl w:val="nil"/>
            </w:tcBorders>
            <w:shd w:val="clear" w:color="auto" w:fill="auto"/>
            <w:vAlign w:val="center"/>
          </w:tcPr>
          <w:p>
            <w:pPr>
              <w:keepNext w:val="0"/>
              <w:keepLines w:val="0"/>
              <w:widowControl/>
              <w:suppressLineNumbers w:val="0"/>
              <w:jc w:val="center"/>
              <w:textAlignment w:val="center"/>
              <w:rPr>
                <w:color w:val="auto"/>
                <w:highlight w:val="none"/>
              </w:rPr>
            </w:pPr>
            <w:r>
              <w:rPr>
                <w:rFonts w:hint="default" w:ascii="Times New Roman" w:hAnsi="Times New Roman" w:eastAsia="宋体" w:cs="Times New Roman"/>
                <w:i w:val="0"/>
                <w:iCs w:val="0"/>
                <w:color w:val="auto"/>
                <w:kern w:val="0"/>
                <w:sz w:val="21"/>
                <w:szCs w:val="21"/>
                <w:u w:val="none"/>
                <w:lang w:val="en-US" w:eastAsia="zh-CN" w:bidi="ar"/>
              </w:rPr>
              <w:t>0.003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627" w:type="dxa"/>
            <w:tcBorders>
              <w:tl2br w:val="nil"/>
              <w:tr2bl w:val="nil"/>
            </w:tcBorders>
            <w:shd w:val="clear" w:color="auto" w:fill="auto"/>
            <w:vAlign w:val="center"/>
          </w:tcPr>
          <w:p>
            <w:pPr>
              <w:pStyle w:val="41"/>
              <w:bidi w:val="0"/>
              <w:rPr>
                <w:color w:val="auto"/>
                <w:highlight w:val="none"/>
              </w:rPr>
            </w:pPr>
            <w:r>
              <w:rPr>
                <w:color w:val="auto"/>
                <w:highlight w:val="none"/>
              </w:rPr>
              <w:t>11</w:t>
            </w:r>
          </w:p>
        </w:tc>
        <w:tc>
          <w:tcPr>
            <w:tcW w:w="1492" w:type="dxa"/>
            <w:tcBorders>
              <w:tl2br w:val="nil"/>
              <w:tr2bl w:val="nil"/>
            </w:tcBorders>
            <w:shd w:val="clear" w:color="auto" w:fill="auto"/>
            <w:vAlign w:val="center"/>
          </w:tcPr>
          <w:p>
            <w:pPr>
              <w:pStyle w:val="41"/>
              <w:bidi w:val="0"/>
              <w:rPr>
                <w:color w:val="auto"/>
                <w:highlight w:val="none"/>
              </w:rPr>
            </w:pPr>
            <w:r>
              <w:rPr>
                <w:rFonts w:hint="eastAsia"/>
                <w:color w:val="auto"/>
                <w:highlight w:val="none"/>
              </w:rPr>
              <w:t>水溶性盐总量</w:t>
            </w:r>
          </w:p>
        </w:tc>
        <w:tc>
          <w:tcPr>
            <w:tcW w:w="1000" w:type="dxa"/>
            <w:tcBorders>
              <w:tl2br w:val="nil"/>
              <w:tr2bl w:val="nil"/>
            </w:tcBorders>
            <w:shd w:val="clear" w:color="auto" w:fill="auto"/>
            <w:vAlign w:val="center"/>
          </w:tcPr>
          <w:p>
            <w:pPr>
              <w:pStyle w:val="41"/>
              <w:bidi w:val="0"/>
              <w:rPr>
                <w:color w:val="auto"/>
                <w:highlight w:val="none"/>
              </w:rPr>
            </w:pPr>
            <w:r>
              <w:rPr>
                <w:color w:val="auto"/>
                <w:highlight w:val="none"/>
              </w:rPr>
              <w:t>g/kg</w:t>
            </w:r>
          </w:p>
        </w:tc>
        <w:tc>
          <w:tcPr>
            <w:tcW w:w="787" w:type="dxa"/>
            <w:tcBorders>
              <w:tl2br w:val="nil"/>
              <w:tr2bl w:val="nil"/>
            </w:tcBorders>
            <w:shd w:val="clear" w:color="auto" w:fill="auto"/>
            <w:vAlign w:val="center"/>
          </w:tcPr>
          <w:p>
            <w:pPr>
              <w:pStyle w:val="41"/>
              <w:bidi w:val="0"/>
              <w:rPr>
                <w:color w:val="auto"/>
                <w:highlight w:val="none"/>
              </w:rPr>
            </w:pPr>
            <w:r>
              <w:rPr>
                <w:color w:val="auto"/>
                <w:highlight w:val="none"/>
              </w:rPr>
              <w:t>/</w:t>
            </w:r>
          </w:p>
        </w:tc>
        <w:tc>
          <w:tcPr>
            <w:tcW w:w="1264"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0.5</w:t>
            </w:r>
          </w:p>
        </w:tc>
        <w:tc>
          <w:tcPr>
            <w:tcW w:w="1186" w:type="dxa"/>
            <w:tcBorders>
              <w:tl2br w:val="nil"/>
              <w:tr2bl w:val="nil"/>
            </w:tcBorders>
            <w:shd w:val="clear" w:color="auto" w:fill="auto"/>
            <w:vAlign w:val="center"/>
          </w:tcPr>
          <w:p>
            <w:pPr>
              <w:pStyle w:val="41"/>
              <w:bidi w:val="0"/>
              <w:rPr>
                <w:color w:val="auto"/>
                <w:highlight w:val="none"/>
              </w:rPr>
            </w:pPr>
            <w:r>
              <w:rPr>
                <w:color w:val="auto"/>
                <w:highlight w:val="none"/>
              </w:rPr>
              <w:t>/</w:t>
            </w:r>
          </w:p>
        </w:tc>
        <w:tc>
          <w:tcPr>
            <w:tcW w:w="1538" w:type="dxa"/>
            <w:tcBorders>
              <w:tl2br w:val="nil"/>
              <w:tr2bl w:val="nil"/>
            </w:tcBorders>
            <w:shd w:val="clear" w:color="auto" w:fill="auto"/>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13.4</w:t>
            </w:r>
          </w:p>
        </w:tc>
        <w:tc>
          <w:tcPr>
            <w:tcW w:w="931" w:type="dxa"/>
            <w:tcBorders>
              <w:tl2br w:val="nil"/>
              <w:tr2bl w:val="nil"/>
            </w:tcBorders>
            <w:shd w:val="clear" w:color="auto" w:fill="auto"/>
            <w:vAlign w:val="center"/>
          </w:tcPr>
          <w:p>
            <w:pPr>
              <w:pStyle w:val="41"/>
              <w:bidi w:val="0"/>
              <w:rPr>
                <w:color w:val="auto"/>
                <w:highlight w:val="none"/>
              </w:rPr>
            </w:pPr>
            <w:r>
              <w:rPr>
                <w:color w:val="auto"/>
                <w:highlight w:val="none"/>
              </w:rPr>
              <w:t>/</w:t>
            </w:r>
          </w:p>
        </w:tc>
      </w:tr>
    </w:tbl>
    <w:p>
      <w:pPr>
        <w:pStyle w:val="57"/>
        <w:rPr>
          <w:color w:val="auto"/>
          <w:highlight w:val="none"/>
        </w:rPr>
      </w:pPr>
      <w:r>
        <w:rPr>
          <w:color w:val="auto"/>
          <w:highlight w:val="none"/>
        </w:rPr>
        <w:t>从评价结果可以看出，项目区</w:t>
      </w:r>
      <w:r>
        <w:rPr>
          <w:rFonts w:hint="eastAsia"/>
          <w:color w:val="auto"/>
          <w:highlight w:val="none"/>
        </w:rPr>
        <w:t>占地范围内</w:t>
      </w:r>
      <w:r>
        <w:rPr>
          <w:color w:val="auto"/>
          <w:highlight w:val="none"/>
        </w:rPr>
        <w:t>土壤的挥发性有机物和半挥发性有机物均未检出。土壤中石油烃含量较低，满足《土壤环境质量 建设用地土壤污染风险管控标准（试行）》（GB36600-2018）第二类用地风险筛选值要求。重金属元素含量相对较低，场站内土壤满足《土壤环境质量 建设用地土壤污染风险管控标准</w:t>
      </w:r>
      <w:r>
        <w:rPr>
          <w:rFonts w:hint="eastAsia"/>
          <w:color w:val="auto"/>
          <w:highlight w:val="none"/>
        </w:rPr>
        <w:t>（</w:t>
      </w:r>
      <w:r>
        <w:rPr>
          <w:color w:val="auto"/>
          <w:highlight w:val="none"/>
        </w:rPr>
        <w:t>试行</w:t>
      </w:r>
      <w:r>
        <w:rPr>
          <w:rFonts w:hint="eastAsia"/>
          <w:color w:val="auto"/>
          <w:highlight w:val="none"/>
        </w:rPr>
        <w:t>）</w:t>
      </w:r>
      <w:r>
        <w:rPr>
          <w:color w:val="auto"/>
          <w:highlight w:val="none"/>
        </w:rPr>
        <w:t>》</w:t>
      </w:r>
      <w:r>
        <w:rPr>
          <w:rFonts w:hint="eastAsia"/>
          <w:color w:val="auto"/>
          <w:highlight w:val="none"/>
        </w:rPr>
        <w:t>（</w:t>
      </w:r>
      <w:r>
        <w:rPr>
          <w:color w:val="auto"/>
          <w:highlight w:val="none"/>
        </w:rPr>
        <w:t>GB36600-2018</w:t>
      </w:r>
      <w:r>
        <w:rPr>
          <w:rFonts w:hint="eastAsia"/>
          <w:color w:val="auto"/>
          <w:highlight w:val="none"/>
        </w:rPr>
        <w:t>）</w:t>
      </w:r>
      <w:r>
        <w:rPr>
          <w:color w:val="auto"/>
          <w:highlight w:val="none"/>
        </w:rPr>
        <w:t>中表1 第二类用地筛选值标准要求。</w:t>
      </w:r>
    </w:p>
    <w:p>
      <w:pPr>
        <w:pStyle w:val="57"/>
        <w:rPr>
          <w:color w:val="auto"/>
          <w:highlight w:val="none"/>
        </w:rPr>
      </w:pPr>
      <w:r>
        <w:rPr>
          <w:color w:val="auto"/>
          <w:highlight w:val="none"/>
        </w:rPr>
        <w:t>项目区</w:t>
      </w:r>
      <w:r>
        <w:rPr>
          <w:rFonts w:hint="eastAsia"/>
          <w:color w:val="auto"/>
          <w:highlight w:val="none"/>
        </w:rPr>
        <w:t>占地范围外</w:t>
      </w:r>
      <w:r>
        <w:rPr>
          <w:color w:val="auto"/>
          <w:highlight w:val="none"/>
        </w:rPr>
        <w:t>土壤中重金属元素含量相对较低，小于《土壤环境质量 农用地土壤污染风险管控标准（试行）》（GB156 18-2018）中“表.1农用地土壤污染风险筛选值（基</w:t>
      </w:r>
      <w:r>
        <w:rPr>
          <w:rFonts w:hint="eastAsia"/>
          <w:color w:val="auto"/>
          <w:highlight w:val="none"/>
        </w:rPr>
        <w:t>本工程</w:t>
      </w:r>
      <w:r>
        <w:rPr>
          <w:color w:val="auto"/>
          <w:highlight w:val="none"/>
        </w:rPr>
        <w:t>）”</w:t>
      </w:r>
      <w:r>
        <w:rPr>
          <w:rFonts w:hint="eastAsia"/>
          <w:color w:val="auto"/>
          <w:highlight w:val="none"/>
        </w:rPr>
        <w:t>相应</w:t>
      </w:r>
      <w:r>
        <w:rPr>
          <w:color w:val="auto"/>
          <w:highlight w:val="none"/>
        </w:rPr>
        <w:t>标准；土壤中石油烃含量较低，满足《土壤环境质量 建设用地土壤污染风险管控标准（试行）》（GB36600-2018）第二类用地风险筛选值要求。</w:t>
      </w:r>
    </w:p>
    <w:p>
      <w:pPr>
        <w:pStyle w:val="57"/>
        <w:bidi w:val="0"/>
        <w:rPr>
          <w:color w:val="auto"/>
          <w:highlight w:val="none"/>
        </w:rPr>
      </w:pPr>
      <w:r>
        <w:rPr>
          <w:rFonts w:hint="eastAsia"/>
          <w:color w:val="auto"/>
          <w:highlight w:val="none"/>
        </w:rPr>
        <w:t>（4）</w:t>
      </w:r>
      <w:r>
        <w:rPr>
          <w:color w:val="auto"/>
          <w:highlight w:val="none"/>
        </w:rPr>
        <w:t>土壤酸化和盐化现状</w:t>
      </w:r>
    </w:p>
    <w:p>
      <w:pPr>
        <w:pStyle w:val="57"/>
        <w:bidi w:val="0"/>
        <w:rPr>
          <w:color w:val="auto"/>
          <w:highlight w:val="none"/>
        </w:rPr>
      </w:pPr>
      <w:r>
        <w:rPr>
          <w:color w:val="auto"/>
          <w:highlight w:val="none"/>
        </w:rPr>
        <w:t>对照《环境影响评价技术导则土壤环境</w:t>
      </w:r>
      <w:r>
        <w:rPr>
          <w:rFonts w:hint="eastAsia"/>
          <w:color w:val="auto"/>
          <w:highlight w:val="none"/>
          <w:lang w:eastAsia="zh-CN"/>
        </w:rPr>
        <w:t>（试行）》</w:t>
      </w:r>
      <w:r>
        <w:rPr>
          <w:color w:val="auto"/>
          <w:highlight w:val="none"/>
        </w:rPr>
        <w:t>（HJ964-2018）附录D，土壤盐化分级标准见表4.</w:t>
      </w:r>
      <w:r>
        <w:rPr>
          <w:rFonts w:hint="eastAsia"/>
          <w:color w:val="auto"/>
          <w:highlight w:val="none"/>
          <w:lang w:val="en-US" w:eastAsia="zh-CN"/>
        </w:rPr>
        <w:t>5-6</w:t>
      </w:r>
      <w:r>
        <w:rPr>
          <w:color w:val="auto"/>
          <w:highlight w:val="none"/>
        </w:rPr>
        <w:t>，土壤酸化、碱化分级标准见表4.</w:t>
      </w:r>
      <w:r>
        <w:rPr>
          <w:rFonts w:hint="eastAsia"/>
          <w:color w:val="auto"/>
          <w:highlight w:val="none"/>
          <w:lang w:val="en-US" w:eastAsia="zh-CN"/>
        </w:rPr>
        <w:t>5-7</w:t>
      </w:r>
      <w:r>
        <w:rPr>
          <w:color w:val="auto"/>
          <w:highlight w:val="none"/>
        </w:rPr>
        <w:t>。项目属于干旱、半荒漠和荒漠地区，项目所在区域土壤盐化、酸化碱化现状见表4.</w:t>
      </w:r>
      <w:r>
        <w:rPr>
          <w:rFonts w:hint="eastAsia"/>
          <w:color w:val="auto"/>
          <w:highlight w:val="none"/>
          <w:lang w:val="en-US" w:eastAsia="zh-CN"/>
        </w:rPr>
        <w:t>5-8</w:t>
      </w:r>
      <w:r>
        <w:rPr>
          <w:color w:val="auto"/>
          <w:highlight w:val="none"/>
        </w:rPr>
        <w:t>。</w:t>
      </w:r>
    </w:p>
    <w:p>
      <w:pPr>
        <w:pStyle w:val="54"/>
        <w:bidi w:val="0"/>
        <w:rPr>
          <w:rFonts w:ascii="黑体" w:hAnsi="黑体" w:eastAsia="黑体"/>
          <w:bCs/>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eastAsia="黑体"/>
          <w:bCs/>
          <w:color w:val="auto"/>
          <w:highlight w:val="none"/>
        </w:rPr>
      </w:pPr>
      <w:r>
        <w:rPr>
          <w:rFonts w:ascii="黑体" w:hAnsi="黑体" w:eastAsia="黑体"/>
          <w:bCs/>
          <w:color w:val="auto"/>
          <w:highlight w:val="none"/>
        </w:rPr>
        <w:t>表</w:t>
      </w:r>
      <w:r>
        <w:rPr>
          <w:rFonts w:eastAsia="黑体"/>
          <w:bCs/>
          <w:color w:val="auto"/>
          <w:highlight w:val="none"/>
        </w:rPr>
        <w:t>4.</w:t>
      </w:r>
      <w:r>
        <w:rPr>
          <w:rFonts w:hint="eastAsia"/>
          <w:bCs/>
          <w:color w:val="auto"/>
          <w:highlight w:val="none"/>
          <w:lang w:val="en-US" w:eastAsia="zh-CN"/>
        </w:rPr>
        <w:t>5-6</w:t>
      </w:r>
      <w:r>
        <w:rPr>
          <w:rFonts w:eastAsia="黑体"/>
          <w:bCs/>
          <w:color w:val="auto"/>
          <w:highlight w:val="none"/>
        </w:rPr>
        <w:t xml:space="preserve">  </w:t>
      </w:r>
      <w:r>
        <w:rPr>
          <w:rFonts w:ascii="黑体" w:hAnsi="黑体" w:eastAsia="黑体"/>
          <w:bCs/>
          <w:color w:val="auto"/>
          <w:highlight w:val="none"/>
        </w:rPr>
        <w:t>土壤盐化分级标准</w:t>
      </w:r>
    </w:p>
    <w:tbl>
      <w:tblPr>
        <w:tblStyle w:val="62"/>
        <w:tblW w:w="8369" w:type="dxa"/>
        <w:tblInd w:w="74"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95"/>
        <w:gridCol w:w="3305"/>
        <w:gridCol w:w="3469"/>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vMerge w:val="restart"/>
            <w:tcBorders>
              <w:top w:val="single" w:color="auto" w:sz="12" w:space="0"/>
              <w:left w:val="single" w:color="auto" w:sz="12"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分级</w:t>
            </w:r>
          </w:p>
        </w:tc>
        <w:tc>
          <w:tcPr>
            <w:tcW w:w="6774" w:type="dxa"/>
            <w:gridSpan w:val="2"/>
            <w:tcBorders>
              <w:top w:val="single" w:color="auto" w:sz="12" w:space="0"/>
              <w:left w:val="single" w:color="auto" w:sz="6" w:space="0"/>
              <w:bottom w:val="single" w:color="auto" w:sz="6" w:space="0"/>
              <w:right w:val="single" w:color="auto" w:sz="12" w:space="0"/>
            </w:tcBorders>
            <w:vAlign w:val="center"/>
          </w:tcPr>
          <w:p>
            <w:pPr>
              <w:pStyle w:val="41"/>
              <w:bidi w:val="0"/>
              <w:jc w:val="center"/>
              <w:rPr>
                <w:color w:val="auto"/>
                <w:highlight w:val="none"/>
              </w:rPr>
            </w:pPr>
            <w:r>
              <w:rPr>
                <w:color w:val="auto"/>
                <w:highlight w:val="none"/>
              </w:rPr>
              <w:t>土壤含盐量</w:t>
            </w:r>
            <w:r>
              <w:rPr>
                <w:rFonts w:hint="eastAsia"/>
                <w:color w:val="auto"/>
                <w:highlight w:val="none"/>
                <w:lang w:eastAsia="zh-CN"/>
              </w:rPr>
              <w:t>（</w:t>
            </w:r>
            <w:r>
              <w:rPr>
                <w:color w:val="auto"/>
                <w:highlight w:val="none"/>
              </w:rPr>
              <w:t>SSC</w:t>
            </w:r>
            <w:r>
              <w:rPr>
                <w:rFonts w:hint="eastAsia"/>
                <w:color w:val="auto"/>
                <w:highlight w:val="none"/>
                <w:lang w:eastAsia="zh-CN"/>
              </w:rPr>
              <w:t>）</w:t>
            </w:r>
            <w:r>
              <w:rPr>
                <w:color w:val="auto"/>
                <w:highlight w:val="none"/>
              </w:rPr>
              <w:t>/</w:t>
            </w:r>
            <w:r>
              <w:rPr>
                <w:rFonts w:hint="eastAsia"/>
                <w:color w:val="auto"/>
                <w:highlight w:val="none"/>
                <w:lang w:eastAsia="zh-CN"/>
              </w:rPr>
              <w:t>（</w:t>
            </w:r>
            <w:r>
              <w:rPr>
                <w:color w:val="auto"/>
                <w:highlight w:val="none"/>
              </w:rPr>
              <w:t>g/kg</w:t>
            </w:r>
            <w:r>
              <w:rPr>
                <w:rFonts w:hint="eastAsia"/>
                <w:color w:val="auto"/>
                <w:highlight w:val="none"/>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vMerge w:val="continue"/>
            <w:tcBorders>
              <w:top w:val="single" w:color="auto" w:sz="12" w:space="0"/>
              <w:left w:val="single" w:color="auto" w:sz="12" w:space="0"/>
              <w:bottom w:val="single" w:color="auto" w:sz="6" w:space="0"/>
              <w:right w:val="single" w:color="auto" w:sz="6" w:space="0"/>
            </w:tcBorders>
            <w:vAlign w:val="center"/>
          </w:tcPr>
          <w:p>
            <w:pPr>
              <w:pStyle w:val="41"/>
              <w:bidi w:val="0"/>
              <w:jc w:val="center"/>
              <w:rPr>
                <w:color w:val="auto"/>
                <w:highlight w:val="none"/>
              </w:rPr>
            </w:pPr>
          </w:p>
        </w:tc>
        <w:tc>
          <w:tcPr>
            <w:tcW w:w="3305" w:type="dxa"/>
            <w:tcBorders>
              <w:top w:val="single" w:color="auto" w:sz="6" w:space="0"/>
              <w:left w:val="single" w:color="auto" w:sz="6"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滨海、半湿润和半干旱地区</w:t>
            </w:r>
          </w:p>
        </w:tc>
        <w:tc>
          <w:tcPr>
            <w:tcW w:w="3469" w:type="dxa"/>
            <w:tcBorders>
              <w:top w:val="single" w:color="auto" w:sz="6" w:space="0"/>
              <w:left w:val="single" w:color="auto" w:sz="6" w:space="0"/>
              <w:bottom w:val="single" w:color="auto" w:sz="6" w:space="0"/>
              <w:right w:val="single" w:color="auto" w:sz="12" w:space="0"/>
            </w:tcBorders>
            <w:vAlign w:val="center"/>
          </w:tcPr>
          <w:p>
            <w:pPr>
              <w:pStyle w:val="41"/>
              <w:bidi w:val="0"/>
              <w:jc w:val="center"/>
              <w:rPr>
                <w:color w:val="auto"/>
                <w:highlight w:val="none"/>
              </w:rPr>
            </w:pPr>
            <w:r>
              <w:rPr>
                <w:color w:val="auto"/>
                <w:highlight w:val="none"/>
              </w:rPr>
              <w:t>干旱、半荒漠和荒漠地区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未盐化</w:t>
            </w:r>
          </w:p>
        </w:tc>
        <w:tc>
          <w:tcPr>
            <w:tcW w:w="3305" w:type="dxa"/>
            <w:tcBorders>
              <w:top w:val="single" w:color="auto" w:sz="6" w:space="0"/>
              <w:left w:val="single" w:color="auto" w:sz="6"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SSC&lt;1</w:t>
            </w:r>
          </w:p>
        </w:tc>
        <w:tc>
          <w:tcPr>
            <w:tcW w:w="3469" w:type="dxa"/>
            <w:tcBorders>
              <w:top w:val="single" w:color="auto" w:sz="6" w:space="0"/>
              <w:left w:val="single" w:color="auto" w:sz="6" w:space="0"/>
              <w:bottom w:val="single" w:color="auto" w:sz="6" w:space="0"/>
              <w:right w:val="single" w:color="auto" w:sz="12" w:space="0"/>
            </w:tcBorders>
            <w:vAlign w:val="center"/>
          </w:tcPr>
          <w:p>
            <w:pPr>
              <w:pStyle w:val="41"/>
              <w:bidi w:val="0"/>
              <w:jc w:val="center"/>
              <w:rPr>
                <w:color w:val="auto"/>
                <w:highlight w:val="none"/>
              </w:rPr>
            </w:pPr>
            <w:r>
              <w:rPr>
                <w:color w:val="auto"/>
                <w:highlight w:val="none"/>
              </w:rPr>
              <w:t>SSC&lt;2</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轻度盐化</w:t>
            </w:r>
          </w:p>
        </w:tc>
        <w:tc>
          <w:tcPr>
            <w:tcW w:w="3305" w:type="dxa"/>
            <w:tcBorders>
              <w:top w:val="single" w:color="auto" w:sz="6" w:space="0"/>
              <w:left w:val="single" w:color="auto" w:sz="6"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1≤SSC&lt;2</w:t>
            </w:r>
          </w:p>
        </w:tc>
        <w:tc>
          <w:tcPr>
            <w:tcW w:w="3469" w:type="dxa"/>
            <w:tcBorders>
              <w:top w:val="single" w:color="auto" w:sz="6" w:space="0"/>
              <w:left w:val="single" w:color="auto" w:sz="6" w:space="0"/>
              <w:bottom w:val="single" w:color="auto" w:sz="6" w:space="0"/>
              <w:right w:val="single" w:color="auto" w:sz="12" w:space="0"/>
            </w:tcBorders>
            <w:vAlign w:val="center"/>
          </w:tcPr>
          <w:p>
            <w:pPr>
              <w:pStyle w:val="41"/>
              <w:bidi w:val="0"/>
              <w:jc w:val="center"/>
              <w:rPr>
                <w:color w:val="auto"/>
                <w:highlight w:val="none"/>
              </w:rPr>
            </w:pPr>
            <w:r>
              <w:rPr>
                <w:color w:val="auto"/>
                <w:highlight w:val="none"/>
              </w:rPr>
              <w:t>2≤SSC&lt;3</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中度盐化</w:t>
            </w:r>
          </w:p>
        </w:tc>
        <w:tc>
          <w:tcPr>
            <w:tcW w:w="3305" w:type="dxa"/>
            <w:tcBorders>
              <w:top w:val="single" w:color="auto" w:sz="6" w:space="0"/>
              <w:left w:val="single" w:color="auto" w:sz="6"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2≤SSC&lt;4</w:t>
            </w:r>
          </w:p>
        </w:tc>
        <w:tc>
          <w:tcPr>
            <w:tcW w:w="3469" w:type="dxa"/>
            <w:tcBorders>
              <w:top w:val="single" w:color="auto" w:sz="6" w:space="0"/>
              <w:left w:val="single" w:color="auto" w:sz="6" w:space="0"/>
              <w:bottom w:val="single" w:color="auto" w:sz="6" w:space="0"/>
              <w:right w:val="single" w:color="auto" w:sz="12" w:space="0"/>
            </w:tcBorders>
            <w:vAlign w:val="center"/>
          </w:tcPr>
          <w:p>
            <w:pPr>
              <w:pStyle w:val="41"/>
              <w:bidi w:val="0"/>
              <w:jc w:val="center"/>
              <w:rPr>
                <w:color w:val="auto"/>
                <w:highlight w:val="none"/>
              </w:rPr>
            </w:pPr>
            <w:r>
              <w:rPr>
                <w:color w:val="auto"/>
                <w:highlight w:val="none"/>
              </w:rPr>
              <w:t>3≤SSC&lt;5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重度盐化</w:t>
            </w:r>
          </w:p>
        </w:tc>
        <w:tc>
          <w:tcPr>
            <w:tcW w:w="3305" w:type="dxa"/>
            <w:tcBorders>
              <w:top w:val="single" w:color="auto" w:sz="6" w:space="0"/>
              <w:left w:val="single" w:color="auto" w:sz="6" w:space="0"/>
              <w:bottom w:val="single" w:color="auto" w:sz="6" w:space="0"/>
              <w:right w:val="single" w:color="auto" w:sz="6" w:space="0"/>
            </w:tcBorders>
            <w:vAlign w:val="center"/>
          </w:tcPr>
          <w:p>
            <w:pPr>
              <w:pStyle w:val="41"/>
              <w:bidi w:val="0"/>
              <w:jc w:val="center"/>
              <w:rPr>
                <w:color w:val="auto"/>
                <w:highlight w:val="none"/>
              </w:rPr>
            </w:pPr>
            <w:r>
              <w:rPr>
                <w:color w:val="auto"/>
                <w:highlight w:val="none"/>
              </w:rPr>
              <w:t>4≤SC&lt;6</w:t>
            </w:r>
          </w:p>
        </w:tc>
        <w:tc>
          <w:tcPr>
            <w:tcW w:w="3469" w:type="dxa"/>
            <w:tcBorders>
              <w:top w:val="single" w:color="auto" w:sz="6" w:space="0"/>
              <w:left w:val="single" w:color="auto" w:sz="6" w:space="0"/>
              <w:bottom w:val="single" w:color="auto" w:sz="6" w:space="0"/>
              <w:right w:val="single" w:color="auto" w:sz="12" w:space="0"/>
            </w:tcBorders>
            <w:vAlign w:val="center"/>
          </w:tcPr>
          <w:p>
            <w:pPr>
              <w:pStyle w:val="41"/>
              <w:bidi w:val="0"/>
              <w:jc w:val="center"/>
              <w:rPr>
                <w:color w:val="auto"/>
                <w:highlight w:val="none"/>
              </w:rPr>
            </w:pPr>
            <w:r>
              <w:rPr>
                <w:color w:val="auto"/>
                <w:highlight w:val="none"/>
              </w:rPr>
              <w:t>5≤SSC&lt;10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95" w:hRule="atLeast"/>
        </w:trPr>
        <w:tc>
          <w:tcPr>
            <w:tcW w:w="1595" w:type="dxa"/>
            <w:tcBorders>
              <w:top w:val="single" w:color="auto" w:sz="6" w:space="0"/>
              <w:left w:val="single" w:color="auto" w:sz="12" w:space="0"/>
              <w:bottom w:val="single" w:color="auto" w:sz="12" w:space="0"/>
              <w:right w:val="single" w:color="auto" w:sz="6" w:space="0"/>
            </w:tcBorders>
            <w:vAlign w:val="center"/>
          </w:tcPr>
          <w:p>
            <w:pPr>
              <w:pStyle w:val="41"/>
              <w:bidi w:val="0"/>
              <w:jc w:val="center"/>
              <w:rPr>
                <w:color w:val="auto"/>
                <w:highlight w:val="none"/>
              </w:rPr>
            </w:pPr>
            <w:r>
              <w:rPr>
                <w:color w:val="auto"/>
                <w:highlight w:val="none"/>
              </w:rPr>
              <w:t>极重度盐化</w:t>
            </w:r>
          </w:p>
        </w:tc>
        <w:tc>
          <w:tcPr>
            <w:tcW w:w="3305" w:type="dxa"/>
            <w:tcBorders>
              <w:top w:val="single" w:color="auto" w:sz="6" w:space="0"/>
              <w:left w:val="single" w:color="auto" w:sz="6" w:space="0"/>
              <w:bottom w:val="single" w:color="auto" w:sz="12" w:space="0"/>
              <w:right w:val="single" w:color="auto" w:sz="6" w:space="0"/>
            </w:tcBorders>
            <w:vAlign w:val="center"/>
          </w:tcPr>
          <w:p>
            <w:pPr>
              <w:pStyle w:val="41"/>
              <w:bidi w:val="0"/>
              <w:jc w:val="center"/>
              <w:rPr>
                <w:color w:val="auto"/>
                <w:highlight w:val="none"/>
              </w:rPr>
            </w:pPr>
            <w:r>
              <w:rPr>
                <w:color w:val="auto"/>
                <w:highlight w:val="none"/>
              </w:rPr>
              <w:t>SSC≥6</w:t>
            </w:r>
          </w:p>
        </w:tc>
        <w:tc>
          <w:tcPr>
            <w:tcW w:w="3469" w:type="dxa"/>
            <w:tcBorders>
              <w:top w:val="single" w:color="auto" w:sz="6" w:space="0"/>
              <w:left w:val="single" w:color="auto" w:sz="6" w:space="0"/>
              <w:bottom w:val="single" w:color="auto" w:sz="12" w:space="0"/>
              <w:right w:val="single" w:color="auto" w:sz="12" w:space="0"/>
            </w:tcBorders>
            <w:vAlign w:val="center"/>
          </w:tcPr>
          <w:p>
            <w:pPr>
              <w:pStyle w:val="41"/>
              <w:bidi w:val="0"/>
              <w:jc w:val="center"/>
              <w:rPr>
                <w:color w:val="auto"/>
                <w:highlight w:val="none"/>
              </w:rPr>
            </w:pPr>
            <w:r>
              <w:rPr>
                <w:color w:val="auto"/>
                <w:highlight w:val="none"/>
              </w:rPr>
              <w:t>SSC≥10</w:t>
            </w:r>
          </w:p>
        </w:tc>
      </w:tr>
    </w:tbl>
    <w:p>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ascii="黑体" w:hAnsi="黑体" w:eastAsia="黑体" w:cs="Times New Roman"/>
          <w:bCs/>
          <w:color w:val="auto"/>
          <w:highlight w:val="none"/>
        </w:rPr>
      </w:pPr>
      <w:r>
        <w:rPr>
          <w:rFonts w:ascii="黑体" w:hAnsi="黑体" w:eastAsia="黑体" w:cs="Times New Roman"/>
          <w:bCs/>
          <w:color w:val="auto"/>
          <w:highlight w:val="none"/>
        </w:rPr>
        <w:t>表4.</w:t>
      </w:r>
      <w:r>
        <w:rPr>
          <w:rFonts w:hint="eastAsia" w:ascii="黑体" w:hAnsi="黑体" w:eastAsia="黑体" w:cs="Times New Roman"/>
          <w:bCs/>
          <w:color w:val="auto"/>
          <w:highlight w:val="none"/>
          <w:lang w:val="en-US" w:eastAsia="zh-CN"/>
        </w:rPr>
        <w:t>5-7</w:t>
      </w:r>
      <w:r>
        <w:rPr>
          <w:rFonts w:ascii="黑体" w:hAnsi="黑体" w:eastAsia="黑体" w:cs="Times New Roman"/>
          <w:bCs/>
          <w:color w:val="auto"/>
          <w:highlight w:val="none"/>
        </w:rPr>
        <w:t xml:space="preserve"> 土壤酸化、碱化分级标准</w:t>
      </w:r>
    </w:p>
    <w:tbl>
      <w:tblPr>
        <w:tblStyle w:val="62"/>
        <w:tblW w:w="8384" w:type="dxa"/>
        <w:tblInd w:w="57"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261"/>
        <w:gridCol w:w="4123"/>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12" w:space="0"/>
              <w:left w:val="single" w:color="auto" w:sz="12" w:space="0"/>
              <w:bottom w:val="single" w:color="auto" w:sz="6" w:space="0"/>
              <w:right w:val="single" w:color="auto" w:sz="6" w:space="0"/>
            </w:tcBorders>
          </w:tcPr>
          <w:p>
            <w:pPr>
              <w:pStyle w:val="79"/>
              <w:spacing w:before="36"/>
              <w:ind w:firstLine="472"/>
              <w:rPr>
                <w:rFonts w:ascii="Times New Roman" w:hAnsi="Times New Roman" w:eastAsia="宋体" w:cs="Times New Roman"/>
                <w:color w:val="auto"/>
                <w:highlight w:val="none"/>
              </w:rPr>
            </w:pPr>
            <w:r>
              <w:rPr>
                <w:rFonts w:cs="Times New Roman"/>
                <w:color w:val="auto"/>
                <w:spacing w:val="-2"/>
                <w:highlight w:val="none"/>
              </w:rPr>
              <w:t>土壤</w:t>
            </w:r>
            <w:r>
              <w:rPr>
                <w:rFonts w:ascii="Times New Roman" w:hAnsi="Times New Roman" w:cs="Times New Roman"/>
                <w:color w:val="auto"/>
                <w:spacing w:val="-2"/>
                <w:highlight w:val="none"/>
              </w:rPr>
              <w:t>pH</w:t>
            </w:r>
            <w:r>
              <w:rPr>
                <w:rFonts w:cs="Times New Roman"/>
                <w:color w:val="auto"/>
                <w:spacing w:val="-2"/>
                <w:highlight w:val="none"/>
              </w:rPr>
              <w:t>值</w:t>
            </w:r>
          </w:p>
        </w:tc>
        <w:tc>
          <w:tcPr>
            <w:tcW w:w="4123" w:type="dxa"/>
            <w:tcBorders>
              <w:top w:val="single" w:color="auto" w:sz="12" w:space="0"/>
              <w:left w:val="single" w:color="auto" w:sz="6" w:space="0"/>
              <w:bottom w:val="single" w:color="auto" w:sz="6" w:space="0"/>
              <w:right w:val="single" w:color="auto" w:sz="12" w:space="0"/>
            </w:tcBorders>
          </w:tcPr>
          <w:p>
            <w:pPr>
              <w:pStyle w:val="79"/>
              <w:spacing w:before="36"/>
              <w:ind w:firstLine="476"/>
              <w:rPr>
                <w:rFonts w:ascii="Times New Roman" w:hAnsi="Times New Roman" w:cs="Times New Roman"/>
                <w:color w:val="auto"/>
                <w:highlight w:val="none"/>
              </w:rPr>
            </w:pPr>
            <w:r>
              <w:rPr>
                <w:rFonts w:cs="Times New Roman"/>
                <w:color w:val="auto"/>
                <w:spacing w:val="-1"/>
                <w:highlight w:val="none"/>
              </w:rPr>
              <w:t>土壤酸化、碱化强度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pPr>
              <w:spacing w:before="66"/>
              <w:rPr>
                <w:color w:val="auto"/>
                <w:highlight w:val="none"/>
              </w:rPr>
            </w:pPr>
            <w:r>
              <w:rPr>
                <w:color w:val="auto"/>
                <w:highlight w:val="none"/>
              </w:rPr>
              <w:t>pH&lt;3.5</w:t>
            </w:r>
          </w:p>
        </w:tc>
        <w:tc>
          <w:tcPr>
            <w:tcW w:w="4123" w:type="dxa"/>
            <w:tcBorders>
              <w:top w:val="single" w:color="auto" w:sz="6" w:space="0"/>
              <w:left w:val="single" w:color="auto" w:sz="6" w:space="0"/>
              <w:bottom w:val="single" w:color="auto" w:sz="6" w:space="0"/>
              <w:right w:val="single" w:color="auto" w:sz="12" w:space="0"/>
            </w:tcBorders>
          </w:tcPr>
          <w:p>
            <w:pPr>
              <w:pStyle w:val="79"/>
              <w:spacing w:before="31"/>
              <w:ind w:firstLine="472"/>
              <w:rPr>
                <w:rFonts w:ascii="Times New Roman" w:hAnsi="Times New Roman" w:cs="Times New Roman"/>
                <w:color w:val="auto"/>
                <w:highlight w:val="none"/>
              </w:rPr>
            </w:pPr>
            <w:r>
              <w:rPr>
                <w:rFonts w:cs="Times New Roman"/>
                <w:color w:val="auto"/>
                <w:spacing w:val="-2"/>
                <w:highlight w:val="none"/>
              </w:rPr>
              <w:t>极重度酸化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pPr>
              <w:spacing w:before="67"/>
              <w:rPr>
                <w:color w:val="auto"/>
                <w:highlight w:val="none"/>
              </w:rPr>
            </w:pPr>
            <w:r>
              <w:rPr>
                <w:color w:val="auto"/>
                <w:spacing w:val="-1"/>
                <w:highlight w:val="none"/>
              </w:rPr>
              <w:t>3.5≤pH&lt;4.0</w:t>
            </w:r>
          </w:p>
        </w:tc>
        <w:tc>
          <w:tcPr>
            <w:tcW w:w="4123" w:type="dxa"/>
            <w:tcBorders>
              <w:top w:val="single" w:color="auto" w:sz="6" w:space="0"/>
              <w:left w:val="single" w:color="auto" w:sz="6" w:space="0"/>
              <w:bottom w:val="single" w:color="auto" w:sz="6" w:space="0"/>
              <w:right w:val="single" w:color="auto" w:sz="12" w:space="0"/>
            </w:tcBorders>
          </w:tcPr>
          <w:p>
            <w:pPr>
              <w:pStyle w:val="79"/>
              <w:spacing w:before="32"/>
              <w:ind w:firstLine="472"/>
              <w:rPr>
                <w:rFonts w:ascii="Times New Roman" w:hAnsi="Times New Roman" w:cs="Times New Roman"/>
                <w:color w:val="auto"/>
                <w:highlight w:val="none"/>
              </w:rPr>
            </w:pPr>
            <w:r>
              <w:rPr>
                <w:rFonts w:cs="Times New Roman"/>
                <w:color w:val="auto"/>
                <w:spacing w:val="-2"/>
                <w:highlight w:val="none"/>
              </w:rPr>
              <w:t>重度酸化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pPr>
              <w:spacing w:before="70"/>
              <w:rPr>
                <w:color w:val="auto"/>
                <w:highlight w:val="none"/>
              </w:rPr>
            </w:pPr>
            <w:r>
              <w:rPr>
                <w:color w:val="auto"/>
                <w:spacing w:val="-1"/>
                <w:highlight w:val="none"/>
              </w:rPr>
              <w:t>4.0≤pH&lt;4.5</w:t>
            </w:r>
          </w:p>
        </w:tc>
        <w:tc>
          <w:tcPr>
            <w:tcW w:w="4123" w:type="dxa"/>
            <w:tcBorders>
              <w:top w:val="single" w:color="auto" w:sz="6" w:space="0"/>
              <w:left w:val="single" w:color="auto" w:sz="6" w:space="0"/>
              <w:bottom w:val="single" w:color="auto" w:sz="6" w:space="0"/>
              <w:right w:val="single" w:color="auto" w:sz="12" w:space="0"/>
            </w:tcBorders>
          </w:tcPr>
          <w:p>
            <w:pPr>
              <w:pStyle w:val="79"/>
              <w:spacing w:before="34"/>
              <w:ind w:firstLine="456"/>
              <w:rPr>
                <w:rFonts w:ascii="Times New Roman" w:hAnsi="Times New Roman" w:cs="Times New Roman"/>
                <w:color w:val="auto"/>
                <w:highlight w:val="none"/>
              </w:rPr>
            </w:pPr>
            <w:r>
              <w:rPr>
                <w:rFonts w:cs="Times New Roman"/>
                <w:color w:val="auto"/>
                <w:spacing w:val="-6"/>
                <w:highlight w:val="none"/>
              </w:rPr>
              <w:t>中度酸化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pPr>
              <w:spacing w:before="69"/>
              <w:rPr>
                <w:color w:val="auto"/>
                <w:highlight w:val="none"/>
              </w:rPr>
            </w:pPr>
            <w:r>
              <w:rPr>
                <w:color w:val="auto"/>
                <w:spacing w:val="-1"/>
                <w:highlight w:val="none"/>
              </w:rPr>
              <w:t>4.5≤pH&lt;5.5</w:t>
            </w:r>
          </w:p>
        </w:tc>
        <w:tc>
          <w:tcPr>
            <w:tcW w:w="4123" w:type="dxa"/>
            <w:tcBorders>
              <w:top w:val="single" w:color="auto" w:sz="6" w:space="0"/>
              <w:left w:val="single" w:color="auto" w:sz="6" w:space="0"/>
              <w:bottom w:val="single" w:color="auto" w:sz="6" w:space="0"/>
              <w:right w:val="single" w:color="auto" w:sz="12" w:space="0"/>
            </w:tcBorders>
          </w:tcPr>
          <w:p>
            <w:pPr>
              <w:pStyle w:val="79"/>
              <w:spacing w:before="33"/>
              <w:ind w:firstLine="472"/>
              <w:rPr>
                <w:rFonts w:ascii="Times New Roman" w:hAnsi="Times New Roman" w:cs="Times New Roman"/>
                <w:color w:val="auto"/>
                <w:highlight w:val="none"/>
              </w:rPr>
            </w:pPr>
            <w:r>
              <w:rPr>
                <w:rFonts w:cs="Times New Roman"/>
                <w:color w:val="auto"/>
                <w:spacing w:val="-2"/>
                <w:highlight w:val="none"/>
              </w:rPr>
              <w:t>轻度酸化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pPr>
              <w:spacing w:before="68"/>
              <w:rPr>
                <w:color w:val="auto"/>
                <w:highlight w:val="none"/>
              </w:rPr>
            </w:pPr>
            <w:r>
              <w:rPr>
                <w:color w:val="auto"/>
                <w:spacing w:val="-1"/>
                <w:highlight w:val="none"/>
              </w:rPr>
              <w:t>5.5≤pH&lt;8.5</w:t>
            </w:r>
          </w:p>
        </w:tc>
        <w:tc>
          <w:tcPr>
            <w:tcW w:w="4123" w:type="dxa"/>
            <w:tcBorders>
              <w:top w:val="single" w:color="auto" w:sz="6" w:space="0"/>
              <w:left w:val="single" w:color="auto" w:sz="6" w:space="0"/>
              <w:bottom w:val="single" w:color="auto" w:sz="6" w:space="0"/>
              <w:right w:val="single" w:color="auto" w:sz="12" w:space="0"/>
            </w:tcBorders>
          </w:tcPr>
          <w:p>
            <w:pPr>
              <w:pStyle w:val="79"/>
              <w:spacing w:before="33"/>
              <w:ind w:firstLine="472"/>
              <w:rPr>
                <w:rFonts w:ascii="Times New Roman" w:hAnsi="Times New Roman" w:cs="Times New Roman"/>
                <w:color w:val="auto"/>
                <w:highlight w:val="none"/>
              </w:rPr>
            </w:pPr>
            <w:r>
              <w:rPr>
                <w:rFonts w:cs="Times New Roman"/>
                <w:color w:val="auto"/>
                <w:spacing w:val="-2"/>
                <w:highlight w:val="none"/>
              </w:rPr>
              <w:t>无酸化或碱化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pPr>
              <w:spacing w:before="70"/>
              <w:rPr>
                <w:color w:val="auto"/>
                <w:highlight w:val="none"/>
              </w:rPr>
            </w:pPr>
            <w:r>
              <w:rPr>
                <w:color w:val="auto"/>
                <w:spacing w:val="-2"/>
                <w:highlight w:val="none"/>
              </w:rPr>
              <w:t>8.5≤pH&lt;9.0</w:t>
            </w:r>
          </w:p>
        </w:tc>
        <w:tc>
          <w:tcPr>
            <w:tcW w:w="4123" w:type="dxa"/>
            <w:tcBorders>
              <w:top w:val="single" w:color="auto" w:sz="6" w:space="0"/>
              <w:left w:val="single" w:color="auto" w:sz="6" w:space="0"/>
              <w:bottom w:val="single" w:color="auto" w:sz="6" w:space="0"/>
              <w:right w:val="single" w:color="auto" w:sz="12" w:space="0"/>
            </w:tcBorders>
          </w:tcPr>
          <w:p>
            <w:pPr>
              <w:pStyle w:val="79"/>
              <w:spacing w:before="34"/>
              <w:ind w:firstLine="472"/>
              <w:rPr>
                <w:rFonts w:ascii="Times New Roman" w:hAnsi="Times New Roman" w:cs="Times New Roman"/>
                <w:color w:val="auto"/>
                <w:highlight w:val="none"/>
              </w:rPr>
            </w:pPr>
            <w:r>
              <w:rPr>
                <w:rFonts w:cs="Times New Roman"/>
                <w:color w:val="auto"/>
                <w:spacing w:val="-2"/>
                <w:highlight w:val="none"/>
              </w:rPr>
              <w:t>轻度碱化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pPr>
              <w:spacing w:before="71"/>
              <w:rPr>
                <w:color w:val="auto"/>
                <w:highlight w:val="none"/>
              </w:rPr>
            </w:pPr>
            <w:r>
              <w:rPr>
                <w:color w:val="auto"/>
                <w:spacing w:val="-1"/>
                <w:highlight w:val="none"/>
              </w:rPr>
              <w:t>9.0≤pH&lt;9.5</w:t>
            </w:r>
          </w:p>
        </w:tc>
        <w:tc>
          <w:tcPr>
            <w:tcW w:w="4123" w:type="dxa"/>
            <w:tcBorders>
              <w:top w:val="single" w:color="auto" w:sz="6" w:space="0"/>
              <w:left w:val="single" w:color="auto" w:sz="6" w:space="0"/>
              <w:bottom w:val="single" w:color="auto" w:sz="6" w:space="0"/>
              <w:right w:val="single" w:color="auto" w:sz="12" w:space="0"/>
            </w:tcBorders>
          </w:tcPr>
          <w:p>
            <w:pPr>
              <w:pStyle w:val="79"/>
              <w:spacing w:before="35"/>
              <w:ind w:firstLine="456"/>
              <w:rPr>
                <w:rFonts w:ascii="Times New Roman" w:hAnsi="Times New Roman" w:cs="Times New Roman"/>
                <w:color w:val="auto"/>
                <w:highlight w:val="none"/>
              </w:rPr>
            </w:pPr>
            <w:r>
              <w:rPr>
                <w:rFonts w:cs="Times New Roman"/>
                <w:color w:val="auto"/>
                <w:spacing w:val="-6"/>
                <w:highlight w:val="none"/>
              </w:rPr>
              <w:t>中度碱化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6" w:space="0"/>
              <w:right w:val="single" w:color="auto" w:sz="6" w:space="0"/>
            </w:tcBorders>
          </w:tcPr>
          <w:p>
            <w:pPr>
              <w:spacing w:before="70"/>
              <w:rPr>
                <w:color w:val="auto"/>
                <w:highlight w:val="none"/>
              </w:rPr>
            </w:pPr>
            <w:r>
              <w:rPr>
                <w:color w:val="auto"/>
                <w:spacing w:val="-1"/>
                <w:highlight w:val="none"/>
              </w:rPr>
              <w:t>9.5≤pH&lt;10.0</w:t>
            </w:r>
          </w:p>
        </w:tc>
        <w:tc>
          <w:tcPr>
            <w:tcW w:w="4123" w:type="dxa"/>
            <w:tcBorders>
              <w:top w:val="single" w:color="auto" w:sz="6" w:space="0"/>
              <w:left w:val="single" w:color="auto" w:sz="6" w:space="0"/>
              <w:bottom w:val="single" w:color="auto" w:sz="6" w:space="0"/>
              <w:right w:val="single" w:color="auto" w:sz="12" w:space="0"/>
            </w:tcBorders>
          </w:tcPr>
          <w:p>
            <w:pPr>
              <w:pStyle w:val="79"/>
              <w:spacing w:before="34"/>
              <w:ind w:firstLine="472"/>
              <w:rPr>
                <w:rFonts w:ascii="Times New Roman" w:hAnsi="Times New Roman" w:cs="Times New Roman"/>
                <w:color w:val="auto"/>
                <w:highlight w:val="none"/>
              </w:rPr>
            </w:pPr>
            <w:r>
              <w:rPr>
                <w:rFonts w:cs="Times New Roman"/>
                <w:color w:val="auto"/>
                <w:spacing w:val="-2"/>
                <w:highlight w:val="none"/>
              </w:rPr>
              <w:t>重度碱化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3" w:hRule="atLeast"/>
        </w:trPr>
        <w:tc>
          <w:tcPr>
            <w:tcW w:w="4261" w:type="dxa"/>
            <w:tcBorders>
              <w:top w:val="single" w:color="auto" w:sz="6" w:space="0"/>
              <w:left w:val="single" w:color="auto" w:sz="12" w:space="0"/>
              <w:bottom w:val="single" w:color="auto" w:sz="12" w:space="0"/>
              <w:right w:val="single" w:color="auto" w:sz="6" w:space="0"/>
            </w:tcBorders>
          </w:tcPr>
          <w:p>
            <w:pPr>
              <w:spacing w:before="70"/>
              <w:rPr>
                <w:color w:val="auto"/>
                <w:highlight w:val="none"/>
              </w:rPr>
            </w:pPr>
            <w:r>
              <w:rPr>
                <w:color w:val="auto"/>
                <w:highlight w:val="none"/>
              </w:rPr>
              <w:t>pH≥10.0</w:t>
            </w:r>
          </w:p>
        </w:tc>
        <w:tc>
          <w:tcPr>
            <w:tcW w:w="4123" w:type="dxa"/>
            <w:tcBorders>
              <w:top w:val="single" w:color="auto" w:sz="6" w:space="0"/>
              <w:left w:val="single" w:color="auto" w:sz="6" w:space="0"/>
              <w:bottom w:val="single" w:color="auto" w:sz="12" w:space="0"/>
              <w:right w:val="single" w:color="auto" w:sz="12" w:space="0"/>
            </w:tcBorders>
          </w:tcPr>
          <w:p>
            <w:pPr>
              <w:pStyle w:val="79"/>
              <w:spacing w:before="35"/>
              <w:ind w:firstLine="472"/>
              <w:rPr>
                <w:rFonts w:ascii="Times New Roman" w:hAnsi="Times New Roman" w:cs="Times New Roman"/>
                <w:color w:val="auto"/>
                <w:highlight w:val="none"/>
              </w:rPr>
            </w:pPr>
            <w:r>
              <w:rPr>
                <w:rFonts w:cs="Times New Roman"/>
                <w:color w:val="auto"/>
                <w:spacing w:val="-2"/>
                <w:highlight w:val="none"/>
              </w:rPr>
              <w:t>极重度碱化</w:t>
            </w:r>
          </w:p>
        </w:tc>
      </w:tr>
    </w:tbl>
    <w:p>
      <w:pPr>
        <w:pStyle w:val="54"/>
        <w:keepNext w:val="0"/>
        <w:keepLines w:val="0"/>
        <w:pageBreakBefore w:val="0"/>
        <w:widowControl w:val="0"/>
        <w:kinsoku/>
        <w:wordWrap/>
        <w:overflowPunct/>
        <w:topLinePunct w:val="0"/>
        <w:autoSpaceDE/>
        <w:autoSpaceDN/>
        <w:bidi w:val="0"/>
        <w:adjustRightInd/>
        <w:snapToGrid/>
        <w:spacing w:line="480" w:lineRule="exact"/>
        <w:textAlignment w:val="baseline"/>
        <w:rPr>
          <w:rFonts w:ascii="黑体" w:hAnsi="黑体" w:eastAsia="黑体" w:cs="Times New Roman"/>
          <w:bCs/>
          <w:color w:val="auto"/>
          <w:highlight w:val="none"/>
        </w:rPr>
      </w:pPr>
      <w:r>
        <w:rPr>
          <w:rFonts w:ascii="黑体" w:hAnsi="黑体" w:eastAsia="黑体" w:cs="Times New Roman"/>
          <w:bCs/>
          <w:color w:val="auto"/>
          <w:highlight w:val="none"/>
        </w:rPr>
        <w:t>表4.</w:t>
      </w:r>
      <w:r>
        <w:rPr>
          <w:rFonts w:hint="eastAsia" w:ascii="黑体" w:hAnsi="黑体" w:eastAsia="黑体" w:cs="Times New Roman"/>
          <w:bCs/>
          <w:color w:val="auto"/>
          <w:highlight w:val="none"/>
          <w:lang w:val="en-US" w:eastAsia="zh-CN"/>
        </w:rPr>
        <w:t>5-</w:t>
      </w:r>
      <w:r>
        <w:rPr>
          <w:rFonts w:hint="eastAsia" w:cs="Times New Roman"/>
          <w:bCs/>
          <w:color w:val="auto"/>
          <w:highlight w:val="none"/>
          <w:lang w:val="en-US" w:eastAsia="zh-CN"/>
        </w:rPr>
        <w:t>8</w:t>
      </w:r>
      <w:r>
        <w:rPr>
          <w:rFonts w:ascii="黑体" w:hAnsi="黑体" w:eastAsia="黑体" w:cs="Times New Roman"/>
          <w:bCs/>
          <w:color w:val="auto"/>
          <w:highlight w:val="none"/>
        </w:rPr>
        <w:t xml:space="preserve">    土壤盐化、酸化现状</w:t>
      </w:r>
    </w:p>
    <w:tbl>
      <w:tblPr>
        <w:tblStyle w:val="62"/>
        <w:tblW w:w="8371"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310"/>
        <w:gridCol w:w="1103"/>
        <w:gridCol w:w="641"/>
        <w:gridCol w:w="1397"/>
        <w:gridCol w:w="1834"/>
        <w:gridCol w:w="108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3413" w:type="dxa"/>
            <w:gridSpan w:val="2"/>
            <w:tcBorders>
              <w:tl2br w:val="nil"/>
              <w:tr2bl w:val="nil"/>
            </w:tcBorders>
            <w:vAlign w:val="center"/>
          </w:tcPr>
          <w:p>
            <w:pPr>
              <w:spacing w:before="70"/>
              <w:jc w:val="center"/>
              <w:rPr>
                <w:color w:val="auto"/>
                <w:spacing w:val="-1"/>
                <w:highlight w:val="none"/>
              </w:rPr>
            </w:pPr>
            <w:r>
              <w:rPr>
                <w:color w:val="auto"/>
                <w:spacing w:val="-1"/>
                <w:highlight w:val="none"/>
              </w:rPr>
              <w:t>检测项目</w:t>
            </w:r>
          </w:p>
        </w:tc>
        <w:tc>
          <w:tcPr>
            <w:tcW w:w="641" w:type="dxa"/>
            <w:tcBorders>
              <w:tl2br w:val="nil"/>
              <w:tr2bl w:val="nil"/>
            </w:tcBorders>
            <w:vAlign w:val="center"/>
          </w:tcPr>
          <w:p>
            <w:pPr>
              <w:spacing w:before="70"/>
              <w:jc w:val="center"/>
              <w:rPr>
                <w:color w:val="auto"/>
                <w:spacing w:val="-1"/>
                <w:highlight w:val="none"/>
              </w:rPr>
            </w:pPr>
            <w:r>
              <w:rPr>
                <w:color w:val="auto"/>
                <w:spacing w:val="-1"/>
                <w:highlight w:val="none"/>
              </w:rPr>
              <w:t>pH</w:t>
            </w:r>
          </w:p>
        </w:tc>
        <w:tc>
          <w:tcPr>
            <w:tcW w:w="1397" w:type="dxa"/>
            <w:tcBorders>
              <w:tl2br w:val="nil"/>
              <w:tr2bl w:val="nil"/>
            </w:tcBorders>
            <w:shd w:val="clear" w:color="auto" w:fill="auto"/>
            <w:vAlign w:val="center"/>
          </w:tcPr>
          <w:p>
            <w:pPr>
              <w:spacing w:before="70"/>
              <w:jc w:val="center"/>
              <w:rPr>
                <w:rFonts w:ascii="Times New Roman" w:hAnsi="Times New Roman" w:eastAsia="宋体" w:cs="Times New Roman"/>
                <w:color w:val="auto"/>
                <w:spacing w:val="-1"/>
                <w:sz w:val="21"/>
                <w:szCs w:val="21"/>
                <w:highlight w:val="none"/>
                <w:lang w:val="en-US" w:eastAsia="zh-CN" w:bidi="ar-SA"/>
              </w:rPr>
            </w:pPr>
            <w:r>
              <w:rPr>
                <w:color w:val="auto"/>
                <w:spacing w:val="-1"/>
                <w:highlight w:val="none"/>
              </w:rPr>
              <w:t>碱化程度</w:t>
            </w:r>
          </w:p>
        </w:tc>
        <w:tc>
          <w:tcPr>
            <w:tcW w:w="1834" w:type="dxa"/>
            <w:tcBorders>
              <w:tl2br w:val="nil"/>
              <w:tr2bl w:val="nil"/>
            </w:tcBorders>
            <w:vAlign w:val="center"/>
          </w:tcPr>
          <w:p>
            <w:pPr>
              <w:spacing w:before="70"/>
              <w:jc w:val="center"/>
              <w:rPr>
                <w:color w:val="auto"/>
                <w:spacing w:val="-1"/>
                <w:highlight w:val="none"/>
              </w:rPr>
            </w:pPr>
            <w:r>
              <w:rPr>
                <w:color w:val="auto"/>
                <w:spacing w:val="-1"/>
                <w:highlight w:val="none"/>
              </w:rPr>
              <w:t>含盐量（SSC）/(g/kg)</w:t>
            </w:r>
          </w:p>
        </w:tc>
        <w:tc>
          <w:tcPr>
            <w:tcW w:w="1086" w:type="dxa"/>
            <w:tcBorders>
              <w:tl2br w:val="nil"/>
              <w:tr2bl w:val="nil"/>
            </w:tcBorders>
            <w:vAlign w:val="center"/>
          </w:tcPr>
          <w:p>
            <w:pPr>
              <w:spacing w:before="70"/>
              <w:jc w:val="center"/>
              <w:rPr>
                <w:color w:val="auto"/>
                <w:spacing w:val="-1"/>
                <w:highlight w:val="none"/>
              </w:rPr>
            </w:pPr>
            <w:r>
              <w:rPr>
                <w:color w:val="auto"/>
                <w:spacing w:val="-1"/>
                <w:highlight w:val="none"/>
              </w:rPr>
              <w:t>盐化程度</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5" w:hRule="atLeast"/>
          <w:jc w:val="center"/>
        </w:trPr>
        <w:tc>
          <w:tcPr>
            <w:tcW w:w="2310" w:type="dxa"/>
            <w:vMerge w:val="restart"/>
            <w:tcBorders>
              <w:tl2br w:val="nil"/>
              <w:tr2bl w:val="nil"/>
            </w:tcBorders>
            <w:shd w:val="clear" w:color="auto" w:fill="auto"/>
            <w:vAlign w:val="center"/>
          </w:tcPr>
          <w:p>
            <w:pPr>
              <w:pStyle w:val="41"/>
              <w:bidi w:val="0"/>
              <w:ind w:firstLine="0" w:firstLineChars="0"/>
              <w:jc w:val="center"/>
              <w:rPr>
                <w:rFonts w:hint="eastAsia"/>
                <w:color w:val="auto"/>
                <w:highlight w:val="none"/>
              </w:rPr>
            </w:pPr>
            <w:r>
              <w:rPr>
                <w:rFonts w:hint="default" w:ascii="Times New Roman" w:hAnsi="Times New Roman" w:eastAsia="宋体" w:cs="Times New Roman"/>
                <w:color w:val="auto"/>
                <w:sz w:val="21"/>
                <w:szCs w:val="21"/>
                <w:highlight w:val="none"/>
                <w:lang w:val="en-US" w:eastAsia="zh-CN"/>
              </w:rPr>
              <w:t>拟建</w:t>
            </w:r>
            <w:r>
              <w:rPr>
                <w:rFonts w:hint="eastAsia" w:cs="Times New Roman"/>
                <w:color w:val="auto"/>
                <w:sz w:val="21"/>
                <w:szCs w:val="21"/>
                <w:highlight w:val="none"/>
                <w:lang w:val="en-US" w:eastAsia="zh-CN"/>
              </w:rPr>
              <w:t>FTYHW1011</w:t>
            </w:r>
            <w:r>
              <w:rPr>
                <w:rFonts w:hint="default" w:ascii="Times New Roman" w:hAnsi="Times New Roman" w:eastAsia="宋体" w:cs="Times New Roman"/>
                <w:color w:val="auto"/>
                <w:sz w:val="21"/>
                <w:szCs w:val="21"/>
                <w:highlight w:val="none"/>
                <w:lang w:val="en-US" w:eastAsia="zh-CN"/>
              </w:rPr>
              <w:t>井场</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spacing w:before="70"/>
              <w:jc w:val="center"/>
              <w:rPr>
                <w:rFonts w:hint="default" w:eastAsia="宋体"/>
                <w:color w:val="auto"/>
                <w:spacing w:val="-1"/>
                <w:highlight w:val="none"/>
                <w:lang w:val="en-US" w:eastAsia="zh-CN"/>
              </w:rPr>
            </w:pPr>
            <w:r>
              <w:rPr>
                <w:rFonts w:hint="default" w:ascii="Times New Roman" w:hAnsi="Times New Roman" w:cs="Times New Roman"/>
                <w:color w:val="auto"/>
                <w:sz w:val="21"/>
                <w:szCs w:val="21"/>
                <w:lang w:val="en-US" w:eastAsia="zh-CN"/>
              </w:rPr>
              <w:t>7.77</w:t>
            </w:r>
          </w:p>
        </w:tc>
        <w:tc>
          <w:tcPr>
            <w:tcW w:w="1397" w:type="dxa"/>
            <w:tcBorders>
              <w:tl2br w:val="nil"/>
              <w:tr2bl w:val="nil"/>
            </w:tcBorders>
            <w:shd w:val="clear" w:color="auto" w:fill="auto"/>
            <w:vAlign w:val="center"/>
          </w:tcPr>
          <w:p>
            <w:pPr>
              <w:spacing w:before="70"/>
              <w:jc w:val="center"/>
              <w:rPr>
                <w:rFonts w:hint="eastAsia" w:ascii="宋体" w:hAnsi="宋体" w:eastAsia="宋体" w:cs="Times New Roman"/>
                <w:color w:val="auto"/>
                <w:spacing w:val="-2"/>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shd w:val="clear" w:color="auto" w:fill="auto"/>
            <w:vAlign w:val="center"/>
          </w:tcPr>
          <w:p>
            <w:pPr>
              <w:pStyle w:val="41"/>
              <w:bidi w:val="0"/>
              <w:ind w:firstLine="0" w:firstLineChars="0"/>
              <w:jc w:val="center"/>
              <w:rPr>
                <w:rFonts w:hint="default" w:eastAsia="宋体"/>
                <w:color w:val="auto"/>
                <w:highlight w:val="none"/>
                <w:lang w:val="en-US" w:eastAsia="zh-CN"/>
              </w:rPr>
            </w:pPr>
            <w:r>
              <w:rPr>
                <w:rFonts w:hint="eastAsia" w:cs="Times New Roman"/>
                <w:color w:val="auto"/>
                <w:sz w:val="21"/>
                <w:szCs w:val="21"/>
                <w:lang w:val="en-US" w:eastAsia="zh-CN"/>
              </w:rPr>
              <w:t>9.2</w:t>
            </w:r>
          </w:p>
        </w:tc>
        <w:tc>
          <w:tcPr>
            <w:tcW w:w="1086" w:type="dxa"/>
            <w:tcBorders>
              <w:tl2br w:val="nil"/>
              <w:tr2bl w:val="nil"/>
            </w:tcBorders>
            <w:vAlign w:val="center"/>
          </w:tcPr>
          <w:p>
            <w:pPr>
              <w:spacing w:before="70"/>
              <w:jc w:val="center"/>
              <w:rPr>
                <w:rFonts w:hint="eastAsia" w:ascii="宋体" w:hAnsi="宋体" w:eastAsia="宋体"/>
                <w:color w:val="auto"/>
                <w:spacing w:val="-1"/>
                <w:highlight w:val="none"/>
                <w:lang w:val="en-US" w:eastAsia="zh-CN"/>
              </w:rPr>
            </w:pPr>
            <w:r>
              <w:rPr>
                <w:color w:val="auto"/>
                <w:highlight w:val="none"/>
              </w:rPr>
              <w:t>重度盐化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103" w:type="dxa"/>
            <w:tcBorders>
              <w:tl2br w:val="nil"/>
              <w:tr2bl w:val="nil"/>
            </w:tcBorders>
            <w:vAlign w:val="center"/>
          </w:tcPr>
          <w:p>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8.42</w:t>
            </w:r>
          </w:p>
        </w:tc>
        <w:tc>
          <w:tcPr>
            <w:tcW w:w="1397" w:type="dxa"/>
            <w:tcBorders>
              <w:tl2br w:val="nil"/>
              <w:tr2bl w:val="nil"/>
            </w:tcBorders>
            <w:shd w:val="clear" w:color="auto" w:fill="auto"/>
            <w:vAlign w:val="center"/>
          </w:tcPr>
          <w:p>
            <w:pPr>
              <w:spacing w:before="70"/>
              <w:jc w:val="center"/>
              <w:rPr>
                <w:rFonts w:hint="eastAsia" w:ascii="宋体" w:hAnsi="宋体" w:eastAsia="宋体" w:cs="Times New Roman"/>
                <w:color w:val="auto"/>
                <w:spacing w:val="-2"/>
                <w:sz w:val="21"/>
                <w:szCs w:val="21"/>
                <w:highlight w:val="none"/>
                <w:lang w:val="en-US" w:eastAsia="zh-CN" w:bidi="ar-SA"/>
              </w:rPr>
            </w:pPr>
            <w:r>
              <w:rPr>
                <w:rFonts w:cs="Times New Roman"/>
                <w:color w:val="auto"/>
                <w:spacing w:val="-6"/>
                <w:highlight w:val="none"/>
              </w:rPr>
              <w:t>中度碱化</w:t>
            </w:r>
          </w:p>
        </w:tc>
        <w:tc>
          <w:tcPr>
            <w:tcW w:w="183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0.6</w:t>
            </w:r>
          </w:p>
        </w:tc>
        <w:tc>
          <w:tcPr>
            <w:tcW w:w="1086" w:type="dxa"/>
            <w:tcBorders>
              <w:tl2br w:val="nil"/>
              <w:tr2bl w:val="nil"/>
            </w:tcBorders>
            <w:vAlign w:val="center"/>
          </w:tcPr>
          <w:p>
            <w:pPr>
              <w:spacing w:before="70"/>
              <w:jc w:val="center"/>
              <w:rPr>
                <w:rFonts w:hint="eastAsia" w:ascii="宋体" w:hAnsi="宋体" w:eastAsia="宋体"/>
                <w:color w:val="auto"/>
                <w:spacing w:val="-1"/>
                <w:highlight w:val="none"/>
                <w:lang w:val="en-US" w:eastAsia="zh-CN"/>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103" w:type="dxa"/>
            <w:tcBorders>
              <w:tl2br w:val="nil"/>
              <w:tr2bl w:val="nil"/>
            </w:tcBorders>
            <w:vAlign w:val="center"/>
          </w:tcPr>
          <w:p>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9.07</w:t>
            </w:r>
          </w:p>
        </w:tc>
        <w:tc>
          <w:tcPr>
            <w:tcW w:w="1397" w:type="dxa"/>
            <w:tcBorders>
              <w:tl2br w:val="nil"/>
              <w:tr2bl w:val="nil"/>
            </w:tcBorders>
            <w:shd w:val="clear" w:color="auto" w:fill="auto"/>
            <w:vAlign w:val="center"/>
          </w:tcPr>
          <w:p>
            <w:pPr>
              <w:spacing w:before="70"/>
              <w:jc w:val="center"/>
              <w:rPr>
                <w:rFonts w:hint="eastAsia" w:ascii="宋体" w:hAnsi="宋体" w:eastAsia="宋体" w:cs="Times New Roman"/>
                <w:color w:val="auto"/>
                <w:spacing w:val="-2"/>
                <w:sz w:val="21"/>
                <w:szCs w:val="21"/>
                <w:highlight w:val="none"/>
                <w:lang w:val="en-US" w:eastAsia="zh-CN" w:bidi="ar-SA"/>
              </w:rPr>
            </w:pPr>
            <w:r>
              <w:rPr>
                <w:rFonts w:cs="Times New Roman"/>
                <w:color w:val="auto"/>
                <w:spacing w:val="-6"/>
                <w:highlight w:val="none"/>
              </w:rPr>
              <w:t>中度碱化</w:t>
            </w:r>
          </w:p>
        </w:tc>
        <w:tc>
          <w:tcPr>
            <w:tcW w:w="183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0.7</w:t>
            </w:r>
          </w:p>
        </w:tc>
        <w:tc>
          <w:tcPr>
            <w:tcW w:w="1086" w:type="dxa"/>
            <w:tcBorders>
              <w:tl2br w:val="nil"/>
              <w:tr2bl w:val="nil"/>
            </w:tcBorders>
            <w:vAlign w:val="center"/>
          </w:tcPr>
          <w:p>
            <w:pPr>
              <w:spacing w:before="70"/>
              <w:jc w:val="center"/>
              <w:rPr>
                <w:rFonts w:hint="eastAsia" w:ascii="宋体" w:hAnsi="宋体" w:eastAsia="宋体"/>
                <w:color w:val="auto"/>
                <w:spacing w:val="-1"/>
                <w:highlight w:val="none"/>
                <w:lang w:val="en-US" w:eastAsia="zh-CN"/>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1"/>
                <w:highlight w:val="none"/>
                <w:lang w:val="en-US" w:eastAsia="zh-CN"/>
              </w:rPr>
            </w:pPr>
          </w:p>
        </w:tc>
        <w:tc>
          <w:tcPr>
            <w:tcW w:w="1103" w:type="dxa"/>
            <w:tcBorders>
              <w:tl2br w:val="nil"/>
              <w:tr2bl w:val="nil"/>
            </w:tcBorders>
            <w:vAlign w:val="center"/>
          </w:tcPr>
          <w:p>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9.04</w:t>
            </w:r>
          </w:p>
        </w:tc>
        <w:tc>
          <w:tcPr>
            <w:tcW w:w="1397" w:type="dxa"/>
            <w:tcBorders>
              <w:tl2br w:val="nil"/>
              <w:tr2bl w:val="nil"/>
            </w:tcBorders>
            <w:shd w:val="clear" w:color="auto" w:fill="auto"/>
            <w:vAlign w:val="center"/>
          </w:tcPr>
          <w:p>
            <w:pPr>
              <w:spacing w:before="70"/>
              <w:jc w:val="center"/>
              <w:rPr>
                <w:rFonts w:hint="eastAsia" w:ascii="宋体" w:hAnsi="宋体" w:eastAsia="宋体" w:cs="Times New Roman"/>
                <w:color w:val="auto"/>
                <w:spacing w:val="-2"/>
                <w:sz w:val="21"/>
                <w:szCs w:val="21"/>
                <w:highlight w:val="none"/>
                <w:lang w:val="en-US" w:eastAsia="zh-CN" w:bidi="ar-SA"/>
              </w:rPr>
            </w:pPr>
            <w:r>
              <w:rPr>
                <w:rFonts w:cs="Times New Roman"/>
                <w:color w:val="auto"/>
                <w:spacing w:val="-6"/>
                <w:highlight w:val="none"/>
              </w:rPr>
              <w:t>中度碱化</w:t>
            </w:r>
          </w:p>
        </w:tc>
        <w:tc>
          <w:tcPr>
            <w:tcW w:w="183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0.4</w:t>
            </w:r>
          </w:p>
        </w:tc>
        <w:tc>
          <w:tcPr>
            <w:tcW w:w="1086" w:type="dxa"/>
            <w:tcBorders>
              <w:tl2br w:val="nil"/>
              <w:tr2bl w:val="nil"/>
            </w:tcBorders>
            <w:vAlign w:val="center"/>
          </w:tcPr>
          <w:p>
            <w:pPr>
              <w:spacing w:before="70"/>
              <w:jc w:val="center"/>
              <w:rPr>
                <w:rFonts w:hint="eastAsia" w:ascii="宋体" w:hAnsi="宋体" w:eastAsia="宋体"/>
                <w:color w:val="auto"/>
                <w:spacing w:val="-1"/>
                <w:highlight w:val="none"/>
                <w:lang w:val="en-US" w:eastAsia="zh-CN"/>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shd w:val="clear" w:color="auto" w:fill="auto"/>
            <w:vAlign w:val="center"/>
          </w:tcPr>
          <w:p>
            <w:pPr>
              <w:pStyle w:val="41"/>
              <w:bidi w:val="0"/>
              <w:ind w:firstLine="0" w:firstLineChars="0"/>
              <w:jc w:val="center"/>
              <w:rPr>
                <w:rFonts w:ascii="Times New Roman" w:hAnsi="Times New Roman" w:eastAsia="宋体" w:cs="Times New Roman"/>
                <w:color w:val="auto"/>
                <w:sz w:val="21"/>
                <w:highlight w:val="none"/>
              </w:rPr>
            </w:pPr>
            <w:r>
              <w:rPr>
                <w:rFonts w:hint="default" w:ascii="Times New Roman" w:hAnsi="Times New Roman" w:eastAsia="宋体" w:cs="Times New Roman"/>
                <w:color w:val="auto"/>
                <w:sz w:val="21"/>
                <w:szCs w:val="21"/>
                <w:highlight w:val="none"/>
                <w:lang w:val="en-US" w:eastAsia="zh-CN"/>
              </w:rPr>
              <w:t>乌33转油站站场</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spacing w:before="70"/>
              <w:jc w:val="center"/>
              <w:rPr>
                <w:rFonts w:hint="eastAsia" w:eastAsia="宋体"/>
                <w:color w:val="auto"/>
                <w:spacing w:val="-1"/>
                <w:highlight w:val="none"/>
                <w:lang w:val="en-US" w:eastAsia="zh-CN"/>
              </w:rPr>
            </w:pPr>
            <w:r>
              <w:rPr>
                <w:rFonts w:hint="default" w:ascii="Times New Roman" w:hAnsi="Times New Roman" w:cs="Times New Roman"/>
                <w:color w:val="auto"/>
                <w:sz w:val="21"/>
                <w:szCs w:val="21"/>
                <w:lang w:val="en-US" w:eastAsia="zh-CN"/>
              </w:rPr>
              <w:t>7.83</w:t>
            </w:r>
          </w:p>
        </w:tc>
        <w:tc>
          <w:tcPr>
            <w:tcW w:w="1397" w:type="dxa"/>
            <w:tcBorders>
              <w:tl2br w:val="nil"/>
              <w:tr2bl w:val="nil"/>
            </w:tcBorders>
            <w:shd w:val="clear" w:color="auto" w:fill="auto"/>
            <w:vAlign w:val="center"/>
          </w:tcPr>
          <w:p>
            <w:pPr>
              <w:spacing w:before="70"/>
              <w:jc w:val="center"/>
              <w:rPr>
                <w:rFonts w:hint="default"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shd w:val="clear" w:color="auto" w:fill="auto"/>
            <w:vAlign w:val="center"/>
          </w:tcPr>
          <w:p>
            <w:pPr>
              <w:pStyle w:val="41"/>
              <w:bidi w:val="0"/>
              <w:ind w:firstLine="0" w:firstLineChars="0"/>
              <w:jc w:val="center"/>
              <w:rPr>
                <w:rFonts w:ascii="Times New Roman" w:hAnsi="Times New Roman" w:eastAsia="宋体" w:cs="Times New Roman"/>
                <w:color w:val="auto"/>
                <w:sz w:val="21"/>
                <w:highlight w:val="none"/>
              </w:rPr>
            </w:pPr>
            <w:r>
              <w:rPr>
                <w:rFonts w:hint="default" w:ascii="Times New Roman" w:hAnsi="Times New Roman" w:cs="Times New Roman"/>
                <w:color w:val="auto"/>
                <w:sz w:val="21"/>
                <w:szCs w:val="21"/>
                <w:lang w:val="en-US" w:eastAsia="zh-CN"/>
              </w:rPr>
              <w:t>31.4</w:t>
            </w:r>
          </w:p>
        </w:tc>
        <w:tc>
          <w:tcPr>
            <w:tcW w:w="1086" w:type="dxa"/>
            <w:tcBorders>
              <w:tl2br w:val="nil"/>
              <w:tr2bl w:val="nil"/>
            </w:tcBorders>
            <w:vAlign w:val="center"/>
          </w:tcPr>
          <w:p>
            <w:pPr>
              <w:spacing w:before="70"/>
              <w:jc w:val="center"/>
              <w:rPr>
                <w:color w:val="auto"/>
                <w:spacing w:val="-1"/>
                <w:highlight w:val="none"/>
              </w:rPr>
            </w:pPr>
            <w:r>
              <w:rPr>
                <w:color w:val="auto"/>
                <w:highlight w:val="none"/>
              </w:rPr>
              <w:t>极重度盐化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shd w:val="clear" w:color="auto" w:fill="auto"/>
            <w:vAlign w:val="center"/>
          </w:tcPr>
          <w:p>
            <w:pPr>
              <w:bidi w:val="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kern w:val="2"/>
                <w:sz w:val="21"/>
                <w:szCs w:val="21"/>
                <w:highlight w:val="none"/>
                <w:shd w:val="clear" w:color="auto" w:fill="auto"/>
                <w:lang w:val="en-US" w:eastAsia="zh-CN" w:bidi="ar-SA"/>
              </w:rPr>
              <w:t>FTYHW1235</w:t>
            </w:r>
            <w:r>
              <w:rPr>
                <w:rFonts w:hint="default" w:ascii="Times New Roman" w:hAnsi="Times New Roman" w:eastAsia="宋体" w:cs="Times New Roman"/>
                <w:color w:val="auto"/>
                <w:kern w:val="2"/>
                <w:sz w:val="21"/>
                <w:szCs w:val="21"/>
                <w:highlight w:val="none"/>
                <w:shd w:val="clear" w:color="auto" w:fill="auto"/>
                <w:lang w:val="en-US" w:eastAsia="zh-CN" w:bidi="ar-SA"/>
              </w:rPr>
              <w:t>井场</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7.56</w:t>
            </w:r>
          </w:p>
        </w:tc>
        <w:tc>
          <w:tcPr>
            <w:tcW w:w="1397" w:type="dxa"/>
            <w:tcBorders>
              <w:tl2br w:val="nil"/>
              <w:tr2bl w:val="nil"/>
            </w:tcBorders>
            <w:shd w:val="clear" w:color="auto" w:fill="auto"/>
            <w:vAlign w:val="center"/>
          </w:tcPr>
          <w:p>
            <w:pPr>
              <w:spacing w:before="70"/>
              <w:jc w:val="center"/>
              <w:rPr>
                <w:rFonts w:hint="default"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auto"/>
                <w:sz w:val="21"/>
                <w:highlight w:val="none"/>
              </w:rPr>
            </w:pPr>
            <w:r>
              <w:rPr>
                <w:rFonts w:hint="eastAsia" w:eastAsia="仿宋_GB2312" w:cs="Times New Roman"/>
                <w:color w:val="auto"/>
                <w:sz w:val="21"/>
                <w:szCs w:val="21"/>
                <w:highlight w:val="none"/>
                <w:shd w:val="clear" w:color="auto" w:fill="auto"/>
                <w:lang w:val="en-US" w:eastAsia="zh-CN"/>
              </w:rPr>
              <w:t>15.8</w:t>
            </w:r>
          </w:p>
        </w:tc>
        <w:tc>
          <w:tcPr>
            <w:tcW w:w="1086" w:type="dxa"/>
            <w:tcBorders>
              <w:tl2br w:val="nil"/>
              <w:tr2bl w:val="nil"/>
            </w:tcBorders>
            <w:vAlign w:val="center"/>
          </w:tcPr>
          <w:p>
            <w:pPr>
              <w:spacing w:before="70"/>
              <w:jc w:val="center"/>
              <w:rPr>
                <w:color w:val="auto"/>
                <w:spacing w:val="-1"/>
                <w:highlight w:val="none"/>
              </w:rPr>
            </w:pPr>
            <w:r>
              <w:rPr>
                <w:color w:val="auto"/>
                <w:highlight w:val="none"/>
              </w:rPr>
              <w:t>极重度盐化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shd w:val="clear" w:color="auto" w:fill="auto"/>
            <w:vAlign w:val="center"/>
          </w:tcPr>
          <w:p>
            <w:pPr>
              <w:pStyle w:val="41"/>
              <w:bidi w:val="0"/>
              <w:ind w:firstLine="0" w:firstLineChars="0"/>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kern w:val="2"/>
                <w:sz w:val="21"/>
                <w:szCs w:val="21"/>
                <w:highlight w:val="none"/>
                <w:shd w:val="clear" w:color="auto" w:fill="auto"/>
                <w:lang w:val="en-US" w:eastAsia="zh-CN" w:bidi="ar-SA"/>
              </w:rPr>
              <w:t>FTYHW1012</w:t>
            </w:r>
            <w:r>
              <w:rPr>
                <w:rFonts w:hint="default" w:ascii="Times New Roman" w:hAnsi="Times New Roman" w:eastAsia="宋体" w:cs="Times New Roman"/>
                <w:color w:val="auto"/>
                <w:kern w:val="2"/>
                <w:sz w:val="21"/>
                <w:szCs w:val="21"/>
                <w:highlight w:val="none"/>
                <w:shd w:val="clear" w:color="auto" w:fill="auto"/>
                <w:lang w:val="en-US" w:eastAsia="zh-CN" w:bidi="ar-SA"/>
              </w:rPr>
              <w:t>井场</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7.77</w:t>
            </w:r>
          </w:p>
        </w:tc>
        <w:tc>
          <w:tcPr>
            <w:tcW w:w="1397" w:type="dxa"/>
            <w:tcBorders>
              <w:tl2br w:val="nil"/>
              <w:tr2bl w:val="nil"/>
            </w:tcBorders>
            <w:shd w:val="clear" w:color="auto" w:fill="auto"/>
            <w:vAlign w:val="center"/>
          </w:tcPr>
          <w:p>
            <w:pPr>
              <w:spacing w:before="70"/>
              <w:jc w:val="center"/>
              <w:rPr>
                <w:rFonts w:hint="default"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ascii="Times New Roman" w:hAnsi="Times New Roman" w:eastAsia="宋体" w:cs="Times New Roman"/>
                <w:color w:val="auto"/>
                <w:sz w:val="21"/>
                <w:highlight w:val="none"/>
              </w:rPr>
            </w:pPr>
            <w:r>
              <w:rPr>
                <w:rFonts w:hint="eastAsia" w:eastAsia="仿宋_GB2312" w:cs="Times New Roman"/>
                <w:color w:val="auto"/>
                <w:sz w:val="21"/>
                <w:szCs w:val="21"/>
                <w:highlight w:val="none"/>
                <w:shd w:val="clear" w:color="auto" w:fill="auto"/>
                <w:lang w:val="en-US" w:eastAsia="zh-CN"/>
              </w:rPr>
              <w:t>28.0</w:t>
            </w:r>
          </w:p>
        </w:tc>
        <w:tc>
          <w:tcPr>
            <w:tcW w:w="1086" w:type="dxa"/>
            <w:tcBorders>
              <w:tl2br w:val="nil"/>
              <w:tr2bl w:val="nil"/>
            </w:tcBorders>
            <w:vAlign w:val="center"/>
          </w:tcPr>
          <w:p>
            <w:pPr>
              <w:spacing w:before="70"/>
              <w:jc w:val="center"/>
              <w:rPr>
                <w:color w:val="auto"/>
                <w:spacing w:val="-1"/>
                <w:highlight w:val="none"/>
              </w:rPr>
            </w:pPr>
            <w:r>
              <w:rPr>
                <w:color w:val="auto"/>
                <w:highlight w:val="none"/>
              </w:rPr>
              <w:t>极重度盐化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pPr>
              <w:bidi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拟建FTYHW0911</w:t>
            </w:r>
            <w:r>
              <w:rPr>
                <w:rFonts w:hint="eastAsia" w:ascii="Times New Roman" w:hAnsi="Times New Roman" w:eastAsia="宋体" w:cs="Times New Roman"/>
                <w:color w:val="auto"/>
                <w:kern w:val="2"/>
                <w:sz w:val="21"/>
                <w:szCs w:val="21"/>
                <w:highlight w:val="none"/>
                <w:shd w:val="clear" w:color="auto" w:fill="auto"/>
                <w:lang w:val="en-US" w:eastAsia="zh-CN" w:bidi="ar-SA"/>
              </w:rPr>
              <w:t>井场</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7.70</w:t>
            </w:r>
          </w:p>
        </w:tc>
        <w:tc>
          <w:tcPr>
            <w:tcW w:w="1397" w:type="dxa"/>
            <w:tcBorders>
              <w:tl2br w:val="nil"/>
              <w:tr2bl w:val="nil"/>
            </w:tcBorders>
            <w:shd w:val="clear" w:color="auto" w:fill="auto"/>
            <w:vAlign w:val="center"/>
          </w:tcPr>
          <w:p>
            <w:pPr>
              <w:spacing w:before="70"/>
              <w:jc w:val="center"/>
              <w:rPr>
                <w:rFonts w:hint="eastAsia"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15.3</w:t>
            </w:r>
          </w:p>
        </w:tc>
        <w:tc>
          <w:tcPr>
            <w:tcW w:w="1086" w:type="dxa"/>
            <w:tcBorders>
              <w:tl2br w:val="nil"/>
              <w:tr2bl w:val="nil"/>
            </w:tcBorders>
            <w:vAlign w:val="center"/>
          </w:tcPr>
          <w:p>
            <w:pPr>
              <w:spacing w:before="70"/>
              <w:jc w:val="center"/>
              <w:rPr>
                <w:color w:val="auto"/>
                <w:spacing w:val="-1"/>
                <w:highlight w:val="none"/>
              </w:rPr>
            </w:pPr>
            <w:r>
              <w:rPr>
                <w:color w:val="auto"/>
                <w:highlight w:val="none"/>
              </w:rPr>
              <w:t>极重度盐化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pPr>
              <w:bidi w:val="0"/>
              <w:rPr>
                <w:rFonts w:hint="eastAsia"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kern w:val="2"/>
                <w:sz w:val="21"/>
                <w:szCs w:val="21"/>
                <w:highlight w:val="none"/>
                <w:shd w:val="clear" w:color="auto" w:fill="auto"/>
                <w:lang w:val="en-US" w:eastAsia="zh-CN" w:bidi="ar-SA"/>
              </w:rPr>
              <w:t>拟建FTYHW1010</w:t>
            </w:r>
            <w:r>
              <w:rPr>
                <w:rFonts w:hint="eastAsia" w:ascii="Times New Roman" w:hAnsi="Times New Roman" w:eastAsia="宋体" w:cs="Times New Roman"/>
                <w:color w:val="auto"/>
                <w:kern w:val="2"/>
                <w:sz w:val="21"/>
                <w:szCs w:val="21"/>
                <w:highlight w:val="none"/>
                <w:shd w:val="clear" w:color="auto" w:fill="auto"/>
                <w:lang w:val="en-US" w:eastAsia="zh-CN" w:bidi="ar-SA"/>
              </w:rPr>
              <w:t>井场</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eastAsia="仿宋_GB2312" w:cs="Times New Roman"/>
                <w:color w:val="auto"/>
                <w:sz w:val="21"/>
                <w:szCs w:val="21"/>
                <w:highlight w:val="none"/>
                <w:shd w:val="clear" w:color="auto" w:fill="auto"/>
                <w:lang w:val="en-US" w:eastAsia="zh-CN" w:bidi="ar-SA"/>
              </w:rPr>
            </w:pPr>
            <w:r>
              <w:rPr>
                <w:rFonts w:hint="eastAsia" w:eastAsia="仿宋_GB2312" w:cs="Times New Roman"/>
                <w:color w:val="auto"/>
                <w:sz w:val="21"/>
                <w:szCs w:val="21"/>
                <w:highlight w:val="none"/>
                <w:shd w:val="clear" w:color="auto" w:fill="auto"/>
                <w:lang w:val="en-US" w:eastAsia="zh-CN"/>
              </w:rPr>
              <w:t>7.74</w:t>
            </w:r>
          </w:p>
        </w:tc>
        <w:tc>
          <w:tcPr>
            <w:tcW w:w="1397" w:type="dxa"/>
            <w:tcBorders>
              <w:tl2br w:val="nil"/>
              <w:tr2bl w:val="nil"/>
            </w:tcBorders>
            <w:shd w:val="clear" w:color="auto" w:fill="auto"/>
            <w:vAlign w:val="center"/>
          </w:tcPr>
          <w:p>
            <w:pPr>
              <w:spacing w:before="70"/>
              <w:jc w:val="center"/>
              <w:rPr>
                <w:rFonts w:hint="eastAsia"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无酸化或碱化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17.7</w:t>
            </w:r>
          </w:p>
        </w:tc>
        <w:tc>
          <w:tcPr>
            <w:tcW w:w="1086" w:type="dxa"/>
            <w:tcBorders>
              <w:tl2br w:val="nil"/>
              <w:tr2bl w:val="nil"/>
            </w:tcBorders>
            <w:vAlign w:val="center"/>
          </w:tcPr>
          <w:p>
            <w:pPr>
              <w:spacing w:before="70"/>
              <w:jc w:val="center"/>
              <w:rPr>
                <w:color w:val="auto"/>
                <w:spacing w:val="-1"/>
                <w:highlight w:val="none"/>
              </w:rPr>
            </w:pPr>
            <w:r>
              <w:rPr>
                <w:color w:val="auto"/>
                <w:highlight w:val="none"/>
              </w:rPr>
              <w:t>极重度盐化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pPr>
              <w:pStyle w:val="41"/>
              <w:bidi w:val="0"/>
              <w:ind w:firstLine="0" w:firstLineChars="0"/>
              <w:rPr>
                <w:color w:val="auto"/>
                <w:spacing w:val="-1"/>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FTYHW1011</w:t>
            </w:r>
            <w:r>
              <w:rPr>
                <w:rFonts w:hint="default" w:ascii="Times New Roman" w:hAnsi="Times New Roman" w:eastAsia="宋体" w:cs="Times New Roman"/>
                <w:color w:val="auto"/>
                <w:highlight w:val="none"/>
                <w:lang w:val="en-US" w:eastAsia="zh-CN"/>
              </w:rPr>
              <w:t>井场200m外</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pStyle w:val="106"/>
              <w:jc w:val="center"/>
              <w:rPr>
                <w:rFonts w:hint="default" w:eastAsia="宋体"/>
                <w:color w:val="auto"/>
                <w:spacing w:val="-1"/>
                <w:kern w:val="2"/>
                <w:highlight w:val="none"/>
                <w:lang w:val="en-US" w:eastAsia="zh-CN"/>
              </w:rPr>
            </w:pPr>
            <w:r>
              <w:rPr>
                <w:rFonts w:hint="eastAsia" w:cs="Times New Roman"/>
                <w:color w:val="auto"/>
                <w:sz w:val="21"/>
                <w:szCs w:val="21"/>
                <w:highlight w:val="none"/>
                <w:shd w:val="clear" w:color="auto" w:fill="auto"/>
                <w:lang w:val="en-US" w:eastAsia="zh-CN"/>
              </w:rPr>
              <w:t>8.80</w:t>
            </w:r>
          </w:p>
        </w:tc>
        <w:tc>
          <w:tcPr>
            <w:tcW w:w="1397" w:type="dxa"/>
            <w:tcBorders>
              <w:tl2br w:val="nil"/>
              <w:tr2bl w:val="nil"/>
            </w:tcBorders>
            <w:shd w:val="clear" w:color="auto" w:fill="auto"/>
            <w:vAlign w:val="center"/>
          </w:tcPr>
          <w:p>
            <w:pPr>
              <w:spacing w:before="70"/>
              <w:jc w:val="center"/>
              <w:rPr>
                <w:rFonts w:hint="eastAsia"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轻度碱化</w:t>
            </w:r>
          </w:p>
        </w:tc>
        <w:tc>
          <w:tcPr>
            <w:tcW w:w="1834" w:type="dxa"/>
            <w:tcBorders>
              <w:tl2br w:val="nil"/>
              <w:tr2bl w:val="nil"/>
            </w:tcBorders>
            <w:vAlign w:val="center"/>
          </w:tcPr>
          <w:p>
            <w:pPr>
              <w:pStyle w:val="106"/>
              <w:jc w:val="center"/>
              <w:rPr>
                <w:rFonts w:hint="default" w:eastAsia="宋体"/>
                <w:color w:val="auto"/>
                <w:spacing w:val="-1"/>
                <w:kern w:val="2"/>
                <w:highlight w:val="none"/>
                <w:lang w:val="en-US" w:eastAsia="zh-CN"/>
              </w:rPr>
            </w:pPr>
            <w:r>
              <w:rPr>
                <w:rFonts w:hint="eastAsia" w:cs="Times New Roman"/>
                <w:color w:val="auto"/>
                <w:sz w:val="21"/>
                <w:szCs w:val="21"/>
                <w:highlight w:val="none"/>
                <w:shd w:val="clear" w:color="auto" w:fill="auto"/>
                <w:lang w:val="en-US" w:eastAsia="zh-CN"/>
              </w:rPr>
              <w:t>1.4</w:t>
            </w:r>
          </w:p>
        </w:tc>
        <w:tc>
          <w:tcPr>
            <w:tcW w:w="1086" w:type="dxa"/>
            <w:tcBorders>
              <w:tl2br w:val="nil"/>
              <w:tr2bl w:val="nil"/>
            </w:tcBorders>
            <w:vAlign w:val="center"/>
          </w:tcPr>
          <w:p>
            <w:pPr>
              <w:spacing w:before="70"/>
              <w:jc w:val="center"/>
              <w:rPr>
                <w:color w:val="auto"/>
                <w:spacing w:val="-1"/>
                <w:highlight w:val="none"/>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pPr>
              <w:pStyle w:val="41"/>
              <w:bidi w:val="0"/>
              <w:ind w:firstLine="0" w:firstLineChars="0"/>
              <w:jc w:val="both"/>
              <w:rPr>
                <w:color w:val="auto"/>
                <w:spacing w:val="-1"/>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FTYHW1012</w:t>
            </w:r>
            <w:r>
              <w:rPr>
                <w:rFonts w:hint="default" w:ascii="Times New Roman" w:hAnsi="Times New Roman" w:eastAsia="宋体" w:cs="Times New Roman"/>
                <w:color w:val="auto"/>
                <w:highlight w:val="none"/>
                <w:lang w:val="en-US" w:eastAsia="zh-CN"/>
              </w:rPr>
              <w:t>井场200m外</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8.60</w:t>
            </w:r>
          </w:p>
        </w:tc>
        <w:tc>
          <w:tcPr>
            <w:tcW w:w="1397" w:type="dxa"/>
            <w:tcBorders>
              <w:tl2br w:val="nil"/>
              <w:tr2bl w:val="nil"/>
            </w:tcBorders>
            <w:shd w:val="clear" w:color="auto" w:fill="auto"/>
            <w:vAlign w:val="center"/>
          </w:tcPr>
          <w:p>
            <w:pPr>
              <w:spacing w:before="70"/>
              <w:jc w:val="center"/>
              <w:rPr>
                <w:rFonts w:hint="eastAsia" w:ascii="Times New Roman" w:hAnsi="Times New Roman" w:eastAsia="宋体" w:cs="Times New Roman"/>
                <w:color w:val="auto"/>
                <w:spacing w:val="-1"/>
                <w:sz w:val="21"/>
                <w:szCs w:val="21"/>
                <w:highlight w:val="none"/>
                <w:lang w:val="en-US" w:eastAsia="zh-CN" w:bidi="ar-SA"/>
              </w:rPr>
            </w:pPr>
            <w:r>
              <w:rPr>
                <w:rFonts w:cs="Times New Roman"/>
                <w:color w:val="auto"/>
                <w:spacing w:val="-2"/>
                <w:highlight w:val="none"/>
              </w:rPr>
              <w:t>轻度碱化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eastAsia="宋体"/>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20.4</w:t>
            </w:r>
          </w:p>
        </w:tc>
        <w:tc>
          <w:tcPr>
            <w:tcW w:w="1086" w:type="dxa"/>
            <w:tcBorders>
              <w:tl2br w:val="nil"/>
              <w:tr2bl w:val="nil"/>
            </w:tcBorders>
            <w:vAlign w:val="center"/>
          </w:tcPr>
          <w:p>
            <w:pPr>
              <w:spacing w:before="70"/>
              <w:jc w:val="center"/>
              <w:rPr>
                <w:color w:val="auto"/>
                <w:spacing w:val="-1"/>
                <w:highlight w:val="none"/>
              </w:rPr>
            </w:pPr>
            <w:r>
              <w:rPr>
                <w:color w:val="auto"/>
                <w:highlight w:val="none"/>
              </w:rPr>
              <w:t>极重度盐化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pPr>
              <w:pStyle w:val="41"/>
              <w:bidi w:val="0"/>
              <w:ind w:firstLine="0" w:firstLineChars="0"/>
              <w:jc w:val="center"/>
              <w:rPr>
                <w:rFonts w:hint="default"/>
                <w:color w:val="auto"/>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FTYHW1235</w:t>
            </w:r>
            <w:r>
              <w:rPr>
                <w:rFonts w:hint="default" w:ascii="Times New Roman" w:hAnsi="Times New Roman" w:eastAsia="宋体" w:cs="Times New Roman"/>
                <w:color w:val="auto"/>
                <w:highlight w:val="none"/>
                <w:lang w:val="en-US" w:eastAsia="zh-CN"/>
              </w:rPr>
              <w:t>井200m外</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7.74</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2"/>
                <w:highlight w:val="none"/>
              </w:rPr>
              <w:t>无酸化或碱化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16.2</w:t>
            </w:r>
          </w:p>
        </w:tc>
        <w:tc>
          <w:tcPr>
            <w:tcW w:w="1086" w:type="dxa"/>
            <w:tcBorders>
              <w:tl2br w:val="nil"/>
              <w:tr2bl w:val="nil"/>
            </w:tcBorders>
            <w:vAlign w:val="center"/>
          </w:tcPr>
          <w:p>
            <w:pPr>
              <w:spacing w:before="70"/>
              <w:jc w:val="center"/>
              <w:rPr>
                <w:color w:val="auto"/>
                <w:highlight w:val="none"/>
              </w:rPr>
            </w:pPr>
            <w:r>
              <w:rPr>
                <w:color w:val="auto"/>
                <w:highlight w:val="none"/>
              </w:rPr>
              <w:t>极重度盐化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pPr>
              <w:pStyle w:val="41"/>
              <w:bidi w:val="0"/>
              <w:ind w:firstLine="0" w:firstLineChars="0"/>
              <w:jc w:val="center"/>
              <w:rPr>
                <w:rFonts w:hint="default"/>
                <w:color w:val="auto"/>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eastAsia" w:cs="Times New Roman"/>
                <w:color w:val="auto"/>
                <w:highlight w:val="none"/>
                <w:lang w:val="en-US" w:eastAsia="zh-CN"/>
              </w:rPr>
              <w:t>FTYHW0912</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8.58</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2"/>
                <w:highlight w:val="none"/>
              </w:rPr>
              <w:t>轻度碱化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0.8</w:t>
            </w:r>
          </w:p>
        </w:tc>
        <w:tc>
          <w:tcPr>
            <w:tcW w:w="1086" w:type="dxa"/>
            <w:tcBorders>
              <w:tl2br w:val="nil"/>
              <w:tr2bl w:val="nil"/>
            </w:tcBorders>
            <w:vAlign w:val="center"/>
          </w:tcPr>
          <w:p>
            <w:pPr>
              <w:spacing w:before="70"/>
              <w:jc w:val="center"/>
              <w:rPr>
                <w:color w:val="auto"/>
                <w:highlight w:val="none"/>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pPr>
              <w:pStyle w:val="41"/>
              <w:bidi w:val="0"/>
              <w:ind w:firstLine="0" w:firstLineChars="0"/>
              <w:rPr>
                <w:rFonts w:hint="default"/>
                <w:color w:val="auto"/>
                <w:highlight w:val="none"/>
              </w:rPr>
            </w:pPr>
            <w:r>
              <w:rPr>
                <w:rFonts w:hint="default" w:ascii="Times New Roman" w:hAnsi="Times New Roman" w:eastAsia="宋体" w:cs="Times New Roman"/>
                <w:color w:val="auto"/>
                <w:kern w:val="2"/>
                <w:sz w:val="21"/>
                <w:szCs w:val="21"/>
                <w:highlight w:val="none"/>
                <w:shd w:val="clear" w:color="auto" w:fill="auto"/>
                <w:lang w:val="en-US" w:eastAsia="zh-CN" w:bidi="ar-SA"/>
              </w:rPr>
              <w:t>拟建</w:t>
            </w:r>
            <w:r>
              <w:rPr>
                <w:rFonts w:hint="default" w:ascii="Times New Roman" w:hAnsi="Times New Roman" w:eastAsia="宋体" w:cs="Times New Roman"/>
                <w:color w:val="auto"/>
                <w:highlight w:val="none"/>
                <w:lang w:val="en-US" w:eastAsia="zh-CN"/>
              </w:rPr>
              <w:t>FTYHW1010</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pStyle w:val="106"/>
              <w:jc w:val="center"/>
              <w:rPr>
                <w:rFonts w:hint="eastAsia"/>
                <w:color w:val="auto"/>
                <w:spacing w:val="-1"/>
                <w:kern w:val="2"/>
                <w:highlight w:val="none"/>
                <w:lang w:val="en-US" w:eastAsia="zh-CN"/>
              </w:rPr>
            </w:pPr>
            <w:r>
              <w:rPr>
                <w:rFonts w:hint="eastAsia" w:cs="Times New Roman"/>
                <w:color w:val="auto"/>
                <w:sz w:val="21"/>
                <w:szCs w:val="21"/>
                <w:highlight w:val="none"/>
                <w:shd w:val="clear" w:color="auto" w:fill="auto"/>
                <w:lang w:val="en-US" w:eastAsia="zh-CN"/>
              </w:rPr>
              <w:t>7.90</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2"/>
                <w:highlight w:val="none"/>
              </w:rPr>
              <w:t>无酸化或碱化</w:t>
            </w:r>
          </w:p>
        </w:tc>
        <w:tc>
          <w:tcPr>
            <w:tcW w:w="1834" w:type="dxa"/>
            <w:tcBorders>
              <w:tl2br w:val="nil"/>
              <w:tr2bl w:val="nil"/>
            </w:tcBorders>
            <w:vAlign w:val="center"/>
          </w:tcPr>
          <w:p>
            <w:pPr>
              <w:pStyle w:val="106"/>
              <w:jc w:val="center"/>
              <w:rPr>
                <w:rFonts w:hint="eastAsia"/>
                <w:color w:val="auto"/>
                <w:spacing w:val="-1"/>
                <w:kern w:val="2"/>
                <w:highlight w:val="none"/>
                <w:lang w:val="en-US" w:eastAsia="zh-CN"/>
              </w:rPr>
            </w:pPr>
            <w:r>
              <w:rPr>
                <w:rFonts w:hint="eastAsia" w:cs="Times New Roman"/>
                <w:color w:val="auto"/>
                <w:sz w:val="21"/>
                <w:szCs w:val="21"/>
                <w:highlight w:val="none"/>
                <w:shd w:val="clear" w:color="auto" w:fill="auto"/>
                <w:lang w:val="en-US" w:eastAsia="zh-CN"/>
              </w:rPr>
              <w:t>2.7</w:t>
            </w:r>
          </w:p>
        </w:tc>
        <w:tc>
          <w:tcPr>
            <w:tcW w:w="1086" w:type="dxa"/>
            <w:tcBorders>
              <w:tl2br w:val="nil"/>
              <w:tr2bl w:val="nil"/>
            </w:tcBorders>
            <w:vAlign w:val="center"/>
          </w:tcPr>
          <w:p>
            <w:pPr>
              <w:spacing w:before="70"/>
              <w:jc w:val="center"/>
              <w:rPr>
                <w:color w:val="auto"/>
                <w:highlight w:val="none"/>
              </w:rPr>
            </w:pPr>
            <w:r>
              <w:rPr>
                <w:color w:val="auto"/>
                <w:highlight w:val="none"/>
              </w:rPr>
              <w:t>轻度盐化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pPr>
              <w:spacing w:before="70"/>
              <w:jc w:val="center"/>
              <w:rPr>
                <w:rFonts w:hint="default"/>
                <w:color w:val="auto"/>
                <w:highlight w:val="none"/>
              </w:rPr>
            </w:pPr>
            <w:r>
              <w:rPr>
                <w:rFonts w:hint="default" w:ascii="Times New Roman" w:hAnsi="Times New Roman" w:eastAsia="宋体" w:cs="Times New Roman"/>
                <w:color w:val="auto"/>
                <w:highlight w:val="none"/>
                <w:lang w:val="en-US" w:eastAsia="zh-CN"/>
              </w:rPr>
              <w:t>拟建FTYHW0911</w:t>
            </w:r>
            <w:r>
              <w:rPr>
                <w:rFonts w:hint="eastAsia" w:ascii="Times New Roman" w:hAnsi="Times New Roman" w:eastAsia="宋体" w:cs="Times New Roman"/>
                <w:color w:val="auto"/>
                <w:highlight w:val="none"/>
                <w:lang w:val="en-US" w:eastAsia="zh-CN"/>
              </w:rPr>
              <w:t>井场</w:t>
            </w:r>
            <w:r>
              <w:rPr>
                <w:rFonts w:hint="default" w:ascii="Times New Roman" w:hAnsi="Times New Roman" w:eastAsia="宋体" w:cs="Times New Roman"/>
                <w:color w:val="auto"/>
                <w:highlight w:val="none"/>
                <w:lang w:val="en-US" w:eastAsia="zh-CN"/>
              </w:rPr>
              <w:t>200m外</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spacing w:before="70"/>
              <w:jc w:val="center"/>
              <w:rPr>
                <w:rFonts w:hint="eastAsia"/>
                <w:color w:val="auto"/>
                <w:spacing w:val="-1"/>
                <w:kern w:val="2"/>
                <w:highlight w:val="none"/>
                <w:lang w:val="en-US" w:eastAsia="zh-CN"/>
              </w:rPr>
            </w:pPr>
            <w:r>
              <w:rPr>
                <w:rFonts w:hint="eastAsia"/>
                <w:color w:val="auto"/>
                <w:highlight w:val="none"/>
                <w:lang w:val="en-US" w:eastAsia="zh-CN"/>
              </w:rPr>
              <w:t>9.3</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pPr>
              <w:spacing w:before="70"/>
              <w:jc w:val="center"/>
              <w:rPr>
                <w:rFonts w:hint="eastAsia"/>
                <w:color w:val="auto"/>
                <w:spacing w:val="-1"/>
                <w:kern w:val="2"/>
                <w:highlight w:val="none"/>
                <w:lang w:val="en-US" w:eastAsia="zh-CN"/>
              </w:rPr>
            </w:pPr>
            <w:r>
              <w:rPr>
                <w:rFonts w:hint="eastAsia"/>
                <w:color w:val="auto"/>
                <w:highlight w:val="none"/>
                <w:lang w:val="en-US" w:eastAsia="zh-CN"/>
              </w:rPr>
              <w:t>0.5</w:t>
            </w:r>
          </w:p>
        </w:tc>
        <w:tc>
          <w:tcPr>
            <w:tcW w:w="1086" w:type="dxa"/>
            <w:tcBorders>
              <w:tl2br w:val="nil"/>
              <w:tr2bl w:val="nil"/>
            </w:tcBorders>
            <w:vAlign w:val="center"/>
          </w:tcPr>
          <w:p>
            <w:pPr>
              <w:spacing w:before="70"/>
              <w:jc w:val="center"/>
              <w:rPr>
                <w:color w:val="auto"/>
                <w:highlight w:val="none"/>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tcBorders>
              <w:tl2br w:val="nil"/>
              <w:tr2bl w:val="nil"/>
            </w:tcBorders>
            <w:vAlign w:val="center"/>
          </w:tcPr>
          <w:p>
            <w:pPr>
              <w:spacing w:before="70"/>
              <w:jc w:val="center"/>
              <w:rPr>
                <w:rFonts w:hint="default"/>
                <w:color w:val="auto"/>
                <w:highlight w:val="none"/>
              </w:rPr>
            </w:pPr>
            <w:r>
              <w:rPr>
                <w:rFonts w:hint="default" w:ascii="Times New Roman" w:hAnsi="Times New Roman" w:eastAsia="宋体" w:cs="Times New Roman"/>
                <w:color w:val="auto"/>
                <w:highlight w:val="none"/>
                <w:lang w:val="en-US" w:eastAsia="zh-CN"/>
              </w:rPr>
              <w:t>拟建</w:t>
            </w:r>
            <w:r>
              <w:rPr>
                <w:rFonts w:hint="eastAsia" w:ascii="Times New Roman" w:hAnsi="Times New Roman" w:eastAsia="宋体" w:cs="Times New Roman"/>
                <w:color w:val="auto"/>
                <w:highlight w:val="none"/>
                <w:lang w:val="en-US" w:eastAsia="zh-CN"/>
              </w:rPr>
              <w:t>净化油外输管线</w:t>
            </w:r>
            <w:r>
              <w:rPr>
                <w:rFonts w:hint="default" w:ascii="Times New Roman" w:hAnsi="Times New Roman" w:eastAsia="宋体" w:cs="Times New Roman"/>
                <w:color w:val="auto"/>
                <w:highlight w:val="none"/>
                <w:lang w:val="en-US" w:eastAsia="zh-CN"/>
              </w:rPr>
              <w:t>200m外</w:t>
            </w:r>
          </w:p>
        </w:tc>
        <w:tc>
          <w:tcPr>
            <w:tcW w:w="1103" w:type="dxa"/>
            <w:tcBorders>
              <w:tl2br w:val="nil"/>
              <w:tr2bl w:val="nil"/>
            </w:tcBorders>
            <w:vAlign w:val="center"/>
          </w:tcPr>
          <w:p>
            <w:pPr>
              <w:spacing w:before="70"/>
              <w:jc w:val="center"/>
              <w:rPr>
                <w:color w:val="auto"/>
                <w:spacing w:val="-1"/>
                <w:highlight w:val="none"/>
              </w:rPr>
            </w:pPr>
            <w:r>
              <w:rPr>
                <w:color w:val="auto"/>
                <w:spacing w:val="-1"/>
                <w:highlight w:val="none"/>
              </w:rPr>
              <w:t>表层0-0.2m</w:t>
            </w:r>
          </w:p>
        </w:tc>
        <w:tc>
          <w:tcPr>
            <w:tcW w:w="641" w:type="dxa"/>
            <w:tcBorders>
              <w:tl2br w:val="nil"/>
              <w:tr2bl w:val="nil"/>
            </w:tcBorders>
            <w:vAlign w:val="center"/>
          </w:tcPr>
          <w:p>
            <w:pPr>
              <w:spacing w:before="70"/>
              <w:jc w:val="center"/>
              <w:rPr>
                <w:rFonts w:hint="eastAsia"/>
                <w:color w:val="auto"/>
                <w:spacing w:val="-1"/>
                <w:kern w:val="2"/>
                <w:highlight w:val="none"/>
                <w:lang w:val="en-US" w:eastAsia="zh-CN"/>
              </w:rPr>
            </w:pPr>
            <w:r>
              <w:rPr>
                <w:rFonts w:hint="eastAsia"/>
                <w:color w:val="auto"/>
                <w:highlight w:val="none"/>
                <w:lang w:val="en-US" w:eastAsia="zh-CN"/>
              </w:rPr>
              <w:t>8.72</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2"/>
                <w:highlight w:val="none"/>
              </w:rPr>
              <w:t>轻度碱化</w:t>
            </w:r>
          </w:p>
        </w:tc>
        <w:tc>
          <w:tcPr>
            <w:tcW w:w="1834" w:type="dxa"/>
            <w:tcBorders>
              <w:tl2br w:val="nil"/>
              <w:tr2bl w:val="nil"/>
            </w:tcBorders>
            <w:vAlign w:val="center"/>
          </w:tcPr>
          <w:p>
            <w:pPr>
              <w:spacing w:before="70"/>
              <w:jc w:val="center"/>
              <w:rPr>
                <w:rFonts w:hint="eastAsia"/>
                <w:color w:val="auto"/>
                <w:spacing w:val="-1"/>
                <w:kern w:val="2"/>
                <w:highlight w:val="none"/>
                <w:lang w:val="en-US" w:eastAsia="zh-CN"/>
              </w:rPr>
            </w:pPr>
            <w:r>
              <w:rPr>
                <w:rFonts w:hint="eastAsia"/>
                <w:color w:val="auto"/>
                <w:highlight w:val="none"/>
                <w:lang w:val="en-US" w:eastAsia="zh-CN"/>
              </w:rPr>
              <w:t>13.4</w:t>
            </w:r>
          </w:p>
        </w:tc>
        <w:tc>
          <w:tcPr>
            <w:tcW w:w="1086" w:type="dxa"/>
            <w:tcBorders>
              <w:tl2br w:val="nil"/>
              <w:tr2bl w:val="nil"/>
            </w:tcBorders>
            <w:vAlign w:val="center"/>
          </w:tcPr>
          <w:p>
            <w:pPr>
              <w:spacing w:before="70"/>
              <w:jc w:val="center"/>
              <w:rPr>
                <w:color w:val="auto"/>
                <w:highlight w:val="none"/>
              </w:rPr>
            </w:pPr>
            <w:r>
              <w:rPr>
                <w:color w:val="auto"/>
                <w:highlight w:val="none"/>
              </w:rPr>
              <w:t>极重度盐化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restart"/>
            <w:tcBorders>
              <w:tl2br w:val="nil"/>
              <w:tr2bl w:val="nil"/>
            </w:tcBorders>
            <w:vAlign w:val="center"/>
          </w:tcPr>
          <w:p>
            <w:pPr>
              <w:pStyle w:val="106"/>
              <w:jc w:val="center"/>
              <w:rPr>
                <w:rFonts w:hint="default"/>
                <w:color w:val="auto"/>
                <w:highlight w:val="none"/>
              </w:rPr>
            </w:pP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FTYHW0912</w:t>
            </w:r>
            <w:r>
              <w:rPr>
                <w:rFonts w:hint="eastAsia" w:ascii="Times New Roman" w:hAnsi="Times New Roman" w:eastAsia="宋体" w:cs="Times New Roman"/>
                <w:color w:val="auto"/>
                <w:sz w:val="21"/>
                <w:szCs w:val="21"/>
                <w:highlight w:val="none"/>
                <w:shd w:val="clear" w:color="auto" w:fill="auto"/>
                <w:lang w:val="en-US" w:eastAsia="zh-CN"/>
              </w:rPr>
              <w:t>井场</w:t>
            </w:r>
          </w:p>
        </w:tc>
        <w:tc>
          <w:tcPr>
            <w:tcW w:w="1103" w:type="dxa"/>
            <w:tcBorders>
              <w:tl2br w:val="nil"/>
              <w:tr2bl w:val="nil"/>
            </w:tcBorders>
            <w:vAlign w:val="center"/>
          </w:tcPr>
          <w:p>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9.48</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0.3</w:t>
            </w:r>
          </w:p>
        </w:tc>
        <w:tc>
          <w:tcPr>
            <w:tcW w:w="1086" w:type="dxa"/>
            <w:tcBorders>
              <w:tl2br w:val="nil"/>
              <w:tr2bl w:val="nil"/>
            </w:tcBorders>
            <w:vAlign w:val="center"/>
          </w:tcPr>
          <w:p>
            <w:pPr>
              <w:spacing w:before="70"/>
              <w:jc w:val="center"/>
              <w:rPr>
                <w:color w:val="auto"/>
                <w:highlight w:val="none"/>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vAlign w:val="center"/>
          </w:tcPr>
          <w:p>
            <w:pPr>
              <w:spacing w:before="70"/>
              <w:jc w:val="center"/>
              <w:rPr>
                <w:rFonts w:hint="default"/>
                <w:color w:val="auto"/>
                <w:highlight w:val="none"/>
              </w:rPr>
            </w:pPr>
          </w:p>
        </w:tc>
        <w:tc>
          <w:tcPr>
            <w:tcW w:w="1103" w:type="dxa"/>
            <w:tcBorders>
              <w:tl2br w:val="nil"/>
              <w:tr2bl w:val="nil"/>
            </w:tcBorders>
            <w:vAlign w:val="center"/>
          </w:tcPr>
          <w:p>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9.46</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0.8</w:t>
            </w:r>
          </w:p>
        </w:tc>
        <w:tc>
          <w:tcPr>
            <w:tcW w:w="1086" w:type="dxa"/>
            <w:tcBorders>
              <w:tl2br w:val="nil"/>
              <w:tr2bl w:val="nil"/>
            </w:tcBorders>
            <w:vAlign w:val="center"/>
          </w:tcPr>
          <w:p>
            <w:pPr>
              <w:spacing w:before="70"/>
              <w:jc w:val="center"/>
              <w:rPr>
                <w:color w:val="auto"/>
                <w:highlight w:val="none"/>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vAlign w:val="center"/>
          </w:tcPr>
          <w:p>
            <w:pPr>
              <w:spacing w:before="70"/>
              <w:jc w:val="center"/>
              <w:rPr>
                <w:rFonts w:hint="default"/>
                <w:color w:val="auto"/>
                <w:highlight w:val="none"/>
              </w:rPr>
            </w:pPr>
          </w:p>
        </w:tc>
        <w:tc>
          <w:tcPr>
            <w:tcW w:w="1103" w:type="dxa"/>
            <w:tcBorders>
              <w:tl2br w:val="nil"/>
              <w:tr2bl w:val="nil"/>
            </w:tcBorders>
            <w:vAlign w:val="center"/>
          </w:tcPr>
          <w:p>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9.46</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0.8</w:t>
            </w:r>
          </w:p>
        </w:tc>
        <w:tc>
          <w:tcPr>
            <w:tcW w:w="1086" w:type="dxa"/>
            <w:tcBorders>
              <w:tl2br w:val="nil"/>
              <w:tr2bl w:val="nil"/>
            </w:tcBorders>
            <w:vAlign w:val="center"/>
          </w:tcPr>
          <w:p>
            <w:pPr>
              <w:spacing w:before="70"/>
              <w:jc w:val="center"/>
              <w:rPr>
                <w:color w:val="auto"/>
                <w:highlight w:val="none"/>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restart"/>
            <w:tcBorders>
              <w:tl2br w:val="nil"/>
              <w:tr2bl w:val="nil"/>
            </w:tcBorders>
            <w:vAlign w:val="center"/>
          </w:tcPr>
          <w:p>
            <w:pPr>
              <w:pStyle w:val="106"/>
              <w:jc w:val="center"/>
              <w:rPr>
                <w:rFonts w:hint="default" w:ascii="Times New Roman" w:hAnsi="Times New Roman" w:eastAsia="宋体" w:cs="Times New Roman"/>
                <w:color w:val="auto"/>
                <w:kern w:val="2"/>
                <w:sz w:val="21"/>
                <w:szCs w:val="22"/>
                <w:highlight w:val="none"/>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拟建</w:t>
            </w:r>
            <w:r>
              <w:rPr>
                <w:rFonts w:hint="eastAsia" w:cs="Times New Roman"/>
                <w:color w:val="auto"/>
                <w:sz w:val="21"/>
                <w:szCs w:val="21"/>
                <w:highlight w:val="none"/>
                <w:shd w:val="clear" w:color="auto" w:fill="auto"/>
                <w:lang w:val="en-US" w:eastAsia="zh-CN"/>
              </w:rPr>
              <w:t>FTYHW1234</w:t>
            </w:r>
            <w:r>
              <w:rPr>
                <w:rFonts w:hint="eastAsia" w:ascii="Times New Roman" w:hAnsi="Times New Roman" w:eastAsia="宋体" w:cs="Times New Roman"/>
                <w:color w:val="auto"/>
                <w:sz w:val="21"/>
                <w:szCs w:val="21"/>
                <w:highlight w:val="none"/>
                <w:shd w:val="clear" w:color="auto" w:fill="auto"/>
                <w:lang w:val="en-US" w:eastAsia="zh-CN"/>
              </w:rPr>
              <w:t>井场</w:t>
            </w:r>
          </w:p>
        </w:tc>
        <w:tc>
          <w:tcPr>
            <w:tcW w:w="1103" w:type="dxa"/>
            <w:tcBorders>
              <w:tl2br w:val="nil"/>
              <w:tr2bl w:val="nil"/>
            </w:tcBorders>
            <w:vAlign w:val="center"/>
          </w:tcPr>
          <w:p>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0.5m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9.10</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1.4</w:t>
            </w:r>
          </w:p>
        </w:tc>
        <w:tc>
          <w:tcPr>
            <w:tcW w:w="1086" w:type="dxa"/>
            <w:tcBorders>
              <w:tl2br w:val="nil"/>
              <w:tr2bl w:val="nil"/>
            </w:tcBorders>
            <w:vAlign w:val="center"/>
          </w:tcPr>
          <w:p>
            <w:pPr>
              <w:spacing w:before="70"/>
              <w:jc w:val="center"/>
              <w:rPr>
                <w:color w:val="auto"/>
                <w:highlight w:val="none"/>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vAlign w:val="center"/>
          </w:tcPr>
          <w:p>
            <w:pPr>
              <w:spacing w:before="70"/>
              <w:jc w:val="center"/>
              <w:rPr>
                <w:rFonts w:hint="default"/>
                <w:color w:val="auto"/>
                <w:highlight w:val="none"/>
              </w:rPr>
            </w:pPr>
          </w:p>
        </w:tc>
        <w:tc>
          <w:tcPr>
            <w:tcW w:w="1103" w:type="dxa"/>
            <w:tcBorders>
              <w:tl2br w:val="nil"/>
              <w:tr2bl w:val="nil"/>
            </w:tcBorders>
            <w:vAlign w:val="center"/>
          </w:tcPr>
          <w:p>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0.5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1.5m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9.15</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6"/>
                <w:highlight w:val="none"/>
              </w:rPr>
              <w:t>中度碱化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1.4</w:t>
            </w:r>
          </w:p>
        </w:tc>
        <w:tc>
          <w:tcPr>
            <w:tcW w:w="1086" w:type="dxa"/>
            <w:tcBorders>
              <w:tl2br w:val="nil"/>
              <w:tr2bl w:val="nil"/>
            </w:tcBorders>
            <w:vAlign w:val="center"/>
          </w:tcPr>
          <w:p>
            <w:pPr>
              <w:spacing w:before="70"/>
              <w:jc w:val="center"/>
              <w:rPr>
                <w:color w:val="auto"/>
                <w:highlight w:val="none"/>
              </w:rPr>
            </w:pPr>
            <w:r>
              <w:rPr>
                <w:color w:val="auto"/>
                <w:highlight w:val="none"/>
              </w:rPr>
              <w:t>未盐化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170" w:hRule="atLeast"/>
          <w:jc w:val="center"/>
        </w:trPr>
        <w:tc>
          <w:tcPr>
            <w:tcW w:w="2310" w:type="dxa"/>
            <w:vMerge w:val="continue"/>
            <w:tcBorders>
              <w:tl2br w:val="nil"/>
              <w:tr2bl w:val="nil"/>
            </w:tcBorders>
            <w:vAlign w:val="center"/>
          </w:tcPr>
          <w:p>
            <w:pPr>
              <w:spacing w:before="70"/>
              <w:jc w:val="center"/>
              <w:rPr>
                <w:rFonts w:hint="default"/>
                <w:color w:val="auto"/>
                <w:highlight w:val="none"/>
              </w:rPr>
            </w:pPr>
          </w:p>
        </w:tc>
        <w:tc>
          <w:tcPr>
            <w:tcW w:w="1103" w:type="dxa"/>
            <w:tcBorders>
              <w:tl2br w:val="nil"/>
              <w:tr2bl w:val="nil"/>
            </w:tcBorders>
            <w:vAlign w:val="center"/>
          </w:tcPr>
          <w:p>
            <w:pPr>
              <w:pStyle w:val="106"/>
              <w:jc w:val="center"/>
              <w:rPr>
                <w:color w:val="auto"/>
                <w:spacing w:val="-1"/>
                <w:highlight w:val="none"/>
              </w:rPr>
            </w:pPr>
            <w:r>
              <w:rPr>
                <w:rFonts w:hint="default" w:ascii="Times New Roman" w:hAnsi="Times New Roman" w:cs="Times New Roman"/>
                <w:color w:val="auto"/>
                <w:spacing w:val="-20"/>
                <w:sz w:val="21"/>
                <w:szCs w:val="21"/>
                <w:highlight w:val="none"/>
                <w:shd w:val="clear" w:color="auto" w:fill="auto"/>
              </w:rPr>
              <w:t>1.5</w:t>
            </w:r>
            <w:r>
              <w:rPr>
                <w:rFonts w:hint="eastAsia" w:cs="Times New Roman"/>
                <w:color w:val="auto"/>
                <w:spacing w:val="-20"/>
                <w:sz w:val="21"/>
                <w:szCs w:val="21"/>
                <w:highlight w:val="none"/>
                <w:shd w:val="clear" w:color="auto" w:fill="auto"/>
                <w:lang w:eastAsia="zh-CN"/>
              </w:rPr>
              <w:t>~</w:t>
            </w:r>
            <w:r>
              <w:rPr>
                <w:rFonts w:hint="default" w:ascii="Times New Roman" w:hAnsi="Times New Roman" w:cs="Times New Roman"/>
                <w:color w:val="auto"/>
                <w:spacing w:val="-20"/>
                <w:sz w:val="21"/>
                <w:szCs w:val="21"/>
                <w:highlight w:val="none"/>
                <w:shd w:val="clear" w:color="auto" w:fill="auto"/>
              </w:rPr>
              <w:t>3.0m</w:t>
            </w:r>
          </w:p>
        </w:tc>
        <w:tc>
          <w:tcPr>
            <w:tcW w:w="64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8.91</w:t>
            </w:r>
          </w:p>
        </w:tc>
        <w:tc>
          <w:tcPr>
            <w:tcW w:w="1397" w:type="dxa"/>
            <w:tcBorders>
              <w:tl2br w:val="nil"/>
              <w:tr2bl w:val="nil"/>
            </w:tcBorders>
            <w:shd w:val="clear" w:color="auto" w:fill="auto"/>
            <w:vAlign w:val="center"/>
          </w:tcPr>
          <w:p>
            <w:pPr>
              <w:spacing w:before="70"/>
              <w:jc w:val="center"/>
              <w:rPr>
                <w:rFonts w:cs="Times New Roman"/>
                <w:color w:val="auto"/>
                <w:spacing w:val="-2"/>
                <w:highlight w:val="none"/>
              </w:rPr>
            </w:pPr>
            <w:r>
              <w:rPr>
                <w:rFonts w:cs="Times New Roman"/>
                <w:color w:val="auto"/>
                <w:spacing w:val="-2"/>
                <w:highlight w:val="none"/>
              </w:rPr>
              <w:t>轻度碱化</w:t>
            </w:r>
          </w:p>
        </w:tc>
        <w:tc>
          <w:tcPr>
            <w:tcW w:w="1834"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color w:val="auto"/>
                <w:spacing w:val="-1"/>
                <w:kern w:val="2"/>
                <w:highlight w:val="none"/>
                <w:lang w:val="en-US" w:eastAsia="zh-CN"/>
              </w:rPr>
            </w:pPr>
            <w:r>
              <w:rPr>
                <w:rFonts w:hint="eastAsia" w:eastAsia="仿宋_GB2312" w:cs="Times New Roman"/>
                <w:color w:val="auto"/>
                <w:sz w:val="21"/>
                <w:szCs w:val="21"/>
                <w:highlight w:val="none"/>
                <w:shd w:val="clear" w:color="auto" w:fill="auto"/>
                <w:lang w:val="en-US" w:eastAsia="zh-CN"/>
              </w:rPr>
              <w:t>1.9</w:t>
            </w:r>
          </w:p>
        </w:tc>
        <w:tc>
          <w:tcPr>
            <w:tcW w:w="1086" w:type="dxa"/>
            <w:tcBorders>
              <w:tl2br w:val="nil"/>
              <w:tr2bl w:val="nil"/>
            </w:tcBorders>
            <w:vAlign w:val="center"/>
          </w:tcPr>
          <w:p>
            <w:pPr>
              <w:spacing w:before="70"/>
              <w:jc w:val="center"/>
              <w:rPr>
                <w:color w:val="auto"/>
                <w:highlight w:val="none"/>
              </w:rPr>
            </w:pPr>
            <w:r>
              <w:rPr>
                <w:color w:val="auto"/>
                <w:highlight w:val="none"/>
              </w:rPr>
              <w:t>未盐化</w:t>
            </w:r>
          </w:p>
        </w:tc>
      </w:tr>
    </w:tbl>
    <w:p>
      <w:pPr>
        <w:pStyle w:val="57"/>
        <w:ind w:left="0" w:leftChars="0" w:firstLine="480" w:firstLineChars="200"/>
        <w:rPr>
          <w:color w:val="auto"/>
          <w:highlight w:val="none"/>
        </w:rPr>
      </w:pPr>
      <w:r>
        <w:rPr>
          <w:rFonts w:hint="eastAsia"/>
          <w:color w:val="auto"/>
          <w:highlight w:val="none"/>
          <w:lang w:val="en-US" w:eastAsia="zh-CN"/>
        </w:rPr>
        <w:t>综上所述，区内</w:t>
      </w:r>
      <w:r>
        <w:rPr>
          <w:rFonts w:hint="eastAsia" w:ascii="Times New Roman" w:hAnsi="Times New Roman" w:eastAsia="宋体" w:cs="Times New Roman"/>
          <w:color w:val="auto"/>
          <w:sz w:val="24"/>
          <w:szCs w:val="24"/>
          <w:highlight w:val="none"/>
          <w:shd w:val="clear" w:color="auto" w:fill="auto"/>
          <w:lang w:val="en-US" w:eastAsia="zh-CN"/>
        </w:rPr>
        <w:t>土壤pH值为7.56~9.48，</w:t>
      </w:r>
      <w:r>
        <w:rPr>
          <w:rFonts w:hint="eastAsia"/>
          <w:color w:val="auto"/>
          <w:highlight w:val="none"/>
          <w:lang w:val="en-US" w:eastAsia="zh-CN"/>
        </w:rPr>
        <w:t>存在</w:t>
      </w:r>
      <w:r>
        <w:rPr>
          <w:rFonts w:cs="Times New Roman"/>
          <w:color w:val="auto"/>
          <w:spacing w:val="-2"/>
          <w:highlight w:val="none"/>
        </w:rPr>
        <w:t>无酸化或碱化</w:t>
      </w:r>
      <w:r>
        <w:rPr>
          <w:rFonts w:hint="eastAsia" w:cs="Times New Roman"/>
          <w:color w:val="auto"/>
          <w:spacing w:val="-2"/>
          <w:highlight w:val="none"/>
          <w:lang w:eastAsia="zh-CN"/>
        </w:rPr>
        <w:t>、</w:t>
      </w:r>
      <w:r>
        <w:rPr>
          <w:rFonts w:cs="Times New Roman"/>
          <w:color w:val="auto"/>
          <w:spacing w:val="-2"/>
          <w:highlight w:val="none"/>
        </w:rPr>
        <w:t>轻度碱化</w:t>
      </w:r>
      <w:r>
        <w:rPr>
          <w:rFonts w:hint="eastAsia" w:cs="Times New Roman"/>
          <w:color w:val="auto"/>
          <w:spacing w:val="-2"/>
          <w:highlight w:val="none"/>
          <w:lang w:eastAsia="zh-CN"/>
        </w:rPr>
        <w:t>、</w:t>
      </w:r>
      <w:r>
        <w:rPr>
          <w:rFonts w:cs="Times New Roman"/>
          <w:color w:val="auto"/>
          <w:spacing w:val="-6"/>
          <w:highlight w:val="none"/>
        </w:rPr>
        <w:t>中度碱化</w:t>
      </w:r>
      <w:r>
        <w:rPr>
          <w:rFonts w:hint="eastAsia"/>
          <w:color w:val="auto"/>
          <w:highlight w:val="none"/>
          <w:lang w:val="en-US" w:eastAsia="zh-CN"/>
        </w:rPr>
        <w:t>；</w:t>
      </w:r>
      <w:r>
        <w:rPr>
          <w:rFonts w:hint="eastAsia" w:ascii="Times New Roman" w:hAnsi="Times New Roman" w:eastAsia="宋体" w:cs="Times New Roman"/>
          <w:color w:val="auto"/>
          <w:kern w:val="10"/>
          <w:szCs w:val="24"/>
          <w:highlight w:val="none"/>
          <w:shd w:val="clear" w:color="auto" w:fill="auto"/>
          <w:lang w:val="en-US" w:eastAsia="zh-CN"/>
        </w:rPr>
        <w:t>评价范围内土壤中含盐量为0.3g/kg~31.4g/kg，</w:t>
      </w:r>
      <w:r>
        <w:rPr>
          <w:rFonts w:hint="eastAsia"/>
          <w:color w:val="auto"/>
          <w:highlight w:val="none"/>
          <w:lang w:val="en-US" w:eastAsia="zh-CN"/>
        </w:rPr>
        <w:t>土壤盐化程度不均，存在未盐化、轻度盐化、重度盐化、极重度盐化的情况。</w:t>
      </w:r>
    </w:p>
    <w:p>
      <w:pPr>
        <w:pStyle w:val="57"/>
        <w:rPr>
          <w:color w:val="auto"/>
          <w:highlight w:val="none"/>
        </w:rPr>
      </w:pPr>
    </w:p>
    <w:p>
      <w:pPr>
        <w:pStyle w:val="57"/>
        <w:rPr>
          <w:color w:val="auto"/>
          <w:highlight w:val="none"/>
        </w:rPr>
      </w:pPr>
    </w:p>
    <w:p>
      <w:pPr>
        <w:pStyle w:val="57"/>
        <w:rPr>
          <w:color w:val="auto"/>
          <w:highlight w:val="none"/>
        </w:rPr>
      </w:pPr>
    </w:p>
    <w:p>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bookmarkEnd w:id="494"/>
    <w:bookmarkEnd w:id="495"/>
    <w:bookmarkEnd w:id="496"/>
    <w:bookmarkEnd w:id="497"/>
    <w:p>
      <w:pPr>
        <w:pStyle w:val="49"/>
        <w:rPr>
          <w:rFonts w:eastAsia="宋体"/>
          <w:color w:val="auto"/>
          <w:highlight w:val="none"/>
        </w:rPr>
      </w:pPr>
      <w:bookmarkStart w:id="570" w:name="_Toc173941868"/>
      <w:bookmarkStart w:id="571" w:name="_Toc12090"/>
      <w:bookmarkStart w:id="572" w:name="_Toc508291889"/>
      <w:bookmarkStart w:id="573" w:name="_Toc8375"/>
      <w:bookmarkStart w:id="574" w:name="_Toc353966741"/>
      <w:bookmarkStart w:id="575" w:name="_Toc374724186"/>
      <w:bookmarkStart w:id="576" w:name="_Toc361761833"/>
      <w:r>
        <w:rPr>
          <w:rFonts w:eastAsia="宋体"/>
          <w:color w:val="auto"/>
          <w:highlight w:val="none"/>
        </w:rPr>
        <w:t>4.</w:t>
      </w:r>
      <w:r>
        <w:rPr>
          <w:rFonts w:hint="eastAsia" w:eastAsia="宋体"/>
          <w:color w:val="auto"/>
          <w:highlight w:val="none"/>
        </w:rPr>
        <w:t>6</w:t>
      </w:r>
      <w:r>
        <w:rPr>
          <w:rFonts w:eastAsia="宋体"/>
          <w:color w:val="auto"/>
          <w:highlight w:val="none"/>
        </w:rPr>
        <w:t>环境空气质量现状调查与评价</w:t>
      </w:r>
      <w:bookmarkEnd w:id="570"/>
      <w:bookmarkEnd w:id="571"/>
      <w:bookmarkEnd w:id="572"/>
      <w:bookmarkEnd w:id="573"/>
      <w:bookmarkEnd w:id="574"/>
      <w:bookmarkEnd w:id="575"/>
      <w:bookmarkEnd w:id="576"/>
    </w:p>
    <w:p>
      <w:pPr>
        <w:pStyle w:val="53"/>
        <w:rPr>
          <w:color w:val="auto"/>
          <w:highlight w:val="none"/>
        </w:rPr>
      </w:pPr>
      <w:r>
        <w:rPr>
          <w:color w:val="auto"/>
          <w:highlight w:val="none"/>
        </w:rPr>
        <w:fldChar w:fldCharType="begin"/>
      </w:r>
      <w:r>
        <w:rPr>
          <w:color w:val="auto"/>
          <w:highlight w:val="none"/>
        </w:rPr>
        <w:instrText xml:space="preserve"> HYPERLINK \l "_Toc28258" </w:instrText>
      </w:r>
      <w:r>
        <w:rPr>
          <w:color w:val="auto"/>
          <w:highlight w:val="none"/>
        </w:rPr>
        <w:fldChar w:fldCharType="separate"/>
      </w:r>
      <w:r>
        <w:rPr>
          <w:rFonts w:hint="eastAsia"/>
          <w:color w:val="auto"/>
          <w:highlight w:val="none"/>
        </w:rPr>
        <w:t>4.6.1 基本污染物环境质量现状调查</w:t>
      </w:r>
      <w:r>
        <w:rPr>
          <w:rFonts w:hint="eastAsia"/>
          <w:color w:val="auto"/>
          <w:highlight w:val="none"/>
        </w:rPr>
        <w:fldChar w:fldCharType="end"/>
      </w:r>
    </w:p>
    <w:p>
      <w:pPr>
        <w:pStyle w:val="57"/>
        <w:rPr>
          <w:color w:val="auto"/>
          <w:highlight w:val="none"/>
        </w:rPr>
      </w:pPr>
      <w:r>
        <w:rPr>
          <w:color w:val="auto"/>
          <w:kern w:val="0"/>
          <w:sz w:val="24"/>
        </w:rPr>
        <w:t>本项目地处</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color w:val="auto"/>
          <w:kern w:val="0"/>
          <w:sz w:val="24"/>
        </w:rPr>
        <w:t>，</w:t>
      </w:r>
      <w:r>
        <w:rPr>
          <w:rFonts w:ascii="Times New Roman" w:hAnsi="Times New Roman" w:eastAsia="宋体" w:cs="Times New Roman"/>
          <w:color w:val="auto"/>
          <w:sz w:val="24"/>
          <w:szCs w:val="22"/>
        </w:rPr>
        <w:t>根据</w:t>
      </w:r>
      <w:r>
        <w:rPr>
          <w:rFonts w:hint="eastAsia" w:ascii="Times New Roman" w:hAnsi="Times New Roman" w:eastAsia="宋体" w:cs="Times New Roman"/>
          <w:color w:val="auto"/>
          <w:sz w:val="24"/>
          <w:szCs w:val="22"/>
        </w:rPr>
        <w:t>生态环境部环境工程评估中心</w:t>
      </w:r>
      <w:r>
        <w:rPr>
          <w:rFonts w:hint="default" w:ascii="Times New Roman" w:hAnsi="Times New Roman" w:eastAsia="宋体" w:cs="Times New Roman"/>
          <w:color w:val="auto"/>
          <w:sz w:val="24"/>
          <w:szCs w:val="24"/>
        </w:rPr>
        <w:t>发布的“环境空气质量模型技术支持服务系统”</w:t>
      </w:r>
      <w:r>
        <w:rPr>
          <w:rFonts w:hint="default" w:ascii="Times New Roman" w:hAnsi="Times New Roman" w:cs="Times New Roman"/>
          <w:color w:val="auto"/>
          <w:sz w:val="24"/>
          <w:szCs w:val="24"/>
        </w:rPr>
        <w:t>中</w:t>
      </w:r>
      <w:r>
        <w:rPr>
          <w:rFonts w:hint="eastAsia" w:cs="Times New Roman"/>
          <w:color w:val="auto"/>
          <w:sz w:val="24"/>
          <w:szCs w:val="22"/>
          <w:lang w:val="en-US" w:eastAsia="zh-CN"/>
        </w:rPr>
        <w:t>塔城地区、</w:t>
      </w:r>
      <w:r>
        <w:rPr>
          <w:rFonts w:hint="default" w:ascii="Times New Roman" w:hAnsi="Times New Roman" w:cs="Times New Roman"/>
          <w:color w:val="auto"/>
          <w:sz w:val="24"/>
          <w:szCs w:val="24"/>
        </w:rPr>
        <w:t>克拉玛依市达标区判定数据</w:t>
      </w:r>
      <w:r>
        <w:rPr>
          <w:rFonts w:ascii="Times New Roman" w:hAnsi="Times New Roman" w:eastAsia="宋体" w:cs="Times New Roman"/>
          <w:color w:val="auto"/>
          <w:sz w:val="24"/>
          <w:szCs w:val="22"/>
        </w:rPr>
        <w:t>，</w:t>
      </w:r>
      <w:r>
        <w:rPr>
          <w:rFonts w:hint="eastAsia" w:cs="Times New Roman"/>
          <w:color w:val="auto"/>
          <w:sz w:val="24"/>
          <w:szCs w:val="22"/>
          <w:lang w:val="en-US" w:eastAsia="zh-CN"/>
        </w:rPr>
        <w:t>塔城地区及</w:t>
      </w:r>
      <w:r>
        <w:rPr>
          <w:rFonts w:hint="default" w:ascii="Times New Roman" w:hAnsi="Times New Roman" w:cs="Times New Roman"/>
          <w:color w:val="auto"/>
          <w:sz w:val="24"/>
          <w:szCs w:val="24"/>
        </w:rPr>
        <w:t>克拉玛依市</w:t>
      </w:r>
      <w:r>
        <w:rPr>
          <w:rFonts w:ascii="Times New Roman" w:hAnsi="Times New Roman" w:eastAsia="宋体" w:cs="Times New Roman"/>
          <w:color w:val="auto"/>
          <w:sz w:val="24"/>
          <w:szCs w:val="22"/>
        </w:rPr>
        <w:t>环境空气中六项基本污染物SO</w:t>
      </w:r>
      <w:r>
        <w:rPr>
          <w:rFonts w:ascii="Times New Roman" w:hAnsi="Times New Roman" w:eastAsia="宋体" w:cs="Times New Roman"/>
          <w:color w:val="auto"/>
          <w:sz w:val="24"/>
          <w:szCs w:val="22"/>
          <w:vertAlign w:val="subscript"/>
        </w:rPr>
        <w:t>2</w:t>
      </w:r>
      <w:r>
        <w:rPr>
          <w:rFonts w:ascii="Times New Roman" w:hAnsi="Times New Roman" w:eastAsia="宋体" w:cs="Times New Roman"/>
          <w:color w:val="auto"/>
          <w:sz w:val="24"/>
          <w:szCs w:val="22"/>
        </w:rPr>
        <w:t>、NO</w:t>
      </w:r>
      <w:r>
        <w:rPr>
          <w:rFonts w:ascii="Times New Roman" w:hAnsi="Times New Roman" w:eastAsia="宋体" w:cs="Times New Roman"/>
          <w:color w:val="auto"/>
          <w:sz w:val="24"/>
          <w:szCs w:val="22"/>
          <w:vertAlign w:val="subscript"/>
        </w:rPr>
        <w:t>2</w:t>
      </w:r>
      <w:r>
        <w:rPr>
          <w:rFonts w:ascii="Times New Roman" w:hAnsi="Times New Roman" w:eastAsia="宋体" w:cs="Times New Roman"/>
          <w:color w:val="auto"/>
          <w:sz w:val="24"/>
          <w:szCs w:val="22"/>
        </w:rPr>
        <w:t>、PM</w:t>
      </w:r>
      <w:r>
        <w:rPr>
          <w:rFonts w:ascii="Times New Roman" w:hAnsi="Times New Roman" w:eastAsia="宋体" w:cs="Times New Roman"/>
          <w:color w:val="auto"/>
          <w:sz w:val="24"/>
          <w:szCs w:val="22"/>
          <w:vertAlign w:val="subscript"/>
        </w:rPr>
        <w:t>10</w:t>
      </w:r>
      <w:r>
        <w:rPr>
          <w:rFonts w:ascii="Times New Roman" w:hAnsi="Times New Roman" w:eastAsia="宋体" w:cs="Times New Roman"/>
          <w:color w:val="auto"/>
          <w:sz w:val="24"/>
          <w:szCs w:val="22"/>
        </w:rPr>
        <w:t>、P</w:t>
      </w:r>
      <w:r>
        <w:rPr>
          <w:rFonts w:hint="eastAsia" w:cs="Times New Roman"/>
          <w:color w:val="auto"/>
          <w:sz w:val="24"/>
          <w:szCs w:val="22"/>
          <w:lang w:val="en-US" w:eastAsia="zh-CN"/>
        </w:rPr>
        <w:t>m</w:t>
      </w:r>
      <w:r>
        <w:rPr>
          <w:rFonts w:hint="eastAsia" w:cs="Times New Roman"/>
          <w:color w:val="auto"/>
          <w:sz w:val="24"/>
          <w:szCs w:val="22"/>
          <w:vertAlign w:val="subscript"/>
          <w:lang w:val="en-US" w:eastAsia="zh-CN"/>
        </w:rPr>
        <w:t>2</w:t>
      </w:r>
      <w:r>
        <w:rPr>
          <w:rFonts w:ascii="Times New Roman" w:hAnsi="Times New Roman" w:eastAsia="宋体" w:cs="Times New Roman"/>
          <w:color w:val="auto"/>
          <w:sz w:val="24"/>
          <w:szCs w:val="22"/>
          <w:vertAlign w:val="subscript"/>
        </w:rPr>
        <w:t>.5</w:t>
      </w:r>
      <w:r>
        <w:rPr>
          <w:rFonts w:ascii="Times New Roman" w:hAnsi="Times New Roman" w:eastAsia="宋体" w:cs="Times New Roman"/>
          <w:color w:val="auto"/>
          <w:sz w:val="24"/>
          <w:szCs w:val="22"/>
        </w:rPr>
        <w:t>、CO、O</w:t>
      </w:r>
      <w:r>
        <w:rPr>
          <w:rFonts w:ascii="Times New Roman" w:hAnsi="Times New Roman" w:eastAsia="宋体" w:cs="Times New Roman"/>
          <w:color w:val="auto"/>
          <w:sz w:val="24"/>
          <w:szCs w:val="22"/>
          <w:vertAlign w:val="subscript"/>
        </w:rPr>
        <w:t>3</w:t>
      </w:r>
      <w:r>
        <w:rPr>
          <w:rFonts w:ascii="Times New Roman" w:hAnsi="Times New Roman" w:eastAsia="宋体" w:cs="Times New Roman"/>
          <w:color w:val="auto"/>
          <w:sz w:val="24"/>
          <w:szCs w:val="22"/>
        </w:rPr>
        <w:t>监测结果，对区域环境空气质量现状进行分析（浓度单位为μg/</w:t>
      </w:r>
      <w:r>
        <w:rPr>
          <w:rFonts w:hint="eastAsia" w:ascii="Times New Roman" w:hAnsi="Times New Roman" w:eastAsia="宋体" w:cs="Times New Roman"/>
          <w:color w:val="auto"/>
          <w:sz w:val="24"/>
          <w:szCs w:val="22"/>
          <w:lang w:eastAsia="zh-CN"/>
        </w:rPr>
        <w:t>m³</w:t>
      </w:r>
      <w:r>
        <w:rPr>
          <w:rFonts w:ascii="Times New Roman" w:hAnsi="Times New Roman" w:eastAsia="宋体" w:cs="Times New Roman"/>
          <w:color w:val="auto"/>
          <w:sz w:val="24"/>
          <w:szCs w:val="22"/>
        </w:rPr>
        <w:t>），区域环境空气质量现状评价表详见</w:t>
      </w:r>
      <w:r>
        <w:rPr>
          <w:rFonts w:ascii="Times New Roman" w:hAnsi="Times New Roman" w:eastAsia="宋体" w:cs="Times New Roman"/>
          <w:color w:val="auto"/>
          <w:spacing w:val="-2"/>
          <w:sz w:val="24"/>
          <w:szCs w:val="21"/>
        </w:rPr>
        <w:t>表4.</w:t>
      </w:r>
      <w:r>
        <w:rPr>
          <w:rFonts w:hint="eastAsia" w:cs="Times New Roman"/>
          <w:color w:val="auto"/>
          <w:spacing w:val="-2"/>
          <w:sz w:val="24"/>
          <w:szCs w:val="21"/>
          <w:lang w:val="en-US" w:eastAsia="zh-CN"/>
        </w:rPr>
        <w:t>6</w:t>
      </w:r>
      <w:r>
        <w:rPr>
          <w:rFonts w:ascii="Times New Roman" w:hAnsi="Times New Roman" w:eastAsia="宋体" w:cs="Times New Roman"/>
          <w:color w:val="auto"/>
          <w:spacing w:val="-2"/>
          <w:sz w:val="24"/>
          <w:szCs w:val="21"/>
        </w:rPr>
        <w:t>-1</w:t>
      </w:r>
      <w:r>
        <w:rPr>
          <w:rFonts w:hint="eastAsia" w:cs="Times New Roman"/>
          <w:color w:val="auto"/>
          <w:spacing w:val="-2"/>
          <w:sz w:val="24"/>
          <w:szCs w:val="21"/>
          <w:lang w:eastAsia="zh-CN"/>
        </w:rPr>
        <w:t>、</w:t>
      </w:r>
      <w:r>
        <w:rPr>
          <w:rFonts w:hint="eastAsia" w:cs="Times New Roman"/>
          <w:color w:val="auto"/>
          <w:spacing w:val="-2"/>
          <w:sz w:val="24"/>
          <w:szCs w:val="21"/>
          <w:lang w:val="en-US" w:eastAsia="zh-CN"/>
        </w:rPr>
        <w:t>4.6-2</w:t>
      </w:r>
      <w:r>
        <w:rPr>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 xml:space="preserve">表4.6-1  </w:t>
      </w:r>
      <w:r>
        <w:rPr>
          <w:rFonts w:hint="eastAsia" w:cs="Times New Roman"/>
          <w:color w:val="auto"/>
          <w:highlight w:val="none"/>
          <w:lang w:val="en-US" w:eastAsia="zh-CN"/>
        </w:rPr>
        <w:t xml:space="preserve"> </w:t>
      </w:r>
      <w:r>
        <w:rPr>
          <w:rFonts w:hint="eastAsia" w:cs="Times New Roman"/>
          <w:color w:val="auto"/>
          <w:highlight w:val="none"/>
        </w:rPr>
        <w:t xml:space="preserve">  区域环境空气质量现状评价表</w:t>
      </w:r>
    </w:p>
    <w:tbl>
      <w:tblPr>
        <w:tblStyle w:val="34"/>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47"/>
        <w:gridCol w:w="3648"/>
        <w:gridCol w:w="1085"/>
        <w:gridCol w:w="1232"/>
        <w:gridCol w:w="937"/>
        <w:gridCol w:w="10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vAlign w:val="center"/>
          </w:tcPr>
          <w:p>
            <w:pPr>
              <w:pStyle w:val="41"/>
              <w:bidi w:val="0"/>
              <w:rPr>
                <w:color w:val="auto"/>
              </w:rPr>
            </w:pPr>
            <w:r>
              <w:rPr>
                <w:color w:val="auto"/>
              </w:rPr>
              <w:t>污染物</w:t>
            </w:r>
          </w:p>
        </w:tc>
        <w:tc>
          <w:tcPr>
            <w:tcW w:w="2105" w:type="pct"/>
            <w:tcBorders>
              <w:tl2br w:val="nil"/>
              <w:tr2bl w:val="nil"/>
            </w:tcBorders>
            <w:vAlign w:val="center"/>
          </w:tcPr>
          <w:p>
            <w:pPr>
              <w:pStyle w:val="41"/>
              <w:bidi w:val="0"/>
              <w:rPr>
                <w:color w:val="auto"/>
              </w:rPr>
            </w:pPr>
            <w:r>
              <w:rPr>
                <w:rFonts w:hint="eastAsia"/>
                <w:color w:val="auto"/>
                <w:lang w:eastAsia="zh-CN"/>
              </w:rPr>
              <w:t>年度</w:t>
            </w:r>
            <w:r>
              <w:rPr>
                <w:color w:val="auto"/>
              </w:rPr>
              <w:t>评价指标</w:t>
            </w:r>
          </w:p>
        </w:tc>
        <w:tc>
          <w:tcPr>
            <w:tcW w:w="626" w:type="pct"/>
            <w:tcBorders>
              <w:tl2br w:val="nil"/>
              <w:tr2bl w:val="nil"/>
            </w:tcBorders>
            <w:vAlign w:val="center"/>
          </w:tcPr>
          <w:p>
            <w:pPr>
              <w:pStyle w:val="41"/>
              <w:bidi w:val="0"/>
              <w:rPr>
                <w:color w:val="auto"/>
              </w:rPr>
            </w:pPr>
            <w:r>
              <w:rPr>
                <w:color w:val="auto"/>
              </w:rPr>
              <w:t>现状浓度</w:t>
            </w:r>
          </w:p>
        </w:tc>
        <w:tc>
          <w:tcPr>
            <w:tcW w:w="711" w:type="pct"/>
            <w:tcBorders>
              <w:tl2br w:val="nil"/>
              <w:tr2bl w:val="nil"/>
            </w:tcBorders>
            <w:vAlign w:val="center"/>
          </w:tcPr>
          <w:p>
            <w:pPr>
              <w:pStyle w:val="41"/>
              <w:bidi w:val="0"/>
              <w:rPr>
                <w:color w:val="auto"/>
              </w:rPr>
            </w:pPr>
            <w:r>
              <w:rPr>
                <w:color w:val="auto"/>
              </w:rPr>
              <w:t>标准值</w:t>
            </w:r>
          </w:p>
        </w:tc>
        <w:tc>
          <w:tcPr>
            <w:tcW w:w="541" w:type="pct"/>
            <w:tcBorders>
              <w:tl2br w:val="nil"/>
              <w:tr2bl w:val="nil"/>
            </w:tcBorders>
            <w:vAlign w:val="center"/>
          </w:tcPr>
          <w:p>
            <w:pPr>
              <w:pStyle w:val="41"/>
              <w:bidi w:val="0"/>
              <w:rPr>
                <w:color w:val="auto"/>
              </w:rPr>
            </w:pPr>
            <w:r>
              <w:rPr>
                <w:color w:val="auto"/>
              </w:rPr>
              <w:t>占标率</w:t>
            </w:r>
            <w:r>
              <w:rPr>
                <w:rFonts w:hint="eastAsia"/>
                <w:color w:val="auto"/>
              </w:rPr>
              <w:t>%</w:t>
            </w:r>
          </w:p>
        </w:tc>
        <w:tc>
          <w:tcPr>
            <w:tcW w:w="583" w:type="pct"/>
            <w:tcBorders>
              <w:tl2br w:val="nil"/>
              <w:tr2bl w:val="nil"/>
            </w:tcBorders>
            <w:vAlign w:val="center"/>
          </w:tcPr>
          <w:p>
            <w:pPr>
              <w:pStyle w:val="41"/>
              <w:bidi w:val="0"/>
              <w:rPr>
                <w:color w:val="auto"/>
              </w:rPr>
            </w:pPr>
            <w:r>
              <w:rPr>
                <w:color w:val="auto"/>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pPr>
              <w:pStyle w:val="41"/>
              <w:bidi w:val="0"/>
              <w:rPr>
                <w:rFonts w:hint="default"/>
                <w:color w:val="auto"/>
                <w:lang w:val="en-US" w:eastAsia="zh-CN"/>
              </w:rPr>
            </w:pPr>
            <w:r>
              <w:rPr>
                <w:rFonts w:hint="eastAsia"/>
                <w:color w:val="auto"/>
                <w:lang w:val="en-US" w:eastAsia="zh-CN"/>
              </w:rPr>
              <w:t>2024年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pStyle w:val="41"/>
              <w:bidi w:val="0"/>
              <w:rPr>
                <w:color w:val="auto"/>
                <w:lang w:val="en-US" w:eastAsia="zh-CN"/>
              </w:rPr>
            </w:pPr>
            <w:r>
              <w:rPr>
                <w:color w:val="auto"/>
              </w:rPr>
              <w:t>SO</w:t>
            </w:r>
            <w:r>
              <w:rPr>
                <w:color w:val="auto"/>
                <w:vertAlign w:val="subscript"/>
              </w:rPr>
              <w:t>2</w:t>
            </w:r>
          </w:p>
        </w:tc>
        <w:tc>
          <w:tcPr>
            <w:tcW w:w="2105" w:type="pct"/>
            <w:tcBorders>
              <w:tl2br w:val="nil"/>
              <w:tr2bl w:val="nil"/>
            </w:tcBorders>
            <w:shd w:val="clear" w:color="auto" w:fill="auto"/>
            <w:vAlign w:val="center"/>
          </w:tcPr>
          <w:p>
            <w:pPr>
              <w:pStyle w:val="41"/>
              <w:bidi w:val="0"/>
              <w:rPr>
                <w:color w:val="auto"/>
                <w:lang w:val="en-US" w:eastAsia="zh-CN"/>
              </w:rPr>
            </w:pPr>
            <w:r>
              <w:rPr>
                <w:color w:val="auto"/>
              </w:rPr>
              <w:t>年平均</w:t>
            </w:r>
          </w:p>
        </w:tc>
        <w:tc>
          <w:tcPr>
            <w:tcW w:w="626" w:type="pct"/>
            <w:tcBorders>
              <w:tl2br w:val="nil"/>
              <w:tr2bl w:val="nil"/>
            </w:tcBorders>
            <w:shd w:val="clear" w:color="auto" w:fill="auto"/>
            <w:vAlign w:val="center"/>
          </w:tcPr>
          <w:p>
            <w:pPr>
              <w:pStyle w:val="41"/>
              <w:bidi w:val="0"/>
              <w:rPr>
                <w:rFonts w:hint="eastAsia"/>
                <w:color w:val="auto"/>
                <w:lang w:val="en-US" w:eastAsia="zh-CN"/>
              </w:rPr>
            </w:pPr>
            <w:r>
              <w:rPr>
                <w:rFonts w:hint="eastAsia"/>
                <w:color w:val="auto"/>
                <w:lang w:val="en-US" w:eastAsia="zh-CN"/>
              </w:rPr>
              <w:t>5</w:t>
            </w:r>
          </w:p>
        </w:tc>
        <w:tc>
          <w:tcPr>
            <w:tcW w:w="711" w:type="pct"/>
            <w:tcBorders>
              <w:tl2br w:val="nil"/>
              <w:tr2bl w:val="nil"/>
            </w:tcBorders>
            <w:shd w:val="clear" w:color="auto" w:fill="auto"/>
            <w:vAlign w:val="center"/>
          </w:tcPr>
          <w:p>
            <w:pPr>
              <w:pStyle w:val="41"/>
              <w:bidi w:val="0"/>
              <w:rPr>
                <w:rFonts w:hint="eastAsia"/>
                <w:color w:val="auto"/>
                <w:lang w:val="en-US" w:eastAsia="zh-CN"/>
              </w:rPr>
            </w:pPr>
            <w:r>
              <w:rPr>
                <w:color w:val="auto"/>
              </w:rPr>
              <w:t>60</w:t>
            </w:r>
          </w:p>
        </w:tc>
        <w:tc>
          <w:tcPr>
            <w:tcW w:w="541"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8.3</w:t>
            </w:r>
          </w:p>
        </w:tc>
        <w:tc>
          <w:tcPr>
            <w:tcW w:w="583" w:type="pct"/>
            <w:tcBorders>
              <w:tl2br w:val="nil"/>
              <w:tr2bl w:val="nil"/>
            </w:tcBorders>
            <w:shd w:val="clear" w:color="auto" w:fill="auto"/>
            <w:vAlign w:val="center"/>
          </w:tcPr>
          <w:p>
            <w:pPr>
              <w:pStyle w:val="41"/>
              <w:bidi w:val="0"/>
              <w:rPr>
                <w:color w:val="auto"/>
                <w:lang w:val="en-US" w:eastAsia="zh-CN"/>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31" w:type="pct"/>
            <w:tcBorders>
              <w:tl2br w:val="nil"/>
              <w:tr2bl w:val="nil"/>
            </w:tcBorders>
            <w:shd w:val="clear" w:color="auto" w:fill="auto"/>
            <w:vAlign w:val="center"/>
          </w:tcPr>
          <w:p>
            <w:pPr>
              <w:pStyle w:val="41"/>
              <w:bidi w:val="0"/>
              <w:rPr>
                <w:color w:val="auto"/>
                <w:lang w:val="en-US" w:eastAsia="zh-CN"/>
              </w:rPr>
            </w:pPr>
            <w:r>
              <w:rPr>
                <w:color w:val="auto"/>
              </w:rPr>
              <w:t>NO</w:t>
            </w:r>
            <w:r>
              <w:rPr>
                <w:color w:val="auto"/>
                <w:vertAlign w:val="subscript"/>
              </w:rPr>
              <w:t>2</w:t>
            </w:r>
          </w:p>
        </w:tc>
        <w:tc>
          <w:tcPr>
            <w:tcW w:w="2105" w:type="pct"/>
            <w:tcBorders>
              <w:tl2br w:val="nil"/>
              <w:tr2bl w:val="nil"/>
            </w:tcBorders>
            <w:shd w:val="clear" w:color="auto" w:fill="auto"/>
            <w:vAlign w:val="center"/>
          </w:tcPr>
          <w:p>
            <w:pPr>
              <w:pStyle w:val="41"/>
              <w:bidi w:val="0"/>
              <w:rPr>
                <w:color w:val="auto"/>
                <w:lang w:val="en-US" w:eastAsia="zh-CN"/>
              </w:rPr>
            </w:pPr>
            <w:r>
              <w:rPr>
                <w:color w:val="auto"/>
              </w:rPr>
              <w:t>年平均</w:t>
            </w:r>
          </w:p>
        </w:tc>
        <w:tc>
          <w:tcPr>
            <w:tcW w:w="626"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7</w:t>
            </w:r>
          </w:p>
        </w:tc>
        <w:tc>
          <w:tcPr>
            <w:tcW w:w="711" w:type="pct"/>
            <w:tcBorders>
              <w:tl2br w:val="nil"/>
              <w:tr2bl w:val="nil"/>
            </w:tcBorders>
            <w:shd w:val="clear" w:color="auto" w:fill="auto"/>
            <w:vAlign w:val="center"/>
          </w:tcPr>
          <w:p>
            <w:pPr>
              <w:pStyle w:val="41"/>
              <w:bidi w:val="0"/>
              <w:rPr>
                <w:rFonts w:hint="eastAsia"/>
                <w:color w:val="auto"/>
                <w:lang w:val="en-US" w:eastAsia="zh-CN"/>
              </w:rPr>
            </w:pPr>
            <w:r>
              <w:rPr>
                <w:color w:val="auto"/>
              </w:rPr>
              <w:t>40</w:t>
            </w:r>
          </w:p>
        </w:tc>
        <w:tc>
          <w:tcPr>
            <w:tcW w:w="541"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57.5</w:t>
            </w:r>
          </w:p>
        </w:tc>
        <w:tc>
          <w:tcPr>
            <w:tcW w:w="583" w:type="pct"/>
            <w:tcBorders>
              <w:tl2br w:val="nil"/>
              <w:tr2bl w:val="nil"/>
            </w:tcBorders>
            <w:shd w:val="clear" w:color="auto" w:fill="auto"/>
            <w:vAlign w:val="center"/>
          </w:tcPr>
          <w:p>
            <w:pPr>
              <w:pStyle w:val="41"/>
              <w:bidi w:val="0"/>
              <w:rPr>
                <w:color w:val="auto"/>
                <w:lang w:val="en-US" w:eastAsia="zh-CN"/>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pStyle w:val="41"/>
              <w:bidi w:val="0"/>
              <w:rPr>
                <w:color w:val="auto"/>
                <w:lang w:val="en-US" w:eastAsia="zh-CN"/>
              </w:rPr>
            </w:pPr>
            <w:r>
              <w:rPr>
                <w:color w:val="auto"/>
              </w:rPr>
              <w:t>PM</w:t>
            </w:r>
            <w:r>
              <w:rPr>
                <w:color w:val="auto"/>
                <w:vertAlign w:val="subscript"/>
              </w:rPr>
              <w:t>10</w:t>
            </w:r>
          </w:p>
        </w:tc>
        <w:tc>
          <w:tcPr>
            <w:tcW w:w="2105" w:type="pct"/>
            <w:tcBorders>
              <w:tl2br w:val="nil"/>
              <w:tr2bl w:val="nil"/>
            </w:tcBorders>
            <w:shd w:val="clear" w:color="auto" w:fill="auto"/>
            <w:vAlign w:val="center"/>
          </w:tcPr>
          <w:p>
            <w:pPr>
              <w:pStyle w:val="41"/>
              <w:bidi w:val="0"/>
              <w:rPr>
                <w:color w:val="auto"/>
                <w:lang w:val="en-US" w:eastAsia="zh-CN"/>
              </w:rPr>
            </w:pPr>
            <w:r>
              <w:rPr>
                <w:color w:val="auto"/>
              </w:rPr>
              <w:t>年平均</w:t>
            </w:r>
          </w:p>
        </w:tc>
        <w:tc>
          <w:tcPr>
            <w:tcW w:w="626"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29</w:t>
            </w:r>
          </w:p>
        </w:tc>
        <w:tc>
          <w:tcPr>
            <w:tcW w:w="711" w:type="pct"/>
            <w:tcBorders>
              <w:tl2br w:val="nil"/>
              <w:tr2bl w:val="nil"/>
            </w:tcBorders>
            <w:shd w:val="clear" w:color="auto" w:fill="auto"/>
            <w:vAlign w:val="center"/>
          </w:tcPr>
          <w:p>
            <w:pPr>
              <w:pStyle w:val="41"/>
              <w:bidi w:val="0"/>
              <w:rPr>
                <w:rFonts w:hint="eastAsia"/>
                <w:color w:val="auto"/>
                <w:lang w:val="en-US" w:eastAsia="zh-CN"/>
              </w:rPr>
            </w:pPr>
            <w:r>
              <w:rPr>
                <w:color w:val="auto"/>
              </w:rPr>
              <w:t>70</w:t>
            </w:r>
          </w:p>
        </w:tc>
        <w:tc>
          <w:tcPr>
            <w:tcW w:w="541"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42.9</w:t>
            </w:r>
          </w:p>
        </w:tc>
        <w:tc>
          <w:tcPr>
            <w:tcW w:w="583" w:type="pct"/>
            <w:tcBorders>
              <w:tl2br w:val="nil"/>
              <w:tr2bl w:val="nil"/>
            </w:tcBorders>
            <w:shd w:val="clear" w:color="auto" w:fill="auto"/>
            <w:vAlign w:val="center"/>
          </w:tcPr>
          <w:p>
            <w:pPr>
              <w:pStyle w:val="41"/>
              <w:bidi w:val="0"/>
              <w:rPr>
                <w:color w:val="auto"/>
                <w:lang w:val="en-US" w:eastAsia="zh-CN"/>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pStyle w:val="41"/>
              <w:bidi w:val="0"/>
              <w:rPr>
                <w:color w:val="auto"/>
                <w:lang w:val="en-US" w:eastAsia="zh-CN"/>
              </w:rPr>
            </w:pPr>
            <w:r>
              <w:rPr>
                <w:color w:val="auto"/>
              </w:rPr>
              <w:t>PM</w:t>
            </w:r>
            <w:r>
              <w:rPr>
                <w:rFonts w:hint="eastAsia"/>
                <w:color w:val="auto"/>
                <w:vertAlign w:val="subscript"/>
                <w:lang w:val="en-US" w:eastAsia="zh-CN"/>
              </w:rPr>
              <w:t>2</w:t>
            </w:r>
            <w:r>
              <w:rPr>
                <w:color w:val="auto"/>
                <w:vertAlign w:val="subscript"/>
              </w:rPr>
              <w:t>.5</w:t>
            </w:r>
          </w:p>
        </w:tc>
        <w:tc>
          <w:tcPr>
            <w:tcW w:w="2105" w:type="pct"/>
            <w:tcBorders>
              <w:tl2br w:val="nil"/>
              <w:tr2bl w:val="nil"/>
            </w:tcBorders>
            <w:shd w:val="clear" w:color="auto" w:fill="auto"/>
            <w:vAlign w:val="center"/>
          </w:tcPr>
          <w:p>
            <w:pPr>
              <w:pStyle w:val="41"/>
              <w:bidi w:val="0"/>
              <w:rPr>
                <w:color w:val="auto"/>
                <w:lang w:val="en-US" w:eastAsia="zh-CN"/>
              </w:rPr>
            </w:pPr>
            <w:r>
              <w:rPr>
                <w:color w:val="auto"/>
              </w:rPr>
              <w:t>年平均</w:t>
            </w:r>
          </w:p>
        </w:tc>
        <w:tc>
          <w:tcPr>
            <w:tcW w:w="626"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13</w:t>
            </w:r>
          </w:p>
        </w:tc>
        <w:tc>
          <w:tcPr>
            <w:tcW w:w="711" w:type="pct"/>
            <w:tcBorders>
              <w:tl2br w:val="nil"/>
              <w:tr2bl w:val="nil"/>
            </w:tcBorders>
            <w:shd w:val="clear" w:color="auto" w:fill="auto"/>
            <w:vAlign w:val="center"/>
          </w:tcPr>
          <w:p>
            <w:pPr>
              <w:pStyle w:val="41"/>
              <w:bidi w:val="0"/>
              <w:rPr>
                <w:rFonts w:hint="eastAsia"/>
                <w:color w:val="auto"/>
                <w:lang w:val="en-US" w:eastAsia="zh-CN"/>
              </w:rPr>
            </w:pPr>
            <w:r>
              <w:rPr>
                <w:color w:val="auto"/>
              </w:rPr>
              <w:t>35</w:t>
            </w:r>
          </w:p>
        </w:tc>
        <w:tc>
          <w:tcPr>
            <w:tcW w:w="541"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40.0</w:t>
            </w:r>
          </w:p>
        </w:tc>
        <w:tc>
          <w:tcPr>
            <w:tcW w:w="583" w:type="pct"/>
            <w:tcBorders>
              <w:tl2br w:val="nil"/>
              <w:tr2bl w:val="nil"/>
            </w:tcBorders>
            <w:shd w:val="clear" w:color="auto" w:fill="auto"/>
            <w:vAlign w:val="center"/>
          </w:tcPr>
          <w:p>
            <w:pPr>
              <w:pStyle w:val="41"/>
              <w:bidi w:val="0"/>
              <w:rPr>
                <w:color w:val="auto"/>
                <w:lang w:val="en-US" w:eastAsia="zh-CN"/>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pStyle w:val="41"/>
              <w:bidi w:val="0"/>
              <w:rPr>
                <w:color w:val="auto"/>
                <w:lang w:val="en-US" w:eastAsia="zh-CN"/>
              </w:rPr>
            </w:pPr>
            <w:r>
              <w:rPr>
                <w:color w:val="auto"/>
              </w:rPr>
              <w:t>CO</w:t>
            </w:r>
          </w:p>
        </w:tc>
        <w:tc>
          <w:tcPr>
            <w:tcW w:w="2105" w:type="pct"/>
            <w:tcBorders>
              <w:tl2br w:val="nil"/>
              <w:tr2bl w:val="nil"/>
            </w:tcBorders>
            <w:shd w:val="clear" w:color="auto" w:fill="auto"/>
            <w:vAlign w:val="center"/>
          </w:tcPr>
          <w:p>
            <w:pPr>
              <w:pStyle w:val="41"/>
              <w:bidi w:val="0"/>
              <w:rPr>
                <w:color w:val="auto"/>
                <w:lang w:val="en-US" w:eastAsia="zh-CN"/>
              </w:rPr>
            </w:pPr>
            <w:r>
              <w:rPr>
                <w:color w:val="auto"/>
              </w:rPr>
              <w:t>24小时平均第95百分位数</w:t>
            </w:r>
          </w:p>
        </w:tc>
        <w:tc>
          <w:tcPr>
            <w:tcW w:w="626"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400</w:t>
            </w:r>
          </w:p>
        </w:tc>
        <w:tc>
          <w:tcPr>
            <w:tcW w:w="711" w:type="pct"/>
            <w:tcBorders>
              <w:tl2br w:val="nil"/>
              <w:tr2bl w:val="nil"/>
            </w:tcBorders>
            <w:shd w:val="clear" w:color="auto" w:fill="auto"/>
            <w:vAlign w:val="center"/>
          </w:tcPr>
          <w:p>
            <w:pPr>
              <w:pStyle w:val="41"/>
              <w:bidi w:val="0"/>
              <w:rPr>
                <w:rFonts w:hint="eastAsia"/>
                <w:color w:val="auto"/>
                <w:lang w:val="en-US" w:eastAsia="zh-CN"/>
              </w:rPr>
            </w:pPr>
            <w:r>
              <w:rPr>
                <w:color w:val="auto"/>
              </w:rPr>
              <w:t>4000</w:t>
            </w:r>
          </w:p>
        </w:tc>
        <w:tc>
          <w:tcPr>
            <w:tcW w:w="541"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52.5</w:t>
            </w:r>
          </w:p>
        </w:tc>
        <w:tc>
          <w:tcPr>
            <w:tcW w:w="583" w:type="pct"/>
            <w:tcBorders>
              <w:tl2br w:val="nil"/>
              <w:tr2bl w:val="nil"/>
            </w:tcBorders>
            <w:shd w:val="clear" w:color="auto" w:fill="auto"/>
            <w:vAlign w:val="center"/>
          </w:tcPr>
          <w:p>
            <w:pPr>
              <w:pStyle w:val="41"/>
              <w:bidi w:val="0"/>
              <w:rPr>
                <w:color w:val="auto"/>
                <w:lang w:val="en-US" w:eastAsia="zh-CN"/>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pStyle w:val="41"/>
              <w:bidi w:val="0"/>
              <w:rPr>
                <w:color w:val="auto"/>
                <w:lang w:val="en-US" w:eastAsia="zh-CN"/>
              </w:rPr>
            </w:pPr>
            <w:r>
              <w:rPr>
                <w:color w:val="auto"/>
              </w:rPr>
              <w:t>O</w:t>
            </w:r>
            <w:r>
              <w:rPr>
                <w:color w:val="auto"/>
                <w:vertAlign w:val="subscript"/>
              </w:rPr>
              <w:t>3</w:t>
            </w:r>
          </w:p>
        </w:tc>
        <w:tc>
          <w:tcPr>
            <w:tcW w:w="2105" w:type="pct"/>
            <w:tcBorders>
              <w:tl2br w:val="nil"/>
              <w:tr2bl w:val="nil"/>
            </w:tcBorders>
            <w:shd w:val="clear" w:color="auto" w:fill="auto"/>
            <w:vAlign w:val="center"/>
          </w:tcPr>
          <w:p>
            <w:pPr>
              <w:pStyle w:val="41"/>
              <w:bidi w:val="0"/>
              <w:rPr>
                <w:color w:val="auto"/>
                <w:lang w:val="en-US" w:eastAsia="zh-CN"/>
              </w:rPr>
            </w:pPr>
            <w:r>
              <w:rPr>
                <w:color w:val="auto"/>
              </w:rPr>
              <w:t>日最大8小时滑动平均第90百分位数</w:t>
            </w:r>
          </w:p>
        </w:tc>
        <w:tc>
          <w:tcPr>
            <w:tcW w:w="626"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77</w:t>
            </w:r>
          </w:p>
        </w:tc>
        <w:tc>
          <w:tcPr>
            <w:tcW w:w="711" w:type="pct"/>
            <w:tcBorders>
              <w:tl2br w:val="nil"/>
              <w:tr2bl w:val="nil"/>
            </w:tcBorders>
            <w:shd w:val="clear" w:color="auto" w:fill="auto"/>
            <w:vAlign w:val="center"/>
          </w:tcPr>
          <w:p>
            <w:pPr>
              <w:pStyle w:val="41"/>
              <w:bidi w:val="0"/>
              <w:rPr>
                <w:rFonts w:hint="eastAsia"/>
                <w:color w:val="auto"/>
                <w:lang w:val="en-US" w:eastAsia="zh-CN"/>
              </w:rPr>
            </w:pPr>
            <w:r>
              <w:rPr>
                <w:color w:val="auto"/>
              </w:rPr>
              <w:t>160</w:t>
            </w:r>
          </w:p>
        </w:tc>
        <w:tc>
          <w:tcPr>
            <w:tcW w:w="541" w:type="pct"/>
            <w:tcBorders>
              <w:tl2br w:val="nil"/>
              <w:tr2bl w:val="nil"/>
            </w:tcBorders>
            <w:shd w:val="clear" w:color="auto" w:fill="auto"/>
            <w:vAlign w:val="center"/>
          </w:tcPr>
          <w:p>
            <w:pPr>
              <w:pStyle w:val="41"/>
              <w:bidi w:val="0"/>
              <w:rPr>
                <w:rFonts w:hint="default"/>
                <w:color w:val="auto"/>
                <w:lang w:val="en-US" w:eastAsia="zh-CN"/>
              </w:rPr>
            </w:pPr>
            <w:r>
              <w:rPr>
                <w:rFonts w:hint="eastAsia"/>
                <w:color w:val="auto"/>
                <w:lang w:val="en-US" w:eastAsia="zh-CN"/>
              </w:rPr>
              <w:t>68.8</w:t>
            </w:r>
          </w:p>
        </w:tc>
        <w:tc>
          <w:tcPr>
            <w:tcW w:w="583" w:type="pct"/>
            <w:tcBorders>
              <w:tl2br w:val="nil"/>
              <w:tr2bl w:val="nil"/>
            </w:tcBorders>
            <w:shd w:val="clear" w:color="auto" w:fill="auto"/>
            <w:vAlign w:val="center"/>
          </w:tcPr>
          <w:p>
            <w:pPr>
              <w:pStyle w:val="41"/>
              <w:bidi w:val="0"/>
              <w:rPr>
                <w:color w:val="auto"/>
                <w:lang w:val="en-US" w:eastAsia="zh-CN"/>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pPr>
              <w:pStyle w:val="41"/>
              <w:bidi w:val="0"/>
              <w:rPr>
                <w:color w:val="auto"/>
              </w:rPr>
            </w:pPr>
            <w:r>
              <w:rPr>
                <w:rFonts w:hint="eastAsia"/>
                <w:color w:val="auto"/>
                <w:lang w:val="en-US" w:eastAsia="zh-CN"/>
              </w:rPr>
              <w:t>2023年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pPr>
              <w:pStyle w:val="41"/>
              <w:bidi w:val="0"/>
              <w:ind w:firstLine="0" w:firstLineChars="0"/>
              <w:rPr>
                <w:color w:val="auto"/>
              </w:rPr>
            </w:pPr>
            <w:r>
              <w:rPr>
                <w:color w:val="auto"/>
              </w:rPr>
              <w:t>SO</w:t>
            </w:r>
            <w:r>
              <w:rPr>
                <w:color w:val="auto"/>
                <w:vertAlign w:val="subscript"/>
              </w:rPr>
              <w:t>2</w:t>
            </w:r>
          </w:p>
        </w:tc>
        <w:tc>
          <w:tcPr>
            <w:tcW w:w="3517" w:type="dxa"/>
            <w:tcBorders>
              <w:tl2br w:val="nil"/>
              <w:tr2bl w:val="nil"/>
            </w:tcBorders>
            <w:vAlign w:val="center"/>
          </w:tcPr>
          <w:p>
            <w:pPr>
              <w:pStyle w:val="41"/>
              <w:bidi w:val="0"/>
              <w:rPr>
                <w:color w:val="auto"/>
              </w:rPr>
            </w:pPr>
            <w:r>
              <w:rPr>
                <w:color w:val="auto"/>
              </w:rPr>
              <w:t>年平均</w:t>
            </w:r>
          </w:p>
        </w:tc>
        <w:tc>
          <w:tcPr>
            <w:tcW w:w="1046" w:type="dxa"/>
            <w:tcBorders>
              <w:tl2br w:val="nil"/>
              <w:tr2bl w:val="nil"/>
            </w:tcBorders>
            <w:vAlign w:val="center"/>
          </w:tcPr>
          <w:p>
            <w:pPr>
              <w:pStyle w:val="41"/>
              <w:bidi w:val="0"/>
              <w:rPr>
                <w:rFonts w:hint="eastAsia"/>
                <w:color w:val="auto"/>
                <w:lang w:eastAsia="zh-CN"/>
              </w:rPr>
            </w:pPr>
            <w:r>
              <w:rPr>
                <w:rFonts w:hint="eastAsia"/>
                <w:color w:val="auto"/>
                <w:lang w:val="en-US" w:eastAsia="zh-CN"/>
              </w:rPr>
              <w:t>5</w:t>
            </w:r>
          </w:p>
        </w:tc>
        <w:tc>
          <w:tcPr>
            <w:tcW w:w="1188" w:type="dxa"/>
            <w:tcBorders>
              <w:tl2br w:val="nil"/>
              <w:tr2bl w:val="nil"/>
            </w:tcBorders>
            <w:vAlign w:val="center"/>
          </w:tcPr>
          <w:p>
            <w:pPr>
              <w:pStyle w:val="41"/>
              <w:bidi w:val="0"/>
              <w:rPr>
                <w:rFonts w:hint="eastAsia"/>
                <w:color w:val="auto"/>
                <w:lang w:eastAsia="zh-CN"/>
              </w:rPr>
            </w:pPr>
            <w:r>
              <w:rPr>
                <w:color w:val="auto"/>
              </w:rPr>
              <w:t>60</w:t>
            </w:r>
          </w:p>
        </w:tc>
        <w:tc>
          <w:tcPr>
            <w:tcW w:w="904"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8.3</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NO</w:t>
            </w:r>
            <w:r>
              <w:rPr>
                <w:color w:val="auto"/>
                <w:vertAlign w:val="subscript"/>
              </w:rPr>
              <w:t>2</w:t>
            </w:r>
          </w:p>
        </w:tc>
        <w:tc>
          <w:tcPr>
            <w:tcW w:w="3517" w:type="dxa"/>
            <w:tcBorders>
              <w:tl2br w:val="nil"/>
              <w:tr2bl w:val="nil"/>
            </w:tcBorders>
            <w:vAlign w:val="center"/>
          </w:tcPr>
          <w:p>
            <w:pPr>
              <w:pStyle w:val="41"/>
              <w:bidi w:val="0"/>
              <w:rPr>
                <w:color w:val="auto"/>
              </w:rPr>
            </w:pPr>
            <w:r>
              <w:rPr>
                <w:color w:val="auto"/>
              </w:rPr>
              <w:t>年平均</w:t>
            </w:r>
          </w:p>
        </w:tc>
        <w:tc>
          <w:tcPr>
            <w:tcW w:w="1046"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23</w:t>
            </w:r>
          </w:p>
        </w:tc>
        <w:tc>
          <w:tcPr>
            <w:tcW w:w="1188" w:type="dxa"/>
            <w:tcBorders>
              <w:tl2br w:val="nil"/>
              <w:tr2bl w:val="nil"/>
            </w:tcBorders>
            <w:vAlign w:val="center"/>
          </w:tcPr>
          <w:p>
            <w:pPr>
              <w:pStyle w:val="41"/>
              <w:bidi w:val="0"/>
              <w:rPr>
                <w:rFonts w:hint="eastAsia"/>
                <w:color w:val="auto"/>
                <w:lang w:eastAsia="zh-CN"/>
              </w:rPr>
            </w:pPr>
            <w:r>
              <w:rPr>
                <w:color w:val="auto"/>
              </w:rPr>
              <w:t>40</w:t>
            </w:r>
          </w:p>
        </w:tc>
        <w:tc>
          <w:tcPr>
            <w:tcW w:w="904"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57.5</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PM</w:t>
            </w:r>
            <w:r>
              <w:rPr>
                <w:color w:val="auto"/>
                <w:vertAlign w:val="subscript"/>
              </w:rPr>
              <w:t>10</w:t>
            </w:r>
          </w:p>
        </w:tc>
        <w:tc>
          <w:tcPr>
            <w:tcW w:w="3517" w:type="dxa"/>
            <w:tcBorders>
              <w:tl2br w:val="nil"/>
              <w:tr2bl w:val="nil"/>
            </w:tcBorders>
            <w:vAlign w:val="center"/>
          </w:tcPr>
          <w:p>
            <w:pPr>
              <w:pStyle w:val="41"/>
              <w:bidi w:val="0"/>
              <w:rPr>
                <w:color w:val="auto"/>
              </w:rPr>
            </w:pPr>
            <w:r>
              <w:rPr>
                <w:color w:val="auto"/>
              </w:rPr>
              <w:t>年平均</w:t>
            </w:r>
          </w:p>
        </w:tc>
        <w:tc>
          <w:tcPr>
            <w:tcW w:w="1046"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30</w:t>
            </w:r>
          </w:p>
        </w:tc>
        <w:tc>
          <w:tcPr>
            <w:tcW w:w="1188" w:type="dxa"/>
            <w:tcBorders>
              <w:tl2br w:val="nil"/>
              <w:tr2bl w:val="nil"/>
            </w:tcBorders>
            <w:vAlign w:val="center"/>
          </w:tcPr>
          <w:p>
            <w:pPr>
              <w:pStyle w:val="41"/>
              <w:bidi w:val="0"/>
              <w:rPr>
                <w:rFonts w:hint="eastAsia"/>
                <w:color w:val="auto"/>
                <w:lang w:eastAsia="zh-CN"/>
              </w:rPr>
            </w:pPr>
            <w:r>
              <w:rPr>
                <w:color w:val="auto"/>
              </w:rPr>
              <w:t>70</w:t>
            </w:r>
          </w:p>
        </w:tc>
        <w:tc>
          <w:tcPr>
            <w:tcW w:w="904"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42.9</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PM</w:t>
            </w:r>
            <w:r>
              <w:rPr>
                <w:rFonts w:hint="eastAsia"/>
                <w:color w:val="auto"/>
                <w:vertAlign w:val="subscript"/>
                <w:lang w:val="en-US" w:eastAsia="zh-CN"/>
              </w:rPr>
              <w:t>2</w:t>
            </w:r>
            <w:r>
              <w:rPr>
                <w:color w:val="auto"/>
                <w:vertAlign w:val="subscript"/>
              </w:rPr>
              <w:t>.5</w:t>
            </w:r>
          </w:p>
        </w:tc>
        <w:tc>
          <w:tcPr>
            <w:tcW w:w="3517" w:type="dxa"/>
            <w:tcBorders>
              <w:tl2br w:val="nil"/>
              <w:tr2bl w:val="nil"/>
            </w:tcBorders>
            <w:vAlign w:val="center"/>
          </w:tcPr>
          <w:p>
            <w:pPr>
              <w:pStyle w:val="41"/>
              <w:bidi w:val="0"/>
              <w:rPr>
                <w:color w:val="auto"/>
              </w:rPr>
            </w:pPr>
            <w:r>
              <w:rPr>
                <w:color w:val="auto"/>
              </w:rPr>
              <w:t>年平均</w:t>
            </w:r>
          </w:p>
        </w:tc>
        <w:tc>
          <w:tcPr>
            <w:tcW w:w="1046"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14</w:t>
            </w:r>
          </w:p>
        </w:tc>
        <w:tc>
          <w:tcPr>
            <w:tcW w:w="1188" w:type="dxa"/>
            <w:tcBorders>
              <w:tl2br w:val="nil"/>
              <w:tr2bl w:val="nil"/>
            </w:tcBorders>
            <w:vAlign w:val="center"/>
          </w:tcPr>
          <w:p>
            <w:pPr>
              <w:pStyle w:val="41"/>
              <w:bidi w:val="0"/>
              <w:rPr>
                <w:rFonts w:hint="eastAsia"/>
                <w:color w:val="auto"/>
                <w:lang w:eastAsia="zh-CN"/>
              </w:rPr>
            </w:pPr>
            <w:r>
              <w:rPr>
                <w:color w:val="auto"/>
              </w:rPr>
              <w:t>35</w:t>
            </w:r>
          </w:p>
        </w:tc>
        <w:tc>
          <w:tcPr>
            <w:tcW w:w="904"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40.0</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CO</w:t>
            </w:r>
          </w:p>
        </w:tc>
        <w:tc>
          <w:tcPr>
            <w:tcW w:w="3517" w:type="dxa"/>
            <w:tcBorders>
              <w:tl2br w:val="nil"/>
              <w:tr2bl w:val="nil"/>
            </w:tcBorders>
            <w:vAlign w:val="center"/>
          </w:tcPr>
          <w:p>
            <w:pPr>
              <w:pStyle w:val="41"/>
              <w:bidi w:val="0"/>
              <w:rPr>
                <w:color w:val="auto"/>
              </w:rPr>
            </w:pPr>
            <w:r>
              <w:rPr>
                <w:color w:val="auto"/>
              </w:rPr>
              <w:t>24小时平均第95百分位数</w:t>
            </w:r>
          </w:p>
        </w:tc>
        <w:tc>
          <w:tcPr>
            <w:tcW w:w="1046"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2100</w:t>
            </w:r>
          </w:p>
        </w:tc>
        <w:tc>
          <w:tcPr>
            <w:tcW w:w="1188" w:type="dxa"/>
            <w:tcBorders>
              <w:tl2br w:val="nil"/>
              <w:tr2bl w:val="nil"/>
            </w:tcBorders>
            <w:vAlign w:val="center"/>
          </w:tcPr>
          <w:p>
            <w:pPr>
              <w:pStyle w:val="41"/>
              <w:bidi w:val="0"/>
              <w:rPr>
                <w:rFonts w:hint="eastAsia"/>
                <w:color w:val="auto"/>
                <w:lang w:eastAsia="zh-CN"/>
              </w:rPr>
            </w:pPr>
            <w:r>
              <w:rPr>
                <w:color w:val="auto"/>
              </w:rPr>
              <w:t>4000</w:t>
            </w:r>
          </w:p>
        </w:tc>
        <w:tc>
          <w:tcPr>
            <w:tcW w:w="904"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52.5</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O</w:t>
            </w:r>
            <w:r>
              <w:rPr>
                <w:color w:val="auto"/>
                <w:vertAlign w:val="subscript"/>
              </w:rPr>
              <w:t>3</w:t>
            </w:r>
          </w:p>
        </w:tc>
        <w:tc>
          <w:tcPr>
            <w:tcW w:w="3517" w:type="dxa"/>
            <w:tcBorders>
              <w:tl2br w:val="nil"/>
              <w:tr2bl w:val="nil"/>
            </w:tcBorders>
            <w:vAlign w:val="center"/>
          </w:tcPr>
          <w:p>
            <w:pPr>
              <w:pStyle w:val="41"/>
              <w:bidi w:val="0"/>
              <w:rPr>
                <w:color w:val="auto"/>
              </w:rPr>
            </w:pPr>
            <w:r>
              <w:rPr>
                <w:color w:val="auto"/>
              </w:rPr>
              <w:t>日最大8小时滑动平均第90百分位数</w:t>
            </w:r>
          </w:p>
        </w:tc>
        <w:tc>
          <w:tcPr>
            <w:tcW w:w="1046" w:type="dxa"/>
            <w:tcBorders>
              <w:tl2br w:val="nil"/>
              <w:tr2bl w:val="nil"/>
            </w:tcBorders>
            <w:vAlign w:val="center"/>
          </w:tcPr>
          <w:p>
            <w:pPr>
              <w:pStyle w:val="41"/>
              <w:bidi w:val="0"/>
              <w:rPr>
                <w:rFonts w:hint="default"/>
                <w:color w:val="auto"/>
                <w:lang w:val="en-US" w:eastAsia="zh-CN"/>
              </w:rPr>
            </w:pPr>
            <w:r>
              <w:rPr>
                <w:color w:val="auto"/>
              </w:rPr>
              <w:t>1</w:t>
            </w:r>
            <w:r>
              <w:rPr>
                <w:rFonts w:hint="eastAsia"/>
                <w:color w:val="auto"/>
                <w:lang w:val="en-US" w:eastAsia="zh-CN"/>
              </w:rPr>
              <w:t>10</w:t>
            </w:r>
          </w:p>
        </w:tc>
        <w:tc>
          <w:tcPr>
            <w:tcW w:w="1188" w:type="dxa"/>
            <w:tcBorders>
              <w:tl2br w:val="nil"/>
              <w:tr2bl w:val="nil"/>
            </w:tcBorders>
            <w:vAlign w:val="center"/>
          </w:tcPr>
          <w:p>
            <w:pPr>
              <w:pStyle w:val="41"/>
              <w:bidi w:val="0"/>
              <w:rPr>
                <w:rFonts w:hint="eastAsia"/>
                <w:color w:val="auto"/>
                <w:lang w:eastAsia="zh-CN"/>
              </w:rPr>
            </w:pPr>
            <w:r>
              <w:rPr>
                <w:color w:val="auto"/>
              </w:rPr>
              <w:t>160</w:t>
            </w:r>
          </w:p>
        </w:tc>
        <w:tc>
          <w:tcPr>
            <w:tcW w:w="904" w:type="dxa"/>
            <w:tcBorders>
              <w:tl2br w:val="nil"/>
              <w:tr2bl w:val="nil"/>
            </w:tcBorders>
            <w:vAlign w:val="center"/>
          </w:tcPr>
          <w:p>
            <w:pPr>
              <w:pStyle w:val="41"/>
              <w:bidi w:val="0"/>
              <w:rPr>
                <w:rFonts w:hint="default"/>
                <w:color w:val="auto"/>
                <w:lang w:val="en-US" w:eastAsia="zh-CN"/>
              </w:rPr>
            </w:pPr>
            <w:r>
              <w:rPr>
                <w:rFonts w:hint="eastAsia"/>
                <w:color w:val="auto"/>
                <w:lang w:val="en-US" w:eastAsia="zh-CN"/>
              </w:rPr>
              <w:t>68.8</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pPr>
              <w:pStyle w:val="41"/>
              <w:bidi w:val="0"/>
              <w:rPr>
                <w:color w:val="auto"/>
              </w:rPr>
            </w:pPr>
            <w:r>
              <w:rPr>
                <w:rFonts w:hint="eastAsia"/>
                <w:color w:val="auto"/>
              </w:rPr>
              <w:t>2022年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pPr>
              <w:pStyle w:val="41"/>
              <w:bidi w:val="0"/>
              <w:ind w:firstLine="0" w:firstLineChars="0"/>
              <w:rPr>
                <w:color w:val="auto"/>
              </w:rPr>
            </w:pPr>
            <w:r>
              <w:rPr>
                <w:color w:val="auto"/>
              </w:rPr>
              <w:t>SO</w:t>
            </w:r>
            <w:r>
              <w:rPr>
                <w:color w:val="auto"/>
                <w:vertAlign w:val="subscript"/>
              </w:rPr>
              <w:t>2</w:t>
            </w:r>
          </w:p>
        </w:tc>
        <w:tc>
          <w:tcPr>
            <w:tcW w:w="3517" w:type="dxa"/>
            <w:tcBorders>
              <w:tl2br w:val="nil"/>
              <w:tr2bl w:val="nil"/>
            </w:tcBorders>
            <w:vAlign w:val="center"/>
          </w:tcPr>
          <w:p>
            <w:pPr>
              <w:pStyle w:val="41"/>
              <w:bidi w:val="0"/>
              <w:rPr>
                <w:color w:val="auto"/>
              </w:rPr>
            </w:pPr>
            <w:r>
              <w:rPr>
                <w:color w:val="auto"/>
              </w:rPr>
              <w:t>年平均</w:t>
            </w:r>
          </w:p>
        </w:tc>
        <w:tc>
          <w:tcPr>
            <w:tcW w:w="1046" w:type="dxa"/>
            <w:tcBorders>
              <w:tl2br w:val="nil"/>
              <w:tr2bl w:val="nil"/>
            </w:tcBorders>
            <w:vAlign w:val="center"/>
          </w:tcPr>
          <w:p>
            <w:pPr>
              <w:pStyle w:val="41"/>
              <w:bidi w:val="0"/>
              <w:rPr>
                <w:rFonts w:hint="eastAsia"/>
                <w:color w:val="auto"/>
                <w:lang w:eastAsia="zh-CN"/>
              </w:rPr>
            </w:pPr>
            <w:r>
              <w:rPr>
                <w:rFonts w:hint="eastAsia"/>
                <w:color w:val="auto"/>
                <w:lang w:val="en-US" w:eastAsia="zh-CN"/>
              </w:rPr>
              <w:t>4</w:t>
            </w:r>
          </w:p>
        </w:tc>
        <w:tc>
          <w:tcPr>
            <w:tcW w:w="1188" w:type="dxa"/>
            <w:tcBorders>
              <w:tl2br w:val="nil"/>
              <w:tr2bl w:val="nil"/>
            </w:tcBorders>
            <w:vAlign w:val="center"/>
          </w:tcPr>
          <w:p>
            <w:pPr>
              <w:pStyle w:val="41"/>
              <w:bidi w:val="0"/>
              <w:rPr>
                <w:rFonts w:hint="eastAsia"/>
                <w:color w:val="auto"/>
                <w:lang w:eastAsia="zh-CN"/>
              </w:rPr>
            </w:pPr>
            <w:r>
              <w:rPr>
                <w:color w:val="auto"/>
              </w:rPr>
              <w:t>60</w:t>
            </w:r>
          </w:p>
        </w:tc>
        <w:tc>
          <w:tcPr>
            <w:tcW w:w="904" w:type="dxa"/>
            <w:tcBorders>
              <w:tl2br w:val="nil"/>
              <w:tr2bl w:val="nil"/>
            </w:tcBorders>
            <w:vAlign w:val="center"/>
          </w:tcPr>
          <w:p>
            <w:pPr>
              <w:pStyle w:val="41"/>
              <w:bidi w:val="0"/>
              <w:rPr>
                <w:color w:val="auto"/>
              </w:rPr>
            </w:pPr>
            <w:r>
              <w:rPr>
                <w:rFonts w:hint="eastAsia"/>
                <w:color w:val="auto"/>
                <w:lang w:val="en-US" w:eastAsia="zh-CN"/>
              </w:rPr>
              <w:t>6.7</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NO</w:t>
            </w:r>
            <w:r>
              <w:rPr>
                <w:color w:val="auto"/>
                <w:vertAlign w:val="subscript"/>
              </w:rPr>
              <w:t>2</w:t>
            </w:r>
          </w:p>
        </w:tc>
        <w:tc>
          <w:tcPr>
            <w:tcW w:w="3517" w:type="dxa"/>
            <w:tcBorders>
              <w:tl2br w:val="nil"/>
              <w:tr2bl w:val="nil"/>
            </w:tcBorders>
            <w:vAlign w:val="center"/>
          </w:tcPr>
          <w:p>
            <w:pPr>
              <w:pStyle w:val="41"/>
              <w:bidi w:val="0"/>
              <w:rPr>
                <w:color w:val="auto"/>
              </w:rPr>
            </w:pPr>
            <w:r>
              <w:rPr>
                <w:color w:val="auto"/>
              </w:rPr>
              <w:t>年平均</w:t>
            </w:r>
          </w:p>
        </w:tc>
        <w:tc>
          <w:tcPr>
            <w:tcW w:w="1046" w:type="dxa"/>
            <w:tcBorders>
              <w:tl2br w:val="nil"/>
              <w:tr2bl w:val="nil"/>
            </w:tcBorders>
            <w:vAlign w:val="center"/>
          </w:tcPr>
          <w:p>
            <w:pPr>
              <w:pStyle w:val="41"/>
              <w:bidi w:val="0"/>
              <w:rPr>
                <w:rFonts w:hint="eastAsia"/>
                <w:color w:val="auto"/>
                <w:lang w:eastAsia="zh-CN"/>
              </w:rPr>
            </w:pPr>
            <w:r>
              <w:rPr>
                <w:rFonts w:hint="eastAsia"/>
                <w:color w:val="auto"/>
                <w:lang w:val="en-US" w:eastAsia="zh-CN"/>
              </w:rPr>
              <w:t>10</w:t>
            </w:r>
          </w:p>
        </w:tc>
        <w:tc>
          <w:tcPr>
            <w:tcW w:w="1188" w:type="dxa"/>
            <w:tcBorders>
              <w:tl2br w:val="nil"/>
              <w:tr2bl w:val="nil"/>
            </w:tcBorders>
            <w:vAlign w:val="center"/>
          </w:tcPr>
          <w:p>
            <w:pPr>
              <w:pStyle w:val="41"/>
              <w:bidi w:val="0"/>
              <w:rPr>
                <w:rFonts w:hint="eastAsia"/>
                <w:color w:val="auto"/>
                <w:lang w:eastAsia="zh-CN"/>
              </w:rPr>
            </w:pPr>
            <w:r>
              <w:rPr>
                <w:color w:val="auto"/>
              </w:rPr>
              <w:t>40</w:t>
            </w:r>
          </w:p>
        </w:tc>
        <w:tc>
          <w:tcPr>
            <w:tcW w:w="904" w:type="dxa"/>
            <w:tcBorders>
              <w:tl2br w:val="nil"/>
              <w:tr2bl w:val="nil"/>
            </w:tcBorders>
            <w:vAlign w:val="center"/>
          </w:tcPr>
          <w:p>
            <w:pPr>
              <w:pStyle w:val="41"/>
              <w:bidi w:val="0"/>
              <w:rPr>
                <w:color w:val="auto"/>
              </w:rPr>
            </w:pPr>
            <w:r>
              <w:rPr>
                <w:rFonts w:hint="eastAsia"/>
                <w:color w:val="auto"/>
                <w:lang w:val="en-US" w:eastAsia="zh-CN"/>
              </w:rPr>
              <w:t>25.00</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PM</w:t>
            </w:r>
            <w:r>
              <w:rPr>
                <w:color w:val="auto"/>
                <w:vertAlign w:val="subscript"/>
              </w:rPr>
              <w:t>10</w:t>
            </w:r>
          </w:p>
        </w:tc>
        <w:tc>
          <w:tcPr>
            <w:tcW w:w="3517" w:type="dxa"/>
            <w:tcBorders>
              <w:tl2br w:val="nil"/>
              <w:tr2bl w:val="nil"/>
            </w:tcBorders>
            <w:vAlign w:val="center"/>
          </w:tcPr>
          <w:p>
            <w:pPr>
              <w:pStyle w:val="41"/>
              <w:bidi w:val="0"/>
              <w:rPr>
                <w:color w:val="auto"/>
              </w:rPr>
            </w:pPr>
            <w:r>
              <w:rPr>
                <w:color w:val="auto"/>
              </w:rPr>
              <w:t>年平均</w:t>
            </w:r>
          </w:p>
        </w:tc>
        <w:tc>
          <w:tcPr>
            <w:tcW w:w="1046" w:type="dxa"/>
            <w:tcBorders>
              <w:tl2br w:val="nil"/>
              <w:tr2bl w:val="nil"/>
            </w:tcBorders>
            <w:vAlign w:val="center"/>
          </w:tcPr>
          <w:p>
            <w:pPr>
              <w:pStyle w:val="41"/>
              <w:bidi w:val="0"/>
              <w:rPr>
                <w:rFonts w:hint="eastAsia"/>
                <w:color w:val="auto"/>
                <w:lang w:eastAsia="zh-CN"/>
              </w:rPr>
            </w:pPr>
            <w:r>
              <w:rPr>
                <w:rFonts w:hint="eastAsia"/>
                <w:color w:val="auto"/>
                <w:lang w:val="en-US" w:eastAsia="zh-CN"/>
              </w:rPr>
              <w:t>32</w:t>
            </w:r>
          </w:p>
        </w:tc>
        <w:tc>
          <w:tcPr>
            <w:tcW w:w="1188" w:type="dxa"/>
            <w:tcBorders>
              <w:tl2br w:val="nil"/>
              <w:tr2bl w:val="nil"/>
            </w:tcBorders>
            <w:vAlign w:val="center"/>
          </w:tcPr>
          <w:p>
            <w:pPr>
              <w:pStyle w:val="41"/>
              <w:bidi w:val="0"/>
              <w:rPr>
                <w:rFonts w:hint="eastAsia"/>
                <w:color w:val="auto"/>
                <w:lang w:eastAsia="zh-CN"/>
              </w:rPr>
            </w:pPr>
            <w:r>
              <w:rPr>
                <w:color w:val="auto"/>
              </w:rPr>
              <w:t>70</w:t>
            </w:r>
          </w:p>
        </w:tc>
        <w:tc>
          <w:tcPr>
            <w:tcW w:w="904" w:type="dxa"/>
            <w:tcBorders>
              <w:tl2br w:val="nil"/>
              <w:tr2bl w:val="nil"/>
            </w:tcBorders>
            <w:vAlign w:val="center"/>
          </w:tcPr>
          <w:p>
            <w:pPr>
              <w:pStyle w:val="41"/>
              <w:bidi w:val="0"/>
              <w:rPr>
                <w:color w:val="auto"/>
              </w:rPr>
            </w:pPr>
            <w:r>
              <w:rPr>
                <w:rFonts w:hint="eastAsia"/>
                <w:color w:val="auto"/>
                <w:lang w:val="en-US" w:eastAsia="zh-CN"/>
              </w:rPr>
              <w:t>45.7</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PM</w:t>
            </w:r>
            <w:r>
              <w:rPr>
                <w:rFonts w:hint="eastAsia"/>
                <w:color w:val="auto"/>
                <w:vertAlign w:val="subscript"/>
                <w:lang w:val="en-US" w:eastAsia="zh-CN"/>
              </w:rPr>
              <w:t>2</w:t>
            </w:r>
            <w:r>
              <w:rPr>
                <w:color w:val="auto"/>
                <w:vertAlign w:val="subscript"/>
              </w:rPr>
              <w:t>.5</w:t>
            </w:r>
          </w:p>
        </w:tc>
        <w:tc>
          <w:tcPr>
            <w:tcW w:w="3517" w:type="dxa"/>
            <w:tcBorders>
              <w:tl2br w:val="nil"/>
              <w:tr2bl w:val="nil"/>
            </w:tcBorders>
            <w:vAlign w:val="center"/>
          </w:tcPr>
          <w:p>
            <w:pPr>
              <w:pStyle w:val="41"/>
              <w:bidi w:val="0"/>
              <w:rPr>
                <w:color w:val="auto"/>
              </w:rPr>
            </w:pPr>
            <w:r>
              <w:rPr>
                <w:color w:val="auto"/>
              </w:rPr>
              <w:t>年平均</w:t>
            </w:r>
          </w:p>
        </w:tc>
        <w:tc>
          <w:tcPr>
            <w:tcW w:w="1046" w:type="dxa"/>
            <w:tcBorders>
              <w:tl2br w:val="nil"/>
              <w:tr2bl w:val="nil"/>
            </w:tcBorders>
            <w:vAlign w:val="center"/>
          </w:tcPr>
          <w:p>
            <w:pPr>
              <w:pStyle w:val="41"/>
              <w:bidi w:val="0"/>
              <w:rPr>
                <w:rFonts w:hint="eastAsia"/>
                <w:color w:val="auto"/>
                <w:lang w:eastAsia="zh-CN"/>
              </w:rPr>
            </w:pPr>
            <w:r>
              <w:rPr>
                <w:rFonts w:hint="eastAsia"/>
                <w:color w:val="auto"/>
                <w:lang w:val="en-US" w:eastAsia="zh-CN"/>
              </w:rPr>
              <w:t>14</w:t>
            </w:r>
          </w:p>
        </w:tc>
        <w:tc>
          <w:tcPr>
            <w:tcW w:w="1188" w:type="dxa"/>
            <w:tcBorders>
              <w:tl2br w:val="nil"/>
              <w:tr2bl w:val="nil"/>
            </w:tcBorders>
            <w:vAlign w:val="center"/>
          </w:tcPr>
          <w:p>
            <w:pPr>
              <w:pStyle w:val="41"/>
              <w:bidi w:val="0"/>
              <w:rPr>
                <w:rFonts w:hint="eastAsia"/>
                <w:color w:val="auto"/>
                <w:lang w:eastAsia="zh-CN"/>
              </w:rPr>
            </w:pPr>
            <w:r>
              <w:rPr>
                <w:color w:val="auto"/>
              </w:rPr>
              <w:t>35</w:t>
            </w:r>
          </w:p>
        </w:tc>
        <w:tc>
          <w:tcPr>
            <w:tcW w:w="904" w:type="dxa"/>
            <w:tcBorders>
              <w:tl2br w:val="nil"/>
              <w:tr2bl w:val="nil"/>
            </w:tcBorders>
            <w:vAlign w:val="center"/>
          </w:tcPr>
          <w:p>
            <w:pPr>
              <w:pStyle w:val="41"/>
              <w:bidi w:val="0"/>
              <w:rPr>
                <w:rFonts w:hint="default"/>
                <w:color w:val="auto"/>
                <w:lang w:val="en-US"/>
              </w:rPr>
            </w:pPr>
            <w:r>
              <w:rPr>
                <w:rFonts w:hint="eastAsia"/>
                <w:color w:val="auto"/>
                <w:lang w:val="en-US" w:eastAsia="zh-CN"/>
              </w:rPr>
              <w:t>40.0</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CO</w:t>
            </w:r>
          </w:p>
        </w:tc>
        <w:tc>
          <w:tcPr>
            <w:tcW w:w="3517" w:type="dxa"/>
            <w:tcBorders>
              <w:tl2br w:val="nil"/>
              <w:tr2bl w:val="nil"/>
            </w:tcBorders>
            <w:vAlign w:val="center"/>
          </w:tcPr>
          <w:p>
            <w:pPr>
              <w:pStyle w:val="41"/>
              <w:bidi w:val="0"/>
              <w:rPr>
                <w:color w:val="auto"/>
              </w:rPr>
            </w:pPr>
            <w:r>
              <w:rPr>
                <w:color w:val="auto"/>
              </w:rPr>
              <w:t>24小时平均第95百分位数</w:t>
            </w:r>
          </w:p>
        </w:tc>
        <w:tc>
          <w:tcPr>
            <w:tcW w:w="1046" w:type="dxa"/>
            <w:tcBorders>
              <w:tl2br w:val="nil"/>
              <w:tr2bl w:val="nil"/>
            </w:tcBorders>
            <w:vAlign w:val="center"/>
          </w:tcPr>
          <w:p>
            <w:pPr>
              <w:pStyle w:val="41"/>
              <w:bidi w:val="0"/>
              <w:rPr>
                <w:rFonts w:hint="eastAsia"/>
                <w:color w:val="auto"/>
                <w:lang w:eastAsia="zh-CN"/>
              </w:rPr>
            </w:pPr>
            <w:r>
              <w:rPr>
                <w:rFonts w:hint="eastAsia"/>
                <w:color w:val="auto"/>
                <w:lang w:val="en-US" w:eastAsia="zh-CN"/>
              </w:rPr>
              <w:t>600</w:t>
            </w:r>
          </w:p>
        </w:tc>
        <w:tc>
          <w:tcPr>
            <w:tcW w:w="1188" w:type="dxa"/>
            <w:tcBorders>
              <w:tl2br w:val="nil"/>
              <w:tr2bl w:val="nil"/>
            </w:tcBorders>
            <w:vAlign w:val="center"/>
          </w:tcPr>
          <w:p>
            <w:pPr>
              <w:pStyle w:val="41"/>
              <w:bidi w:val="0"/>
              <w:rPr>
                <w:rFonts w:hint="eastAsia"/>
                <w:color w:val="auto"/>
                <w:lang w:eastAsia="zh-CN"/>
              </w:rPr>
            </w:pPr>
            <w:r>
              <w:rPr>
                <w:color w:val="auto"/>
              </w:rPr>
              <w:t>4000</w:t>
            </w:r>
          </w:p>
        </w:tc>
        <w:tc>
          <w:tcPr>
            <w:tcW w:w="904" w:type="dxa"/>
            <w:tcBorders>
              <w:tl2br w:val="nil"/>
              <w:tr2bl w:val="nil"/>
            </w:tcBorders>
            <w:vAlign w:val="center"/>
          </w:tcPr>
          <w:p>
            <w:pPr>
              <w:pStyle w:val="41"/>
              <w:bidi w:val="0"/>
              <w:rPr>
                <w:color w:val="auto"/>
              </w:rPr>
            </w:pPr>
            <w:r>
              <w:rPr>
                <w:rFonts w:hint="eastAsia"/>
                <w:color w:val="auto"/>
                <w:lang w:val="en-US" w:eastAsia="zh-CN"/>
              </w:rPr>
              <w:t>15.0</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rPr>
            </w:pPr>
            <w:r>
              <w:rPr>
                <w:color w:val="auto"/>
              </w:rPr>
              <w:t>O</w:t>
            </w:r>
            <w:r>
              <w:rPr>
                <w:color w:val="auto"/>
                <w:vertAlign w:val="subscript"/>
              </w:rPr>
              <w:t>3</w:t>
            </w:r>
          </w:p>
        </w:tc>
        <w:tc>
          <w:tcPr>
            <w:tcW w:w="3517" w:type="dxa"/>
            <w:tcBorders>
              <w:tl2br w:val="nil"/>
              <w:tr2bl w:val="nil"/>
            </w:tcBorders>
            <w:vAlign w:val="center"/>
          </w:tcPr>
          <w:p>
            <w:pPr>
              <w:pStyle w:val="41"/>
              <w:bidi w:val="0"/>
              <w:rPr>
                <w:color w:val="auto"/>
              </w:rPr>
            </w:pPr>
            <w:r>
              <w:rPr>
                <w:color w:val="auto"/>
              </w:rPr>
              <w:t>日最大8小时滑动平均第90百分位数</w:t>
            </w:r>
          </w:p>
        </w:tc>
        <w:tc>
          <w:tcPr>
            <w:tcW w:w="1046" w:type="dxa"/>
            <w:tcBorders>
              <w:tl2br w:val="nil"/>
              <w:tr2bl w:val="nil"/>
            </w:tcBorders>
            <w:vAlign w:val="center"/>
          </w:tcPr>
          <w:p>
            <w:pPr>
              <w:pStyle w:val="41"/>
              <w:bidi w:val="0"/>
              <w:rPr>
                <w:rFonts w:hint="eastAsia"/>
                <w:color w:val="auto"/>
                <w:lang w:eastAsia="zh-CN"/>
              </w:rPr>
            </w:pPr>
            <w:r>
              <w:rPr>
                <w:rFonts w:hint="eastAsia"/>
                <w:color w:val="auto"/>
                <w:lang w:val="en-US" w:eastAsia="zh-CN"/>
              </w:rPr>
              <w:t>104</w:t>
            </w:r>
          </w:p>
        </w:tc>
        <w:tc>
          <w:tcPr>
            <w:tcW w:w="1188" w:type="dxa"/>
            <w:tcBorders>
              <w:tl2br w:val="nil"/>
              <w:tr2bl w:val="nil"/>
            </w:tcBorders>
            <w:vAlign w:val="center"/>
          </w:tcPr>
          <w:p>
            <w:pPr>
              <w:pStyle w:val="41"/>
              <w:bidi w:val="0"/>
              <w:rPr>
                <w:rFonts w:hint="eastAsia"/>
                <w:color w:val="auto"/>
                <w:lang w:eastAsia="zh-CN"/>
              </w:rPr>
            </w:pPr>
            <w:r>
              <w:rPr>
                <w:color w:val="auto"/>
              </w:rPr>
              <w:t>160</w:t>
            </w:r>
          </w:p>
        </w:tc>
        <w:tc>
          <w:tcPr>
            <w:tcW w:w="904" w:type="dxa"/>
            <w:tcBorders>
              <w:tl2br w:val="nil"/>
              <w:tr2bl w:val="nil"/>
            </w:tcBorders>
            <w:vAlign w:val="center"/>
          </w:tcPr>
          <w:p>
            <w:pPr>
              <w:pStyle w:val="41"/>
              <w:bidi w:val="0"/>
              <w:rPr>
                <w:color w:val="auto"/>
              </w:rPr>
            </w:pPr>
            <w:r>
              <w:rPr>
                <w:rFonts w:hint="eastAsia"/>
                <w:color w:val="auto"/>
                <w:lang w:val="en-US" w:eastAsia="zh-CN"/>
              </w:rPr>
              <w:t>65.00</w:t>
            </w:r>
          </w:p>
        </w:tc>
        <w:tc>
          <w:tcPr>
            <w:tcW w:w="979" w:type="dxa"/>
            <w:tcBorders>
              <w:tl2br w:val="nil"/>
              <w:tr2bl w:val="nil"/>
            </w:tcBorders>
            <w:vAlign w:val="center"/>
          </w:tcPr>
          <w:p>
            <w:pPr>
              <w:pStyle w:val="41"/>
              <w:bidi w:val="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pPr>
              <w:pStyle w:val="41"/>
              <w:bidi w:val="0"/>
              <w:rPr>
                <w:color w:val="auto"/>
                <w:highlight w:val="yellow"/>
              </w:rPr>
            </w:pPr>
            <w:r>
              <w:rPr>
                <w:rFonts w:hint="eastAsia"/>
                <w:color w:val="auto"/>
                <w:highlight w:val="none"/>
              </w:rPr>
              <w:t>202</w:t>
            </w:r>
            <w:r>
              <w:rPr>
                <w:rFonts w:hint="eastAsia"/>
                <w:color w:val="auto"/>
                <w:highlight w:val="none"/>
                <w:lang w:val="en-US" w:eastAsia="zh-CN"/>
              </w:rPr>
              <w:t>1</w:t>
            </w:r>
            <w:r>
              <w:rPr>
                <w:rFonts w:hint="eastAsia"/>
                <w:color w:val="auto"/>
                <w:highlight w:val="none"/>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pPr>
              <w:pStyle w:val="41"/>
              <w:bidi w:val="0"/>
              <w:ind w:firstLine="0" w:firstLineChars="0"/>
              <w:rPr>
                <w:color w:val="auto"/>
                <w:highlight w:val="none"/>
              </w:rPr>
            </w:pPr>
            <w:r>
              <w:rPr>
                <w:color w:val="auto"/>
                <w:highlight w:val="none"/>
              </w:rPr>
              <w:t>SO</w:t>
            </w:r>
            <w:r>
              <w:rPr>
                <w:color w:val="auto"/>
                <w:highlight w:val="none"/>
                <w:vertAlign w:val="subscript"/>
              </w:rPr>
              <w:t>2</w:t>
            </w:r>
          </w:p>
        </w:tc>
        <w:tc>
          <w:tcPr>
            <w:tcW w:w="2105" w:type="pct"/>
            <w:tcBorders>
              <w:tl2br w:val="nil"/>
              <w:tr2bl w:val="nil"/>
            </w:tcBorders>
            <w:vAlign w:val="center"/>
          </w:tcPr>
          <w:p>
            <w:pPr>
              <w:pStyle w:val="41"/>
              <w:bidi w:val="0"/>
              <w:rPr>
                <w:color w:val="auto"/>
                <w:highlight w:val="none"/>
              </w:rPr>
            </w:pPr>
            <w:r>
              <w:rPr>
                <w:color w:val="auto"/>
                <w:highlight w:val="none"/>
              </w:rPr>
              <w:t>年平均</w:t>
            </w:r>
          </w:p>
        </w:tc>
        <w:tc>
          <w:tcPr>
            <w:tcW w:w="1046" w:type="dxa"/>
            <w:tcBorders>
              <w:tl2br w:val="nil"/>
              <w:tr2bl w:val="nil"/>
            </w:tcBorders>
            <w:vAlign w:val="center"/>
          </w:tcPr>
          <w:p>
            <w:pPr>
              <w:pStyle w:val="41"/>
              <w:bidi w:val="0"/>
              <w:rPr>
                <w:rFonts w:hint="eastAsia" w:eastAsia="宋体"/>
                <w:color w:val="auto"/>
                <w:highlight w:val="none"/>
                <w:lang w:eastAsia="zh-CN"/>
              </w:rPr>
            </w:pPr>
            <w:r>
              <w:rPr>
                <w:rFonts w:hint="eastAsia"/>
                <w:color w:val="auto"/>
                <w:highlight w:val="none"/>
                <w:lang w:val="en-US" w:eastAsia="zh-CN"/>
              </w:rPr>
              <w:t>5</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60</w:t>
            </w:r>
          </w:p>
        </w:tc>
        <w:tc>
          <w:tcPr>
            <w:tcW w:w="904" w:type="dxa"/>
            <w:tcBorders>
              <w:tl2br w:val="nil"/>
              <w:tr2bl w:val="nil"/>
            </w:tcBorders>
            <w:vAlign w:val="bottom"/>
          </w:tcPr>
          <w:p>
            <w:pPr>
              <w:pStyle w:val="41"/>
              <w:bidi w:val="0"/>
              <w:rPr>
                <w:rFonts w:hint="default" w:eastAsia="宋体"/>
                <w:color w:val="auto"/>
                <w:highlight w:val="none"/>
                <w:lang w:val="en-US" w:eastAsia="zh-CN"/>
              </w:rPr>
            </w:pPr>
            <w:r>
              <w:rPr>
                <w:rFonts w:hint="eastAsia"/>
                <w:color w:val="auto"/>
                <w:highlight w:val="none"/>
                <w:lang w:val="en-US" w:eastAsia="zh-CN"/>
              </w:rPr>
              <w:t>8.3</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NO</w:t>
            </w:r>
            <w:r>
              <w:rPr>
                <w:color w:val="auto"/>
                <w:highlight w:val="none"/>
                <w:vertAlign w:val="subscript"/>
              </w:rPr>
              <w:t>2</w:t>
            </w:r>
          </w:p>
        </w:tc>
        <w:tc>
          <w:tcPr>
            <w:tcW w:w="2105" w:type="pct"/>
            <w:tcBorders>
              <w:tl2br w:val="nil"/>
              <w:tr2bl w:val="nil"/>
            </w:tcBorders>
            <w:vAlign w:val="center"/>
          </w:tcPr>
          <w:p>
            <w:pPr>
              <w:pStyle w:val="41"/>
              <w:bidi w:val="0"/>
              <w:rPr>
                <w:color w:val="auto"/>
                <w:highlight w:val="none"/>
              </w:rPr>
            </w:pPr>
            <w:r>
              <w:rPr>
                <w:color w:val="auto"/>
                <w:highlight w:val="none"/>
              </w:rPr>
              <w:t>年平均</w:t>
            </w:r>
          </w:p>
        </w:tc>
        <w:tc>
          <w:tcPr>
            <w:tcW w:w="1046" w:type="dxa"/>
            <w:tcBorders>
              <w:tl2br w:val="nil"/>
              <w:tr2bl w:val="nil"/>
            </w:tcBorders>
            <w:vAlign w:val="center"/>
          </w:tcPr>
          <w:p>
            <w:pPr>
              <w:pStyle w:val="41"/>
              <w:bidi w:val="0"/>
              <w:rPr>
                <w:rFonts w:hint="eastAsia" w:eastAsia="宋体"/>
                <w:color w:val="auto"/>
                <w:highlight w:val="none"/>
                <w:lang w:eastAsia="zh-CN"/>
              </w:rPr>
            </w:pPr>
            <w:r>
              <w:rPr>
                <w:rFonts w:hint="eastAsia"/>
                <w:color w:val="auto"/>
                <w:highlight w:val="none"/>
              </w:rPr>
              <w:t>1</w:t>
            </w:r>
            <w:r>
              <w:rPr>
                <w:rFonts w:hint="eastAsia"/>
                <w:color w:val="auto"/>
                <w:highlight w:val="none"/>
                <w:lang w:val="en-US" w:eastAsia="zh-CN"/>
              </w:rPr>
              <w:t>1</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40</w:t>
            </w:r>
          </w:p>
        </w:tc>
        <w:tc>
          <w:tcPr>
            <w:tcW w:w="904" w:type="dxa"/>
            <w:tcBorders>
              <w:tl2br w:val="nil"/>
              <w:tr2bl w:val="nil"/>
            </w:tcBorders>
            <w:vAlign w:val="bottom"/>
          </w:tcPr>
          <w:p>
            <w:pPr>
              <w:pStyle w:val="41"/>
              <w:bidi w:val="0"/>
              <w:rPr>
                <w:rFonts w:hint="default" w:eastAsia="宋体"/>
                <w:color w:val="auto"/>
                <w:highlight w:val="none"/>
                <w:lang w:val="en-US" w:eastAsia="zh-CN"/>
              </w:rPr>
            </w:pPr>
            <w:r>
              <w:rPr>
                <w:rFonts w:hint="eastAsia"/>
                <w:color w:val="auto"/>
                <w:highlight w:val="none"/>
                <w:lang w:val="en-US" w:eastAsia="zh-CN"/>
              </w:rPr>
              <w:t>27.5</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PM</w:t>
            </w:r>
            <w:r>
              <w:rPr>
                <w:color w:val="auto"/>
                <w:highlight w:val="none"/>
                <w:vertAlign w:val="subscript"/>
              </w:rPr>
              <w:t>10</w:t>
            </w:r>
          </w:p>
        </w:tc>
        <w:tc>
          <w:tcPr>
            <w:tcW w:w="2105" w:type="pct"/>
            <w:tcBorders>
              <w:tl2br w:val="nil"/>
              <w:tr2bl w:val="nil"/>
            </w:tcBorders>
            <w:vAlign w:val="center"/>
          </w:tcPr>
          <w:p>
            <w:pPr>
              <w:pStyle w:val="41"/>
              <w:bidi w:val="0"/>
              <w:rPr>
                <w:color w:val="auto"/>
                <w:highlight w:val="none"/>
              </w:rPr>
            </w:pPr>
            <w:r>
              <w:rPr>
                <w:color w:val="auto"/>
                <w:highlight w:val="none"/>
              </w:rPr>
              <w:t>年平均</w:t>
            </w:r>
          </w:p>
        </w:tc>
        <w:tc>
          <w:tcPr>
            <w:tcW w:w="1046" w:type="dxa"/>
            <w:tcBorders>
              <w:tl2br w:val="nil"/>
              <w:tr2bl w:val="nil"/>
            </w:tcBorders>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38</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70</w:t>
            </w:r>
          </w:p>
        </w:tc>
        <w:tc>
          <w:tcPr>
            <w:tcW w:w="904" w:type="dxa"/>
            <w:tcBorders>
              <w:tl2br w:val="nil"/>
              <w:tr2bl w:val="nil"/>
            </w:tcBorders>
            <w:vAlign w:val="bottom"/>
          </w:tcPr>
          <w:p>
            <w:pPr>
              <w:pStyle w:val="41"/>
              <w:bidi w:val="0"/>
              <w:rPr>
                <w:rFonts w:hint="default" w:eastAsia="宋体"/>
                <w:color w:val="auto"/>
                <w:highlight w:val="none"/>
                <w:lang w:val="en-US" w:eastAsia="zh-CN"/>
              </w:rPr>
            </w:pPr>
            <w:r>
              <w:rPr>
                <w:rFonts w:hint="eastAsia"/>
                <w:color w:val="auto"/>
                <w:highlight w:val="none"/>
                <w:lang w:val="en-US" w:eastAsia="zh-CN"/>
              </w:rPr>
              <w:t>54.3</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PM</w:t>
            </w:r>
            <w:r>
              <w:rPr>
                <w:rFonts w:hint="eastAsia"/>
                <w:color w:val="auto"/>
                <w:highlight w:val="none"/>
                <w:vertAlign w:val="subscript"/>
                <w:lang w:val="en-US" w:eastAsia="zh-CN"/>
              </w:rPr>
              <w:t>2</w:t>
            </w:r>
            <w:r>
              <w:rPr>
                <w:color w:val="auto"/>
                <w:highlight w:val="none"/>
                <w:vertAlign w:val="subscript"/>
              </w:rPr>
              <w:t>.5</w:t>
            </w:r>
          </w:p>
        </w:tc>
        <w:tc>
          <w:tcPr>
            <w:tcW w:w="2105" w:type="pct"/>
            <w:tcBorders>
              <w:tl2br w:val="nil"/>
              <w:tr2bl w:val="nil"/>
            </w:tcBorders>
            <w:vAlign w:val="center"/>
          </w:tcPr>
          <w:p>
            <w:pPr>
              <w:pStyle w:val="41"/>
              <w:bidi w:val="0"/>
              <w:rPr>
                <w:color w:val="auto"/>
                <w:highlight w:val="none"/>
              </w:rPr>
            </w:pPr>
            <w:r>
              <w:rPr>
                <w:color w:val="auto"/>
                <w:highlight w:val="none"/>
              </w:rPr>
              <w:t>年平均</w:t>
            </w:r>
          </w:p>
        </w:tc>
        <w:tc>
          <w:tcPr>
            <w:tcW w:w="1046" w:type="dxa"/>
            <w:tcBorders>
              <w:tl2br w:val="nil"/>
              <w:tr2bl w:val="nil"/>
            </w:tcBorders>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12</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35</w:t>
            </w:r>
          </w:p>
        </w:tc>
        <w:tc>
          <w:tcPr>
            <w:tcW w:w="904" w:type="dxa"/>
            <w:tcBorders>
              <w:tl2br w:val="nil"/>
              <w:tr2bl w:val="nil"/>
            </w:tcBorders>
            <w:vAlign w:val="bottom"/>
          </w:tcPr>
          <w:p>
            <w:pPr>
              <w:pStyle w:val="41"/>
              <w:bidi w:val="0"/>
              <w:rPr>
                <w:color w:val="auto"/>
                <w:highlight w:val="none"/>
              </w:rPr>
            </w:pPr>
            <w:r>
              <w:rPr>
                <w:rFonts w:hint="eastAsia"/>
                <w:color w:val="auto"/>
                <w:highlight w:val="none"/>
              </w:rPr>
              <w:t>34.3</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CO</w:t>
            </w:r>
          </w:p>
        </w:tc>
        <w:tc>
          <w:tcPr>
            <w:tcW w:w="2105" w:type="pct"/>
            <w:tcBorders>
              <w:tl2br w:val="nil"/>
              <w:tr2bl w:val="nil"/>
            </w:tcBorders>
            <w:vAlign w:val="center"/>
          </w:tcPr>
          <w:p>
            <w:pPr>
              <w:pStyle w:val="41"/>
              <w:bidi w:val="0"/>
              <w:rPr>
                <w:color w:val="auto"/>
                <w:highlight w:val="none"/>
              </w:rPr>
            </w:pPr>
            <w:r>
              <w:rPr>
                <w:color w:val="auto"/>
                <w:highlight w:val="none"/>
              </w:rPr>
              <w:t>24小时平均第95百分位数</w:t>
            </w:r>
          </w:p>
        </w:tc>
        <w:tc>
          <w:tcPr>
            <w:tcW w:w="1046" w:type="dxa"/>
            <w:tcBorders>
              <w:tl2br w:val="nil"/>
              <w:tr2bl w:val="nil"/>
            </w:tcBorders>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900</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4000</w:t>
            </w:r>
          </w:p>
        </w:tc>
        <w:tc>
          <w:tcPr>
            <w:tcW w:w="904" w:type="dxa"/>
            <w:tcBorders>
              <w:tl2br w:val="nil"/>
              <w:tr2bl w:val="nil"/>
            </w:tcBorders>
            <w:vAlign w:val="bottom"/>
          </w:tcPr>
          <w:p>
            <w:pPr>
              <w:pStyle w:val="41"/>
              <w:bidi w:val="0"/>
              <w:rPr>
                <w:color w:val="auto"/>
                <w:highlight w:val="none"/>
              </w:rPr>
            </w:pPr>
            <w:r>
              <w:rPr>
                <w:rFonts w:hint="eastAsia"/>
                <w:color w:val="auto"/>
                <w:highlight w:val="none"/>
              </w:rPr>
              <w:t>2</w:t>
            </w:r>
            <w:r>
              <w:rPr>
                <w:rFonts w:hint="eastAsia"/>
                <w:color w:val="auto"/>
                <w:highlight w:val="none"/>
                <w:lang w:val="en-US" w:eastAsia="zh-CN"/>
              </w:rPr>
              <w:t>2</w:t>
            </w:r>
            <w:r>
              <w:rPr>
                <w:rFonts w:hint="eastAsia"/>
                <w:color w:val="auto"/>
                <w:highlight w:val="none"/>
              </w:rPr>
              <w:t>.5</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O</w:t>
            </w:r>
            <w:r>
              <w:rPr>
                <w:color w:val="auto"/>
                <w:highlight w:val="none"/>
                <w:vertAlign w:val="subscript"/>
              </w:rPr>
              <w:t>3</w:t>
            </w:r>
          </w:p>
        </w:tc>
        <w:tc>
          <w:tcPr>
            <w:tcW w:w="2105" w:type="pct"/>
            <w:tcBorders>
              <w:tl2br w:val="nil"/>
              <w:tr2bl w:val="nil"/>
            </w:tcBorders>
            <w:vAlign w:val="center"/>
          </w:tcPr>
          <w:p>
            <w:pPr>
              <w:pStyle w:val="41"/>
              <w:bidi w:val="0"/>
              <w:rPr>
                <w:color w:val="auto"/>
                <w:highlight w:val="none"/>
              </w:rPr>
            </w:pPr>
            <w:r>
              <w:rPr>
                <w:color w:val="auto"/>
                <w:highlight w:val="none"/>
              </w:rPr>
              <w:t>日最大8小时滑动平均第90百分位数</w:t>
            </w:r>
          </w:p>
        </w:tc>
        <w:tc>
          <w:tcPr>
            <w:tcW w:w="1046" w:type="dxa"/>
            <w:tcBorders>
              <w:tl2br w:val="nil"/>
              <w:tr2bl w:val="nil"/>
            </w:tcBorders>
            <w:vAlign w:val="center"/>
          </w:tcPr>
          <w:p>
            <w:pPr>
              <w:pStyle w:val="41"/>
              <w:bidi w:val="0"/>
              <w:rPr>
                <w:rFonts w:hint="eastAsia" w:eastAsia="宋体"/>
                <w:color w:val="auto"/>
                <w:highlight w:val="none"/>
                <w:lang w:eastAsia="zh-CN"/>
              </w:rPr>
            </w:pPr>
            <w:r>
              <w:rPr>
                <w:rFonts w:hint="eastAsia"/>
                <w:color w:val="auto"/>
                <w:highlight w:val="none"/>
              </w:rPr>
              <w:t>10</w:t>
            </w:r>
            <w:r>
              <w:rPr>
                <w:rFonts w:hint="eastAsia"/>
                <w:color w:val="auto"/>
                <w:highlight w:val="none"/>
                <w:lang w:val="en-US" w:eastAsia="zh-CN"/>
              </w:rPr>
              <w:t>2</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160</w:t>
            </w:r>
          </w:p>
        </w:tc>
        <w:tc>
          <w:tcPr>
            <w:tcW w:w="904" w:type="dxa"/>
            <w:tcBorders>
              <w:tl2br w:val="nil"/>
              <w:tr2bl w:val="nil"/>
            </w:tcBorders>
            <w:vAlign w:val="bottom"/>
          </w:tcPr>
          <w:p>
            <w:pPr>
              <w:pStyle w:val="41"/>
              <w:bidi w:val="0"/>
              <w:rPr>
                <w:rFonts w:hint="default" w:eastAsia="宋体"/>
                <w:color w:val="auto"/>
                <w:highlight w:val="none"/>
                <w:lang w:val="en-US" w:eastAsia="zh-CN"/>
              </w:rPr>
            </w:pPr>
            <w:r>
              <w:rPr>
                <w:rFonts w:hint="eastAsia"/>
                <w:color w:val="auto"/>
                <w:highlight w:val="none"/>
              </w:rPr>
              <w:t>6</w:t>
            </w:r>
            <w:r>
              <w:rPr>
                <w:rFonts w:hint="eastAsia"/>
                <w:color w:val="auto"/>
                <w:highlight w:val="none"/>
                <w:lang w:val="en-US" w:eastAsia="zh-CN"/>
              </w:rPr>
              <w:t>3.8</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pPr>
              <w:pStyle w:val="41"/>
              <w:bidi w:val="0"/>
              <w:rPr>
                <w:color w:val="auto"/>
                <w:highlight w:val="yellow"/>
              </w:rPr>
            </w:pPr>
            <w:r>
              <w:rPr>
                <w:rFonts w:hint="eastAsia"/>
                <w:color w:val="auto"/>
                <w:highlight w:val="none"/>
              </w:rPr>
              <w:t>20</w:t>
            </w:r>
            <w:r>
              <w:rPr>
                <w:rFonts w:hint="eastAsia"/>
                <w:color w:val="auto"/>
                <w:highlight w:val="none"/>
                <w:lang w:val="en-US" w:eastAsia="zh-CN"/>
              </w:rPr>
              <w:t>20</w:t>
            </w:r>
            <w:r>
              <w:rPr>
                <w:rFonts w:hint="eastAsia"/>
                <w:color w:val="auto"/>
                <w:highlight w:val="none"/>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pPr>
              <w:pStyle w:val="41"/>
              <w:bidi w:val="0"/>
              <w:ind w:firstLine="0" w:firstLineChars="0"/>
              <w:rPr>
                <w:color w:val="auto"/>
                <w:highlight w:val="none"/>
              </w:rPr>
            </w:pPr>
            <w:r>
              <w:rPr>
                <w:color w:val="auto"/>
                <w:highlight w:val="none"/>
              </w:rPr>
              <w:t>SO</w:t>
            </w:r>
            <w:r>
              <w:rPr>
                <w:color w:val="auto"/>
                <w:highlight w:val="none"/>
                <w:vertAlign w:val="subscript"/>
              </w:rPr>
              <w:t>2</w:t>
            </w:r>
          </w:p>
        </w:tc>
        <w:tc>
          <w:tcPr>
            <w:tcW w:w="2105" w:type="pct"/>
            <w:tcBorders>
              <w:tl2br w:val="nil"/>
              <w:tr2bl w:val="nil"/>
            </w:tcBorders>
            <w:vAlign w:val="center"/>
          </w:tcPr>
          <w:p>
            <w:pPr>
              <w:pStyle w:val="41"/>
              <w:bidi w:val="0"/>
              <w:rPr>
                <w:color w:val="auto"/>
                <w:highlight w:val="none"/>
              </w:rPr>
            </w:pPr>
            <w:r>
              <w:rPr>
                <w:color w:val="auto"/>
                <w:highlight w:val="none"/>
              </w:rPr>
              <w:t>年平均</w:t>
            </w:r>
          </w:p>
        </w:tc>
        <w:tc>
          <w:tcPr>
            <w:tcW w:w="104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eastAsia"/>
                <w:color w:val="auto"/>
                <w:highlight w:val="none"/>
                <w:lang w:eastAsia="zh-CN"/>
              </w:rPr>
            </w:pPr>
            <w:r>
              <w:rPr>
                <w:rFonts w:hint="eastAsia" w:cs="Times New Roman"/>
                <w:color w:val="auto"/>
                <w:sz w:val="21"/>
                <w:szCs w:val="21"/>
                <w:highlight w:val="none"/>
                <w:lang w:val="en-US" w:eastAsia="zh-CN"/>
              </w:rPr>
              <w:t>3</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60</w:t>
            </w:r>
          </w:p>
        </w:tc>
        <w:tc>
          <w:tcPr>
            <w:tcW w:w="541" w:type="pc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10.0</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NO</w:t>
            </w:r>
            <w:r>
              <w:rPr>
                <w:color w:val="auto"/>
                <w:highlight w:val="none"/>
                <w:vertAlign w:val="subscript"/>
              </w:rPr>
              <w:t>2</w:t>
            </w:r>
          </w:p>
        </w:tc>
        <w:tc>
          <w:tcPr>
            <w:tcW w:w="2105" w:type="pct"/>
            <w:tcBorders>
              <w:tl2br w:val="nil"/>
              <w:tr2bl w:val="nil"/>
            </w:tcBorders>
            <w:vAlign w:val="center"/>
          </w:tcPr>
          <w:p>
            <w:pPr>
              <w:pStyle w:val="41"/>
              <w:bidi w:val="0"/>
              <w:rPr>
                <w:color w:val="auto"/>
                <w:highlight w:val="none"/>
              </w:rPr>
            </w:pPr>
            <w:r>
              <w:rPr>
                <w:color w:val="auto"/>
                <w:highlight w:val="none"/>
              </w:rPr>
              <w:t>年平均</w:t>
            </w:r>
          </w:p>
        </w:tc>
        <w:tc>
          <w:tcPr>
            <w:tcW w:w="104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olor w:val="auto"/>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40</w:t>
            </w:r>
          </w:p>
        </w:tc>
        <w:tc>
          <w:tcPr>
            <w:tcW w:w="541" w:type="pc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52.5</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PM</w:t>
            </w:r>
            <w:r>
              <w:rPr>
                <w:color w:val="auto"/>
                <w:highlight w:val="none"/>
                <w:vertAlign w:val="subscript"/>
              </w:rPr>
              <w:t>10</w:t>
            </w:r>
          </w:p>
        </w:tc>
        <w:tc>
          <w:tcPr>
            <w:tcW w:w="2105" w:type="pct"/>
            <w:tcBorders>
              <w:tl2br w:val="nil"/>
              <w:tr2bl w:val="nil"/>
            </w:tcBorders>
            <w:vAlign w:val="center"/>
          </w:tcPr>
          <w:p>
            <w:pPr>
              <w:pStyle w:val="41"/>
              <w:bidi w:val="0"/>
              <w:rPr>
                <w:color w:val="auto"/>
                <w:highlight w:val="none"/>
              </w:rPr>
            </w:pPr>
            <w:r>
              <w:rPr>
                <w:color w:val="auto"/>
                <w:highlight w:val="none"/>
              </w:rPr>
              <w:t>年平均</w:t>
            </w:r>
          </w:p>
        </w:tc>
        <w:tc>
          <w:tcPr>
            <w:tcW w:w="104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olor w:val="auto"/>
                <w:highlight w:val="none"/>
                <w:lang w:val="en-US" w:eastAsia="zh-CN"/>
              </w:rPr>
            </w:pPr>
            <w:r>
              <w:rPr>
                <w:rFonts w:hint="eastAsia" w:cs="Times New Roman"/>
                <w:color w:val="auto"/>
                <w:sz w:val="21"/>
                <w:szCs w:val="21"/>
                <w:highlight w:val="none"/>
                <w:lang w:val="en-US" w:eastAsia="zh-CN"/>
              </w:rPr>
              <w:t>37</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70</w:t>
            </w:r>
          </w:p>
        </w:tc>
        <w:tc>
          <w:tcPr>
            <w:tcW w:w="541" w:type="pc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77.1</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PM</w:t>
            </w:r>
            <w:r>
              <w:rPr>
                <w:rFonts w:hint="eastAsia"/>
                <w:color w:val="auto"/>
                <w:highlight w:val="none"/>
                <w:vertAlign w:val="subscript"/>
                <w:lang w:val="en-US" w:eastAsia="zh-CN"/>
              </w:rPr>
              <w:t>2</w:t>
            </w:r>
            <w:r>
              <w:rPr>
                <w:color w:val="auto"/>
                <w:highlight w:val="none"/>
                <w:vertAlign w:val="subscript"/>
              </w:rPr>
              <w:t>.5</w:t>
            </w:r>
          </w:p>
        </w:tc>
        <w:tc>
          <w:tcPr>
            <w:tcW w:w="2105" w:type="pct"/>
            <w:tcBorders>
              <w:tl2br w:val="nil"/>
              <w:tr2bl w:val="nil"/>
            </w:tcBorders>
            <w:vAlign w:val="center"/>
          </w:tcPr>
          <w:p>
            <w:pPr>
              <w:pStyle w:val="41"/>
              <w:bidi w:val="0"/>
              <w:rPr>
                <w:color w:val="auto"/>
                <w:highlight w:val="none"/>
              </w:rPr>
            </w:pPr>
            <w:r>
              <w:rPr>
                <w:color w:val="auto"/>
                <w:highlight w:val="none"/>
              </w:rPr>
              <w:t>年平均</w:t>
            </w:r>
          </w:p>
        </w:tc>
        <w:tc>
          <w:tcPr>
            <w:tcW w:w="1046" w:type="dxa"/>
            <w:tcBorders>
              <w:tl2br w:val="nil"/>
              <w:tr2bl w:val="nil"/>
            </w:tcBorders>
            <w:vAlign w:val="center"/>
          </w:tcPr>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outlineLvl w:val="9"/>
              <w:rPr>
                <w:rFonts w:hint="default"/>
                <w:color w:val="auto"/>
                <w:highlight w:val="none"/>
                <w:lang w:val="en-US" w:eastAsia="zh-CN"/>
              </w:rPr>
            </w:pPr>
            <w:r>
              <w:rPr>
                <w:rFonts w:hint="eastAsia" w:cs="Times New Roman"/>
                <w:color w:val="auto"/>
                <w:sz w:val="21"/>
                <w:szCs w:val="21"/>
                <w:highlight w:val="none"/>
                <w:lang w:val="en-US" w:eastAsia="zh-CN"/>
              </w:rPr>
              <w:t>12</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35</w:t>
            </w:r>
          </w:p>
        </w:tc>
        <w:tc>
          <w:tcPr>
            <w:tcW w:w="541" w:type="pc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74.3</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CO</w:t>
            </w:r>
          </w:p>
        </w:tc>
        <w:tc>
          <w:tcPr>
            <w:tcW w:w="2105" w:type="pct"/>
            <w:tcBorders>
              <w:tl2br w:val="nil"/>
              <w:tr2bl w:val="nil"/>
            </w:tcBorders>
            <w:vAlign w:val="center"/>
          </w:tcPr>
          <w:p>
            <w:pPr>
              <w:pStyle w:val="41"/>
              <w:bidi w:val="0"/>
              <w:rPr>
                <w:color w:val="auto"/>
                <w:highlight w:val="none"/>
              </w:rPr>
            </w:pPr>
            <w:r>
              <w:rPr>
                <w:color w:val="auto"/>
                <w:highlight w:val="none"/>
              </w:rPr>
              <w:t>24小时平均第95百分位数</w:t>
            </w:r>
          </w:p>
        </w:tc>
        <w:tc>
          <w:tcPr>
            <w:tcW w:w="626" w:type="pc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1100</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4000</w:t>
            </w:r>
          </w:p>
        </w:tc>
        <w:tc>
          <w:tcPr>
            <w:tcW w:w="541" w:type="pc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35.0</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highlight w:val="none"/>
              </w:rPr>
            </w:pPr>
            <w:r>
              <w:rPr>
                <w:color w:val="auto"/>
                <w:highlight w:val="none"/>
              </w:rPr>
              <w:t>O</w:t>
            </w:r>
            <w:r>
              <w:rPr>
                <w:color w:val="auto"/>
                <w:highlight w:val="none"/>
                <w:vertAlign w:val="subscript"/>
              </w:rPr>
              <w:t>3</w:t>
            </w:r>
          </w:p>
        </w:tc>
        <w:tc>
          <w:tcPr>
            <w:tcW w:w="2105" w:type="pct"/>
            <w:tcBorders>
              <w:tl2br w:val="nil"/>
              <w:tr2bl w:val="nil"/>
            </w:tcBorders>
            <w:vAlign w:val="center"/>
          </w:tcPr>
          <w:p>
            <w:pPr>
              <w:pStyle w:val="41"/>
              <w:bidi w:val="0"/>
              <w:rPr>
                <w:color w:val="auto"/>
                <w:highlight w:val="none"/>
              </w:rPr>
            </w:pPr>
            <w:r>
              <w:rPr>
                <w:color w:val="auto"/>
                <w:highlight w:val="none"/>
              </w:rPr>
              <w:t>日最大8小时滑动平均第90百分位数</w:t>
            </w:r>
          </w:p>
        </w:tc>
        <w:tc>
          <w:tcPr>
            <w:tcW w:w="626" w:type="pct"/>
            <w:tcBorders>
              <w:tl2br w:val="nil"/>
              <w:tr2bl w:val="nil"/>
            </w:tcBorders>
            <w:vAlign w:val="center"/>
          </w:tcPr>
          <w:p>
            <w:pPr>
              <w:pStyle w:val="41"/>
              <w:bidi w:val="0"/>
              <w:rPr>
                <w:rFonts w:hint="default"/>
                <w:color w:val="auto"/>
                <w:highlight w:val="none"/>
                <w:lang w:val="en-US" w:eastAsia="zh-CN"/>
              </w:rPr>
            </w:pPr>
            <w:r>
              <w:rPr>
                <w:rFonts w:hint="default" w:ascii="Times New Roman" w:hAnsi="Times New Roman" w:cs="Times New Roman"/>
                <w:color w:val="auto"/>
                <w:sz w:val="21"/>
                <w:szCs w:val="21"/>
                <w:highlight w:val="none"/>
                <w:lang w:val="en-US" w:eastAsia="zh-CN"/>
              </w:rPr>
              <w:t>1</w:t>
            </w:r>
            <w:r>
              <w:rPr>
                <w:rFonts w:hint="eastAsia" w:cs="Times New Roman"/>
                <w:color w:val="auto"/>
                <w:sz w:val="21"/>
                <w:szCs w:val="21"/>
                <w:highlight w:val="none"/>
                <w:lang w:val="en-US" w:eastAsia="zh-CN"/>
              </w:rPr>
              <w:t>06</w:t>
            </w:r>
          </w:p>
        </w:tc>
        <w:tc>
          <w:tcPr>
            <w:tcW w:w="1188" w:type="dxa"/>
            <w:tcBorders>
              <w:tl2br w:val="nil"/>
              <w:tr2bl w:val="nil"/>
            </w:tcBorders>
            <w:vAlign w:val="center"/>
          </w:tcPr>
          <w:p>
            <w:pPr>
              <w:pStyle w:val="41"/>
              <w:bidi w:val="0"/>
              <w:rPr>
                <w:rFonts w:hint="eastAsia"/>
                <w:color w:val="auto"/>
                <w:highlight w:val="none"/>
                <w:lang w:eastAsia="zh-CN"/>
              </w:rPr>
            </w:pPr>
            <w:r>
              <w:rPr>
                <w:color w:val="auto"/>
                <w:highlight w:val="none"/>
              </w:rPr>
              <w:t>160</w:t>
            </w:r>
          </w:p>
        </w:tc>
        <w:tc>
          <w:tcPr>
            <w:tcW w:w="541" w:type="pct"/>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73.1</w:t>
            </w:r>
          </w:p>
        </w:tc>
        <w:tc>
          <w:tcPr>
            <w:tcW w:w="979" w:type="dxa"/>
            <w:tcBorders>
              <w:tl2br w:val="nil"/>
              <w:tr2bl w:val="nil"/>
            </w:tcBorders>
            <w:vAlign w:val="center"/>
          </w:tcPr>
          <w:p>
            <w:pPr>
              <w:pStyle w:val="41"/>
              <w:bidi w:val="0"/>
              <w:rPr>
                <w:color w:val="auto"/>
                <w:highlight w:val="none"/>
              </w:rPr>
            </w:pPr>
            <w:r>
              <w:rPr>
                <w:color w:val="auto"/>
                <w:highlight w:val="none"/>
              </w:rPr>
              <w:t>达标</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lang w:val="en-US" w:eastAsia="zh-CN"/>
        </w:rPr>
      </w:pPr>
      <w:r>
        <w:rPr>
          <w:rFonts w:hint="eastAsia" w:cs="Times New Roman"/>
          <w:color w:val="auto"/>
          <w:highlight w:val="none"/>
        </w:rPr>
        <w:t>表4.</w:t>
      </w:r>
      <w:r>
        <w:rPr>
          <w:rFonts w:hint="eastAsia" w:cs="Times New Roman"/>
          <w:color w:val="auto"/>
          <w:highlight w:val="none"/>
          <w:lang w:val="en-US" w:eastAsia="zh-CN"/>
        </w:rPr>
        <w:t>6</w:t>
      </w:r>
      <w:r>
        <w:rPr>
          <w:rFonts w:hint="eastAsia" w:cs="Times New Roman"/>
          <w:color w:val="auto"/>
          <w:highlight w:val="none"/>
        </w:rPr>
        <w:t>-</w:t>
      </w:r>
      <w:r>
        <w:rPr>
          <w:rFonts w:hint="eastAsia" w:cs="Times New Roman"/>
          <w:color w:val="auto"/>
          <w:highlight w:val="none"/>
          <w:lang w:val="en-US" w:eastAsia="zh-CN"/>
        </w:rPr>
        <w:t>2</w:t>
      </w:r>
      <w:r>
        <w:rPr>
          <w:rFonts w:hint="eastAsia" w:cs="Times New Roman"/>
          <w:color w:val="auto"/>
          <w:highlight w:val="none"/>
        </w:rPr>
        <w:t xml:space="preserve">          </w:t>
      </w:r>
      <w:r>
        <w:rPr>
          <w:rFonts w:hint="eastAsia" w:cs="Times New Roman"/>
          <w:color w:val="auto"/>
          <w:highlight w:val="none"/>
          <w:lang w:val="en-US" w:eastAsia="zh-CN"/>
        </w:rPr>
        <w:t>克拉玛依市</w:t>
      </w:r>
      <w:r>
        <w:rPr>
          <w:rFonts w:hint="eastAsia" w:cs="Times New Roman"/>
          <w:color w:val="auto"/>
          <w:highlight w:val="none"/>
        </w:rPr>
        <w:t>环境空气质量现状评价表</w:t>
      </w:r>
      <w:r>
        <w:rPr>
          <w:rFonts w:hint="eastAsia" w:cs="Times New Roman"/>
          <w:color w:val="auto"/>
          <w:highlight w:val="none"/>
          <w:lang w:val="en-US" w:eastAsia="zh-CN"/>
        </w:rPr>
        <w:t xml:space="preserve">          单位：</w:t>
      </w:r>
      <w:r>
        <w:rPr>
          <w:rFonts w:hint="eastAsia" w:cs="Times New Roman"/>
          <w:color w:val="auto"/>
          <w:highlight w:val="none"/>
        </w:rPr>
        <w:t>μg/</w:t>
      </w:r>
      <w:r>
        <w:rPr>
          <w:rFonts w:hint="eastAsia" w:cs="Times New Roman"/>
          <w:color w:val="auto"/>
          <w:highlight w:val="none"/>
          <w:lang w:eastAsia="zh-CN"/>
        </w:rPr>
        <w:t>m³</w:t>
      </w:r>
    </w:p>
    <w:tbl>
      <w:tblPr>
        <w:tblStyle w:val="34"/>
        <w:tblW w:w="4995"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47"/>
        <w:gridCol w:w="3648"/>
        <w:gridCol w:w="1085"/>
        <w:gridCol w:w="1232"/>
        <w:gridCol w:w="937"/>
        <w:gridCol w:w="101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污染物</w:t>
            </w:r>
          </w:p>
        </w:tc>
        <w:tc>
          <w:tcPr>
            <w:tcW w:w="2105"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eastAsia="zh-CN"/>
              </w:rPr>
              <w:t>年度</w:t>
            </w:r>
            <w:r>
              <w:rPr>
                <w:color w:val="auto"/>
                <w:sz w:val="21"/>
                <w:szCs w:val="21"/>
              </w:rPr>
              <w:t>评价指标</w:t>
            </w:r>
          </w:p>
        </w:tc>
        <w:tc>
          <w:tcPr>
            <w:tcW w:w="626"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现状浓度</w:t>
            </w:r>
          </w:p>
        </w:tc>
        <w:tc>
          <w:tcPr>
            <w:tcW w:w="71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标准值</w:t>
            </w:r>
          </w:p>
        </w:tc>
        <w:tc>
          <w:tcPr>
            <w:tcW w:w="541"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占标率</w:t>
            </w:r>
            <w:r>
              <w:rPr>
                <w:rFonts w:hint="eastAsia"/>
                <w:color w:val="auto"/>
                <w:sz w:val="21"/>
                <w:szCs w:val="21"/>
              </w:rPr>
              <w:t>%</w:t>
            </w:r>
          </w:p>
        </w:tc>
        <w:tc>
          <w:tcPr>
            <w:tcW w:w="583" w:type="pct"/>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达标情况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rFonts w:hint="default" w:eastAsia="宋体"/>
                <w:color w:val="auto"/>
                <w:sz w:val="21"/>
                <w:szCs w:val="21"/>
                <w:lang w:val="en-US" w:eastAsia="zh-CN"/>
              </w:rPr>
            </w:pPr>
            <w:r>
              <w:rPr>
                <w:rFonts w:hint="eastAsia"/>
                <w:color w:val="auto"/>
                <w:sz w:val="21"/>
                <w:szCs w:val="21"/>
                <w:lang w:val="en-US" w:eastAsia="zh-CN"/>
              </w:rPr>
              <w:t>2024年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2105"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年平均</w:t>
            </w:r>
          </w:p>
        </w:tc>
        <w:tc>
          <w:tcPr>
            <w:tcW w:w="626"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w:t>
            </w:r>
          </w:p>
        </w:tc>
        <w:tc>
          <w:tcPr>
            <w:tcW w:w="71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60</w:t>
            </w:r>
          </w:p>
        </w:tc>
        <w:tc>
          <w:tcPr>
            <w:tcW w:w="54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8.33</w:t>
            </w:r>
          </w:p>
        </w:tc>
        <w:tc>
          <w:tcPr>
            <w:tcW w:w="583"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43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2105"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年平均</w:t>
            </w:r>
          </w:p>
        </w:tc>
        <w:tc>
          <w:tcPr>
            <w:tcW w:w="626"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23</w:t>
            </w:r>
          </w:p>
        </w:tc>
        <w:tc>
          <w:tcPr>
            <w:tcW w:w="71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40</w:t>
            </w:r>
          </w:p>
        </w:tc>
        <w:tc>
          <w:tcPr>
            <w:tcW w:w="54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57.50</w:t>
            </w:r>
          </w:p>
        </w:tc>
        <w:tc>
          <w:tcPr>
            <w:tcW w:w="583"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2105"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年平均</w:t>
            </w:r>
          </w:p>
        </w:tc>
        <w:tc>
          <w:tcPr>
            <w:tcW w:w="626"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30</w:t>
            </w:r>
          </w:p>
        </w:tc>
        <w:tc>
          <w:tcPr>
            <w:tcW w:w="71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70</w:t>
            </w:r>
          </w:p>
        </w:tc>
        <w:tc>
          <w:tcPr>
            <w:tcW w:w="54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42.86</w:t>
            </w:r>
          </w:p>
        </w:tc>
        <w:tc>
          <w:tcPr>
            <w:tcW w:w="583" w:type="pct"/>
            <w:tcBorders>
              <w:tl2br w:val="nil"/>
              <w:tr2bl w:val="nil"/>
            </w:tcBorders>
            <w:shd w:val="clear" w:color="auto" w:fill="auto"/>
            <w:vAlign w:val="center"/>
          </w:tcPr>
          <w:p>
            <w:pPr>
              <w:pStyle w:val="41"/>
              <w:bidi w:val="0"/>
              <w:rPr>
                <w:color w:val="auto"/>
                <w:lang w:val="en-US" w:eastAsia="zh-CN"/>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color w:val="auto"/>
                <w:sz w:val="21"/>
                <w:szCs w:val="21"/>
              </w:rPr>
              <w:t>PM</w:t>
            </w:r>
            <w:r>
              <w:rPr>
                <w:rFonts w:hint="eastAsia"/>
                <w:color w:val="auto"/>
                <w:sz w:val="21"/>
                <w:szCs w:val="21"/>
                <w:vertAlign w:val="subscript"/>
                <w:lang w:val="en-US" w:eastAsia="zh-CN"/>
              </w:rPr>
              <w:t>2</w:t>
            </w:r>
            <w:r>
              <w:rPr>
                <w:color w:val="auto"/>
                <w:sz w:val="21"/>
                <w:szCs w:val="21"/>
                <w:vertAlign w:val="subscript"/>
              </w:rPr>
              <w:t>.5</w:t>
            </w:r>
          </w:p>
        </w:tc>
        <w:tc>
          <w:tcPr>
            <w:tcW w:w="2105"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年平均</w:t>
            </w:r>
          </w:p>
        </w:tc>
        <w:tc>
          <w:tcPr>
            <w:tcW w:w="626"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14</w:t>
            </w:r>
          </w:p>
        </w:tc>
        <w:tc>
          <w:tcPr>
            <w:tcW w:w="71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35</w:t>
            </w:r>
          </w:p>
        </w:tc>
        <w:tc>
          <w:tcPr>
            <w:tcW w:w="54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40.00</w:t>
            </w:r>
          </w:p>
        </w:tc>
        <w:tc>
          <w:tcPr>
            <w:tcW w:w="583" w:type="pct"/>
            <w:tcBorders>
              <w:tl2br w:val="nil"/>
              <w:tr2bl w:val="nil"/>
            </w:tcBorders>
            <w:shd w:val="clear" w:color="auto" w:fill="auto"/>
            <w:vAlign w:val="center"/>
          </w:tcPr>
          <w:p>
            <w:pPr>
              <w:pStyle w:val="41"/>
              <w:bidi w:val="0"/>
              <w:rPr>
                <w:color w:val="auto"/>
                <w:lang w:val="en-US" w:eastAsia="zh-CN"/>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CO</w:t>
            </w:r>
          </w:p>
        </w:tc>
        <w:tc>
          <w:tcPr>
            <w:tcW w:w="2105"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24小时平均第95百分位数</w:t>
            </w:r>
          </w:p>
        </w:tc>
        <w:tc>
          <w:tcPr>
            <w:tcW w:w="626"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2100</w:t>
            </w:r>
          </w:p>
        </w:tc>
        <w:tc>
          <w:tcPr>
            <w:tcW w:w="71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4000</w:t>
            </w:r>
          </w:p>
        </w:tc>
        <w:tc>
          <w:tcPr>
            <w:tcW w:w="54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52.50</w:t>
            </w:r>
          </w:p>
        </w:tc>
        <w:tc>
          <w:tcPr>
            <w:tcW w:w="583"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43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2105"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日最大8小时</w:t>
            </w:r>
            <w:r>
              <w:rPr>
                <w:color w:val="auto"/>
                <w:sz w:val="21"/>
                <w:szCs w:val="21"/>
              </w:rPr>
              <w:t>滑动</w:t>
            </w:r>
            <w:r>
              <w:rPr>
                <w:rFonts w:ascii="Times New Roman" w:hAnsi="Times New Roman" w:eastAsia="宋体" w:cs="Times New Roman"/>
                <w:color w:val="auto"/>
                <w:sz w:val="21"/>
                <w:szCs w:val="21"/>
                <w:highlight w:val="none"/>
              </w:rPr>
              <w:t>平均第90百分位数</w:t>
            </w:r>
          </w:p>
        </w:tc>
        <w:tc>
          <w:tcPr>
            <w:tcW w:w="626"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w:t>
            </w:r>
          </w:p>
        </w:tc>
        <w:tc>
          <w:tcPr>
            <w:tcW w:w="71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160</w:t>
            </w:r>
          </w:p>
        </w:tc>
        <w:tc>
          <w:tcPr>
            <w:tcW w:w="541"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68.75</w:t>
            </w:r>
          </w:p>
        </w:tc>
        <w:tc>
          <w:tcPr>
            <w:tcW w:w="583" w:type="pct"/>
            <w:tcBorders>
              <w:tl2br w:val="nil"/>
              <w:tr2bl w:val="nil"/>
            </w:tcBorders>
            <w:shd w:val="clear" w:color="auto" w:fill="auto"/>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ascii="Times New Roman" w:hAnsi="Times New Roman" w:eastAsia="宋体" w:cs="Times New Roman"/>
                <w:color w:val="auto"/>
                <w:kern w:val="2"/>
                <w:sz w:val="21"/>
                <w:szCs w:val="21"/>
                <w:highlight w:val="none"/>
                <w:lang w:val="en-US" w:eastAsia="zh-CN" w:bidi="ar-SA"/>
              </w:rPr>
            </w:pPr>
            <w:r>
              <w:rPr>
                <w:rFonts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lang w:val="en-US" w:eastAsia="zh-CN"/>
              </w:rPr>
              <w:t>2023年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SO</w:t>
            </w:r>
            <w:r>
              <w:rPr>
                <w:rFonts w:ascii="Times New Roman" w:hAnsi="Times New Roman" w:eastAsia="宋体" w:cs="Times New Roman"/>
                <w:color w:val="auto"/>
                <w:sz w:val="21"/>
                <w:szCs w:val="21"/>
                <w:highlight w:val="none"/>
                <w:vertAlign w:val="subscript"/>
              </w:rPr>
              <w:t>2</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年平均</w:t>
            </w:r>
          </w:p>
        </w:tc>
        <w:tc>
          <w:tcPr>
            <w:tcW w:w="10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hint="eastAsia" w:cs="Times New Roman"/>
                <w:color w:val="auto"/>
                <w:sz w:val="21"/>
                <w:szCs w:val="21"/>
                <w:highlight w:val="none"/>
                <w:lang w:val="en-US" w:eastAsia="zh-CN"/>
              </w:rPr>
              <w:t>5</w:t>
            </w:r>
          </w:p>
        </w:tc>
        <w:tc>
          <w:tcPr>
            <w:tcW w:w="11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60</w:t>
            </w:r>
          </w:p>
        </w:tc>
        <w:tc>
          <w:tcPr>
            <w:tcW w:w="9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8.33</w:t>
            </w:r>
          </w:p>
        </w:tc>
        <w:tc>
          <w:tcPr>
            <w:tcW w:w="9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NO</w:t>
            </w:r>
            <w:r>
              <w:rPr>
                <w:rFonts w:ascii="Times New Roman" w:hAnsi="Times New Roman" w:eastAsia="宋体" w:cs="Times New Roman"/>
                <w:color w:val="auto"/>
                <w:sz w:val="21"/>
                <w:szCs w:val="21"/>
                <w:highlight w:val="none"/>
                <w:vertAlign w:val="subscript"/>
              </w:rPr>
              <w:t>2</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年平均</w:t>
            </w:r>
          </w:p>
        </w:tc>
        <w:tc>
          <w:tcPr>
            <w:tcW w:w="10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23</w:t>
            </w:r>
          </w:p>
        </w:tc>
        <w:tc>
          <w:tcPr>
            <w:tcW w:w="11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40</w:t>
            </w:r>
          </w:p>
        </w:tc>
        <w:tc>
          <w:tcPr>
            <w:tcW w:w="9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57.50</w:t>
            </w:r>
          </w:p>
        </w:tc>
        <w:tc>
          <w:tcPr>
            <w:tcW w:w="9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PM</w:t>
            </w:r>
            <w:r>
              <w:rPr>
                <w:rFonts w:ascii="Times New Roman" w:hAnsi="Times New Roman" w:eastAsia="宋体" w:cs="Times New Roman"/>
                <w:color w:val="auto"/>
                <w:sz w:val="21"/>
                <w:szCs w:val="21"/>
                <w:highlight w:val="none"/>
                <w:vertAlign w:val="subscript"/>
              </w:rPr>
              <w:t>10</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年平均</w:t>
            </w:r>
          </w:p>
        </w:tc>
        <w:tc>
          <w:tcPr>
            <w:tcW w:w="10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30</w:t>
            </w:r>
          </w:p>
        </w:tc>
        <w:tc>
          <w:tcPr>
            <w:tcW w:w="11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70</w:t>
            </w:r>
          </w:p>
        </w:tc>
        <w:tc>
          <w:tcPr>
            <w:tcW w:w="9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42.86</w:t>
            </w:r>
          </w:p>
        </w:tc>
        <w:tc>
          <w:tcPr>
            <w:tcW w:w="979" w:type="dxa"/>
            <w:tcBorders>
              <w:tl2br w:val="nil"/>
              <w:tr2bl w:val="nil"/>
            </w:tcBorders>
            <w:vAlign w:val="center"/>
          </w:tcPr>
          <w:p>
            <w:pPr>
              <w:pStyle w:val="41"/>
              <w:bidi w:val="0"/>
              <w:ind w:firstLine="0" w:firstLineChars="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color w:val="auto"/>
                <w:sz w:val="21"/>
                <w:szCs w:val="21"/>
              </w:rPr>
              <w:t>PM</w:t>
            </w:r>
            <w:r>
              <w:rPr>
                <w:rFonts w:hint="eastAsia"/>
                <w:color w:val="auto"/>
                <w:sz w:val="21"/>
                <w:szCs w:val="21"/>
                <w:vertAlign w:val="subscript"/>
                <w:lang w:val="en-US" w:eastAsia="zh-CN"/>
              </w:rPr>
              <w:t>2</w:t>
            </w:r>
            <w:r>
              <w:rPr>
                <w:color w:val="auto"/>
                <w:sz w:val="21"/>
                <w:szCs w:val="21"/>
                <w:vertAlign w:val="subscript"/>
              </w:rPr>
              <w:t>.5</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年平均</w:t>
            </w:r>
          </w:p>
        </w:tc>
        <w:tc>
          <w:tcPr>
            <w:tcW w:w="10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14</w:t>
            </w:r>
          </w:p>
        </w:tc>
        <w:tc>
          <w:tcPr>
            <w:tcW w:w="11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35</w:t>
            </w:r>
          </w:p>
        </w:tc>
        <w:tc>
          <w:tcPr>
            <w:tcW w:w="9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40.00</w:t>
            </w:r>
          </w:p>
        </w:tc>
        <w:tc>
          <w:tcPr>
            <w:tcW w:w="979" w:type="dxa"/>
            <w:tcBorders>
              <w:tl2br w:val="nil"/>
              <w:tr2bl w:val="nil"/>
            </w:tcBorders>
            <w:vAlign w:val="center"/>
          </w:tcPr>
          <w:p>
            <w:pPr>
              <w:pStyle w:val="41"/>
              <w:bidi w:val="0"/>
              <w:ind w:firstLine="0" w:firstLineChars="0"/>
              <w:rPr>
                <w:color w:val="auto"/>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CO</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24小时平均第95百分位数</w:t>
            </w:r>
          </w:p>
        </w:tc>
        <w:tc>
          <w:tcPr>
            <w:tcW w:w="10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2100</w:t>
            </w:r>
          </w:p>
        </w:tc>
        <w:tc>
          <w:tcPr>
            <w:tcW w:w="11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4000</w:t>
            </w:r>
          </w:p>
        </w:tc>
        <w:tc>
          <w:tcPr>
            <w:tcW w:w="9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52.50</w:t>
            </w:r>
          </w:p>
        </w:tc>
        <w:tc>
          <w:tcPr>
            <w:tcW w:w="9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O</w:t>
            </w:r>
            <w:r>
              <w:rPr>
                <w:rFonts w:ascii="Times New Roman" w:hAnsi="Times New Roman" w:eastAsia="宋体" w:cs="Times New Roman"/>
                <w:color w:val="auto"/>
                <w:sz w:val="21"/>
                <w:szCs w:val="21"/>
                <w:highlight w:val="none"/>
                <w:vertAlign w:val="subscript"/>
              </w:rPr>
              <w:t>3</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日最大8小时</w:t>
            </w:r>
            <w:r>
              <w:rPr>
                <w:color w:val="auto"/>
                <w:sz w:val="21"/>
                <w:szCs w:val="21"/>
              </w:rPr>
              <w:t>滑动</w:t>
            </w:r>
            <w:r>
              <w:rPr>
                <w:rFonts w:ascii="Times New Roman" w:hAnsi="Times New Roman" w:eastAsia="宋体" w:cs="Times New Roman"/>
                <w:color w:val="auto"/>
                <w:sz w:val="21"/>
                <w:szCs w:val="21"/>
                <w:highlight w:val="none"/>
              </w:rPr>
              <w:t>平均第90百分位数</w:t>
            </w:r>
          </w:p>
        </w:tc>
        <w:tc>
          <w:tcPr>
            <w:tcW w:w="1046"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ascii="Times New Roman" w:hAnsi="Times New Roman" w:eastAsia="宋体" w:cs="Times New Roman"/>
                <w:color w:val="auto"/>
                <w:sz w:val="21"/>
                <w:szCs w:val="21"/>
                <w:highlight w:val="none"/>
              </w:rPr>
              <w:t>1</w:t>
            </w:r>
            <w:r>
              <w:rPr>
                <w:rFonts w:hint="eastAsia" w:cs="Times New Roman"/>
                <w:color w:val="auto"/>
                <w:sz w:val="21"/>
                <w:szCs w:val="21"/>
                <w:highlight w:val="none"/>
                <w:lang w:val="en-US" w:eastAsia="zh-CN"/>
              </w:rPr>
              <w:t>1</w:t>
            </w:r>
            <w:r>
              <w:rPr>
                <w:rFonts w:hint="eastAsia" w:ascii="Times New Roman" w:hAnsi="Times New Roman" w:eastAsia="宋体" w:cs="Times New Roman"/>
                <w:color w:val="auto"/>
                <w:sz w:val="21"/>
                <w:szCs w:val="21"/>
                <w:highlight w:val="none"/>
                <w:lang w:val="en-US" w:eastAsia="zh-CN"/>
              </w:rPr>
              <w:t>0</w:t>
            </w:r>
          </w:p>
        </w:tc>
        <w:tc>
          <w:tcPr>
            <w:tcW w:w="1188"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eastAsia"/>
                <w:color w:val="auto"/>
                <w:lang w:eastAsia="zh-CN"/>
              </w:rPr>
            </w:pPr>
            <w:r>
              <w:rPr>
                <w:rFonts w:ascii="Times New Roman" w:hAnsi="Times New Roman" w:eastAsia="宋体" w:cs="Times New Roman"/>
                <w:color w:val="auto"/>
                <w:sz w:val="21"/>
                <w:szCs w:val="21"/>
                <w:highlight w:val="none"/>
              </w:rPr>
              <w:t>160</w:t>
            </w:r>
          </w:p>
        </w:tc>
        <w:tc>
          <w:tcPr>
            <w:tcW w:w="904"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rFonts w:hint="default"/>
                <w:color w:val="auto"/>
                <w:lang w:val="en-US" w:eastAsia="zh-CN"/>
              </w:rPr>
            </w:pPr>
            <w:r>
              <w:rPr>
                <w:rFonts w:hint="eastAsia" w:cs="Times New Roman"/>
                <w:color w:val="auto"/>
                <w:sz w:val="21"/>
                <w:szCs w:val="21"/>
                <w:highlight w:val="none"/>
                <w:lang w:val="en-US" w:eastAsia="zh-CN"/>
              </w:rPr>
              <w:t>68.75</w:t>
            </w:r>
          </w:p>
        </w:tc>
        <w:tc>
          <w:tcPr>
            <w:tcW w:w="979"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360" w:lineRule="exact"/>
              <w:ind w:firstLine="0" w:firstLineChars="0"/>
              <w:jc w:val="center"/>
              <w:textAlignment w:val="auto"/>
              <w:rPr>
                <w:color w:val="auto"/>
              </w:rPr>
            </w:pPr>
            <w:r>
              <w:rPr>
                <w:rFonts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2022年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pPr>
              <w:pStyle w:val="41"/>
              <w:bidi w:val="0"/>
              <w:ind w:firstLine="0" w:firstLineChars="0"/>
              <w:rPr>
                <w:color w:val="auto"/>
                <w:sz w:val="21"/>
                <w:szCs w:val="21"/>
              </w:rPr>
            </w:pPr>
            <w:r>
              <w:rPr>
                <w:color w:val="auto"/>
              </w:rPr>
              <w:t>SO</w:t>
            </w:r>
            <w:r>
              <w:rPr>
                <w:color w:val="auto"/>
                <w:vertAlign w:val="subscript"/>
              </w:rPr>
              <w:t>2</w:t>
            </w:r>
          </w:p>
        </w:tc>
        <w:tc>
          <w:tcPr>
            <w:tcW w:w="3517" w:type="dxa"/>
            <w:tcBorders>
              <w:tl2br w:val="nil"/>
              <w:tr2bl w:val="nil"/>
            </w:tcBorders>
            <w:vAlign w:val="center"/>
          </w:tcPr>
          <w:p>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lang w:val="en-US" w:eastAsia="zh-CN"/>
              </w:rPr>
              <w:t>4</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60</w:t>
            </w:r>
          </w:p>
        </w:tc>
        <w:tc>
          <w:tcPr>
            <w:tcW w:w="904" w:type="dxa"/>
            <w:tcBorders>
              <w:tl2br w:val="nil"/>
              <w:tr2bl w:val="nil"/>
            </w:tcBorders>
            <w:vAlign w:val="center"/>
          </w:tcPr>
          <w:p>
            <w:pPr>
              <w:pStyle w:val="41"/>
              <w:bidi w:val="0"/>
              <w:ind w:firstLine="0" w:firstLineChars="0"/>
              <w:rPr>
                <w:color w:val="auto"/>
              </w:rPr>
            </w:pPr>
            <w:r>
              <w:rPr>
                <w:rFonts w:hint="eastAsia"/>
                <w:color w:val="auto"/>
                <w:lang w:val="en-US" w:eastAsia="zh-CN"/>
              </w:rPr>
              <w:t>6.67</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NO</w:t>
            </w:r>
            <w:r>
              <w:rPr>
                <w:color w:val="auto"/>
                <w:vertAlign w:val="subscript"/>
              </w:rPr>
              <w:t>2</w:t>
            </w:r>
          </w:p>
        </w:tc>
        <w:tc>
          <w:tcPr>
            <w:tcW w:w="3517" w:type="dxa"/>
            <w:tcBorders>
              <w:tl2br w:val="nil"/>
              <w:tr2bl w:val="nil"/>
            </w:tcBorders>
            <w:vAlign w:val="center"/>
          </w:tcPr>
          <w:p>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lang w:val="en-US" w:eastAsia="zh-CN"/>
              </w:rPr>
              <w:t>10</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40</w:t>
            </w:r>
          </w:p>
        </w:tc>
        <w:tc>
          <w:tcPr>
            <w:tcW w:w="904" w:type="dxa"/>
            <w:tcBorders>
              <w:tl2br w:val="nil"/>
              <w:tr2bl w:val="nil"/>
            </w:tcBorders>
            <w:vAlign w:val="center"/>
          </w:tcPr>
          <w:p>
            <w:pPr>
              <w:pStyle w:val="41"/>
              <w:bidi w:val="0"/>
              <w:ind w:firstLine="0" w:firstLineChars="0"/>
              <w:rPr>
                <w:color w:val="auto"/>
              </w:rPr>
            </w:pPr>
            <w:r>
              <w:rPr>
                <w:rFonts w:hint="eastAsia"/>
                <w:color w:val="auto"/>
                <w:lang w:val="en-US" w:eastAsia="zh-CN"/>
              </w:rPr>
              <w:t>25</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PM</w:t>
            </w:r>
            <w:r>
              <w:rPr>
                <w:color w:val="auto"/>
                <w:vertAlign w:val="subscript"/>
              </w:rPr>
              <w:t>10</w:t>
            </w:r>
          </w:p>
        </w:tc>
        <w:tc>
          <w:tcPr>
            <w:tcW w:w="3517" w:type="dxa"/>
            <w:tcBorders>
              <w:tl2br w:val="nil"/>
              <w:tr2bl w:val="nil"/>
            </w:tcBorders>
            <w:vAlign w:val="center"/>
          </w:tcPr>
          <w:p>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pPr>
              <w:pStyle w:val="41"/>
              <w:bidi w:val="0"/>
              <w:ind w:firstLine="0" w:firstLineChars="0"/>
              <w:rPr>
                <w:rFonts w:hint="eastAsia" w:eastAsia="宋体"/>
                <w:b w:val="0"/>
                <w:bCs w:val="0"/>
                <w:color w:val="auto"/>
                <w:sz w:val="21"/>
                <w:szCs w:val="21"/>
                <w:lang w:eastAsia="zh-CN"/>
              </w:rPr>
            </w:pPr>
            <w:r>
              <w:rPr>
                <w:rFonts w:hint="eastAsia"/>
                <w:color w:val="auto"/>
                <w:lang w:val="en-US" w:eastAsia="zh-CN"/>
              </w:rPr>
              <w:t>32</w:t>
            </w:r>
          </w:p>
        </w:tc>
        <w:tc>
          <w:tcPr>
            <w:tcW w:w="1188" w:type="dxa"/>
            <w:tcBorders>
              <w:tl2br w:val="nil"/>
              <w:tr2bl w:val="nil"/>
            </w:tcBorders>
            <w:vAlign w:val="center"/>
          </w:tcPr>
          <w:p>
            <w:pPr>
              <w:pStyle w:val="41"/>
              <w:bidi w:val="0"/>
              <w:ind w:firstLine="0" w:firstLineChars="0"/>
              <w:rPr>
                <w:rFonts w:hint="eastAsia" w:eastAsia="宋体"/>
                <w:b w:val="0"/>
                <w:bCs w:val="0"/>
                <w:color w:val="auto"/>
                <w:sz w:val="21"/>
                <w:szCs w:val="21"/>
                <w:lang w:eastAsia="zh-CN"/>
              </w:rPr>
            </w:pPr>
            <w:r>
              <w:rPr>
                <w:color w:val="auto"/>
              </w:rPr>
              <w:t>70</w:t>
            </w:r>
          </w:p>
        </w:tc>
        <w:tc>
          <w:tcPr>
            <w:tcW w:w="904" w:type="dxa"/>
            <w:tcBorders>
              <w:tl2br w:val="nil"/>
              <w:tr2bl w:val="nil"/>
            </w:tcBorders>
            <w:vAlign w:val="center"/>
          </w:tcPr>
          <w:p>
            <w:pPr>
              <w:pStyle w:val="41"/>
              <w:bidi w:val="0"/>
              <w:ind w:firstLine="0" w:firstLineChars="0"/>
              <w:rPr>
                <w:b w:val="0"/>
                <w:bCs w:val="0"/>
                <w:color w:val="auto"/>
              </w:rPr>
            </w:pPr>
            <w:r>
              <w:rPr>
                <w:rFonts w:hint="eastAsia"/>
                <w:color w:val="auto"/>
                <w:lang w:val="en-US" w:eastAsia="zh-CN"/>
              </w:rPr>
              <w:t>45.71</w:t>
            </w:r>
          </w:p>
        </w:tc>
        <w:tc>
          <w:tcPr>
            <w:tcW w:w="979" w:type="dxa"/>
            <w:tcBorders>
              <w:tl2br w:val="nil"/>
              <w:tr2bl w:val="nil"/>
            </w:tcBorders>
            <w:vAlign w:val="center"/>
          </w:tcPr>
          <w:p>
            <w:pPr>
              <w:pStyle w:val="41"/>
              <w:bidi w:val="0"/>
              <w:ind w:firstLine="0" w:firstLineChars="0"/>
              <w:rPr>
                <w:b w:val="0"/>
                <w:bCs w:val="0"/>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PM</w:t>
            </w:r>
            <w:r>
              <w:rPr>
                <w:rFonts w:hint="eastAsia"/>
                <w:color w:val="auto"/>
                <w:vertAlign w:val="subscript"/>
                <w:lang w:val="en-US" w:eastAsia="zh-CN"/>
              </w:rPr>
              <w:t>2</w:t>
            </w:r>
            <w:r>
              <w:rPr>
                <w:color w:val="auto"/>
                <w:vertAlign w:val="subscript"/>
              </w:rPr>
              <w:t>.5</w:t>
            </w:r>
          </w:p>
        </w:tc>
        <w:tc>
          <w:tcPr>
            <w:tcW w:w="3517" w:type="dxa"/>
            <w:tcBorders>
              <w:tl2br w:val="nil"/>
              <w:tr2bl w:val="nil"/>
            </w:tcBorders>
            <w:vAlign w:val="center"/>
          </w:tcPr>
          <w:p>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lang w:val="en-US" w:eastAsia="zh-CN"/>
              </w:rPr>
              <w:t>14</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35</w:t>
            </w:r>
          </w:p>
        </w:tc>
        <w:tc>
          <w:tcPr>
            <w:tcW w:w="904" w:type="dxa"/>
            <w:tcBorders>
              <w:tl2br w:val="nil"/>
              <w:tr2bl w:val="nil"/>
            </w:tcBorders>
            <w:vAlign w:val="center"/>
          </w:tcPr>
          <w:p>
            <w:pPr>
              <w:pStyle w:val="41"/>
              <w:bidi w:val="0"/>
              <w:ind w:firstLine="0" w:firstLineChars="0"/>
              <w:rPr>
                <w:color w:val="auto"/>
              </w:rPr>
            </w:pPr>
            <w:r>
              <w:rPr>
                <w:rFonts w:hint="eastAsia"/>
                <w:color w:val="auto"/>
                <w:lang w:val="en-US" w:eastAsia="zh-CN"/>
              </w:rPr>
              <w:t>40</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CO</w:t>
            </w:r>
          </w:p>
        </w:tc>
        <w:tc>
          <w:tcPr>
            <w:tcW w:w="3517" w:type="dxa"/>
            <w:tcBorders>
              <w:tl2br w:val="nil"/>
              <w:tr2bl w:val="nil"/>
            </w:tcBorders>
            <w:vAlign w:val="center"/>
          </w:tcPr>
          <w:p>
            <w:pPr>
              <w:pStyle w:val="41"/>
              <w:bidi w:val="0"/>
              <w:ind w:firstLine="0" w:firstLineChars="0"/>
              <w:rPr>
                <w:color w:val="auto"/>
                <w:sz w:val="21"/>
                <w:szCs w:val="21"/>
              </w:rPr>
            </w:pPr>
            <w:r>
              <w:rPr>
                <w:color w:val="auto"/>
              </w:rPr>
              <w:t>24小时平均第95百分位数</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lang w:val="en-US" w:eastAsia="zh-CN"/>
              </w:rPr>
              <w:t>600</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4000</w:t>
            </w:r>
          </w:p>
        </w:tc>
        <w:tc>
          <w:tcPr>
            <w:tcW w:w="904" w:type="dxa"/>
            <w:tcBorders>
              <w:tl2br w:val="nil"/>
              <w:tr2bl w:val="nil"/>
            </w:tcBorders>
            <w:vAlign w:val="center"/>
          </w:tcPr>
          <w:p>
            <w:pPr>
              <w:pStyle w:val="41"/>
              <w:bidi w:val="0"/>
              <w:ind w:firstLine="0" w:firstLineChars="0"/>
              <w:rPr>
                <w:color w:val="auto"/>
              </w:rPr>
            </w:pPr>
            <w:r>
              <w:rPr>
                <w:rFonts w:hint="eastAsia"/>
                <w:color w:val="auto"/>
                <w:lang w:val="en-US" w:eastAsia="zh-CN"/>
              </w:rPr>
              <w:t>15</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O</w:t>
            </w:r>
            <w:r>
              <w:rPr>
                <w:color w:val="auto"/>
                <w:vertAlign w:val="subscript"/>
              </w:rPr>
              <w:t>3</w:t>
            </w:r>
          </w:p>
        </w:tc>
        <w:tc>
          <w:tcPr>
            <w:tcW w:w="3517" w:type="dxa"/>
            <w:tcBorders>
              <w:tl2br w:val="nil"/>
              <w:tr2bl w:val="nil"/>
            </w:tcBorders>
            <w:vAlign w:val="center"/>
          </w:tcPr>
          <w:p>
            <w:pPr>
              <w:pStyle w:val="41"/>
              <w:bidi w:val="0"/>
              <w:ind w:firstLine="0" w:firstLineChars="0"/>
              <w:rPr>
                <w:color w:val="auto"/>
                <w:sz w:val="21"/>
                <w:szCs w:val="21"/>
              </w:rPr>
            </w:pPr>
            <w:r>
              <w:rPr>
                <w:color w:val="auto"/>
              </w:rPr>
              <w:t>日最大8小时滑动平均第90百分位数</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lang w:val="en-US" w:eastAsia="zh-CN"/>
              </w:rPr>
              <w:t>104</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160</w:t>
            </w:r>
          </w:p>
        </w:tc>
        <w:tc>
          <w:tcPr>
            <w:tcW w:w="904" w:type="dxa"/>
            <w:tcBorders>
              <w:tl2br w:val="nil"/>
              <w:tr2bl w:val="nil"/>
            </w:tcBorders>
            <w:vAlign w:val="center"/>
          </w:tcPr>
          <w:p>
            <w:pPr>
              <w:pStyle w:val="41"/>
              <w:bidi w:val="0"/>
              <w:ind w:firstLine="0" w:firstLineChars="0"/>
              <w:rPr>
                <w:color w:val="auto"/>
              </w:rPr>
            </w:pPr>
            <w:r>
              <w:rPr>
                <w:rFonts w:hint="eastAsia"/>
                <w:color w:val="auto"/>
                <w:lang w:val="en-US" w:eastAsia="zh-CN"/>
              </w:rPr>
              <w:t>65</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8354" w:type="dxa"/>
            <w:gridSpan w:val="6"/>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202</w:t>
            </w:r>
            <w:r>
              <w:rPr>
                <w:rFonts w:hint="eastAsia"/>
                <w:color w:val="auto"/>
                <w:sz w:val="21"/>
                <w:szCs w:val="21"/>
                <w:lang w:val="en-US" w:eastAsia="zh-CN"/>
              </w:rPr>
              <w:t>1</w:t>
            </w:r>
            <w:r>
              <w:rPr>
                <w:rFonts w:hint="eastAsia"/>
                <w:color w:val="auto"/>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SO</w:t>
            </w:r>
            <w:r>
              <w:rPr>
                <w:color w:val="auto"/>
                <w:sz w:val="21"/>
                <w:szCs w:val="21"/>
                <w:vertAlign w:val="subscript"/>
              </w:rPr>
              <w:t>2</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年平均</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rPr>
              <w:t>3</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60</w:t>
            </w:r>
          </w:p>
        </w:tc>
        <w:tc>
          <w:tcPr>
            <w:tcW w:w="904" w:type="dxa"/>
            <w:tcBorders>
              <w:tl2br w:val="nil"/>
              <w:tr2bl w:val="nil"/>
            </w:tcBorders>
            <w:vAlign w:val="bottom"/>
          </w:tcPr>
          <w:p>
            <w:pPr>
              <w:pStyle w:val="41"/>
              <w:bidi w:val="0"/>
              <w:ind w:firstLine="0" w:firstLineChars="0"/>
              <w:rPr>
                <w:color w:val="auto"/>
                <w:sz w:val="21"/>
                <w:szCs w:val="21"/>
              </w:rPr>
            </w:pPr>
            <w:r>
              <w:rPr>
                <w:rFonts w:hint="eastAsia"/>
                <w:color w:val="auto"/>
              </w:rPr>
              <w:t>5.0</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NO</w:t>
            </w:r>
            <w:r>
              <w:rPr>
                <w:color w:val="auto"/>
                <w:sz w:val="21"/>
                <w:szCs w:val="21"/>
                <w:vertAlign w:val="subscript"/>
              </w:rPr>
              <w:t>2</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年平均</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rPr>
              <w:t>10</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40</w:t>
            </w:r>
          </w:p>
        </w:tc>
        <w:tc>
          <w:tcPr>
            <w:tcW w:w="904" w:type="dxa"/>
            <w:tcBorders>
              <w:tl2br w:val="nil"/>
              <w:tr2bl w:val="nil"/>
            </w:tcBorders>
            <w:vAlign w:val="bottom"/>
          </w:tcPr>
          <w:p>
            <w:pPr>
              <w:pStyle w:val="41"/>
              <w:bidi w:val="0"/>
              <w:ind w:firstLine="0" w:firstLineChars="0"/>
              <w:rPr>
                <w:color w:val="auto"/>
                <w:sz w:val="21"/>
                <w:szCs w:val="21"/>
              </w:rPr>
            </w:pPr>
            <w:r>
              <w:rPr>
                <w:rFonts w:hint="eastAsia"/>
                <w:color w:val="auto"/>
              </w:rPr>
              <w:t>25.0</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PM</w:t>
            </w:r>
            <w:r>
              <w:rPr>
                <w:color w:val="auto"/>
                <w:sz w:val="21"/>
                <w:szCs w:val="21"/>
                <w:vertAlign w:val="subscript"/>
              </w:rPr>
              <w:t>10</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年平均</w:t>
            </w:r>
          </w:p>
        </w:tc>
        <w:tc>
          <w:tcPr>
            <w:tcW w:w="1046" w:type="dxa"/>
            <w:tcBorders>
              <w:tl2br w:val="nil"/>
              <w:tr2bl w:val="nil"/>
            </w:tcBorders>
            <w:vAlign w:val="center"/>
          </w:tcPr>
          <w:p>
            <w:pPr>
              <w:pStyle w:val="41"/>
              <w:bidi w:val="0"/>
              <w:ind w:firstLine="0" w:firstLineChars="0"/>
              <w:rPr>
                <w:rFonts w:hint="eastAsia" w:eastAsia="宋体"/>
                <w:b/>
                <w:bCs/>
                <w:color w:val="auto"/>
                <w:sz w:val="21"/>
                <w:szCs w:val="21"/>
                <w:lang w:eastAsia="zh-CN"/>
              </w:rPr>
            </w:pPr>
            <w:r>
              <w:rPr>
                <w:rFonts w:hint="eastAsia"/>
                <w:color w:val="auto"/>
              </w:rPr>
              <w:t>37</w:t>
            </w:r>
          </w:p>
        </w:tc>
        <w:tc>
          <w:tcPr>
            <w:tcW w:w="1188" w:type="dxa"/>
            <w:tcBorders>
              <w:tl2br w:val="nil"/>
              <w:tr2bl w:val="nil"/>
            </w:tcBorders>
            <w:vAlign w:val="center"/>
          </w:tcPr>
          <w:p>
            <w:pPr>
              <w:pStyle w:val="41"/>
              <w:bidi w:val="0"/>
              <w:ind w:firstLine="0" w:firstLineChars="0"/>
              <w:rPr>
                <w:rFonts w:hint="eastAsia" w:eastAsia="宋体"/>
                <w:b/>
                <w:bCs/>
                <w:color w:val="auto"/>
                <w:sz w:val="21"/>
                <w:szCs w:val="21"/>
                <w:lang w:eastAsia="zh-CN"/>
              </w:rPr>
            </w:pPr>
            <w:r>
              <w:rPr>
                <w:color w:val="auto"/>
              </w:rPr>
              <w:t>70</w:t>
            </w:r>
          </w:p>
        </w:tc>
        <w:tc>
          <w:tcPr>
            <w:tcW w:w="904" w:type="dxa"/>
            <w:tcBorders>
              <w:tl2br w:val="nil"/>
              <w:tr2bl w:val="nil"/>
            </w:tcBorders>
            <w:vAlign w:val="bottom"/>
          </w:tcPr>
          <w:p>
            <w:pPr>
              <w:pStyle w:val="41"/>
              <w:bidi w:val="0"/>
              <w:ind w:firstLine="0" w:firstLineChars="0"/>
              <w:rPr>
                <w:b/>
                <w:bCs/>
                <w:color w:val="auto"/>
                <w:sz w:val="21"/>
                <w:szCs w:val="21"/>
              </w:rPr>
            </w:pPr>
            <w:r>
              <w:rPr>
                <w:rFonts w:hint="eastAsia"/>
                <w:color w:val="auto"/>
              </w:rPr>
              <w:t>52.9</w:t>
            </w:r>
          </w:p>
        </w:tc>
        <w:tc>
          <w:tcPr>
            <w:tcW w:w="979" w:type="dxa"/>
            <w:tcBorders>
              <w:tl2br w:val="nil"/>
              <w:tr2bl w:val="nil"/>
            </w:tcBorders>
            <w:vAlign w:val="center"/>
          </w:tcPr>
          <w:p>
            <w:pPr>
              <w:pStyle w:val="41"/>
              <w:bidi w:val="0"/>
              <w:ind w:firstLine="0" w:firstLineChars="0"/>
              <w:rPr>
                <w:b/>
                <w:bCs/>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PM</w:t>
            </w:r>
            <w:r>
              <w:rPr>
                <w:rFonts w:hint="eastAsia"/>
                <w:color w:val="auto"/>
                <w:sz w:val="21"/>
                <w:szCs w:val="21"/>
                <w:vertAlign w:val="subscript"/>
                <w:lang w:val="en-US" w:eastAsia="zh-CN"/>
              </w:rPr>
              <w:t>2</w:t>
            </w:r>
            <w:r>
              <w:rPr>
                <w:color w:val="auto"/>
                <w:sz w:val="21"/>
                <w:szCs w:val="21"/>
                <w:vertAlign w:val="subscript"/>
              </w:rPr>
              <w:t>.5</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年平均</w:t>
            </w:r>
          </w:p>
        </w:tc>
        <w:tc>
          <w:tcPr>
            <w:tcW w:w="1046" w:type="dxa"/>
            <w:tcBorders>
              <w:tl2br w:val="nil"/>
              <w:tr2bl w:val="nil"/>
            </w:tcBorders>
            <w:vAlign w:val="center"/>
          </w:tcPr>
          <w:p>
            <w:pPr>
              <w:pStyle w:val="41"/>
              <w:bidi w:val="0"/>
              <w:ind w:firstLine="0" w:firstLineChars="0"/>
              <w:rPr>
                <w:rFonts w:hint="eastAsia" w:eastAsia="宋体"/>
                <w:b/>
                <w:bCs/>
                <w:color w:val="auto"/>
                <w:sz w:val="21"/>
                <w:szCs w:val="21"/>
                <w:lang w:eastAsia="zh-CN"/>
              </w:rPr>
            </w:pPr>
            <w:r>
              <w:rPr>
                <w:rFonts w:hint="eastAsia"/>
                <w:color w:val="auto"/>
              </w:rPr>
              <w:t>12</w:t>
            </w:r>
          </w:p>
        </w:tc>
        <w:tc>
          <w:tcPr>
            <w:tcW w:w="1188" w:type="dxa"/>
            <w:tcBorders>
              <w:tl2br w:val="nil"/>
              <w:tr2bl w:val="nil"/>
            </w:tcBorders>
            <w:vAlign w:val="center"/>
          </w:tcPr>
          <w:p>
            <w:pPr>
              <w:pStyle w:val="41"/>
              <w:bidi w:val="0"/>
              <w:ind w:firstLine="0" w:firstLineChars="0"/>
              <w:rPr>
                <w:rFonts w:hint="eastAsia" w:eastAsia="宋体"/>
                <w:b/>
                <w:bCs/>
                <w:color w:val="auto"/>
                <w:sz w:val="21"/>
                <w:szCs w:val="21"/>
                <w:lang w:eastAsia="zh-CN"/>
              </w:rPr>
            </w:pPr>
            <w:r>
              <w:rPr>
                <w:color w:val="auto"/>
              </w:rPr>
              <w:t>35</w:t>
            </w:r>
          </w:p>
        </w:tc>
        <w:tc>
          <w:tcPr>
            <w:tcW w:w="904" w:type="dxa"/>
            <w:tcBorders>
              <w:tl2br w:val="nil"/>
              <w:tr2bl w:val="nil"/>
            </w:tcBorders>
            <w:vAlign w:val="bottom"/>
          </w:tcPr>
          <w:p>
            <w:pPr>
              <w:pStyle w:val="41"/>
              <w:bidi w:val="0"/>
              <w:ind w:firstLine="0" w:firstLineChars="0"/>
              <w:rPr>
                <w:b/>
                <w:bCs/>
                <w:color w:val="auto"/>
                <w:sz w:val="21"/>
                <w:szCs w:val="21"/>
              </w:rPr>
            </w:pPr>
            <w:r>
              <w:rPr>
                <w:rFonts w:hint="eastAsia"/>
                <w:color w:val="auto"/>
              </w:rPr>
              <w:t>34.3</w:t>
            </w:r>
          </w:p>
        </w:tc>
        <w:tc>
          <w:tcPr>
            <w:tcW w:w="979" w:type="dxa"/>
            <w:tcBorders>
              <w:tl2br w:val="nil"/>
              <w:tr2bl w:val="nil"/>
            </w:tcBorders>
            <w:vAlign w:val="center"/>
          </w:tcPr>
          <w:p>
            <w:pPr>
              <w:pStyle w:val="41"/>
              <w:bidi w:val="0"/>
              <w:ind w:firstLine="0" w:firstLineChars="0"/>
              <w:rPr>
                <w:b/>
                <w:bCs/>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CO</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24小时平均第95百分位数</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rPr>
              <w:t>11</w:t>
            </w:r>
            <w:r>
              <w:rPr>
                <w:color w:val="auto"/>
              </w:rPr>
              <w:t>00</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4000</w:t>
            </w:r>
          </w:p>
        </w:tc>
        <w:tc>
          <w:tcPr>
            <w:tcW w:w="904" w:type="dxa"/>
            <w:tcBorders>
              <w:tl2br w:val="nil"/>
              <w:tr2bl w:val="nil"/>
            </w:tcBorders>
            <w:vAlign w:val="bottom"/>
          </w:tcPr>
          <w:p>
            <w:pPr>
              <w:pStyle w:val="41"/>
              <w:bidi w:val="0"/>
              <w:ind w:firstLine="0" w:firstLineChars="0"/>
              <w:rPr>
                <w:color w:val="auto"/>
                <w:sz w:val="21"/>
                <w:szCs w:val="21"/>
              </w:rPr>
            </w:pPr>
            <w:r>
              <w:rPr>
                <w:rFonts w:hint="eastAsia"/>
                <w:color w:val="auto"/>
              </w:rPr>
              <w:t>27.5</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O</w:t>
            </w:r>
            <w:r>
              <w:rPr>
                <w:color w:val="auto"/>
                <w:sz w:val="21"/>
                <w:szCs w:val="21"/>
                <w:vertAlign w:val="subscript"/>
              </w:rPr>
              <w:t>3</w:t>
            </w:r>
          </w:p>
        </w:tc>
        <w:tc>
          <w:tcPr>
            <w:tcW w:w="3517" w:type="dxa"/>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color w:val="auto"/>
                <w:sz w:val="21"/>
                <w:szCs w:val="21"/>
              </w:rPr>
              <w:t>日最大8小时滑动平均第90百分位数</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rPr>
              <w:t>106</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160</w:t>
            </w:r>
          </w:p>
        </w:tc>
        <w:tc>
          <w:tcPr>
            <w:tcW w:w="904" w:type="dxa"/>
            <w:tcBorders>
              <w:tl2br w:val="nil"/>
              <w:tr2bl w:val="nil"/>
            </w:tcBorders>
            <w:vAlign w:val="bottom"/>
          </w:tcPr>
          <w:p>
            <w:pPr>
              <w:pStyle w:val="41"/>
              <w:bidi w:val="0"/>
              <w:ind w:firstLine="0" w:firstLineChars="0"/>
              <w:rPr>
                <w:color w:val="auto"/>
                <w:sz w:val="21"/>
                <w:szCs w:val="21"/>
              </w:rPr>
            </w:pPr>
            <w:r>
              <w:rPr>
                <w:rFonts w:hint="eastAsia"/>
                <w:color w:val="auto"/>
              </w:rPr>
              <w:t>66.3</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0" w:hRule="atLeast"/>
        </w:trPr>
        <w:tc>
          <w:tcPr>
            <w:tcW w:w="5000" w:type="pct"/>
            <w:gridSpan w:val="6"/>
            <w:tcBorders>
              <w:tl2br w:val="nil"/>
              <w:tr2bl w:val="nil"/>
            </w:tcBorders>
            <w:vAlign w:val="center"/>
          </w:tcPr>
          <w:p>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center"/>
              <w:textAlignment w:val="auto"/>
              <w:rPr>
                <w:color w:val="auto"/>
                <w:sz w:val="21"/>
                <w:szCs w:val="21"/>
              </w:rPr>
            </w:pPr>
            <w:r>
              <w:rPr>
                <w:rFonts w:hint="eastAsia"/>
                <w:color w:val="auto"/>
                <w:sz w:val="21"/>
                <w:szCs w:val="21"/>
              </w:rPr>
              <w:t>20</w:t>
            </w:r>
            <w:r>
              <w:rPr>
                <w:rFonts w:hint="eastAsia"/>
                <w:color w:val="auto"/>
                <w:sz w:val="21"/>
                <w:szCs w:val="21"/>
                <w:lang w:val="en-US" w:eastAsia="zh-CN"/>
              </w:rPr>
              <w:t>20</w:t>
            </w:r>
            <w:r>
              <w:rPr>
                <w:rFonts w:hint="eastAsia"/>
                <w:color w:val="auto"/>
                <w:sz w:val="21"/>
                <w:szCs w:val="21"/>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720" w:type="dxa"/>
            <w:tcBorders>
              <w:tl2br w:val="nil"/>
              <w:tr2bl w:val="nil"/>
            </w:tcBorders>
            <w:vAlign w:val="center"/>
          </w:tcPr>
          <w:p>
            <w:pPr>
              <w:pStyle w:val="41"/>
              <w:bidi w:val="0"/>
              <w:ind w:firstLine="0" w:firstLineChars="0"/>
              <w:rPr>
                <w:color w:val="auto"/>
                <w:sz w:val="21"/>
                <w:szCs w:val="21"/>
              </w:rPr>
            </w:pPr>
            <w:r>
              <w:rPr>
                <w:color w:val="auto"/>
              </w:rPr>
              <w:t>SO</w:t>
            </w:r>
            <w:r>
              <w:rPr>
                <w:color w:val="auto"/>
                <w:vertAlign w:val="subscript"/>
              </w:rPr>
              <w:t>2</w:t>
            </w:r>
          </w:p>
        </w:tc>
        <w:tc>
          <w:tcPr>
            <w:tcW w:w="3517" w:type="dxa"/>
            <w:tcBorders>
              <w:tl2br w:val="nil"/>
              <w:tr2bl w:val="nil"/>
            </w:tcBorders>
            <w:vAlign w:val="center"/>
          </w:tcPr>
          <w:p>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lang w:val="en-US" w:eastAsia="zh-CN"/>
              </w:rPr>
              <w:t>6</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60</w:t>
            </w:r>
          </w:p>
        </w:tc>
        <w:tc>
          <w:tcPr>
            <w:tcW w:w="904" w:type="dxa"/>
            <w:tcBorders>
              <w:tl2br w:val="nil"/>
              <w:tr2bl w:val="nil"/>
            </w:tcBorders>
            <w:vAlign w:val="center"/>
          </w:tcPr>
          <w:p>
            <w:pPr>
              <w:pStyle w:val="41"/>
              <w:bidi w:val="0"/>
              <w:ind w:firstLine="0" w:firstLineChars="0"/>
              <w:rPr>
                <w:color w:val="auto"/>
                <w:sz w:val="21"/>
                <w:szCs w:val="21"/>
              </w:rPr>
            </w:pPr>
            <w:r>
              <w:rPr>
                <w:rFonts w:hint="eastAsia"/>
                <w:color w:val="auto"/>
                <w:lang w:val="en-US" w:eastAsia="zh-CN"/>
              </w:rPr>
              <w:t>10.00</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NO</w:t>
            </w:r>
            <w:r>
              <w:rPr>
                <w:color w:val="auto"/>
                <w:vertAlign w:val="subscript"/>
              </w:rPr>
              <w:t>2</w:t>
            </w:r>
          </w:p>
        </w:tc>
        <w:tc>
          <w:tcPr>
            <w:tcW w:w="3517" w:type="dxa"/>
            <w:tcBorders>
              <w:tl2br w:val="nil"/>
              <w:tr2bl w:val="nil"/>
            </w:tcBorders>
            <w:vAlign w:val="center"/>
          </w:tcPr>
          <w:p>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lang w:val="en-US" w:eastAsia="zh-CN"/>
              </w:rPr>
              <w:t>21</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40</w:t>
            </w:r>
          </w:p>
        </w:tc>
        <w:tc>
          <w:tcPr>
            <w:tcW w:w="904" w:type="dxa"/>
            <w:tcBorders>
              <w:tl2br w:val="nil"/>
              <w:tr2bl w:val="nil"/>
            </w:tcBorders>
            <w:vAlign w:val="center"/>
          </w:tcPr>
          <w:p>
            <w:pPr>
              <w:pStyle w:val="41"/>
              <w:bidi w:val="0"/>
              <w:ind w:firstLine="0" w:firstLineChars="0"/>
              <w:rPr>
                <w:color w:val="auto"/>
                <w:sz w:val="21"/>
                <w:szCs w:val="21"/>
              </w:rPr>
            </w:pPr>
            <w:r>
              <w:rPr>
                <w:rFonts w:hint="eastAsia"/>
                <w:color w:val="auto"/>
                <w:lang w:val="en-US" w:eastAsia="zh-CN"/>
              </w:rPr>
              <w:t>52.50</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PM</w:t>
            </w:r>
            <w:r>
              <w:rPr>
                <w:color w:val="auto"/>
                <w:vertAlign w:val="subscript"/>
              </w:rPr>
              <w:t>10</w:t>
            </w:r>
          </w:p>
        </w:tc>
        <w:tc>
          <w:tcPr>
            <w:tcW w:w="3517" w:type="dxa"/>
            <w:tcBorders>
              <w:tl2br w:val="nil"/>
              <w:tr2bl w:val="nil"/>
            </w:tcBorders>
            <w:vAlign w:val="center"/>
          </w:tcPr>
          <w:p>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pPr>
              <w:pStyle w:val="41"/>
              <w:bidi w:val="0"/>
              <w:ind w:firstLine="0" w:firstLineChars="0"/>
              <w:rPr>
                <w:rFonts w:hint="eastAsia" w:eastAsia="宋体"/>
                <w:b/>
                <w:bCs/>
                <w:color w:val="auto"/>
                <w:sz w:val="21"/>
                <w:szCs w:val="21"/>
                <w:lang w:eastAsia="zh-CN"/>
              </w:rPr>
            </w:pPr>
            <w:r>
              <w:rPr>
                <w:rFonts w:hint="eastAsia"/>
                <w:color w:val="auto"/>
                <w:lang w:val="en-US" w:eastAsia="zh-CN"/>
              </w:rPr>
              <w:t>54</w:t>
            </w:r>
          </w:p>
        </w:tc>
        <w:tc>
          <w:tcPr>
            <w:tcW w:w="1188" w:type="dxa"/>
            <w:tcBorders>
              <w:tl2br w:val="nil"/>
              <w:tr2bl w:val="nil"/>
            </w:tcBorders>
            <w:vAlign w:val="center"/>
          </w:tcPr>
          <w:p>
            <w:pPr>
              <w:pStyle w:val="41"/>
              <w:bidi w:val="0"/>
              <w:ind w:firstLine="0" w:firstLineChars="0"/>
              <w:rPr>
                <w:rFonts w:hint="eastAsia" w:eastAsia="宋体"/>
                <w:b/>
                <w:bCs/>
                <w:color w:val="auto"/>
                <w:sz w:val="21"/>
                <w:szCs w:val="21"/>
                <w:lang w:eastAsia="zh-CN"/>
              </w:rPr>
            </w:pPr>
            <w:r>
              <w:rPr>
                <w:color w:val="auto"/>
              </w:rPr>
              <w:t>70</w:t>
            </w:r>
          </w:p>
        </w:tc>
        <w:tc>
          <w:tcPr>
            <w:tcW w:w="904" w:type="dxa"/>
            <w:tcBorders>
              <w:tl2br w:val="nil"/>
              <w:tr2bl w:val="nil"/>
            </w:tcBorders>
            <w:vAlign w:val="center"/>
          </w:tcPr>
          <w:p>
            <w:pPr>
              <w:pStyle w:val="41"/>
              <w:bidi w:val="0"/>
              <w:ind w:firstLine="0" w:firstLineChars="0"/>
              <w:rPr>
                <w:b/>
                <w:bCs/>
                <w:color w:val="auto"/>
                <w:sz w:val="21"/>
                <w:szCs w:val="21"/>
              </w:rPr>
            </w:pPr>
            <w:r>
              <w:rPr>
                <w:rFonts w:hint="eastAsia"/>
                <w:color w:val="auto"/>
                <w:lang w:val="en-US" w:eastAsia="zh-CN"/>
              </w:rPr>
              <w:t>77.14</w:t>
            </w:r>
          </w:p>
        </w:tc>
        <w:tc>
          <w:tcPr>
            <w:tcW w:w="979" w:type="dxa"/>
            <w:tcBorders>
              <w:tl2br w:val="nil"/>
              <w:tr2bl w:val="nil"/>
            </w:tcBorders>
            <w:vAlign w:val="center"/>
          </w:tcPr>
          <w:p>
            <w:pPr>
              <w:pStyle w:val="41"/>
              <w:bidi w:val="0"/>
              <w:ind w:firstLine="0" w:firstLineChars="0"/>
              <w:rPr>
                <w:b/>
                <w:bCs/>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PM</w:t>
            </w:r>
            <w:r>
              <w:rPr>
                <w:rFonts w:hint="eastAsia"/>
                <w:color w:val="auto"/>
                <w:vertAlign w:val="subscript"/>
                <w:lang w:val="en-US" w:eastAsia="zh-CN"/>
              </w:rPr>
              <w:t>2</w:t>
            </w:r>
            <w:r>
              <w:rPr>
                <w:color w:val="auto"/>
                <w:vertAlign w:val="subscript"/>
              </w:rPr>
              <w:t>.5</w:t>
            </w:r>
          </w:p>
        </w:tc>
        <w:tc>
          <w:tcPr>
            <w:tcW w:w="3517" w:type="dxa"/>
            <w:tcBorders>
              <w:tl2br w:val="nil"/>
              <w:tr2bl w:val="nil"/>
            </w:tcBorders>
            <w:vAlign w:val="center"/>
          </w:tcPr>
          <w:p>
            <w:pPr>
              <w:pStyle w:val="41"/>
              <w:bidi w:val="0"/>
              <w:ind w:firstLine="0" w:firstLineChars="0"/>
              <w:rPr>
                <w:color w:val="auto"/>
                <w:sz w:val="21"/>
                <w:szCs w:val="21"/>
              </w:rPr>
            </w:pPr>
            <w:r>
              <w:rPr>
                <w:color w:val="auto"/>
              </w:rPr>
              <w:t>年平均</w:t>
            </w:r>
          </w:p>
        </w:tc>
        <w:tc>
          <w:tcPr>
            <w:tcW w:w="1046" w:type="dxa"/>
            <w:tcBorders>
              <w:tl2br w:val="nil"/>
              <w:tr2bl w:val="nil"/>
            </w:tcBorders>
            <w:vAlign w:val="center"/>
          </w:tcPr>
          <w:p>
            <w:pPr>
              <w:pStyle w:val="41"/>
              <w:bidi w:val="0"/>
              <w:ind w:firstLine="0" w:firstLineChars="0"/>
              <w:rPr>
                <w:rFonts w:hint="eastAsia" w:eastAsia="宋体"/>
                <w:b/>
                <w:bCs/>
                <w:color w:val="auto"/>
                <w:sz w:val="21"/>
                <w:szCs w:val="21"/>
                <w:lang w:eastAsia="zh-CN"/>
              </w:rPr>
            </w:pPr>
            <w:r>
              <w:rPr>
                <w:rFonts w:hint="eastAsia"/>
                <w:color w:val="auto"/>
                <w:lang w:val="en-US" w:eastAsia="zh-CN"/>
              </w:rPr>
              <w:t>26</w:t>
            </w:r>
          </w:p>
        </w:tc>
        <w:tc>
          <w:tcPr>
            <w:tcW w:w="1188" w:type="dxa"/>
            <w:tcBorders>
              <w:tl2br w:val="nil"/>
              <w:tr2bl w:val="nil"/>
            </w:tcBorders>
            <w:vAlign w:val="center"/>
          </w:tcPr>
          <w:p>
            <w:pPr>
              <w:pStyle w:val="41"/>
              <w:bidi w:val="0"/>
              <w:ind w:firstLine="0" w:firstLineChars="0"/>
              <w:rPr>
                <w:rFonts w:hint="eastAsia" w:eastAsia="宋体"/>
                <w:b/>
                <w:bCs/>
                <w:color w:val="auto"/>
                <w:sz w:val="21"/>
                <w:szCs w:val="21"/>
                <w:lang w:eastAsia="zh-CN"/>
              </w:rPr>
            </w:pPr>
            <w:r>
              <w:rPr>
                <w:color w:val="auto"/>
              </w:rPr>
              <w:t>35</w:t>
            </w:r>
          </w:p>
        </w:tc>
        <w:tc>
          <w:tcPr>
            <w:tcW w:w="904" w:type="dxa"/>
            <w:tcBorders>
              <w:tl2br w:val="nil"/>
              <w:tr2bl w:val="nil"/>
            </w:tcBorders>
            <w:vAlign w:val="center"/>
          </w:tcPr>
          <w:p>
            <w:pPr>
              <w:pStyle w:val="41"/>
              <w:bidi w:val="0"/>
              <w:ind w:firstLine="0" w:firstLineChars="0"/>
              <w:rPr>
                <w:b/>
                <w:bCs/>
                <w:color w:val="auto"/>
                <w:sz w:val="21"/>
                <w:szCs w:val="21"/>
              </w:rPr>
            </w:pPr>
            <w:r>
              <w:rPr>
                <w:rFonts w:hint="eastAsia"/>
                <w:color w:val="auto"/>
                <w:lang w:val="en-US" w:eastAsia="zh-CN"/>
              </w:rPr>
              <w:t>74.29</w:t>
            </w:r>
          </w:p>
        </w:tc>
        <w:tc>
          <w:tcPr>
            <w:tcW w:w="979" w:type="dxa"/>
            <w:tcBorders>
              <w:tl2br w:val="nil"/>
              <w:tr2bl w:val="nil"/>
            </w:tcBorders>
            <w:vAlign w:val="center"/>
          </w:tcPr>
          <w:p>
            <w:pPr>
              <w:pStyle w:val="41"/>
              <w:bidi w:val="0"/>
              <w:ind w:firstLine="0" w:firstLineChars="0"/>
              <w:rPr>
                <w:b/>
                <w:bCs/>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CO</w:t>
            </w:r>
          </w:p>
        </w:tc>
        <w:tc>
          <w:tcPr>
            <w:tcW w:w="3517" w:type="dxa"/>
            <w:tcBorders>
              <w:tl2br w:val="nil"/>
              <w:tr2bl w:val="nil"/>
            </w:tcBorders>
            <w:vAlign w:val="center"/>
          </w:tcPr>
          <w:p>
            <w:pPr>
              <w:pStyle w:val="41"/>
              <w:bidi w:val="0"/>
              <w:ind w:firstLine="0" w:firstLineChars="0"/>
              <w:rPr>
                <w:color w:val="auto"/>
                <w:sz w:val="21"/>
                <w:szCs w:val="21"/>
              </w:rPr>
            </w:pPr>
            <w:r>
              <w:rPr>
                <w:color w:val="auto"/>
              </w:rPr>
              <w:t>24小时平均第95百分位数</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lang w:val="en-US" w:eastAsia="zh-CN"/>
              </w:rPr>
              <w:t>1400</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4000</w:t>
            </w:r>
          </w:p>
        </w:tc>
        <w:tc>
          <w:tcPr>
            <w:tcW w:w="904" w:type="dxa"/>
            <w:tcBorders>
              <w:tl2br w:val="nil"/>
              <w:tr2bl w:val="nil"/>
            </w:tcBorders>
            <w:vAlign w:val="center"/>
          </w:tcPr>
          <w:p>
            <w:pPr>
              <w:pStyle w:val="41"/>
              <w:bidi w:val="0"/>
              <w:ind w:firstLine="0" w:firstLineChars="0"/>
              <w:rPr>
                <w:rFonts w:hint="default"/>
                <w:color w:val="auto"/>
                <w:sz w:val="21"/>
                <w:szCs w:val="21"/>
                <w:lang w:val="en-US"/>
              </w:rPr>
            </w:pPr>
            <w:r>
              <w:rPr>
                <w:rFonts w:hint="eastAsia"/>
                <w:color w:val="auto"/>
                <w:lang w:val="en-US" w:eastAsia="zh-CN"/>
              </w:rPr>
              <w:t>35.00</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c>
          <w:tcPr>
            <w:tcW w:w="720" w:type="dxa"/>
            <w:tcBorders>
              <w:tl2br w:val="nil"/>
              <w:tr2bl w:val="nil"/>
            </w:tcBorders>
            <w:vAlign w:val="center"/>
          </w:tcPr>
          <w:p>
            <w:pPr>
              <w:pStyle w:val="41"/>
              <w:bidi w:val="0"/>
              <w:ind w:firstLine="0" w:firstLineChars="0"/>
              <w:rPr>
                <w:color w:val="auto"/>
                <w:sz w:val="21"/>
                <w:szCs w:val="21"/>
              </w:rPr>
            </w:pPr>
            <w:r>
              <w:rPr>
                <w:color w:val="auto"/>
              </w:rPr>
              <w:t>O</w:t>
            </w:r>
            <w:r>
              <w:rPr>
                <w:color w:val="auto"/>
                <w:vertAlign w:val="subscript"/>
              </w:rPr>
              <w:t>3</w:t>
            </w:r>
          </w:p>
        </w:tc>
        <w:tc>
          <w:tcPr>
            <w:tcW w:w="3517" w:type="dxa"/>
            <w:tcBorders>
              <w:tl2br w:val="nil"/>
              <w:tr2bl w:val="nil"/>
            </w:tcBorders>
            <w:vAlign w:val="center"/>
          </w:tcPr>
          <w:p>
            <w:pPr>
              <w:pStyle w:val="41"/>
              <w:bidi w:val="0"/>
              <w:ind w:firstLine="0" w:firstLineChars="0"/>
              <w:rPr>
                <w:color w:val="auto"/>
                <w:sz w:val="21"/>
                <w:szCs w:val="21"/>
              </w:rPr>
            </w:pPr>
            <w:r>
              <w:rPr>
                <w:color w:val="auto"/>
              </w:rPr>
              <w:t>日最大8小时滑动平均第90百分位数</w:t>
            </w:r>
          </w:p>
        </w:tc>
        <w:tc>
          <w:tcPr>
            <w:tcW w:w="1046" w:type="dxa"/>
            <w:tcBorders>
              <w:tl2br w:val="nil"/>
              <w:tr2bl w:val="nil"/>
            </w:tcBorders>
            <w:vAlign w:val="center"/>
          </w:tcPr>
          <w:p>
            <w:pPr>
              <w:pStyle w:val="41"/>
              <w:bidi w:val="0"/>
              <w:ind w:firstLine="0" w:firstLineChars="0"/>
              <w:rPr>
                <w:rFonts w:hint="eastAsia" w:eastAsia="宋体"/>
                <w:color w:val="auto"/>
                <w:sz w:val="21"/>
                <w:szCs w:val="21"/>
                <w:lang w:eastAsia="zh-CN"/>
              </w:rPr>
            </w:pPr>
            <w:r>
              <w:rPr>
                <w:rFonts w:hint="eastAsia"/>
                <w:color w:val="auto"/>
                <w:lang w:val="en-US" w:eastAsia="zh-CN"/>
              </w:rPr>
              <w:t>117</w:t>
            </w:r>
          </w:p>
        </w:tc>
        <w:tc>
          <w:tcPr>
            <w:tcW w:w="1188" w:type="dxa"/>
            <w:tcBorders>
              <w:tl2br w:val="nil"/>
              <w:tr2bl w:val="nil"/>
            </w:tcBorders>
            <w:vAlign w:val="center"/>
          </w:tcPr>
          <w:p>
            <w:pPr>
              <w:pStyle w:val="41"/>
              <w:bidi w:val="0"/>
              <w:ind w:firstLine="0" w:firstLineChars="0"/>
              <w:rPr>
                <w:rFonts w:hint="eastAsia" w:eastAsia="宋体"/>
                <w:color w:val="auto"/>
                <w:sz w:val="21"/>
                <w:szCs w:val="21"/>
                <w:lang w:eastAsia="zh-CN"/>
              </w:rPr>
            </w:pPr>
            <w:r>
              <w:rPr>
                <w:color w:val="auto"/>
              </w:rPr>
              <w:t>160</w:t>
            </w:r>
          </w:p>
        </w:tc>
        <w:tc>
          <w:tcPr>
            <w:tcW w:w="904" w:type="dxa"/>
            <w:tcBorders>
              <w:tl2br w:val="nil"/>
              <w:tr2bl w:val="nil"/>
            </w:tcBorders>
            <w:vAlign w:val="center"/>
          </w:tcPr>
          <w:p>
            <w:pPr>
              <w:pStyle w:val="41"/>
              <w:bidi w:val="0"/>
              <w:ind w:firstLine="0" w:firstLineChars="0"/>
              <w:rPr>
                <w:color w:val="auto"/>
                <w:sz w:val="21"/>
                <w:szCs w:val="21"/>
              </w:rPr>
            </w:pPr>
            <w:r>
              <w:rPr>
                <w:rFonts w:hint="eastAsia"/>
                <w:color w:val="auto"/>
                <w:lang w:val="en-US" w:eastAsia="zh-CN"/>
              </w:rPr>
              <w:t>73.13</w:t>
            </w:r>
          </w:p>
        </w:tc>
        <w:tc>
          <w:tcPr>
            <w:tcW w:w="979" w:type="dxa"/>
            <w:tcBorders>
              <w:tl2br w:val="nil"/>
              <w:tr2bl w:val="nil"/>
            </w:tcBorders>
            <w:vAlign w:val="center"/>
          </w:tcPr>
          <w:p>
            <w:pPr>
              <w:pStyle w:val="41"/>
              <w:bidi w:val="0"/>
              <w:ind w:firstLine="0" w:firstLineChars="0"/>
              <w:rPr>
                <w:color w:val="auto"/>
                <w:sz w:val="21"/>
                <w:szCs w:val="21"/>
              </w:rPr>
            </w:pPr>
            <w:r>
              <w:rPr>
                <w:color w:val="auto"/>
              </w:rPr>
              <w:t>达标</w:t>
            </w:r>
          </w:p>
        </w:tc>
      </w:tr>
    </w:tbl>
    <w:p>
      <w:pPr>
        <w:pStyle w:val="57"/>
        <w:ind w:left="0" w:leftChars="0" w:firstLine="480" w:firstLineChars="200"/>
        <w:rPr>
          <w:rFonts w:hint="eastAsia" w:eastAsia="宋体"/>
          <w:color w:val="auto"/>
          <w:highlight w:val="none"/>
          <w:lang w:val="en-US" w:eastAsia="zh-CN"/>
        </w:rPr>
      </w:pPr>
      <w:r>
        <w:rPr>
          <w:rFonts w:ascii="Times New Roman" w:hAnsi="Times New Roman" w:eastAsia="宋体" w:cs="Times New Roman"/>
          <w:color w:val="auto"/>
        </w:rPr>
        <w:t>根据上表结果，</w:t>
      </w:r>
      <w:r>
        <w:rPr>
          <w:rFonts w:hint="eastAsia"/>
          <w:color w:val="auto"/>
          <w:kern w:val="0"/>
          <w:sz w:val="24"/>
        </w:rPr>
        <w:t>近5年来</w:t>
      </w:r>
      <w:r>
        <w:rPr>
          <w:rFonts w:hint="eastAsia"/>
          <w:color w:val="auto"/>
          <w:kern w:val="0"/>
          <w:sz w:val="24"/>
          <w:lang w:val="en-US" w:eastAsia="zh-CN"/>
        </w:rPr>
        <w:t>塔城地区、</w:t>
      </w:r>
      <w:r>
        <w:rPr>
          <w:rFonts w:hint="eastAsia"/>
          <w:color w:val="auto"/>
          <w:kern w:val="0"/>
          <w:sz w:val="24"/>
        </w:rPr>
        <w:t>克拉玛依市SO</w:t>
      </w:r>
      <w:r>
        <w:rPr>
          <w:rFonts w:hint="eastAsia"/>
          <w:color w:val="auto"/>
          <w:kern w:val="0"/>
          <w:sz w:val="24"/>
          <w:vertAlign w:val="subscript"/>
        </w:rPr>
        <w:t>2</w:t>
      </w:r>
      <w:r>
        <w:rPr>
          <w:rFonts w:hint="eastAsia"/>
          <w:color w:val="auto"/>
          <w:kern w:val="0"/>
          <w:sz w:val="24"/>
        </w:rPr>
        <w:t>、NO</w:t>
      </w:r>
      <w:r>
        <w:rPr>
          <w:rFonts w:hint="eastAsia"/>
          <w:color w:val="auto"/>
          <w:kern w:val="0"/>
          <w:sz w:val="24"/>
          <w:vertAlign w:val="subscript"/>
        </w:rPr>
        <w:t>2</w:t>
      </w:r>
      <w:r>
        <w:rPr>
          <w:rFonts w:hint="eastAsia"/>
          <w:color w:val="auto"/>
          <w:kern w:val="0"/>
          <w:sz w:val="24"/>
        </w:rPr>
        <w:t>、PM</w:t>
      </w:r>
      <w:r>
        <w:rPr>
          <w:rFonts w:hint="eastAsia"/>
          <w:color w:val="auto"/>
          <w:kern w:val="0"/>
          <w:sz w:val="24"/>
          <w:vertAlign w:val="subscript"/>
        </w:rPr>
        <w:t>10</w:t>
      </w:r>
      <w:r>
        <w:rPr>
          <w:rFonts w:hint="eastAsia"/>
          <w:color w:val="auto"/>
          <w:kern w:val="0"/>
          <w:sz w:val="24"/>
        </w:rPr>
        <w:t>、PM</w:t>
      </w:r>
      <w:r>
        <w:rPr>
          <w:rFonts w:hint="eastAsia"/>
          <w:color w:val="auto"/>
          <w:kern w:val="0"/>
          <w:sz w:val="24"/>
          <w:vertAlign w:val="subscript"/>
        </w:rPr>
        <w:t>2.5</w:t>
      </w:r>
      <w:r>
        <w:rPr>
          <w:rFonts w:hint="eastAsia"/>
          <w:color w:val="auto"/>
          <w:kern w:val="0"/>
          <w:sz w:val="24"/>
        </w:rPr>
        <w:t>、CO、O</w:t>
      </w:r>
      <w:r>
        <w:rPr>
          <w:rFonts w:hint="eastAsia"/>
          <w:color w:val="auto"/>
          <w:kern w:val="0"/>
          <w:sz w:val="24"/>
          <w:vertAlign w:val="subscript"/>
        </w:rPr>
        <w:t>3</w:t>
      </w:r>
      <w:r>
        <w:rPr>
          <w:rFonts w:hint="eastAsia"/>
          <w:color w:val="auto"/>
          <w:kern w:val="0"/>
          <w:sz w:val="24"/>
        </w:rPr>
        <w:t>等污染物长期浓度均可满足《环境空气质量标准》（GB3095-2012）中二级标准限值，为环境空气质量达标区</w:t>
      </w:r>
      <w:r>
        <w:rPr>
          <w:rFonts w:hint="eastAsia"/>
          <w:color w:val="auto"/>
          <w:kern w:val="0"/>
          <w:sz w:val="24"/>
          <w:lang w:eastAsia="zh-CN"/>
        </w:rPr>
        <w:t>。</w:t>
      </w:r>
    </w:p>
    <w:p>
      <w:pPr>
        <w:pStyle w:val="53"/>
        <w:rPr>
          <w:color w:val="auto"/>
          <w:highlight w:val="none"/>
        </w:rPr>
      </w:pPr>
      <w:r>
        <w:rPr>
          <w:color w:val="auto"/>
          <w:highlight w:val="none"/>
        </w:rPr>
        <w:fldChar w:fldCharType="begin"/>
      </w:r>
      <w:r>
        <w:rPr>
          <w:color w:val="auto"/>
          <w:highlight w:val="none"/>
        </w:rPr>
        <w:instrText xml:space="preserve"> HYPERLINK \l "_Toc23969" </w:instrText>
      </w:r>
      <w:r>
        <w:rPr>
          <w:color w:val="auto"/>
          <w:highlight w:val="none"/>
        </w:rPr>
        <w:fldChar w:fldCharType="separate"/>
      </w:r>
      <w:r>
        <w:rPr>
          <w:rFonts w:hint="eastAsia"/>
          <w:color w:val="auto"/>
          <w:highlight w:val="none"/>
        </w:rPr>
        <w:t>4.6.2 特征污染物环境质量现状评价</w:t>
      </w:r>
      <w:r>
        <w:rPr>
          <w:rFonts w:hint="eastAsia"/>
          <w:color w:val="auto"/>
          <w:highlight w:val="none"/>
        </w:rPr>
        <w:fldChar w:fldCharType="end"/>
      </w:r>
    </w:p>
    <w:p>
      <w:pPr>
        <w:pStyle w:val="57"/>
        <w:rPr>
          <w:color w:val="auto"/>
          <w:highlight w:val="none"/>
        </w:rPr>
      </w:pPr>
      <w:r>
        <w:rPr>
          <w:color w:val="auto"/>
          <w:highlight w:val="none"/>
        </w:rPr>
        <w:t>（1）监测点位及监测项目</w:t>
      </w:r>
    </w:p>
    <w:p>
      <w:pPr>
        <w:pStyle w:val="57"/>
        <w:rPr>
          <w:color w:val="auto"/>
          <w:highlight w:val="none"/>
        </w:rPr>
      </w:pPr>
      <w:r>
        <w:rPr>
          <w:rFonts w:hint="default" w:ascii="Times New Roman" w:hAnsi="Times New Roman" w:cs="Times New Roman"/>
          <w:snapToGrid w:val="0"/>
          <w:color w:val="auto"/>
          <w:spacing w:val="4"/>
          <w:highlight w:val="none"/>
          <w:shd w:val="clear" w:color="auto" w:fill="auto"/>
        </w:rPr>
        <w:t>按照《环境影响</w:t>
      </w:r>
      <w:r>
        <w:rPr>
          <w:rFonts w:hint="default" w:ascii="Times New Roman" w:hAnsi="Times New Roman" w:eastAsia="宋体" w:cs="Times New Roman"/>
          <w:snapToGrid w:val="0"/>
          <w:color w:val="auto"/>
          <w:spacing w:val="4"/>
          <w:highlight w:val="none"/>
          <w:shd w:val="clear" w:color="auto" w:fill="auto"/>
        </w:rPr>
        <w:t>评价技术导则</w:t>
      </w:r>
      <w:r>
        <w:rPr>
          <w:rFonts w:hint="default" w:ascii="Times New Roman" w:hAnsi="Times New Roman" w:eastAsia="宋体" w:cs="Times New Roman"/>
          <w:snapToGrid w:val="0"/>
          <w:color w:val="auto"/>
          <w:spacing w:val="4"/>
          <w:highlight w:val="none"/>
          <w:shd w:val="clear" w:color="auto" w:fill="auto"/>
          <w:lang w:val="en-US" w:eastAsia="zh-CN"/>
        </w:rPr>
        <w:t xml:space="preserve"> </w:t>
      </w:r>
      <w:r>
        <w:rPr>
          <w:rFonts w:hint="default" w:ascii="Times New Roman" w:hAnsi="Times New Roman" w:eastAsia="宋体" w:cs="Times New Roman"/>
          <w:snapToGrid w:val="0"/>
          <w:color w:val="auto"/>
          <w:spacing w:val="4"/>
          <w:highlight w:val="none"/>
          <w:shd w:val="clear" w:color="auto" w:fill="auto"/>
        </w:rPr>
        <w:t>大气环境》</w:t>
      </w:r>
      <w:r>
        <w:rPr>
          <w:rFonts w:hint="eastAsia" w:ascii="Times New Roman" w:hAnsi="Times New Roman" w:eastAsia="宋体" w:cs="Times New Roman"/>
          <w:snapToGrid w:val="0"/>
          <w:color w:val="auto"/>
          <w:spacing w:val="4"/>
          <w:highlight w:val="none"/>
          <w:shd w:val="clear" w:color="auto" w:fill="auto"/>
          <w:lang w:eastAsia="zh-CN"/>
        </w:rPr>
        <w:t>（</w:t>
      </w:r>
      <w:r>
        <w:rPr>
          <w:rFonts w:hint="default" w:ascii="Times New Roman" w:hAnsi="Times New Roman" w:eastAsia="宋体" w:cs="Times New Roman"/>
          <w:snapToGrid w:val="0"/>
          <w:color w:val="auto"/>
          <w:spacing w:val="4"/>
          <w:highlight w:val="none"/>
          <w:shd w:val="clear" w:color="auto" w:fill="auto"/>
        </w:rPr>
        <w:t>HJ2.2-2018</w:t>
      </w:r>
      <w:r>
        <w:rPr>
          <w:rFonts w:hint="eastAsia" w:ascii="Times New Roman" w:hAnsi="Times New Roman" w:eastAsia="宋体" w:cs="Times New Roman"/>
          <w:snapToGrid w:val="0"/>
          <w:color w:val="auto"/>
          <w:spacing w:val="4"/>
          <w:highlight w:val="none"/>
          <w:shd w:val="clear" w:color="auto" w:fill="auto"/>
          <w:lang w:eastAsia="zh-CN"/>
        </w:rPr>
        <w:t>）</w:t>
      </w:r>
      <w:r>
        <w:rPr>
          <w:rFonts w:hint="default" w:ascii="Times New Roman" w:hAnsi="Times New Roman" w:eastAsia="宋体" w:cs="Times New Roman"/>
          <w:snapToGrid w:val="0"/>
          <w:color w:val="auto"/>
          <w:spacing w:val="4"/>
          <w:highlight w:val="none"/>
          <w:shd w:val="clear" w:color="auto" w:fill="auto"/>
        </w:rPr>
        <w:t>要求，结合项目所在区域地形特点以及当地气象特征，本次委托</w:t>
      </w:r>
      <w:r>
        <w:rPr>
          <w:rFonts w:hint="eastAsia" w:ascii="Times New Roman" w:hAnsi="Times New Roman" w:cs="Times New Roman"/>
          <w:color w:val="auto"/>
          <w:spacing w:val="4"/>
          <w:kern w:val="24"/>
          <w:sz w:val="24"/>
          <w:szCs w:val="24"/>
          <w:highlight w:val="none"/>
          <w:shd w:val="clear" w:color="auto" w:fill="auto"/>
          <w:lang w:eastAsia="zh-CN"/>
        </w:rPr>
        <w:t>新疆钧仪衡环境技术有限公司</w:t>
      </w:r>
      <w:r>
        <w:rPr>
          <w:rFonts w:hint="default" w:ascii="Times New Roman" w:hAnsi="Times New Roman" w:eastAsia="宋体" w:cs="Times New Roman"/>
          <w:snapToGrid w:val="0"/>
          <w:color w:val="auto"/>
          <w:spacing w:val="4"/>
          <w:highlight w:val="none"/>
          <w:shd w:val="clear" w:color="auto" w:fill="auto"/>
        </w:rPr>
        <w:t>对</w:t>
      </w:r>
      <w:r>
        <w:rPr>
          <w:rFonts w:hint="eastAsia" w:ascii="Times New Roman" w:hAnsi="Times New Roman" w:eastAsia="宋体" w:cs="Times New Roman"/>
          <w:snapToGrid w:val="0"/>
          <w:color w:val="auto"/>
          <w:spacing w:val="4"/>
          <w:highlight w:val="none"/>
          <w:shd w:val="clear" w:color="auto" w:fill="auto"/>
          <w:lang w:val="en-US" w:eastAsia="zh-CN"/>
        </w:rPr>
        <w:t>本工程</w:t>
      </w:r>
      <w:r>
        <w:rPr>
          <w:rFonts w:hint="default" w:ascii="Times New Roman" w:hAnsi="Times New Roman" w:eastAsia="宋体" w:cs="Times New Roman"/>
          <w:snapToGrid w:val="0"/>
          <w:color w:val="auto"/>
          <w:spacing w:val="4"/>
          <w:highlight w:val="none"/>
          <w:shd w:val="clear" w:color="auto" w:fill="auto"/>
        </w:rPr>
        <w:t>所在区域环境空气质量现状进行实地监测</w:t>
      </w:r>
      <w:r>
        <w:rPr>
          <w:color w:val="auto"/>
          <w:highlight w:val="none"/>
        </w:rPr>
        <w:t>。</w:t>
      </w:r>
    </w:p>
    <w:p>
      <w:pPr>
        <w:pStyle w:val="57"/>
        <w:rPr>
          <w:color w:val="auto"/>
          <w:highlight w:val="none"/>
        </w:rPr>
      </w:pPr>
      <w:r>
        <w:rPr>
          <w:rFonts w:hint="eastAsia" w:ascii="Times New Roman" w:hAnsi="Times New Roman" w:eastAsia="宋体" w:cs="Times New Roman"/>
          <w:snapToGrid w:val="0"/>
          <w:color w:val="auto"/>
          <w:spacing w:val="4"/>
          <w:highlight w:val="none"/>
          <w:shd w:val="clear" w:color="auto" w:fill="auto"/>
          <w:lang w:eastAsia="zh-CN"/>
        </w:rPr>
        <w:t>在兼顾开采区所在区域的地形特点及当地常年主导风向和均布性原则，本</w:t>
      </w:r>
      <w:r>
        <w:rPr>
          <w:rFonts w:hint="eastAsia" w:ascii="Times New Roman" w:hAnsi="Times New Roman" w:eastAsia="宋体" w:cs="Times New Roman"/>
          <w:snapToGrid w:val="0"/>
          <w:color w:val="auto"/>
          <w:spacing w:val="4"/>
          <w:highlight w:val="none"/>
          <w:shd w:val="clear" w:color="auto" w:fill="auto"/>
          <w:lang w:val="en-US" w:eastAsia="zh-CN"/>
        </w:rPr>
        <w:t>次在</w:t>
      </w:r>
      <w:r>
        <w:rPr>
          <w:rFonts w:hint="default" w:ascii="Times New Roman" w:hAnsi="Times New Roman" w:eastAsia="宋体" w:cs="Times New Roman"/>
          <w:snapToGrid w:val="0"/>
          <w:color w:val="auto"/>
          <w:spacing w:val="4"/>
          <w:highlight w:val="none"/>
          <w:shd w:val="clear" w:color="auto" w:fill="auto"/>
        </w:rPr>
        <w:t>拟建</w:t>
      </w:r>
      <w:r>
        <w:rPr>
          <w:rFonts w:hint="eastAsia" w:cs="Times New Roman"/>
          <w:snapToGrid w:val="0"/>
          <w:color w:val="auto"/>
          <w:spacing w:val="4"/>
          <w:highlight w:val="none"/>
          <w:shd w:val="clear" w:color="auto" w:fill="auto"/>
          <w:lang w:eastAsia="zh-CN"/>
        </w:rPr>
        <w:t>FTYHW1011</w:t>
      </w:r>
      <w:r>
        <w:rPr>
          <w:rFonts w:hint="default" w:ascii="Times New Roman" w:hAnsi="Times New Roman" w:eastAsia="宋体" w:cs="Times New Roman"/>
          <w:snapToGrid w:val="0"/>
          <w:color w:val="auto"/>
          <w:spacing w:val="4"/>
          <w:highlight w:val="none"/>
          <w:shd w:val="clear" w:color="auto" w:fill="auto"/>
        </w:rPr>
        <w:t>井场</w:t>
      </w:r>
      <w:r>
        <w:rPr>
          <w:rFonts w:hint="eastAsia" w:ascii="Times New Roman" w:hAnsi="Times New Roman" w:eastAsia="宋体" w:cs="Times New Roman"/>
          <w:snapToGrid w:val="0"/>
          <w:color w:val="auto"/>
          <w:spacing w:val="4"/>
          <w:highlight w:val="none"/>
          <w:shd w:val="clear" w:color="auto" w:fill="auto"/>
          <w:lang w:val="en-US" w:eastAsia="zh-CN"/>
        </w:rPr>
        <w:t>厂界四周各</w:t>
      </w:r>
      <w:r>
        <w:rPr>
          <w:rFonts w:hint="default" w:ascii="Times New Roman" w:hAnsi="Times New Roman" w:eastAsia="宋体" w:cs="Times New Roman"/>
          <w:snapToGrid w:val="0"/>
          <w:color w:val="auto"/>
          <w:spacing w:val="4"/>
          <w:highlight w:val="none"/>
          <w:shd w:val="clear" w:color="auto" w:fill="auto"/>
        </w:rPr>
        <w:t>布设1个大气监测点。监测点位基本信息见表4.</w:t>
      </w:r>
      <w:r>
        <w:rPr>
          <w:rFonts w:hint="eastAsia" w:ascii="Times New Roman" w:hAnsi="Times New Roman" w:eastAsia="宋体" w:cs="Times New Roman"/>
          <w:snapToGrid w:val="0"/>
          <w:color w:val="auto"/>
          <w:spacing w:val="4"/>
          <w:highlight w:val="none"/>
          <w:shd w:val="clear" w:color="auto" w:fill="auto"/>
          <w:lang w:val="en-US" w:eastAsia="zh-CN"/>
        </w:rPr>
        <w:t>6</w:t>
      </w:r>
      <w:r>
        <w:rPr>
          <w:rFonts w:hint="default" w:ascii="Times New Roman" w:hAnsi="Times New Roman" w:eastAsia="宋体" w:cs="Times New Roman"/>
          <w:snapToGrid w:val="0"/>
          <w:color w:val="auto"/>
          <w:spacing w:val="4"/>
          <w:highlight w:val="none"/>
          <w:shd w:val="clear" w:color="auto" w:fill="auto"/>
        </w:rPr>
        <w:t>-</w:t>
      </w:r>
      <w:r>
        <w:rPr>
          <w:rFonts w:hint="eastAsia" w:ascii="Times New Roman" w:hAnsi="Times New Roman" w:eastAsia="宋体" w:cs="Times New Roman"/>
          <w:snapToGrid w:val="0"/>
          <w:color w:val="auto"/>
          <w:spacing w:val="4"/>
          <w:highlight w:val="none"/>
          <w:shd w:val="clear" w:color="auto" w:fill="auto"/>
          <w:lang w:val="en-US" w:eastAsia="zh-CN"/>
        </w:rPr>
        <w:t>3</w:t>
      </w:r>
      <w:r>
        <w:rPr>
          <w:rFonts w:hint="default" w:ascii="Times New Roman" w:hAnsi="Times New Roman" w:eastAsia="宋体" w:cs="Times New Roman"/>
          <w:snapToGrid w:val="0"/>
          <w:color w:val="auto"/>
          <w:spacing w:val="4"/>
          <w:highlight w:val="none"/>
          <w:shd w:val="clear" w:color="auto" w:fill="auto"/>
        </w:rPr>
        <w:t>和图4.</w:t>
      </w:r>
      <w:r>
        <w:rPr>
          <w:rFonts w:hint="default" w:ascii="Times New Roman" w:hAnsi="Times New Roman" w:eastAsia="宋体" w:cs="Times New Roman"/>
          <w:snapToGrid w:val="0"/>
          <w:color w:val="auto"/>
          <w:spacing w:val="4"/>
          <w:highlight w:val="none"/>
          <w:shd w:val="clear" w:color="auto" w:fill="auto"/>
          <w:lang w:val="en-US" w:eastAsia="zh-CN"/>
        </w:rPr>
        <w:t>3</w:t>
      </w:r>
      <w:r>
        <w:rPr>
          <w:rFonts w:hint="default" w:ascii="Times New Roman" w:hAnsi="Times New Roman" w:eastAsia="宋体" w:cs="Times New Roman"/>
          <w:snapToGrid w:val="0"/>
          <w:color w:val="auto"/>
          <w:spacing w:val="4"/>
          <w:highlight w:val="none"/>
          <w:shd w:val="clear" w:color="auto" w:fill="auto"/>
        </w:rPr>
        <w:t>-</w:t>
      </w:r>
      <w:r>
        <w:rPr>
          <w:rFonts w:hint="default" w:ascii="Times New Roman" w:hAnsi="Times New Roman" w:eastAsia="宋体" w:cs="Times New Roman"/>
          <w:snapToGrid w:val="0"/>
          <w:color w:val="auto"/>
          <w:spacing w:val="4"/>
          <w:highlight w:val="none"/>
          <w:shd w:val="clear" w:color="auto" w:fill="auto"/>
          <w:lang w:val="en-US" w:eastAsia="zh-CN"/>
        </w:rPr>
        <w:t>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表4.6</w:t>
      </w:r>
      <w:r>
        <w:rPr>
          <w:rFonts w:hint="eastAsia" w:cs="Times New Roman"/>
          <w:color w:val="auto"/>
          <w:highlight w:val="none"/>
          <w:lang w:val="en-US" w:eastAsia="zh-CN"/>
        </w:rPr>
        <w:t>-2</w:t>
      </w:r>
      <w:r>
        <w:rPr>
          <w:rFonts w:hint="eastAsia" w:cs="Times New Roman"/>
          <w:color w:val="auto"/>
          <w:highlight w:val="none"/>
        </w:rPr>
        <w:t xml:space="preserve">        特征污染物监测点位基本信息       单位：mg/m</w:t>
      </w:r>
      <w:r>
        <w:rPr>
          <w:rFonts w:hint="eastAsia" w:cs="Times New Roman"/>
          <w:color w:val="auto"/>
          <w:highlight w:val="none"/>
          <w:vertAlign w:val="superscript"/>
        </w:rPr>
        <w:t>3</w:t>
      </w:r>
    </w:p>
    <w:tbl>
      <w:tblPr>
        <w:tblStyle w:val="34"/>
        <w:tblW w:w="4974"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28"/>
        <w:gridCol w:w="1215"/>
        <w:gridCol w:w="564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7" w:type="pct"/>
            <w:tcBorders>
              <w:tl2br w:val="nil"/>
              <w:tr2bl w:val="nil"/>
            </w:tcBorders>
            <w:noWrap w:val="0"/>
            <w:vAlign w:val="center"/>
          </w:tcPr>
          <w:p>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位置</w:t>
            </w:r>
          </w:p>
        </w:tc>
        <w:tc>
          <w:tcPr>
            <w:tcW w:w="691" w:type="pct"/>
            <w:tcBorders>
              <w:tl2br w:val="nil"/>
              <w:tr2bl w:val="nil"/>
            </w:tcBorders>
            <w:noWrap w:val="0"/>
            <w:vAlign w:val="center"/>
          </w:tcPr>
          <w:p>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监测因子</w:t>
            </w:r>
          </w:p>
        </w:tc>
        <w:tc>
          <w:tcPr>
            <w:tcW w:w="3211" w:type="pct"/>
            <w:tcBorders>
              <w:tl2br w:val="nil"/>
              <w:tr2bl w:val="nil"/>
            </w:tcBorders>
            <w:noWrap w:val="0"/>
            <w:vAlign w:val="center"/>
          </w:tcPr>
          <w:p>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监测频次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7" w:type="pct"/>
            <w:tcBorders>
              <w:tl2br w:val="nil"/>
              <w:tr2bl w:val="nil"/>
            </w:tcBorders>
            <w:noWrap w:val="0"/>
            <w:vAlign w:val="center"/>
          </w:tcPr>
          <w:p>
            <w:pPr>
              <w:pStyle w:val="97"/>
              <w:spacing w:line="260" w:lineRule="exact"/>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rPr>
              <w:t>拟建MZHW4007井场</w:t>
            </w:r>
          </w:p>
        </w:tc>
        <w:tc>
          <w:tcPr>
            <w:tcW w:w="691" w:type="pct"/>
            <w:vMerge w:val="restart"/>
            <w:tcBorders>
              <w:tl2br w:val="nil"/>
              <w:tr2bl w:val="nil"/>
            </w:tcBorders>
            <w:noWrap w:val="0"/>
            <w:vAlign w:val="center"/>
          </w:tcPr>
          <w:p>
            <w:pPr>
              <w:pStyle w:val="41"/>
              <w:spacing w:before="120" w:beforeLines="50"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非甲烷总烃、H</w:t>
            </w:r>
            <w:r>
              <w:rPr>
                <w:rFonts w:hint="default" w:ascii="Times New Roman" w:hAnsi="Times New Roman" w:cs="Times New Roman"/>
                <w:color w:val="auto"/>
                <w:sz w:val="21"/>
                <w:szCs w:val="21"/>
                <w:highlight w:val="none"/>
                <w:shd w:val="clear" w:color="auto" w:fill="auto"/>
                <w:vertAlign w:val="subscript"/>
              </w:rPr>
              <w:t>2</w:t>
            </w:r>
            <w:r>
              <w:rPr>
                <w:rFonts w:hint="default" w:ascii="Times New Roman" w:hAnsi="Times New Roman" w:cs="Times New Roman"/>
                <w:color w:val="auto"/>
                <w:sz w:val="21"/>
                <w:szCs w:val="21"/>
                <w:highlight w:val="none"/>
                <w:shd w:val="clear" w:color="auto" w:fill="auto"/>
              </w:rPr>
              <w:t>S</w:t>
            </w:r>
          </w:p>
        </w:tc>
        <w:tc>
          <w:tcPr>
            <w:tcW w:w="3211" w:type="pct"/>
            <w:vMerge w:val="restart"/>
            <w:tcBorders>
              <w:tl2br w:val="nil"/>
              <w:tr2bl w:val="nil"/>
            </w:tcBorders>
            <w:noWrap w:val="0"/>
            <w:vAlign w:val="center"/>
          </w:tcPr>
          <w:p>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硫化氢</w:t>
            </w:r>
            <w:r>
              <w:rPr>
                <w:rFonts w:hint="default" w:ascii="Times New Roman" w:hAnsi="Times New Roman" w:cs="Times New Roman"/>
                <w:color w:val="auto"/>
                <w:kern w:val="0"/>
                <w:sz w:val="21"/>
                <w:szCs w:val="21"/>
                <w:highlight w:val="none"/>
                <w:shd w:val="clear" w:color="auto" w:fill="auto"/>
              </w:rPr>
              <w:t>连续监测7天、每天采样4次</w:t>
            </w:r>
            <w:r>
              <w:rPr>
                <w:rFonts w:hint="default"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rPr>
              <w:t>非甲烷总烃每天采样4个小时</w:t>
            </w:r>
            <w:r>
              <w:rPr>
                <w:rFonts w:hint="eastAsia"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rPr>
              <w:t>每小时4次</w:t>
            </w:r>
            <w:r>
              <w:rPr>
                <w:rFonts w:hint="eastAsia"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rPr>
              <w:t>取小时平均值</w:t>
            </w:r>
            <w:r>
              <w:rPr>
                <w:rFonts w:hint="default" w:ascii="Times New Roman" w:hAnsi="Times New Roman" w:cs="Times New Roman"/>
                <w:color w:val="auto"/>
                <w:kern w:val="0"/>
                <w:sz w:val="21"/>
                <w:szCs w:val="21"/>
                <w:highlight w:val="none"/>
                <w:shd w:val="clear" w:color="auto" w:fill="auto"/>
                <w:lang w:eastAsia="zh-CN"/>
              </w:rPr>
              <w:t>，</w:t>
            </w:r>
            <w:r>
              <w:rPr>
                <w:rFonts w:hint="default" w:ascii="Times New Roman" w:hAnsi="Times New Roman" w:cs="Times New Roman"/>
                <w:color w:val="auto"/>
                <w:kern w:val="0"/>
                <w:sz w:val="21"/>
                <w:szCs w:val="21"/>
                <w:highlight w:val="none"/>
                <w:shd w:val="clear" w:color="auto" w:fill="auto"/>
              </w:rPr>
              <w:t>连续监测7天</w:t>
            </w:r>
            <w:r>
              <w:rPr>
                <w:rFonts w:hint="default" w:ascii="Times New Roman" w:hAnsi="Times New Roman" w:cs="Times New Roman"/>
                <w:color w:val="auto"/>
                <w:kern w:val="0"/>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97" w:type="pct"/>
            <w:tcBorders>
              <w:tl2br w:val="nil"/>
              <w:tr2bl w:val="nil"/>
            </w:tcBorders>
            <w:noWrap w:val="0"/>
            <w:vAlign w:val="center"/>
          </w:tcPr>
          <w:p>
            <w:pPr>
              <w:pStyle w:val="97"/>
              <w:spacing w:line="260" w:lineRule="exact"/>
              <w:ind w:left="0" w:leftChars="0" w:firstLine="0" w:firstLineChars="0"/>
              <w:jc w:val="center"/>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cs="Times New Roman"/>
                <w:color w:val="auto"/>
                <w:highlight w:val="none"/>
                <w:shd w:val="clear" w:color="auto" w:fill="auto"/>
              </w:rPr>
              <w:t>已建拉油站厂界四周</w:t>
            </w:r>
          </w:p>
        </w:tc>
        <w:tc>
          <w:tcPr>
            <w:tcW w:w="691" w:type="pct"/>
            <w:vMerge w:val="continue"/>
            <w:tcBorders>
              <w:tl2br w:val="nil"/>
              <w:tr2bl w:val="nil"/>
            </w:tcBorders>
            <w:noWrap w:val="0"/>
            <w:vAlign w:val="center"/>
          </w:tcPr>
          <w:p>
            <w:pPr>
              <w:pStyle w:val="41"/>
              <w:spacing w:before="120" w:beforeLines="50"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p>
        </w:tc>
        <w:tc>
          <w:tcPr>
            <w:tcW w:w="3211" w:type="pct"/>
            <w:vMerge w:val="continue"/>
            <w:tcBorders>
              <w:tl2br w:val="nil"/>
              <w:tr2bl w:val="nil"/>
            </w:tcBorders>
            <w:noWrap w:val="0"/>
            <w:vAlign w:val="center"/>
          </w:tcPr>
          <w:p>
            <w:pPr>
              <w:pStyle w:val="41"/>
              <w:spacing w:line="240" w:lineRule="auto"/>
              <w:ind w:left="0" w:leftChars="0" w:right="-36" w:firstLine="0" w:firstLineChars="0"/>
              <w:jc w:val="center"/>
              <w:rPr>
                <w:rFonts w:hint="default" w:ascii="Times New Roman" w:hAnsi="Times New Roman" w:cs="Times New Roman"/>
                <w:color w:val="auto"/>
                <w:sz w:val="21"/>
                <w:szCs w:val="21"/>
                <w:highlight w:val="none"/>
                <w:shd w:val="clear" w:color="auto" w:fill="auto"/>
              </w:rPr>
            </w:pPr>
          </w:p>
        </w:tc>
      </w:tr>
    </w:tbl>
    <w:p>
      <w:pPr>
        <w:pStyle w:val="5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（2）监测时间及频率</w:t>
      </w:r>
    </w:p>
    <w:p>
      <w:pPr>
        <w:pStyle w:val="57"/>
        <w:rPr>
          <w:rFonts w:hint="default" w:ascii="Times New Roman" w:hAnsi="Times New Roman" w:eastAsia="宋体" w:cs="Times New Roman"/>
          <w:color w:val="auto"/>
          <w:highlight w:val="none"/>
          <w:lang w:val="pt-BR"/>
        </w:rPr>
      </w:pPr>
      <w:r>
        <w:rPr>
          <w:rFonts w:hint="default" w:ascii="Times New Roman" w:hAnsi="Times New Roman" w:eastAsia="宋体" w:cs="Times New Roman"/>
          <w:color w:val="auto"/>
          <w:highlight w:val="none"/>
        </w:rPr>
        <w:t>监测时间为202</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年</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月。其中，硫化氢采用1小时浓度每天采样4次，每次采样45分钟。</w:t>
      </w:r>
      <w:r>
        <w:rPr>
          <w:rFonts w:hint="default" w:ascii="Times New Roman" w:hAnsi="Times New Roman" w:eastAsia="宋体" w:cs="Times New Roman"/>
          <w:color w:val="auto"/>
          <w:highlight w:val="none"/>
          <w:lang w:val="pt-BR"/>
        </w:rPr>
        <w:t>非甲烷总烃为每天采样4次，每次取1小时等时间间隔4</w:t>
      </w:r>
      <w:r>
        <w:rPr>
          <w:rFonts w:hint="default" w:ascii="Times New Roman" w:hAnsi="Times New Roman" w:eastAsia="宋体" w:cs="Times New Roman"/>
          <w:color w:val="auto"/>
          <w:highlight w:val="none"/>
          <w:lang w:val="pt-BR" w:eastAsia="zh-CN"/>
        </w:rPr>
        <w:t>个</w:t>
      </w:r>
      <w:r>
        <w:rPr>
          <w:rFonts w:hint="default" w:ascii="Times New Roman" w:hAnsi="Times New Roman" w:eastAsia="宋体" w:cs="Times New Roman"/>
          <w:color w:val="auto"/>
          <w:highlight w:val="none"/>
          <w:lang w:val="pt-BR"/>
        </w:rPr>
        <w:t>样品的平均值。</w:t>
      </w:r>
    </w:p>
    <w:p>
      <w:pPr>
        <w:pStyle w:val="57"/>
        <w:rPr>
          <w:rFonts w:hint="default"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rPr>
        <w:t>监测及分析方法</w:t>
      </w:r>
    </w:p>
    <w:p>
      <w:pPr>
        <w:pStyle w:val="57"/>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各监测项目的采样方法按国家环保总局颁布的《环境空气监测技术规范》的规定执行；分析方法按《空气和废气监测分析方法》和《环境空气质量标准》（GB3095-2012）引用标准的有关规定执行。具体见表4.</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baseline"/>
        <w:rPr>
          <w:rFonts w:hint="default" w:cs="Times New Roman"/>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rPr>
      </w:pPr>
      <w:r>
        <w:rPr>
          <w:rFonts w:hint="default" w:cs="Times New Roman"/>
          <w:color w:val="auto"/>
          <w:highlight w:val="none"/>
        </w:rPr>
        <w:t>表4.</w:t>
      </w:r>
      <w:r>
        <w:rPr>
          <w:rFonts w:hint="eastAsia" w:cs="Times New Roman"/>
          <w:color w:val="auto"/>
          <w:highlight w:val="none"/>
          <w:lang w:val="en-US" w:eastAsia="zh-CN"/>
        </w:rPr>
        <w:t>6</w:t>
      </w:r>
      <w:r>
        <w:rPr>
          <w:rFonts w:hint="default" w:cs="Times New Roman"/>
          <w:color w:val="auto"/>
          <w:highlight w:val="none"/>
        </w:rPr>
        <w:t>-</w:t>
      </w:r>
      <w:r>
        <w:rPr>
          <w:rFonts w:hint="eastAsia" w:cs="Times New Roman"/>
          <w:color w:val="auto"/>
          <w:highlight w:val="none"/>
          <w:lang w:val="en-US" w:eastAsia="zh-CN"/>
        </w:rPr>
        <w:t>4</w:t>
      </w:r>
      <w:r>
        <w:rPr>
          <w:rFonts w:hint="default" w:cs="Times New Roman"/>
          <w:color w:val="auto"/>
          <w:highlight w:val="none"/>
        </w:rPr>
        <w:t>大气污染物采样分析方法及依据</w:t>
      </w:r>
    </w:p>
    <w:tbl>
      <w:tblPr>
        <w:tblStyle w:val="34"/>
        <w:tblW w:w="853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6"/>
        <w:gridCol w:w="1400"/>
        <w:gridCol w:w="4519"/>
        <w:gridCol w:w="21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序号</w:t>
            </w:r>
          </w:p>
        </w:tc>
        <w:tc>
          <w:tcPr>
            <w:tcW w:w="1400"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监测项目</w:t>
            </w:r>
          </w:p>
        </w:tc>
        <w:tc>
          <w:tcPr>
            <w:tcW w:w="4519" w:type="dxa"/>
            <w:tcBorders>
              <w:tl2br w:val="nil"/>
              <w:tr2bl w:val="nil"/>
            </w:tcBorders>
            <w:noWrap w:val="0"/>
            <w:vAlign w:val="center"/>
          </w:tcPr>
          <w:p>
            <w:pPr>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分析方法</w:t>
            </w:r>
            <w:r>
              <w:rPr>
                <w:rFonts w:hint="eastAsia" w:ascii="Times New Roman" w:hAnsi="Times New Roman" w:cs="Times New Roman"/>
                <w:color w:val="auto"/>
                <w:sz w:val="21"/>
                <w:szCs w:val="21"/>
                <w:highlight w:val="none"/>
                <w:shd w:val="clear" w:color="auto" w:fill="auto"/>
                <w:lang w:val="en-US" w:eastAsia="zh-CN"/>
              </w:rPr>
              <w:t>及</w:t>
            </w:r>
          </w:p>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依据</w:t>
            </w:r>
          </w:p>
        </w:tc>
        <w:tc>
          <w:tcPr>
            <w:tcW w:w="2162"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检出限（mg/m</w:t>
            </w:r>
            <w:r>
              <w:rPr>
                <w:rFonts w:hint="default" w:ascii="Times New Roman" w:hAnsi="Times New Roman" w:cs="Times New Roman"/>
                <w:color w:val="auto"/>
                <w:sz w:val="21"/>
                <w:szCs w:val="21"/>
                <w:highlight w:val="none"/>
                <w:shd w:val="clear" w:color="auto" w:fill="auto"/>
                <w:vertAlign w:val="superscript"/>
              </w:rPr>
              <w:t>3</w:t>
            </w:r>
            <w:r>
              <w:rPr>
                <w:rFonts w:hint="default" w:ascii="Times New Roman" w:hAnsi="Times New Roman" w:cs="Times New Roman"/>
                <w:color w:val="auto"/>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1</w:t>
            </w:r>
          </w:p>
        </w:tc>
        <w:tc>
          <w:tcPr>
            <w:tcW w:w="1400"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H</w:t>
            </w:r>
            <w:r>
              <w:rPr>
                <w:rFonts w:hint="default" w:ascii="Times New Roman" w:hAnsi="Times New Roman" w:cs="Times New Roman"/>
                <w:color w:val="auto"/>
                <w:sz w:val="21"/>
                <w:szCs w:val="21"/>
                <w:highlight w:val="none"/>
                <w:shd w:val="clear" w:color="auto" w:fill="auto"/>
                <w:vertAlign w:val="subscript"/>
              </w:rPr>
              <w:t>2</w:t>
            </w:r>
            <w:r>
              <w:rPr>
                <w:rFonts w:hint="default" w:ascii="Times New Roman" w:hAnsi="Times New Roman" w:cs="Times New Roman"/>
                <w:color w:val="auto"/>
                <w:sz w:val="21"/>
                <w:szCs w:val="21"/>
                <w:highlight w:val="none"/>
                <w:shd w:val="clear" w:color="auto" w:fill="auto"/>
              </w:rPr>
              <w:t>S</w:t>
            </w:r>
          </w:p>
        </w:tc>
        <w:tc>
          <w:tcPr>
            <w:tcW w:w="451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《居住区大气中硫化氢卫生检验标准方法 亚甲蓝分光光度法》</w:t>
            </w:r>
            <w:r>
              <w:rPr>
                <w:rFonts w:hint="eastAsia" w:ascii="Times New Roman" w:hAnsi="Times New Roman" w:eastAsia="宋体" w:cs="Times New Roman"/>
                <w:color w:val="auto"/>
                <w:sz w:val="21"/>
                <w:szCs w:val="21"/>
                <w:highlight w:val="none"/>
                <w:shd w:val="clear" w:color="auto" w:fill="auto"/>
                <w:lang w:eastAsia="zh-CN"/>
              </w:rPr>
              <w:t>（GB/T 11742-1989）</w:t>
            </w:r>
          </w:p>
        </w:tc>
        <w:tc>
          <w:tcPr>
            <w:tcW w:w="2162"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0.0</w:t>
            </w:r>
            <w:r>
              <w:rPr>
                <w:rFonts w:hint="eastAsia" w:ascii="Times New Roman" w:hAnsi="Times New Roman" w:cs="Times New Roman"/>
                <w:color w:val="auto"/>
                <w:sz w:val="21"/>
                <w:szCs w:val="21"/>
                <w:highlight w:val="none"/>
                <w:shd w:val="clear" w:color="auto" w:fill="auto"/>
                <w:lang w:val="en-US" w:eastAsia="zh-CN"/>
              </w:rPr>
              <w:t>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56"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2</w:t>
            </w:r>
          </w:p>
        </w:tc>
        <w:tc>
          <w:tcPr>
            <w:tcW w:w="1400" w:type="dxa"/>
            <w:tcBorders>
              <w:tl2br w:val="nil"/>
              <w:tr2bl w:val="nil"/>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NMHC</w:t>
            </w:r>
          </w:p>
        </w:tc>
        <w:tc>
          <w:tcPr>
            <w:tcW w:w="4519"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eastAsia="宋体" w:cs="Times New Roman"/>
                <w:color w:val="auto"/>
                <w:sz w:val="21"/>
                <w:szCs w:val="21"/>
                <w:highlight w:val="none"/>
                <w:shd w:val="clear" w:color="auto" w:fill="auto"/>
                <w:lang w:val="en-US" w:eastAsia="zh-CN"/>
              </w:rPr>
              <w:t>《环境空气总烃、甲烷和非甲烷总烃的测定直接进样－气相色谱法》（</w:t>
            </w:r>
            <w:r>
              <w:rPr>
                <w:rFonts w:hint="default" w:ascii="Times New Roman" w:hAnsi="Times New Roman" w:eastAsia="宋体" w:cs="Times New Roman"/>
                <w:color w:val="auto"/>
                <w:sz w:val="21"/>
                <w:szCs w:val="21"/>
                <w:highlight w:val="none"/>
                <w:shd w:val="clear" w:color="auto" w:fill="auto"/>
                <w:lang w:val="en-US" w:eastAsia="zh-CN"/>
              </w:rPr>
              <w:t>HJ 604-2017</w:t>
            </w:r>
            <w:r>
              <w:rPr>
                <w:rFonts w:hint="eastAsia" w:ascii="Times New Roman" w:hAnsi="Times New Roman" w:eastAsia="宋体" w:cs="Times New Roman"/>
                <w:color w:val="auto"/>
                <w:sz w:val="21"/>
                <w:szCs w:val="21"/>
                <w:highlight w:val="none"/>
                <w:shd w:val="clear" w:color="auto" w:fill="auto"/>
                <w:lang w:val="en-US" w:eastAsia="zh-CN"/>
              </w:rPr>
              <w:t>）</w:t>
            </w:r>
          </w:p>
        </w:tc>
        <w:tc>
          <w:tcPr>
            <w:tcW w:w="216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0.07</w:t>
            </w:r>
          </w:p>
        </w:tc>
      </w:tr>
    </w:tbl>
    <w:p>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（4）评价标准</w:t>
      </w:r>
    </w:p>
    <w:p>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非甲烷总烃1小时评价浓度参考执行《大气污染物综合排放标准》（GB16297-1996）详解中的浓度限值2</w:t>
      </w:r>
      <w:r>
        <w:rPr>
          <w:rFonts w:hint="eastAsia" w:ascii="Times New Roman" w:hAnsi="Times New Roman" w:eastAsia="宋体" w:cs="Times New Roman"/>
          <w:color w:val="auto"/>
          <w:highlight w:val="none"/>
          <w:lang w:val="en-US" w:eastAsia="zh-CN"/>
        </w:rPr>
        <w:t>000</w:t>
      </w:r>
      <w:r>
        <w:rPr>
          <w:rFonts w:hint="default" w:ascii="Times New Roman" w:hAnsi="Times New Roman" w:eastAsia="宋体" w:cs="Times New Roman"/>
          <w:color w:val="auto"/>
          <w:highlight w:val="none"/>
          <w:lang w:eastAsia="zh-CN"/>
        </w:rPr>
        <w:t>μg/m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，H</w:t>
      </w:r>
      <w:r>
        <w:rPr>
          <w:rFonts w:hint="default" w:ascii="Times New Roman" w:hAnsi="Times New Roman" w:eastAsia="宋体" w:cs="Times New Roman"/>
          <w:color w:val="auto"/>
          <w:highlight w:val="none"/>
          <w:vertAlign w:val="subscript"/>
          <w:lang w:eastAsia="zh-CN"/>
        </w:rPr>
        <w:t>2</w:t>
      </w:r>
      <w:r>
        <w:rPr>
          <w:rFonts w:hint="default" w:ascii="Times New Roman" w:hAnsi="Times New Roman" w:eastAsia="宋体" w:cs="Times New Roman"/>
          <w:color w:val="auto"/>
          <w:highlight w:val="none"/>
          <w:lang w:eastAsia="zh-CN"/>
        </w:rPr>
        <w:t>S执行《环境影响评价技术导则大气环境》（HJ2.2-2018）附录D中其他污染物空气质量浓度参考限值（10μg/m³）的浓度限值要求。</w:t>
      </w:r>
    </w:p>
    <w:p>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（5）评价方法</w:t>
      </w:r>
    </w:p>
    <w:p>
      <w:pPr>
        <w:pStyle w:val="57"/>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采用最大</w:t>
      </w:r>
      <w:r>
        <w:rPr>
          <w:rFonts w:hint="eastAsia" w:ascii="Times New Roman" w:hAnsi="Times New Roman" w:eastAsia="宋体" w:cs="Times New Roman"/>
          <w:color w:val="auto"/>
          <w:highlight w:val="none"/>
          <w:lang w:val="en-US" w:eastAsia="zh-CN"/>
        </w:rPr>
        <w:t>浓度</w:t>
      </w:r>
      <w:r>
        <w:rPr>
          <w:rFonts w:hint="eastAsia" w:ascii="Times New Roman" w:hAnsi="Times New Roman" w:eastAsia="宋体" w:cs="Times New Roman"/>
          <w:color w:val="auto"/>
          <w:highlight w:val="none"/>
          <w:lang w:eastAsia="zh-CN"/>
        </w:rPr>
        <w:t>占标率法</w:t>
      </w:r>
      <w:r>
        <w:rPr>
          <w:rFonts w:hint="default" w:ascii="Times New Roman" w:hAnsi="Times New Roman" w:eastAsia="宋体" w:cs="Times New Roman"/>
          <w:color w:val="auto"/>
          <w:highlight w:val="none"/>
          <w:lang w:eastAsia="zh-CN"/>
        </w:rPr>
        <w:t>进行评价区环境空气质量现状评价，计算公式如下：</w:t>
      </w:r>
    </w:p>
    <w:p>
      <w:pPr>
        <w:pStyle w:val="57"/>
        <w:jc w:val="center"/>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Pi=Ci/Coi×100%</w:t>
      </w:r>
    </w:p>
    <w:p>
      <w:pPr>
        <w:pStyle w:val="57"/>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式中：Pi—</w:t>
      </w:r>
      <w:r>
        <w:rPr>
          <w:rFonts w:hint="eastAsia" w:ascii="Times New Roman" w:hAnsi="Times New Roman" w:eastAsia="宋体" w:cs="Times New Roman"/>
          <w:color w:val="auto"/>
          <w:highlight w:val="none"/>
          <w:lang w:val="en-US" w:eastAsia="zh-CN"/>
        </w:rPr>
        <w:t>第</w:t>
      </w:r>
      <w:r>
        <w:rPr>
          <w:rFonts w:hint="eastAsia" w:ascii="Times New Roman" w:hAnsi="Times New Roman" w:eastAsia="宋体" w:cs="Times New Roman"/>
          <w:color w:val="auto"/>
          <w:highlight w:val="none"/>
          <w:lang w:eastAsia="zh-CN"/>
        </w:rPr>
        <w:t>i</w:t>
      </w:r>
      <w:r>
        <w:rPr>
          <w:rFonts w:hint="eastAsia" w:ascii="Times New Roman" w:hAnsi="Times New Roman" w:eastAsia="宋体" w:cs="Times New Roman"/>
          <w:color w:val="auto"/>
          <w:highlight w:val="none"/>
          <w:lang w:val="en-US" w:eastAsia="zh-CN"/>
        </w:rPr>
        <w:t>个</w:t>
      </w:r>
      <w:r>
        <w:rPr>
          <w:rFonts w:hint="eastAsia" w:ascii="Times New Roman" w:hAnsi="Times New Roman" w:eastAsia="宋体" w:cs="Times New Roman"/>
          <w:color w:val="auto"/>
          <w:highlight w:val="none"/>
          <w:lang w:eastAsia="zh-CN"/>
        </w:rPr>
        <w:t>污染物</w:t>
      </w:r>
      <w:r>
        <w:rPr>
          <w:rFonts w:hint="eastAsia" w:ascii="Times New Roman" w:hAnsi="Times New Roman" w:eastAsia="宋体" w:cs="Times New Roman"/>
          <w:color w:val="auto"/>
          <w:highlight w:val="none"/>
          <w:lang w:val="en-US" w:eastAsia="zh-CN"/>
        </w:rPr>
        <w:t>的最大地面空气质量浓度</w:t>
      </w:r>
      <w:r>
        <w:rPr>
          <w:rFonts w:hint="eastAsia" w:ascii="Times New Roman" w:hAnsi="Times New Roman" w:eastAsia="宋体" w:cs="Times New Roman"/>
          <w:color w:val="auto"/>
          <w:highlight w:val="none"/>
          <w:lang w:eastAsia="zh-CN"/>
        </w:rPr>
        <w:t>占标率，</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lang w:eastAsia="zh-CN"/>
        </w:rPr>
        <w:t>；</w:t>
      </w:r>
    </w:p>
    <w:p>
      <w:pPr>
        <w:pStyle w:val="57"/>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Ci—</w:t>
      </w:r>
      <w:r>
        <w:rPr>
          <w:rFonts w:hint="eastAsia" w:ascii="Times New Roman" w:hAnsi="Times New Roman" w:eastAsia="宋体" w:cs="Times New Roman"/>
          <w:color w:val="auto"/>
          <w:highlight w:val="none"/>
          <w:lang w:val="en-US" w:eastAsia="zh-CN"/>
        </w:rPr>
        <w:t>采用估算模型计算出的第</w:t>
      </w:r>
      <w:r>
        <w:rPr>
          <w:rFonts w:hint="eastAsia" w:ascii="Times New Roman" w:hAnsi="Times New Roman" w:eastAsia="宋体" w:cs="Times New Roman"/>
          <w:color w:val="auto"/>
          <w:highlight w:val="none"/>
          <w:lang w:eastAsia="zh-CN"/>
        </w:rPr>
        <w:t>i</w:t>
      </w:r>
      <w:r>
        <w:rPr>
          <w:rFonts w:hint="eastAsia" w:ascii="Times New Roman" w:hAnsi="Times New Roman" w:eastAsia="宋体" w:cs="Times New Roman"/>
          <w:color w:val="auto"/>
          <w:highlight w:val="none"/>
          <w:lang w:val="en-US" w:eastAsia="zh-CN"/>
        </w:rPr>
        <w:t>个</w:t>
      </w:r>
      <w:r>
        <w:rPr>
          <w:rFonts w:hint="eastAsia" w:ascii="Times New Roman" w:hAnsi="Times New Roman" w:eastAsia="宋体" w:cs="Times New Roman"/>
          <w:color w:val="auto"/>
          <w:highlight w:val="none"/>
          <w:lang w:eastAsia="zh-CN"/>
        </w:rPr>
        <w:t>污染物</w:t>
      </w:r>
      <w:r>
        <w:rPr>
          <w:rFonts w:hint="eastAsia" w:ascii="Times New Roman" w:hAnsi="Times New Roman" w:eastAsia="宋体" w:cs="Times New Roman"/>
          <w:color w:val="auto"/>
          <w:highlight w:val="none"/>
          <w:lang w:val="en-US" w:eastAsia="zh-CN"/>
        </w:rPr>
        <w:t>的最大1h地面空气质量浓度</w:t>
      </w: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μg/m</w:t>
      </w:r>
      <w:r>
        <w:rPr>
          <w:rFonts w:hint="default" w:ascii="Times New Roman" w:hAnsi="Times New Roman" w:eastAsia="宋体" w:cs="Times New Roman"/>
          <w:color w:val="auto"/>
          <w:highlight w:val="none"/>
          <w:vertAlign w:val="superscript"/>
          <w:lang w:eastAsia="zh-CN"/>
        </w:rPr>
        <w:t>3</w:t>
      </w:r>
      <w:r>
        <w:rPr>
          <w:rFonts w:hint="eastAsia" w:ascii="Times New Roman" w:hAnsi="Times New Roman" w:eastAsia="宋体" w:cs="Times New Roman"/>
          <w:color w:val="auto"/>
          <w:highlight w:val="none"/>
          <w:lang w:eastAsia="zh-CN"/>
        </w:rPr>
        <w:t>；</w:t>
      </w:r>
    </w:p>
    <w:p>
      <w:pPr>
        <w:pStyle w:val="57"/>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C0i—</w:t>
      </w:r>
      <w:r>
        <w:rPr>
          <w:rFonts w:hint="eastAsia" w:ascii="Times New Roman" w:hAnsi="Times New Roman" w:eastAsia="宋体" w:cs="Times New Roman"/>
          <w:color w:val="auto"/>
          <w:highlight w:val="none"/>
          <w:lang w:val="en-US" w:eastAsia="zh-CN"/>
        </w:rPr>
        <w:t>第</w:t>
      </w:r>
      <w:r>
        <w:rPr>
          <w:rFonts w:hint="eastAsia" w:ascii="Times New Roman" w:hAnsi="Times New Roman" w:eastAsia="宋体" w:cs="Times New Roman"/>
          <w:color w:val="auto"/>
          <w:highlight w:val="none"/>
          <w:lang w:eastAsia="zh-CN"/>
        </w:rPr>
        <w:t>i</w:t>
      </w:r>
      <w:r>
        <w:rPr>
          <w:rFonts w:hint="eastAsia" w:ascii="Times New Roman" w:hAnsi="Times New Roman" w:eastAsia="宋体" w:cs="Times New Roman"/>
          <w:color w:val="auto"/>
          <w:highlight w:val="none"/>
          <w:lang w:val="en-US" w:eastAsia="zh-CN"/>
        </w:rPr>
        <w:t>个</w:t>
      </w:r>
      <w:r>
        <w:rPr>
          <w:rFonts w:hint="eastAsia" w:ascii="Times New Roman" w:hAnsi="Times New Roman" w:eastAsia="宋体" w:cs="Times New Roman"/>
          <w:color w:val="auto"/>
          <w:highlight w:val="none"/>
          <w:lang w:eastAsia="zh-CN"/>
        </w:rPr>
        <w:t>污染物的</w:t>
      </w:r>
      <w:r>
        <w:rPr>
          <w:rFonts w:hint="eastAsia" w:ascii="Times New Roman" w:hAnsi="Times New Roman" w:eastAsia="宋体" w:cs="Times New Roman"/>
          <w:color w:val="auto"/>
          <w:highlight w:val="none"/>
          <w:lang w:val="en-US" w:eastAsia="zh-CN"/>
        </w:rPr>
        <w:t>环境空气质量浓度</w:t>
      </w:r>
      <w:r>
        <w:rPr>
          <w:rFonts w:hint="eastAsia" w:ascii="Times New Roman" w:hAnsi="Times New Roman" w:eastAsia="宋体" w:cs="Times New Roman"/>
          <w:color w:val="auto"/>
          <w:highlight w:val="none"/>
          <w:lang w:eastAsia="zh-CN"/>
        </w:rPr>
        <w:t>标准，</w:t>
      </w:r>
      <w:r>
        <w:rPr>
          <w:rFonts w:hint="default" w:ascii="Times New Roman" w:hAnsi="Times New Roman" w:eastAsia="宋体" w:cs="Times New Roman"/>
          <w:color w:val="auto"/>
          <w:highlight w:val="none"/>
          <w:lang w:eastAsia="zh-CN"/>
        </w:rPr>
        <w:t>μg/m</w:t>
      </w:r>
      <w:r>
        <w:rPr>
          <w:rFonts w:hint="default" w:ascii="Times New Roman" w:hAnsi="Times New Roman" w:eastAsia="宋体" w:cs="Times New Roman"/>
          <w:color w:val="auto"/>
          <w:highlight w:val="none"/>
          <w:vertAlign w:val="superscript"/>
          <w:lang w:eastAsia="zh-CN"/>
        </w:rPr>
        <w:t>3</w:t>
      </w:r>
      <w:r>
        <w:rPr>
          <w:rFonts w:hint="default" w:ascii="Times New Roman" w:hAnsi="Times New Roman" w:eastAsia="宋体" w:cs="Times New Roman"/>
          <w:color w:val="auto"/>
          <w:highlight w:val="none"/>
          <w:lang w:eastAsia="zh-CN"/>
        </w:rPr>
        <w:t>。</w:t>
      </w:r>
    </w:p>
    <w:p>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（6）评价结果</w:t>
      </w:r>
    </w:p>
    <w:p>
      <w:pPr>
        <w:pStyle w:val="57"/>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监测及评价结果见表4.</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default" w:cs="Times New Roman"/>
          <w:color w:val="auto"/>
          <w:highlight w:val="none"/>
        </w:rPr>
      </w:pPr>
      <w:r>
        <w:rPr>
          <w:rFonts w:hint="default" w:cs="Times New Roman"/>
          <w:color w:val="auto"/>
          <w:highlight w:val="none"/>
          <w:lang w:val="en-US" w:eastAsia="zh-CN"/>
        </w:rPr>
        <w:t>表4.</w:t>
      </w:r>
      <w:r>
        <w:rPr>
          <w:rFonts w:hint="eastAsia" w:cs="Times New Roman"/>
          <w:color w:val="auto"/>
          <w:highlight w:val="none"/>
          <w:lang w:val="en-US" w:eastAsia="zh-CN"/>
        </w:rPr>
        <w:t>6</w:t>
      </w:r>
      <w:r>
        <w:rPr>
          <w:rFonts w:hint="default" w:cs="Times New Roman"/>
          <w:color w:val="auto"/>
          <w:highlight w:val="none"/>
          <w:lang w:val="en-US" w:eastAsia="zh-CN"/>
        </w:rPr>
        <w:t>-</w:t>
      </w:r>
      <w:r>
        <w:rPr>
          <w:rFonts w:hint="eastAsia" w:cs="Times New Roman"/>
          <w:color w:val="auto"/>
          <w:highlight w:val="none"/>
          <w:lang w:val="en-US" w:eastAsia="zh-CN"/>
        </w:rPr>
        <w:t>5</w:t>
      </w:r>
      <w:r>
        <w:rPr>
          <w:rFonts w:hint="default" w:cs="Times New Roman"/>
          <w:color w:val="auto"/>
          <w:highlight w:val="none"/>
          <w:lang w:val="en-US" w:eastAsia="zh-CN"/>
        </w:rPr>
        <w:t>其他污染物环境质量现状评价表</w:t>
      </w:r>
    </w:p>
    <w:tbl>
      <w:tblPr>
        <w:tblStyle w:val="34"/>
        <w:tblW w:w="843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28" w:type="dxa"/>
          <w:bottom w:w="0" w:type="dxa"/>
          <w:right w:w="28" w:type="dxa"/>
        </w:tblCellMar>
      </w:tblPr>
      <w:tblGrid>
        <w:gridCol w:w="1621"/>
        <w:gridCol w:w="1265"/>
        <w:gridCol w:w="1430"/>
        <w:gridCol w:w="1430"/>
        <w:gridCol w:w="1894"/>
        <w:gridCol w:w="798"/>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1621" w:type="dxa"/>
            <w:tcBorders>
              <w:top w:val="single" w:color="auto" w:sz="12" w:space="0"/>
              <w:left w:val="single" w:color="auto" w:sz="12"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监测点位</w:t>
            </w:r>
          </w:p>
        </w:tc>
        <w:tc>
          <w:tcPr>
            <w:tcW w:w="1265" w:type="dxa"/>
            <w:tcBorders>
              <w:top w:val="single" w:color="auto" w:sz="12" w:space="0"/>
              <w:left w:val="single" w:color="auto" w:sz="4" w:space="0"/>
              <w:bottom w:val="single" w:color="auto" w:sz="4" w:space="0"/>
              <w:right w:val="single" w:color="auto" w:sz="4" w:space="0"/>
            </w:tcBorders>
            <w:noWrap w:val="0"/>
            <w:vAlign w:val="center"/>
          </w:tcPr>
          <w:p>
            <w:pPr>
              <w:topLinePunct/>
              <w:jc w:val="center"/>
              <w:rPr>
                <w:rFonts w:hint="default" w:ascii="Times New Roman" w:hAnsi="Times New Roman" w:cs="Times New Roman"/>
                <w:snapToGrid w:val="0"/>
                <w:color w:val="auto"/>
                <w:sz w:val="21"/>
                <w:szCs w:val="21"/>
                <w:highlight w:val="none"/>
                <w:shd w:val="clear" w:color="auto" w:fill="auto"/>
              </w:rPr>
            </w:pPr>
            <w:r>
              <w:rPr>
                <w:rFonts w:hint="default" w:ascii="Times New Roman" w:hAnsi="Times New Roman" w:cs="Times New Roman"/>
                <w:snapToGrid w:val="0"/>
                <w:color w:val="auto"/>
                <w:sz w:val="21"/>
                <w:szCs w:val="21"/>
                <w:highlight w:val="none"/>
                <w:shd w:val="clear" w:color="auto" w:fill="auto"/>
              </w:rPr>
              <w:t>污染物</w:t>
            </w:r>
          </w:p>
        </w:tc>
        <w:tc>
          <w:tcPr>
            <w:tcW w:w="1430"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评价标准</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μg/m</w:t>
            </w:r>
            <w:r>
              <w:rPr>
                <w:rFonts w:hint="default" w:ascii="Times New Roman" w:hAnsi="Times New Roman" w:cs="Times New Roman"/>
                <w:color w:val="auto"/>
                <w:sz w:val="21"/>
                <w:szCs w:val="21"/>
                <w:highlight w:val="none"/>
                <w:shd w:val="clear" w:color="auto" w:fill="auto"/>
                <w:vertAlign w:val="superscript"/>
              </w:rPr>
              <w:t>3</w:t>
            </w:r>
            <w:r>
              <w:rPr>
                <w:rFonts w:hint="eastAsia" w:ascii="Times New Roman" w:hAnsi="Times New Roman" w:cs="Times New Roman"/>
                <w:color w:val="auto"/>
                <w:sz w:val="21"/>
                <w:szCs w:val="21"/>
                <w:highlight w:val="none"/>
                <w:shd w:val="clear" w:color="auto" w:fill="auto"/>
                <w:vertAlign w:val="baseline"/>
                <w:lang w:eastAsia="zh-CN"/>
              </w:rPr>
              <w:t>）</w:t>
            </w:r>
          </w:p>
        </w:tc>
        <w:tc>
          <w:tcPr>
            <w:tcW w:w="1430"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监测浓度范围</w:t>
            </w:r>
          </w:p>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(μg/m</w:t>
            </w:r>
            <w:r>
              <w:rPr>
                <w:rFonts w:hint="default" w:ascii="Times New Roman" w:hAnsi="Times New Roman" w:cs="Times New Roman"/>
                <w:color w:val="auto"/>
                <w:sz w:val="21"/>
                <w:szCs w:val="21"/>
                <w:highlight w:val="none"/>
                <w:shd w:val="clear" w:color="auto" w:fill="auto"/>
                <w:vertAlign w:val="superscript"/>
              </w:rPr>
              <w:t>3</w:t>
            </w:r>
            <w:r>
              <w:rPr>
                <w:rFonts w:hint="default" w:ascii="Times New Roman" w:hAnsi="Times New Roman" w:cs="Times New Roman"/>
                <w:color w:val="auto"/>
                <w:sz w:val="21"/>
                <w:szCs w:val="21"/>
                <w:highlight w:val="none"/>
                <w:shd w:val="clear" w:color="auto" w:fill="auto"/>
              </w:rPr>
              <w:t>)</w:t>
            </w:r>
          </w:p>
        </w:tc>
        <w:tc>
          <w:tcPr>
            <w:tcW w:w="1894" w:type="dxa"/>
            <w:tcBorders>
              <w:top w:val="single" w:color="auto" w:sz="12"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最大浓度占标率</w:t>
            </w:r>
          </w:p>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w:t>
            </w:r>
          </w:p>
        </w:tc>
        <w:tc>
          <w:tcPr>
            <w:tcW w:w="798" w:type="dxa"/>
            <w:tcBorders>
              <w:top w:val="single" w:color="auto" w:sz="12"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情况</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1621" w:type="dxa"/>
            <w:vMerge w:val="restart"/>
            <w:tcBorders>
              <w:top w:val="single" w:color="auto" w:sz="4" w:space="0"/>
              <w:left w:val="single" w:color="auto" w:sz="12" w:space="0"/>
              <w:bottom w:val="single" w:color="auto" w:sz="4" w:space="0"/>
              <w:right w:val="single" w:color="auto" w:sz="4" w:space="0"/>
            </w:tcBorders>
            <w:noWrap w:val="0"/>
            <w:vAlign w:val="center"/>
          </w:tcPr>
          <w:p>
            <w:pPr>
              <w:pStyle w:val="97"/>
              <w:spacing w:line="260" w:lineRule="exact"/>
              <w:ind w:left="0" w:leftChars="0" w:right="-31" w:rightChars="-15" w:firstLine="0" w:firstLineChars="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highlight w:val="none"/>
                <w:shd w:val="clear" w:color="auto" w:fill="auto"/>
              </w:rPr>
              <w:t>拟建MZHW4007井场</w:t>
            </w:r>
          </w:p>
        </w:tc>
        <w:tc>
          <w:tcPr>
            <w:tcW w:w="1265"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cs="Times New Roman"/>
                <w:color w:val="auto"/>
                <w:sz w:val="21"/>
                <w:szCs w:val="21"/>
                <w:highlight w:val="none"/>
                <w:shd w:val="clear" w:color="auto" w:fill="auto"/>
                <w:lang w:val="pt-BR"/>
              </w:rPr>
            </w:pPr>
            <w:r>
              <w:rPr>
                <w:rFonts w:hint="default" w:ascii="Times New Roman" w:hAnsi="Times New Roman" w:cs="Times New Roman"/>
                <w:color w:val="auto"/>
                <w:sz w:val="21"/>
                <w:szCs w:val="21"/>
                <w:highlight w:val="none"/>
                <w:shd w:val="clear" w:color="auto" w:fill="auto"/>
                <w:lang w:val="pt-BR"/>
              </w:rPr>
              <w:t>非甲烷总烃</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2000</w:t>
            </w:r>
          </w:p>
        </w:tc>
        <w:tc>
          <w:tcPr>
            <w:tcW w:w="1430"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530~960</w:t>
            </w:r>
          </w:p>
        </w:tc>
        <w:tc>
          <w:tcPr>
            <w:tcW w:w="1894" w:type="dxa"/>
            <w:tcBorders>
              <w:top w:val="single" w:color="auto" w:sz="4" w:space="0"/>
              <w:left w:val="single" w:color="auto" w:sz="4" w:space="0"/>
              <w:bottom w:val="single" w:color="auto" w:sz="4"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48</w:t>
            </w:r>
          </w:p>
        </w:tc>
        <w:tc>
          <w:tcPr>
            <w:tcW w:w="798" w:type="dxa"/>
            <w:tcBorders>
              <w:top w:val="single" w:color="auto" w:sz="4" w:space="0"/>
              <w:left w:val="single" w:color="auto" w:sz="4" w:space="0"/>
              <w:bottom w:val="single" w:color="auto" w:sz="4" w:space="0"/>
              <w:right w:val="single" w:color="auto" w:sz="12" w:space="0"/>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28" w:type="dxa"/>
            <w:bottom w:w="0" w:type="dxa"/>
            <w:right w:w="28" w:type="dxa"/>
          </w:tblCellMar>
        </w:tblPrEx>
        <w:trPr>
          <w:trHeight w:val="397" w:hRule="atLeast"/>
          <w:jc w:val="center"/>
        </w:trPr>
        <w:tc>
          <w:tcPr>
            <w:tcW w:w="1621" w:type="dxa"/>
            <w:vMerge w:val="continue"/>
            <w:tcBorders>
              <w:top w:val="single" w:color="auto" w:sz="4" w:space="0"/>
              <w:left w:val="single" w:color="auto" w:sz="12" w:space="0"/>
              <w:bottom w:val="single" w:color="auto" w:sz="12" w:space="0"/>
              <w:right w:val="single" w:color="auto" w:sz="4" w:space="0"/>
            </w:tcBorders>
            <w:noWrap w:val="0"/>
            <w:vAlign w:val="center"/>
          </w:tcPr>
          <w:p>
            <w:pPr>
              <w:rPr>
                <w:rFonts w:hint="default" w:ascii="Times New Roman" w:hAnsi="Times New Roman" w:cs="Times New Roman"/>
                <w:color w:val="auto"/>
                <w:sz w:val="21"/>
                <w:szCs w:val="21"/>
                <w:highlight w:val="none"/>
                <w:shd w:val="clear" w:color="auto" w:fill="auto"/>
              </w:rPr>
            </w:pPr>
          </w:p>
        </w:tc>
        <w:tc>
          <w:tcPr>
            <w:tcW w:w="1265"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cs="Times New Roman"/>
                <w:color w:val="auto"/>
                <w:sz w:val="21"/>
                <w:szCs w:val="21"/>
                <w:highlight w:val="none"/>
                <w:shd w:val="clear" w:color="auto" w:fill="auto"/>
                <w:lang w:val="pt-BR"/>
              </w:rPr>
            </w:pPr>
            <w:r>
              <w:rPr>
                <w:rFonts w:hint="default" w:ascii="Times New Roman" w:hAnsi="Times New Roman" w:cs="Times New Roman"/>
                <w:color w:val="auto"/>
                <w:sz w:val="21"/>
                <w:szCs w:val="21"/>
                <w:highlight w:val="none"/>
                <w:shd w:val="clear" w:color="auto" w:fill="auto"/>
                <w:lang w:val="pt-BR"/>
              </w:rPr>
              <w:t>硫化氢</w:t>
            </w:r>
          </w:p>
        </w:tc>
        <w:tc>
          <w:tcPr>
            <w:tcW w:w="1430"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10</w:t>
            </w:r>
          </w:p>
        </w:tc>
        <w:tc>
          <w:tcPr>
            <w:tcW w:w="1430"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4"/>
                <w:lang w:val="en-US" w:eastAsia="zh-CN"/>
              </w:rPr>
              <w:t>ND</w:t>
            </w:r>
          </w:p>
        </w:tc>
        <w:tc>
          <w:tcPr>
            <w:tcW w:w="1894" w:type="dxa"/>
            <w:tcBorders>
              <w:top w:val="single" w:color="auto" w:sz="4" w:space="0"/>
              <w:left w:val="single" w:color="auto" w:sz="4" w:space="0"/>
              <w:bottom w:val="single" w:color="auto" w:sz="12" w:space="0"/>
              <w:right w:val="single" w:color="auto" w:sz="4" w:space="0"/>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w:t>
            </w:r>
          </w:p>
        </w:tc>
        <w:tc>
          <w:tcPr>
            <w:tcW w:w="798" w:type="dxa"/>
            <w:tcBorders>
              <w:top w:val="single" w:color="auto" w:sz="4" w:space="0"/>
              <w:left w:val="single" w:color="auto" w:sz="4" w:space="0"/>
              <w:bottom w:val="single" w:color="auto" w:sz="12" w:space="0"/>
              <w:right w:val="single" w:color="auto" w:sz="12" w:space="0"/>
            </w:tcBorders>
            <w:noWrap w:val="0"/>
            <w:vAlign w:val="center"/>
          </w:tcPr>
          <w:p>
            <w:pPr>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达标</w:t>
            </w:r>
          </w:p>
        </w:tc>
      </w:tr>
    </w:tbl>
    <w:p>
      <w:pPr>
        <w:pStyle w:val="57"/>
        <w:rPr>
          <w:color w:val="auto"/>
          <w:highlight w:val="none"/>
        </w:rPr>
      </w:pPr>
      <w:r>
        <w:rPr>
          <w:rFonts w:hint="default" w:ascii="Times New Roman" w:hAnsi="Times New Roman" w:cs="Times New Roman"/>
          <w:color w:val="auto"/>
          <w:highlight w:val="none"/>
          <w:shd w:val="clear" w:color="auto" w:fill="auto"/>
        </w:rPr>
        <w:t>由监测结果可知，监测期间评价区特征污染物非甲烷总烃小时平均值在</w:t>
      </w:r>
      <w:r>
        <w:rPr>
          <w:rFonts w:hint="eastAsia" w:cs="Times New Roman"/>
          <w:color w:val="auto"/>
          <w:highlight w:val="none"/>
          <w:shd w:val="clear" w:color="auto" w:fill="auto"/>
          <w:lang w:val="en-US" w:eastAsia="zh-CN"/>
        </w:rPr>
        <w:t>530</w:t>
      </w:r>
      <w:r>
        <w:rPr>
          <w:rFonts w:hint="default" w:ascii="Times New Roman" w:hAnsi="Times New Roman" w:cs="Times New Roman"/>
          <w:color w:val="auto"/>
          <w:highlight w:val="none"/>
          <w:shd w:val="clear" w:color="auto" w:fill="auto"/>
        </w:rPr>
        <w:t>～</w:t>
      </w:r>
      <w:r>
        <w:rPr>
          <w:rFonts w:hint="eastAsia" w:cs="Times New Roman"/>
          <w:color w:val="auto"/>
          <w:highlight w:val="none"/>
          <w:shd w:val="clear" w:color="auto" w:fill="auto"/>
          <w:lang w:val="en-US" w:eastAsia="zh-CN"/>
        </w:rPr>
        <w:t>960</w:t>
      </w:r>
      <w:r>
        <w:rPr>
          <w:rFonts w:hint="default" w:ascii="Times New Roman" w:hAnsi="Times New Roman" w:cs="Times New Roman"/>
          <w:color w:val="auto"/>
          <w:sz w:val="24"/>
          <w:szCs w:val="24"/>
          <w:highlight w:val="none"/>
          <w:shd w:val="clear" w:color="auto" w:fill="auto"/>
        </w:rPr>
        <w:t>μg/m</w:t>
      </w:r>
      <w:r>
        <w:rPr>
          <w:rFonts w:hint="default" w:ascii="Times New Roman" w:hAnsi="Times New Roman" w:cs="Times New Roman"/>
          <w:color w:val="auto"/>
          <w:sz w:val="24"/>
          <w:szCs w:val="24"/>
          <w:highlight w:val="none"/>
          <w:shd w:val="clear" w:color="auto" w:fill="auto"/>
          <w:vertAlign w:val="superscript"/>
        </w:rPr>
        <w:t>3</w:t>
      </w:r>
      <w:r>
        <w:rPr>
          <w:rFonts w:hint="default" w:ascii="Times New Roman" w:hAnsi="Times New Roman" w:cs="Times New Roman"/>
          <w:color w:val="auto"/>
          <w:highlight w:val="none"/>
          <w:shd w:val="clear" w:color="auto" w:fill="auto"/>
        </w:rPr>
        <w:t>之间，最大占标率为</w:t>
      </w:r>
      <w:r>
        <w:rPr>
          <w:rFonts w:hint="eastAsia" w:cs="Times New Roman"/>
          <w:color w:val="auto"/>
          <w:highlight w:val="none"/>
          <w:shd w:val="clear" w:color="auto" w:fill="auto"/>
          <w:lang w:val="en-US" w:eastAsia="zh-CN"/>
        </w:rPr>
        <w:t>48</w:t>
      </w:r>
      <w:r>
        <w:rPr>
          <w:rFonts w:hint="default" w:ascii="Times New Roman" w:hAnsi="Times New Roman" w:cs="Times New Roman"/>
          <w:color w:val="auto"/>
          <w:highlight w:val="none"/>
          <w:shd w:val="clear" w:color="auto" w:fill="auto"/>
        </w:rPr>
        <w:t>%，能满足《大气污染物综合排放标准》（GB16297-1996）详解中浓度限值2</w:t>
      </w:r>
      <w:r>
        <w:rPr>
          <w:rFonts w:hint="eastAsia" w:ascii="Times New Roman" w:hAnsi="Times New Roman" w:cs="Times New Roman"/>
          <w:color w:val="auto"/>
          <w:highlight w:val="none"/>
          <w:shd w:val="clear" w:color="auto" w:fill="auto"/>
          <w:lang w:val="en-US" w:eastAsia="zh-CN"/>
        </w:rPr>
        <w:t>000</w:t>
      </w:r>
      <w:r>
        <w:rPr>
          <w:rFonts w:hint="default" w:ascii="Times New Roman" w:hAnsi="Times New Roman" w:cs="Times New Roman"/>
          <w:color w:val="auto"/>
          <w:sz w:val="24"/>
          <w:szCs w:val="24"/>
          <w:highlight w:val="none"/>
          <w:shd w:val="clear" w:color="auto" w:fill="auto"/>
        </w:rPr>
        <w:t>μg/m</w:t>
      </w:r>
      <w:r>
        <w:rPr>
          <w:rFonts w:hint="default" w:ascii="Times New Roman" w:hAnsi="Times New Roman" w:cs="Times New Roman"/>
          <w:color w:val="auto"/>
          <w:sz w:val="24"/>
          <w:szCs w:val="24"/>
          <w:highlight w:val="none"/>
          <w:shd w:val="clear" w:color="auto" w:fill="auto"/>
          <w:vertAlign w:val="superscript"/>
        </w:rPr>
        <w:t>3</w:t>
      </w:r>
      <w:r>
        <w:rPr>
          <w:rFonts w:hint="default" w:ascii="Times New Roman" w:hAnsi="Times New Roman" w:cs="Times New Roman"/>
          <w:color w:val="auto"/>
          <w:highlight w:val="none"/>
          <w:shd w:val="clear" w:color="auto" w:fill="auto"/>
        </w:rPr>
        <w:t>要求；H</w:t>
      </w:r>
      <w:r>
        <w:rPr>
          <w:rFonts w:hint="default" w:ascii="Times New Roman" w:hAnsi="Times New Roman" w:cs="Times New Roman"/>
          <w:color w:val="auto"/>
          <w:highlight w:val="none"/>
          <w:shd w:val="clear" w:color="auto" w:fill="auto"/>
          <w:vertAlign w:val="subscript"/>
        </w:rPr>
        <w:t>2</w:t>
      </w:r>
      <w:r>
        <w:rPr>
          <w:rFonts w:hint="default" w:ascii="Times New Roman" w:hAnsi="Times New Roman" w:cs="Times New Roman"/>
          <w:color w:val="auto"/>
          <w:highlight w:val="none"/>
          <w:shd w:val="clear" w:color="auto" w:fill="auto"/>
        </w:rPr>
        <w:t>S小时平均值</w:t>
      </w:r>
      <w:r>
        <w:rPr>
          <w:rFonts w:hint="default" w:ascii="Times New Roman" w:hAnsi="Times New Roman" w:cs="Times New Roman"/>
          <w:color w:val="auto"/>
          <w:highlight w:val="none"/>
          <w:shd w:val="clear" w:color="auto" w:fill="auto"/>
          <w:lang w:val="en-US" w:eastAsia="zh-CN"/>
        </w:rPr>
        <w:t>均未检出，</w:t>
      </w:r>
      <w:r>
        <w:rPr>
          <w:rFonts w:hint="default" w:ascii="Times New Roman" w:hAnsi="Times New Roman" w:cs="Times New Roman"/>
          <w:color w:val="auto"/>
          <w:highlight w:val="none"/>
          <w:shd w:val="clear" w:color="auto" w:fill="auto"/>
        </w:rPr>
        <w:t>能满足《环境影响评价技术导则大气环境》（HJ2.2-2018）附录D中其他污染物空气质量浓度参考限值（</w:t>
      </w:r>
      <w:r>
        <w:rPr>
          <w:rFonts w:hint="eastAsia" w:ascii="Times New Roman" w:hAnsi="Times New Roman" w:cs="Times New Roman"/>
          <w:color w:val="auto"/>
          <w:highlight w:val="none"/>
          <w:shd w:val="clear" w:color="auto" w:fill="auto"/>
          <w:lang w:val="en-US" w:eastAsia="zh-CN"/>
        </w:rPr>
        <w:t>10</w:t>
      </w:r>
      <w:r>
        <w:rPr>
          <w:rFonts w:hint="default" w:ascii="Times New Roman" w:hAnsi="Times New Roman" w:cs="Times New Roman"/>
          <w:color w:val="auto"/>
          <w:sz w:val="24"/>
          <w:szCs w:val="24"/>
          <w:highlight w:val="none"/>
          <w:shd w:val="clear" w:color="auto" w:fill="auto"/>
        </w:rPr>
        <w:t>μg/m</w:t>
      </w:r>
      <w:r>
        <w:rPr>
          <w:rFonts w:hint="default" w:ascii="Times New Roman" w:hAnsi="Times New Roman" w:cs="Times New Roman"/>
          <w:color w:val="auto"/>
          <w:sz w:val="24"/>
          <w:szCs w:val="24"/>
          <w:highlight w:val="none"/>
          <w:shd w:val="clear" w:color="auto" w:fill="auto"/>
          <w:vertAlign w:val="superscript"/>
        </w:rPr>
        <w:t>3</w:t>
      </w:r>
      <w:r>
        <w:rPr>
          <w:rFonts w:hint="default" w:ascii="Times New Roman" w:hAnsi="Times New Roman" w:cs="Times New Roman"/>
          <w:color w:val="auto"/>
          <w:highlight w:val="none"/>
          <w:shd w:val="clear" w:color="auto" w:fill="auto"/>
        </w:rPr>
        <w:t>）的浓度限值要求。</w:t>
      </w:r>
      <w:bookmarkStart w:id="577" w:name="_Toc173941869"/>
      <w:bookmarkStart w:id="578" w:name="_Toc4443"/>
    </w:p>
    <w:p>
      <w:pPr>
        <w:pStyle w:val="49"/>
        <w:pageBreakBefore w:val="0"/>
        <w:kinsoku/>
        <w:wordWrap/>
        <w:overflowPunct/>
        <w:topLinePunct w:val="0"/>
        <w:autoSpaceDE/>
        <w:autoSpaceDN/>
        <w:bidi w:val="0"/>
        <w:spacing w:line="480" w:lineRule="exact"/>
        <w:rPr>
          <w:rFonts w:eastAsia="宋体"/>
          <w:color w:val="auto"/>
          <w:highlight w:val="none"/>
        </w:rPr>
      </w:pPr>
      <w:bookmarkStart w:id="579" w:name="_Toc19819"/>
      <w:r>
        <w:rPr>
          <w:rFonts w:hint="eastAsia" w:eastAsia="宋体"/>
          <w:color w:val="auto"/>
          <w:highlight w:val="none"/>
        </w:rPr>
        <w:t>4</w:t>
      </w:r>
      <w:r>
        <w:rPr>
          <w:rFonts w:eastAsia="宋体"/>
          <w:color w:val="auto"/>
          <w:highlight w:val="none"/>
        </w:rPr>
        <w:t>.</w:t>
      </w:r>
      <w:r>
        <w:rPr>
          <w:rFonts w:hint="eastAsia" w:eastAsia="宋体"/>
          <w:color w:val="auto"/>
          <w:highlight w:val="none"/>
        </w:rPr>
        <w:t>7</w:t>
      </w:r>
      <w:r>
        <w:rPr>
          <w:rFonts w:eastAsia="宋体"/>
          <w:color w:val="auto"/>
          <w:highlight w:val="none"/>
        </w:rPr>
        <w:t>声环境现状</w:t>
      </w:r>
      <w:r>
        <w:rPr>
          <w:rFonts w:hint="eastAsia" w:eastAsia="宋体"/>
          <w:color w:val="auto"/>
          <w:highlight w:val="none"/>
        </w:rPr>
        <w:t>调查与</w:t>
      </w:r>
      <w:r>
        <w:rPr>
          <w:rFonts w:eastAsia="宋体"/>
          <w:color w:val="auto"/>
          <w:highlight w:val="none"/>
        </w:rPr>
        <w:t>评价</w:t>
      </w:r>
      <w:bookmarkEnd w:id="577"/>
      <w:bookmarkEnd w:id="578"/>
      <w:bookmarkEnd w:id="579"/>
    </w:p>
    <w:p>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"_Toc28258" </w:instrText>
      </w:r>
      <w:r>
        <w:rPr>
          <w:color w:val="auto"/>
          <w:highlight w:val="none"/>
        </w:rPr>
        <w:fldChar w:fldCharType="separate"/>
      </w:r>
      <w:r>
        <w:rPr>
          <w:rFonts w:hint="eastAsia"/>
          <w:color w:val="auto"/>
          <w:highlight w:val="none"/>
        </w:rPr>
        <w:t>4.7.1 声环境现状监测</w:t>
      </w:r>
      <w:r>
        <w:rPr>
          <w:rFonts w:hint="eastAsia"/>
          <w:color w:val="auto"/>
          <w:highlight w:val="none"/>
        </w:rPr>
        <w:fldChar w:fldCharType="end"/>
      </w:r>
    </w:p>
    <w:p>
      <w:pPr>
        <w:pStyle w:val="53"/>
        <w:pageBreakBefore w:val="0"/>
        <w:kinsoku/>
        <w:wordWrap/>
        <w:overflowPunct/>
        <w:topLinePunct w:val="0"/>
        <w:autoSpaceDE/>
        <w:autoSpaceDN/>
        <w:bidi w:val="0"/>
        <w:spacing w:line="480" w:lineRule="exact"/>
        <w:rPr>
          <w:color w:val="auto"/>
          <w:sz w:val="25"/>
          <w:szCs w:val="25"/>
          <w:highlight w:val="none"/>
        </w:rPr>
      </w:pPr>
      <w:r>
        <w:rPr>
          <w:color w:val="auto"/>
          <w:highlight w:val="none"/>
        </w:rPr>
        <w:fldChar w:fldCharType="begin"/>
      </w:r>
      <w:r>
        <w:rPr>
          <w:color w:val="auto"/>
          <w:highlight w:val="none"/>
        </w:rPr>
        <w:instrText xml:space="preserve"> HYPERLINK \l "_Toc23969" </w:instrText>
      </w:r>
      <w:r>
        <w:rPr>
          <w:color w:val="auto"/>
          <w:highlight w:val="none"/>
        </w:rPr>
        <w:fldChar w:fldCharType="separate"/>
      </w:r>
      <w:r>
        <w:rPr>
          <w:rFonts w:hint="eastAsia"/>
          <w:color w:val="auto"/>
          <w:highlight w:val="none"/>
        </w:rPr>
        <w:t>4.7.2 声环境现状评价</w:t>
      </w:r>
      <w:r>
        <w:rPr>
          <w:rFonts w:hint="eastAsia"/>
          <w:color w:val="auto"/>
          <w:highlight w:val="none"/>
        </w:rPr>
        <w:fldChar w:fldCharType="end"/>
      </w:r>
    </w:p>
    <w:p>
      <w:pPr>
        <w:pStyle w:val="57"/>
        <w:pageBreakBefore w:val="0"/>
        <w:kinsoku/>
        <w:wordWrap/>
        <w:overflowPunct/>
        <w:topLinePunct w:val="0"/>
        <w:autoSpaceDE/>
        <w:autoSpaceDN/>
        <w:bidi w:val="0"/>
        <w:spacing w:line="480" w:lineRule="exact"/>
        <w:rPr>
          <w:color w:val="auto"/>
          <w:spacing w:val="4"/>
          <w:kern w:val="24"/>
          <w:highlight w:val="none"/>
        </w:rPr>
      </w:pPr>
      <w:r>
        <w:rPr>
          <w:color w:val="auto"/>
          <w:highlight w:val="none"/>
        </w:rPr>
        <w:t>声环境现状调查采用现场监测法。</w:t>
      </w:r>
      <w:r>
        <w:rPr>
          <w:color w:val="auto"/>
          <w:spacing w:val="4"/>
          <w:kern w:val="24"/>
          <w:highlight w:val="none"/>
        </w:rPr>
        <w:t>声环境现状</w:t>
      </w:r>
      <w:r>
        <w:rPr>
          <w:color w:val="auto"/>
          <w:highlight w:val="none"/>
        </w:rPr>
        <w:t>委托</w:t>
      </w:r>
      <w:r>
        <w:rPr>
          <w:rFonts w:hint="eastAsia"/>
          <w:color w:val="auto"/>
          <w:highlight w:val="none"/>
          <w:lang w:eastAsia="zh-CN"/>
        </w:rPr>
        <w:t>克拉玛依钧仪衡环境检测有限公司</w:t>
      </w:r>
      <w:r>
        <w:rPr>
          <w:color w:val="auto"/>
          <w:highlight w:val="none"/>
          <w:lang w:val="zh-CN"/>
        </w:rPr>
        <w:t>进行</w:t>
      </w:r>
      <w:r>
        <w:rPr>
          <w:color w:val="auto"/>
          <w:highlight w:val="none"/>
        </w:rPr>
        <w:t>现场监测</w:t>
      </w:r>
      <w:r>
        <w:rPr>
          <w:color w:val="auto"/>
          <w:spacing w:val="4"/>
          <w:kern w:val="24"/>
          <w:highlight w:val="none"/>
        </w:rPr>
        <w:t>。</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（1）监测点位</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为了说明场地声环境质量现状，本次在新建井场、新建站场、声环境敏感点等进行声环境质量现状监测。</w:t>
      </w:r>
      <w:r>
        <w:rPr>
          <w:color w:val="auto"/>
          <w:highlight w:val="none"/>
        </w:rPr>
        <w:t>声环境现状监测</w:t>
      </w:r>
      <w:r>
        <w:rPr>
          <w:rFonts w:hint="eastAsia"/>
          <w:color w:val="auto"/>
          <w:highlight w:val="none"/>
        </w:rPr>
        <w:t>点位</w:t>
      </w:r>
      <w:r>
        <w:rPr>
          <w:color w:val="auto"/>
          <w:szCs w:val="24"/>
          <w:highlight w:val="none"/>
        </w:rPr>
        <w:t>信息见表4.</w:t>
      </w:r>
      <w:r>
        <w:rPr>
          <w:rFonts w:hint="eastAsia"/>
          <w:color w:val="auto"/>
          <w:szCs w:val="24"/>
          <w:highlight w:val="none"/>
        </w:rPr>
        <w:t>7</w:t>
      </w:r>
      <w:r>
        <w:rPr>
          <w:color w:val="auto"/>
          <w:szCs w:val="24"/>
          <w:highlight w:val="none"/>
        </w:rPr>
        <w:t>-1</w:t>
      </w:r>
      <w:r>
        <w:rPr>
          <w:rFonts w:hint="eastAsia"/>
          <w:color w:val="auto"/>
          <w:szCs w:val="24"/>
          <w:highlight w:val="none"/>
        </w:rPr>
        <w:t>，</w:t>
      </w:r>
      <w:r>
        <w:rPr>
          <w:color w:val="auto"/>
          <w:highlight w:val="none"/>
        </w:rPr>
        <w:t>布点示意图见图4.</w:t>
      </w:r>
      <w:r>
        <w:rPr>
          <w:rFonts w:hint="eastAsia"/>
          <w:color w:val="auto"/>
          <w:highlight w:val="none"/>
        </w:rPr>
        <w:t>3-1</w:t>
      </w:r>
      <w:r>
        <w:rPr>
          <w:color w:val="auto"/>
          <w:highlight w:val="none"/>
        </w:rPr>
        <w:t>。</w:t>
      </w:r>
    </w:p>
    <w:p>
      <w:pPr>
        <w:pStyle w:val="54"/>
        <w:pageBreakBefore w:val="0"/>
        <w:kinsoku/>
        <w:wordWrap/>
        <w:overflowPunct/>
        <w:topLinePunct w:val="0"/>
        <w:autoSpaceDE/>
        <w:autoSpaceDN/>
        <w:bidi w:val="0"/>
        <w:spacing w:line="480" w:lineRule="exact"/>
        <w:ind w:firstLine="482"/>
        <w:rPr>
          <w:snapToGrid w:val="0"/>
          <w:color w:val="auto"/>
          <w:highlight w:val="none"/>
        </w:rPr>
      </w:pPr>
      <w:r>
        <w:rPr>
          <w:rFonts w:hint="eastAsia"/>
          <w:snapToGrid w:val="0"/>
          <w:color w:val="auto"/>
          <w:highlight w:val="none"/>
        </w:rPr>
        <w:t xml:space="preserve">表4.7-1   </w:t>
      </w:r>
      <w:r>
        <w:rPr>
          <w:snapToGrid w:val="0"/>
          <w:color w:val="auto"/>
          <w:highlight w:val="none"/>
        </w:rPr>
        <w:t xml:space="preserve"> 监测点位信息一览表</w:t>
      </w:r>
    </w:p>
    <w:tbl>
      <w:tblPr>
        <w:tblStyle w:val="34"/>
        <w:tblW w:w="4997"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108" w:type="dxa"/>
          <w:bottom w:w="0" w:type="dxa"/>
          <w:right w:w="108" w:type="dxa"/>
        </w:tblCellMar>
      </w:tblPr>
      <w:tblGrid>
        <w:gridCol w:w="705"/>
        <w:gridCol w:w="1742"/>
        <w:gridCol w:w="1374"/>
        <w:gridCol w:w="1835"/>
        <w:gridCol w:w="1376"/>
        <w:gridCol w:w="17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tcBorders>
              <w:tl2br w:val="nil"/>
              <w:tr2bl w:val="nil"/>
            </w:tcBorders>
            <w:shd w:val="clear" w:color="auto" w:fill="auto"/>
            <w:noWrap/>
            <w:vAlign w:val="center"/>
          </w:tcPr>
          <w:p>
            <w:pPr>
              <w:adjustRightInd/>
              <w:snapToGrid/>
              <w:spacing w:line="240" w:lineRule="auto"/>
              <w:textAlignment w:val="center"/>
              <w:rPr>
                <w:color w:val="auto"/>
                <w:highlight w:val="none"/>
              </w:rPr>
            </w:pPr>
            <w:r>
              <w:rPr>
                <w:color w:val="auto"/>
                <w:highlight w:val="none"/>
                <w:lang w:bidi="ar"/>
              </w:rPr>
              <w:t>序号</w:t>
            </w:r>
          </w:p>
        </w:tc>
        <w:tc>
          <w:tcPr>
            <w:tcW w:w="986" w:type="pct"/>
            <w:tcBorders>
              <w:tl2br w:val="nil"/>
              <w:tr2bl w:val="nil"/>
            </w:tcBorders>
            <w:shd w:val="clear" w:color="auto" w:fill="auto"/>
            <w:vAlign w:val="center"/>
          </w:tcPr>
          <w:p>
            <w:pPr>
              <w:adjustRightInd/>
              <w:snapToGrid/>
              <w:spacing w:line="240" w:lineRule="auto"/>
              <w:textAlignment w:val="center"/>
              <w:rPr>
                <w:rFonts w:ascii="Times New Roman" w:hAnsi="Times New Roman" w:eastAsia="宋体" w:cs="Times New Roman"/>
                <w:color w:val="auto"/>
                <w:highlight w:val="none"/>
                <w:lang w:bidi="ar"/>
              </w:rPr>
            </w:pPr>
            <w:r>
              <w:rPr>
                <w:rFonts w:ascii="Times New Roman" w:hAnsi="Times New Roman" w:eastAsia="宋体" w:cs="Times New Roman"/>
                <w:color w:val="auto"/>
                <w:highlight w:val="none"/>
                <w:lang w:bidi="ar"/>
              </w:rPr>
              <w:t>监测点位名称</w:t>
            </w:r>
          </w:p>
        </w:tc>
        <w:tc>
          <w:tcPr>
            <w:tcW w:w="778" w:type="pct"/>
            <w:tcBorders>
              <w:tl2br w:val="nil"/>
              <w:tr2bl w:val="nil"/>
            </w:tcBorders>
            <w:shd w:val="clear" w:color="auto" w:fill="auto"/>
            <w:vAlign w:val="center"/>
          </w:tcPr>
          <w:p>
            <w:pPr>
              <w:adjustRightInd/>
              <w:snapToGrid/>
              <w:spacing w:line="240" w:lineRule="auto"/>
              <w:textAlignment w:val="center"/>
              <w:rPr>
                <w:color w:val="auto"/>
                <w:highlight w:val="none"/>
              </w:rPr>
            </w:pPr>
            <w:r>
              <w:rPr>
                <w:color w:val="auto"/>
                <w:highlight w:val="none"/>
                <w:lang w:bidi="ar"/>
              </w:rPr>
              <w:t>监测因子</w:t>
            </w:r>
          </w:p>
        </w:tc>
        <w:tc>
          <w:tcPr>
            <w:tcW w:w="1039" w:type="pct"/>
            <w:tcBorders>
              <w:tl2br w:val="nil"/>
              <w:tr2bl w:val="nil"/>
            </w:tcBorders>
            <w:shd w:val="clear" w:color="auto" w:fill="auto"/>
            <w:vAlign w:val="center"/>
          </w:tcPr>
          <w:p>
            <w:pPr>
              <w:adjustRightInd/>
              <w:snapToGrid/>
              <w:spacing w:line="240" w:lineRule="auto"/>
              <w:textAlignment w:val="center"/>
              <w:rPr>
                <w:color w:val="auto"/>
                <w:highlight w:val="none"/>
              </w:rPr>
            </w:pPr>
            <w:r>
              <w:rPr>
                <w:color w:val="auto"/>
                <w:highlight w:val="none"/>
                <w:lang w:bidi="ar"/>
              </w:rPr>
              <w:t>监测时间</w:t>
            </w:r>
          </w:p>
        </w:tc>
        <w:tc>
          <w:tcPr>
            <w:tcW w:w="779" w:type="pct"/>
            <w:tcBorders>
              <w:tl2br w:val="nil"/>
              <w:tr2bl w:val="nil"/>
            </w:tcBorders>
            <w:shd w:val="clear" w:color="auto" w:fill="auto"/>
            <w:vAlign w:val="center"/>
          </w:tcPr>
          <w:p>
            <w:pPr>
              <w:adjustRightInd/>
              <w:snapToGrid/>
              <w:spacing w:line="240" w:lineRule="auto"/>
              <w:textAlignment w:val="center"/>
              <w:rPr>
                <w:color w:val="auto"/>
                <w:highlight w:val="none"/>
              </w:rPr>
            </w:pPr>
            <w:r>
              <w:rPr>
                <w:color w:val="auto"/>
                <w:highlight w:val="none"/>
                <w:lang w:bidi="ar"/>
              </w:rPr>
              <w:t>监测频率</w:t>
            </w:r>
          </w:p>
        </w:tc>
        <w:tc>
          <w:tcPr>
            <w:tcW w:w="1016" w:type="pct"/>
            <w:tcBorders>
              <w:tl2br w:val="nil"/>
              <w:tr2bl w:val="nil"/>
            </w:tcBorders>
            <w:shd w:val="clear" w:color="auto" w:fill="auto"/>
            <w:vAlign w:val="center"/>
          </w:tcPr>
          <w:p>
            <w:pPr>
              <w:adjustRightInd/>
              <w:snapToGrid/>
              <w:spacing w:line="240" w:lineRule="auto"/>
              <w:textAlignment w:val="center"/>
              <w:rPr>
                <w:color w:val="auto"/>
                <w:highlight w:val="none"/>
              </w:rPr>
            </w:pPr>
            <w:r>
              <w:rPr>
                <w:color w:val="auto"/>
                <w:highlight w:val="none"/>
                <w:lang w:bidi="ar"/>
              </w:rPr>
              <w:t>监测单位</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99" w:type="pct"/>
            <w:tcBorders>
              <w:tl2br w:val="nil"/>
              <w:tr2bl w:val="nil"/>
            </w:tcBorders>
            <w:shd w:val="clear" w:color="auto" w:fill="auto"/>
            <w:noWrap/>
            <w:vAlign w:val="center"/>
          </w:tcPr>
          <w:p>
            <w:pPr>
              <w:adjustRightInd/>
              <w:snapToGrid/>
              <w:spacing w:line="240" w:lineRule="auto"/>
              <w:textAlignment w:val="center"/>
              <w:rPr>
                <w:color w:val="auto"/>
                <w:highlight w:val="none"/>
              </w:rPr>
            </w:pPr>
            <w:r>
              <w:rPr>
                <w:color w:val="auto"/>
                <w:highlight w:val="none"/>
                <w:lang w:bidi="ar"/>
              </w:rPr>
              <w:t>1</w:t>
            </w:r>
          </w:p>
        </w:tc>
        <w:tc>
          <w:tcPr>
            <w:tcW w:w="986" w:type="pct"/>
            <w:tcBorders>
              <w:tl2br w:val="nil"/>
              <w:tr2bl w:val="nil"/>
            </w:tcBorders>
            <w:shd w:val="clear" w:color="auto" w:fill="auto"/>
            <w:vAlign w:val="center"/>
          </w:tcPr>
          <w:p>
            <w:pPr>
              <w:adjustRightInd/>
              <w:snapToGrid/>
              <w:spacing w:line="240" w:lineRule="auto"/>
              <w:textAlignment w:val="center"/>
              <w:rPr>
                <w:rFonts w:ascii="Times New Roman" w:hAnsi="Times New Roman" w:eastAsia="宋体" w:cs="Times New Roman"/>
                <w:color w:val="auto"/>
                <w:highlight w:val="none"/>
                <w:lang w:bidi="ar"/>
              </w:rPr>
            </w:pPr>
            <w:r>
              <w:rPr>
                <w:rFonts w:hint="default" w:ascii="Times New Roman" w:hAnsi="Times New Roman" w:eastAsia="宋体" w:cs="Times New Roman"/>
                <w:color w:val="auto"/>
                <w:highlight w:val="none"/>
                <w:lang w:val="en-US" w:eastAsia="zh-CN" w:bidi="ar"/>
              </w:rPr>
              <w:t>拟建</w:t>
            </w:r>
            <w:bookmarkStart w:id="580" w:name="OLE_LINK66"/>
            <w:r>
              <w:rPr>
                <w:rFonts w:hint="eastAsia" w:cs="Times New Roman"/>
                <w:color w:val="auto"/>
                <w:highlight w:val="none"/>
                <w:lang w:val="en-US" w:eastAsia="zh-CN" w:bidi="ar"/>
              </w:rPr>
              <w:t>FTYHW1011</w:t>
            </w:r>
            <w:r>
              <w:rPr>
                <w:rFonts w:hint="default" w:ascii="Times New Roman" w:hAnsi="Times New Roman" w:eastAsia="宋体" w:cs="Times New Roman"/>
                <w:color w:val="auto"/>
                <w:highlight w:val="none"/>
                <w:lang w:val="en-US" w:eastAsia="zh-CN" w:bidi="ar"/>
              </w:rPr>
              <w:t>井场</w:t>
            </w:r>
            <w:bookmarkEnd w:id="580"/>
          </w:p>
        </w:tc>
        <w:tc>
          <w:tcPr>
            <w:tcW w:w="778" w:type="pct"/>
            <w:tcBorders>
              <w:tl2br w:val="nil"/>
              <w:tr2bl w:val="nil"/>
            </w:tcBorders>
            <w:shd w:val="clear" w:color="auto" w:fill="auto"/>
            <w:vAlign w:val="center"/>
          </w:tcPr>
          <w:p>
            <w:pPr>
              <w:adjustRightInd/>
              <w:snapToGrid/>
              <w:spacing w:line="240" w:lineRule="auto"/>
              <w:textAlignment w:val="center"/>
              <w:rPr>
                <w:color w:val="auto"/>
                <w:highlight w:val="none"/>
              </w:rPr>
            </w:pPr>
            <w:r>
              <w:rPr>
                <w:color w:val="auto"/>
                <w:highlight w:val="none"/>
                <w:lang w:bidi="ar"/>
              </w:rPr>
              <w:t>等效连续A声级（Leq）</w:t>
            </w:r>
          </w:p>
        </w:tc>
        <w:tc>
          <w:tcPr>
            <w:tcW w:w="1039" w:type="pct"/>
            <w:tcBorders>
              <w:tl2br w:val="nil"/>
              <w:tr2bl w:val="nil"/>
            </w:tcBorders>
            <w:shd w:val="clear" w:color="auto" w:fill="auto"/>
            <w:vAlign w:val="center"/>
          </w:tcPr>
          <w:p>
            <w:pPr>
              <w:adjustRightInd/>
              <w:snapToGrid/>
              <w:spacing w:line="240" w:lineRule="auto"/>
              <w:textAlignment w:val="center"/>
              <w:rPr>
                <w:color w:val="auto"/>
                <w:highlight w:val="none"/>
              </w:rPr>
            </w:pPr>
            <w:r>
              <w:rPr>
                <w:color w:val="auto"/>
                <w:highlight w:val="none"/>
              </w:rPr>
              <w:t>202</w:t>
            </w:r>
            <w:r>
              <w:rPr>
                <w:rFonts w:hint="eastAsia"/>
                <w:color w:val="auto"/>
                <w:highlight w:val="none"/>
              </w:rPr>
              <w:t>5</w:t>
            </w:r>
            <w:r>
              <w:rPr>
                <w:color w:val="auto"/>
                <w:highlight w:val="none"/>
              </w:rPr>
              <w:t>年</w:t>
            </w:r>
            <w:r>
              <w:rPr>
                <w:rFonts w:hint="eastAsia"/>
                <w:color w:val="auto"/>
                <w:highlight w:val="none"/>
                <w:lang w:val="en-US" w:eastAsia="zh-CN"/>
              </w:rPr>
              <w:t>8</w:t>
            </w:r>
            <w:r>
              <w:rPr>
                <w:color w:val="auto"/>
                <w:highlight w:val="none"/>
              </w:rPr>
              <w:t>月</w:t>
            </w:r>
            <w:r>
              <w:rPr>
                <w:rFonts w:hint="eastAsia"/>
                <w:color w:val="auto"/>
                <w:highlight w:val="none"/>
                <w:lang w:val="en-US" w:eastAsia="zh-CN"/>
              </w:rPr>
              <w:t>26</w:t>
            </w:r>
            <w:r>
              <w:rPr>
                <w:color w:val="auto"/>
                <w:highlight w:val="none"/>
              </w:rPr>
              <w:t>日</w:t>
            </w:r>
            <w:r>
              <w:rPr>
                <w:rFonts w:hint="eastAsia"/>
                <w:color w:val="auto"/>
                <w:highlight w:val="none"/>
                <w:lang w:eastAsia="zh-CN"/>
              </w:rPr>
              <w:t>—</w:t>
            </w:r>
            <w:r>
              <w:rPr>
                <w:rFonts w:hint="eastAsia"/>
                <w:color w:val="auto"/>
                <w:highlight w:val="none"/>
                <w:lang w:val="en-US" w:eastAsia="zh-CN"/>
              </w:rPr>
              <w:t>8</w:t>
            </w:r>
            <w:r>
              <w:rPr>
                <w:color w:val="auto"/>
                <w:highlight w:val="none"/>
              </w:rPr>
              <w:t>月</w:t>
            </w:r>
            <w:r>
              <w:rPr>
                <w:rFonts w:hint="eastAsia"/>
                <w:color w:val="auto"/>
                <w:highlight w:val="none"/>
                <w:lang w:val="en-US" w:eastAsia="zh-CN"/>
              </w:rPr>
              <w:t>27</w:t>
            </w:r>
            <w:r>
              <w:rPr>
                <w:color w:val="auto"/>
                <w:highlight w:val="none"/>
              </w:rPr>
              <w:t>日</w:t>
            </w:r>
          </w:p>
        </w:tc>
        <w:tc>
          <w:tcPr>
            <w:tcW w:w="779" w:type="pct"/>
            <w:tcBorders>
              <w:tl2br w:val="nil"/>
              <w:tr2bl w:val="nil"/>
            </w:tcBorders>
            <w:shd w:val="clear" w:color="auto" w:fill="auto"/>
            <w:vAlign w:val="center"/>
          </w:tcPr>
          <w:p>
            <w:pPr>
              <w:adjustRightInd/>
              <w:snapToGrid/>
              <w:spacing w:line="240" w:lineRule="auto"/>
              <w:textAlignment w:val="center"/>
              <w:rPr>
                <w:color w:val="auto"/>
                <w:highlight w:val="none"/>
              </w:rPr>
            </w:pPr>
            <w:r>
              <w:rPr>
                <w:color w:val="auto"/>
                <w:highlight w:val="none"/>
                <w:lang w:bidi="ar"/>
              </w:rPr>
              <w:t>监测</w:t>
            </w:r>
            <w:r>
              <w:rPr>
                <w:rFonts w:hint="eastAsia"/>
                <w:color w:val="auto"/>
                <w:highlight w:val="none"/>
                <w:lang w:bidi="ar"/>
              </w:rPr>
              <w:t>1</w:t>
            </w:r>
            <w:r>
              <w:rPr>
                <w:color w:val="auto"/>
                <w:highlight w:val="none"/>
                <w:lang w:bidi="ar"/>
              </w:rPr>
              <w:t>天昼、夜间各监测一次。</w:t>
            </w:r>
          </w:p>
        </w:tc>
        <w:tc>
          <w:tcPr>
            <w:tcW w:w="1016" w:type="pct"/>
            <w:tcBorders>
              <w:tl2br w:val="nil"/>
              <w:tr2bl w:val="nil"/>
            </w:tcBorders>
            <w:shd w:val="clear" w:color="auto" w:fill="auto"/>
            <w:vAlign w:val="center"/>
          </w:tcPr>
          <w:p>
            <w:pPr>
              <w:adjustRightInd/>
              <w:snapToGrid/>
              <w:spacing w:line="240" w:lineRule="auto"/>
              <w:textAlignment w:val="center"/>
              <w:rPr>
                <w:rFonts w:hint="eastAsia" w:eastAsia="宋体"/>
                <w:color w:val="auto"/>
                <w:highlight w:val="none"/>
                <w:lang w:eastAsia="zh-CN"/>
              </w:rPr>
            </w:pPr>
            <w:r>
              <w:rPr>
                <w:rFonts w:hint="eastAsia"/>
                <w:color w:val="auto"/>
                <w:highlight w:val="none"/>
                <w:lang w:eastAsia="zh-CN"/>
              </w:rPr>
              <w:t>克拉玛依钧仪衡环境检测有限公司</w:t>
            </w:r>
          </w:p>
        </w:tc>
      </w:tr>
    </w:tbl>
    <w:p>
      <w:pPr>
        <w:pStyle w:val="57"/>
        <w:rPr>
          <w:color w:val="auto"/>
          <w:highlight w:val="none"/>
        </w:rPr>
      </w:pPr>
      <w:r>
        <w:rPr>
          <w:color w:val="auto"/>
          <w:highlight w:val="none"/>
        </w:rPr>
        <w:t>（2）监测项目：连续等效A声级Leq</w:t>
      </w:r>
      <w:r>
        <w:rPr>
          <w:rFonts w:hint="eastAsia"/>
          <w:color w:val="auto"/>
          <w:highlight w:val="none"/>
          <w:lang w:eastAsia="zh-CN"/>
        </w:rPr>
        <w:t>〔</w:t>
      </w:r>
      <w:r>
        <w:rPr>
          <w:color w:val="auto"/>
          <w:highlight w:val="none"/>
        </w:rPr>
        <w:t>dB(A)</w:t>
      </w:r>
      <w:r>
        <w:rPr>
          <w:rFonts w:hint="eastAsia"/>
          <w:color w:val="auto"/>
          <w:highlight w:val="none"/>
          <w:lang w:eastAsia="zh-CN"/>
        </w:rPr>
        <w:t>〕</w:t>
      </w:r>
      <w:r>
        <w:rPr>
          <w:color w:val="auto"/>
          <w:highlight w:val="none"/>
        </w:rPr>
        <w:t>。</w:t>
      </w:r>
    </w:p>
    <w:p>
      <w:pPr>
        <w:pStyle w:val="57"/>
        <w:rPr>
          <w:color w:val="auto"/>
          <w:highlight w:val="none"/>
        </w:rPr>
      </w:pPr>
      <w:r>
        <w:rPr>
          <w:color w:val="auto"/>
          <w:highlight w:val="none"/>
        </w:rPr>
        <w:t>（3）监测方法：依据《声环境质量标准》（GB3096-2008）、《工业企业厂界环境噪声排放标准》（GB 12348-2008）中规定的方法进行监测。</w:t>
      </w:r>
    </w:p>
    <w:p>
      <w:pPr>
        <w:pStyle w:val="57"/>
        <w:rPr>
          <w:color w:val="auto"/>
          <w:highlight w:val="none"/>
        </w:rPr>
      </w:pPr>
      <w:r>
        <w:rPr>
          <w:color w:val="auto"/>
          <w:highlight w:val="none"/>
        </w:rPr>
        <w:t>（4）监测时间：本次现状监测时间为202</w:t>
      </w:r>
      <w:r>
        <w:rPr>
          <w:rFonts w:hint="eastAsia"/>
          <w:color w:val="auto"/>
          <w:highlight w:val="none"/>
        </w:rPr>
        <w:t>5</w:t>
      </w:r>
      <w:r>
        <w:rPr>
          <w:color w:val="auto"/>
          <w:highlight w:val="none"/>
        </w:rPr>
        <w:t>年</w:t>
      </w:r>
      <w:r>
        <w:rPr>
          <w:rFonts w:hint="eastAsia"/>
          <w:color w:val="auto"/>
          <w:highlight w:val="none"/>
          <w:lang w:val="en-US" w:eastAsia="zh-CN"/>
        </w:rPr>
        <w:t>8</w:t>
      </w:r>
      <w:r>
        <w:rPr>
          <w:color w:val="auto"/>
          <w:highlight w:val="none"/>
        </w:rPr>
        <w:t>月</w:t>
      </w:r>
      <w:r>
        <w:rPr>
          <w:rFonts w:hint="eastAsia"/>
          <w:color w:val="auto"/>
          <w:highlight w:val="none"/>
          <w:lang w:val="en-US" w:eastAsia="zh-CN"/>
        </w:rPr>
        <w:t>26</w:t>
      </w:r>
      <w:r>
        <w:rPr>
          <w:rFonts w:hint="eastAsia"/>
          <w:color w:val="auto"/>
          <w:highlight w:val="none"/>
        </w:rPr>
        <w:t>日</w:t>
      </w:r>
      <w:r>
        <w:rPr>
          <w:rFonts w:hint="eastAsia"/>
          <w:color w:val="auto"/>
          <w:highlight w:val="none"/>
          <w:lang w:eastAsia="zh-CN"/>
        </w:rPr>
        <w:t>—</w:t>
      </w:r>
      <w:r>
        <w:rPr>
          <w:rFonts w:hint="eastAsia"/>
          <w:color w:val="auto"/>
          <w:highlight w:val="none"/>
          <w:lang w:val="en-US" w:eastAsia="zh-CN"/>
        </w:rPr>
        <w:t>8</w:t>
      </w:r>
      <w:r>
        <w:rPr>
          <w:rFonts w:hint="eastAsia"/>
          <w:color w:val="auto"/>
          <w:highlight w:val="none"/>
        </w:rPr>
        <w:t>月</w:t>
      </w:r>
      <w:r>
        <w:rPr>
          <w:rFonts w:hint="eastAsia"/>
          <w:color w:val="auto"/>
          <w:highlight w:val="none"/>
          <w:lang w:val="en-US" w:eastAsia="zh-CN"/>
        </w:rPr>
        <w:t>27</w:t>
      </w:r>
      <w:r>
        <w:rPr>
          <w:rFonts w:hint="eastAsia"/>
          <w:color w:val="auto"/>
          <w:highlight w:val="none"/>
        </w:rPr>
        <w:t>日</w:t>
      </w:r>
      <w:r>
        <w:rPr>
          <w:color w:val="auto"/>
          <w:highlight w:val="none"/>
        </w:rPr>
        <w:t>。</w:t>
      </w:r>
    </w:p>
    <w:p>
      <w:pPr>
        <w:pStyle w:val="57"/>
        <w:rPr>
          <w:color w:val="auto"/>
          <w:highlight w:val="none"/>
        </w:rPr>
      </w:pPr>
      <w:r>
        <w:rPr>
          <w:color w:val="auto"/>
          <w:highlight w:val="none"/>
        </w:rPr>
        <w:t>（5）评价标准</w:t>
      </w:r>
    </w:p>
    <w:p>
      <w:pPr>
        <w:pStyle w:val="57"/>
        <w:rPr>
          <w:color w:val="auto"/>
          <w:highlight w:val="none"/>
        </w:rPr>
      </w:pPr>
      <w:r>
        <w:rPr>
          <w:rFonts w:hint="eastAsia"/>
          <w:color w:val="auto"/>
          <w:highlight w:val="none"/>
        </w:rPr>
        <w:t>评价区声环境现状执行《声环境质量标准》（GB3096-2008）中2类标准，即昼间60dB（A），夜间50dB（A）</w:t>
      </w:r>
      <w:r>
        <w:rPr>
          <w:color w:val="auto"/>
          <w:highlight w:val="none"/>
        </w:rPr>
        <w:t>。</w:t>
      </w:r>
    </w:p>
    <w:p>
      <w:pPr>
        <w:pStyle w:val="57"/>
        <w:rPr>
          <w:color w:val="auto"/>
          <w:highlight w:val="none"/>
        </w:rPr>
      </w:pPr>
      <w:r>
        <w:rPr>
          <w:color w:val="auto"/>
          <w:highlight w:val="none"/>
        </w:rPr>
        <w:t>（6）评价方法</w:t>
      </w:r>
    </w:p>
    <w:p>
      <w:pPr>
        <w:pStyle w:val="57"/>
        <w:rPr>
          <w:color w:val="auto"/>
          <w:highlight w:val="none"/>
        </w:rPr>
      </w:pPr>
      <w:r>
        <w:rPr>
          <w:color w:val="auto"/>
          <w:highlight w:val="none"/>
        </w:rPr>
        <w:t>采用对标法对声环境质量现状进行评价，即用现状监测结果与标准值进行对比。</w:t>
      </w:r>
    </w:p>
    <w:p>
      <w:pPr>
        <w:pStyle w:val="57"/>
        <w:rPr>
          <w:color w:val="auto"/>
          <w:highlight w:val="none"/>
        </w:rPr>
      </w:pPr>
      <w:r>
        <w:rPr>
          <w:color w:val="auto"/>
          <w:highlight w:val="none"/>
        </w:rPr>
        <w:t>（7）监测及评价结果</w:t>
      </w:r>
    </w:p>
    <w:p>
      <w:pPr>
        <w:pStyle w:val="57"/>
        <w:rPr>
          <w:color w:val="auto"/>
          <w:highlight w:val="none"/>
        </w:rPr>
      </w:pPr>
      <w:r>
        <w:rPr>
          <w:color w:val="auto"/>
          <w:highlight w:val="none"/>
        </w:rPr>
        <w:t>声环境现状监测及评价结果见表4.</w:t>
      </w:r>
      <w:r>
        <w:rPr>
          <w:rFonts w:hint="eastAsia"/>
          <w:color w:val="auto"/>
          <w:highlight w:val="none"/>
        </w:rPr>
        <w:t>7-2。</w:t>
      </w:r>
    </w:p>
    <w:p>
      <w:pPr>
        <w:pStyle w:val="54"/>
        <w:ind w:left="0" w:leftChars="0" w:firstLine="0" w:firstLineChars="0"/>
        <w:jc w:val="both"/>
        <w:rPr>
          <w:color w:val="auto"/>
          <w:highlight w:val="none"/>
        </w:rPr>
      </w:pPr>
    </w:p>
    <w:p>
      <w:pPr>
        <w:pStyle w:val="54"/>
        <w:ind w:left="0" w:leftChars="0" w:firstLine="0" w:firstLineChars="0"/>
        <w:jc w:val="both"/>
        <w:rPr>
          <w:color w:val="auto"/>
          <w:highlight w:val="none"/>
        </w:rPr>
      </w:pPr>
    </w:p>
    <w:p>
      <w:pPr>
        <w:pStyle w:val="54"/>
        <w:ind w:left="0" w:leftChars="0" w:firstLine="0" w:firstLineChars="0"/>
        <w:jc w:val="both"/>
        <w:rPr>
          <w:color w:val="auto"/>
          <w:highlight w:val="none"/>
        </w:rPr>
      </w:pPr>
    </w:p>
    <w:p>
      <w:pPr>
        <w:pStyle w:val="54"/>
        <w:pageBreakBefore w:val="0"/>
        <w:kinsoku/>
        <w:wordWrap/>
        <w:overflowPunct/>
        <w:topLinePunct w:val="0"/>
        <w:autoSpaceDE/>
        <w:autoSpaceDN/>
        <w:bidi w:val="0"/>
        <w:spacing w:line="480" w:lineRule="exact"/>
        <w:ind w:firstLine="482"/>
        <w:rPr>
          <w:rFonts w:hint="eastAsia" w:cs="Times New Roman"/>
          <w:snapToGrid w:val="0"/>
          <w:color w:val="auto"/>
          <w:highlight w:val="none"/>
        </w:rPr>
      </w:pPr>
      <w:r>
        <w:rPr>
          <w:rFonts w:hint="eastAsia" w:cs="Times New Roman"/>
          <w:snapToGrid w:val="0"/>
          <w:color w:val="auto"/>
          <w:highlight w:val="none"/>
        </w:rPr>
        <w:t>表4.7-2  声环境现状监测及评价结果表</w:t>
      </w:r>
    </w:p>
    <w:tbl>
      <w:tblPr>
        <w:tblStyle w:val="34"/>
        <w:tblW w:w="860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173"/>
        <w:gridCol w:w="1900"/>
        <w:gridCol w:w="866"/>
        <w:gridCol w:w="919"/>
        <w:gridCol w:w="1161"/>
        <w:gridCol w:w="899"/>
        <w:gridCol w:w="6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restart"/>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1900" w:type="dxa"/>
            <w:vMerge w:val="restart"/>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监测时间</w:t>
            </w:r>
          </w:p>
        </w:tc>
        <w:tc>
          <w:tcPr>
            <w:tcW w:w="3845" w:type="dxa"/>
            <w:gridSpan w:val="4"/>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测量结果（dB(A)）</w:t>
            </w:r>
          </w:p>
        </w:tc>
        <w:tc>
          <w:tcPr>
            <w:tcW w:w="687" w:type="dxa"/>
            <w:vMerge w:val="restart"/>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w:t>
            </w:r>
          </w:p>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结果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continue"/>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p>
        </w:tc>
        <w:tc>
          <w:tcPr>
            <w:tcW w:w="1900" w:type="dxa"/>
            <w:vMerge w:val="continue"/>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p>
        </w:tc>
        <w:tc>
          <w:tcPr>
            <w:tcW w:w="1785" w:type="dxa"/>
            <w:gridSpan w:val="2"/>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昼间</w:t>
            </w:r>
          </w:p>
        </w:tc>
        <w:tc>
          <w:tcPr>
            <w:tcW w:w="2060" w:type="dxa"/>
            <w:gridSpan w:val="2"/>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夜间</w:t>
            </w:r>
          </w:p>
        </w:tc>
        <w:tc>
          <w:tcPr>
            <w:tcW w:w="687" w:type="dxa"/>
            <w:vMerge w:val="continue"/>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continue"/>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p>
        </w:tc>
        <w:tc>
          <w:tcPr>
            <w:tcW w:w="1900" w:type="dxa"/>
            <w:vMerge w:val="continue"/>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p>
        </w:tc>
        <w:tc>
          <w:tcPr>
            <w:tcW w:w="866"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实测值</w:t>
            </w:r>
          </w:p>
        </w:tc>
        <w:tc>
          <w:tcPr>
            <w:tcW w:w="919"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1161"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实测值</w:t>
            </w:r>
          </w:p>
        </w:tc>
        <w:tc>
          <w:tcPr>
            <w:tcW w:w="899"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标准值</w:t>
            </w:r>
          </w:p>
        </w:tc>
        <w:tc>
          <w:tcPr>
            <w:tcW w:w="687" w:type="dxa"/>
            <w:vMerge w:val="continue"/>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restart"/>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eastAsia" w:ascii="Times New Roman" w:cs="Times New Roman"/>
                <w:color w:val="auto"/>
                <w:highlight w:val="none"/>
                <w:lang w:val="en-US" w:eastAsia="zh-CN" w:bidi="ar"/>
              </w:rPr>
              <w:t>FTYHW1011</w:t>
            </w:r>
            <w:r>
              <w:rPr>
                <w:rFonts w:hint="default" w:ascii="Times New Roman" w:hAnsi="Times New Roman" w:eastAsia="宋体" w:cs="Times New Roman"/>
                <w:color w:val="auto"/>
                <w:highlight w:val="none"/>
                <w:lang w:val="en-US" w:eastAsia="zh-CN" w:bidi="ar"/>
              </w:rPr>
              <w:t>井场</w:t>
            </w:r>
          </w:p>
        </w:tc>
        <w:tc>
          <w:tcPr>
            <w:tcW w:w="1900"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rPr>
              <w:t>202</w:t>
            </w:r>
            <w:r>
              <w:rPr>
                <w:rFonts w:hint="eastAsia"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年</w:t>
            </w:r>
            <w:r>
              <w:rPr>
                <w:rFonts w:hint="eastAsia" w:ascii="Times New Roman"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月</w:t>
            </w:r>
            <w:r>
              <w:rPr>
                <w:rFonts w:hint="eastAsia" w:ascii="Times New Roman" w:hAnsi="Times New Roman" w:eastAsia="宋体" w:cs="Times New Roman"/>
                <w:bCs/>
                <w:color w:val="auto"/>
                <w:sz w:val="21"/>
                <w:szCs w:val="21"/>
                <w:highlight w:val="none"/>
                <w:lang w:val="en-US" w:eastAsia="zh-CN"/>
              </w:rPr>
              <w:t>2</w:t>
            </w:r>
            <w:r>
              <w:rPr>
                <w:rFonts w:hint="eastAsia" w:ascii="Times New Roman" w:cs="Times New Roman"/>
                <w:bCs/>
                <w:color w:val="auto"/>
                <w:sz w:val="21"/>
                <w:szCs w:val="21"/>
                <w:highlight w:val="none"/>
                <w:lang w:val="en-US" w:eastAsia="zh-CN"/>
              </w:rPr>
              <w:t>6</w:t>
            </w:r>
            <w:r>
              <w:rPr>
                <w:rFonts w:hint="default" w:ascii="Times New Roman" w:hAnsi="Times New Roman" w:eastAsia="宋体" w:cs="Times New Roman"/>
                <w:bCs/>
                <w:color w:val="auto"/>
                <w:sz w:val="21"/>
                <w:szCs w:val="21"/>
                <w:highlight w:val="none"/>
              </w:rPr>
              <w:t>日</w:t>
            </w:r>
          </w:p>
        </w:tc>
        <w:tc>
          <w:tcPr>
            <w:tcW w:w="866"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39</w:t>
            </w:r>
          </w:p>
        </w:tc>
        <w:tc>
          <w:tcPr>
            <w:tcW w:w="919" w:type="dxa"/>
            <w:vMerge w:val="restart"/>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1161"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32</w:t>
            </w:r>
          </w:p>
        </w:tc>
        <w:tc>
          <w:tcPr>
            <w:tcW w:w="899" w:type="dxa"/>
            <w:vMerge w:val="restart"/>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50</w:t>
            </w:r>
          </w:p>
        </w:tc>
        <w:tc>
          <w:tcPr>
            <w:tcW w:w="687"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73" w:type="dxa"/>
            <w:vMerge w:val="continue"/>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p>
        </w:tc>
        <w:tc>
          <w:tcPr>
            <w:tcW w:w="1900" w:type="dxa"/>
            <w:tcBorders>
              <w:tl2br w:val="nil"/>
              <w:tr2bl w:val="nil"/>
            </w:tcBorders>
            <w:noWrap w:val="0"/>
            <w:vAlign w:val="center"/>
          </w:tcPr>
          <w:p>
            <w:pPr>
              <w:pStyle w:val="72"/>
              <w:rPr>
                <w:rFonts w:hint="default" w:ascii="Times New Roman" w:hAnsi="Times New Roman" w:eastAsia="宋体" w:cs="Times New Roman"/>
                <w:bCs/>
                <w:color w:val="auto"/>
                <w:sz w:val="21"/>
                <w:szCs w:val="21"/>
                <w:highlight w:val="none"/>
              </w:rPr>
            </w:pPr>
            <w:r>
              <w:rPr>
                <w:rFonts w:hint="default" w:ascii="Times New Roman" w:hAnsi="Times New Roman" w:eastAsia="宋体" w:cs="Times New Roman"/>
                <w:bCs/>
                <w:color w:val="auto"/>
                <w:sz w:val="21"/>
                <w:szCs w:val="21"/>
                <w:highlight w:val="none"/>
              </w:rPr>
              <w:t>202</w:t>
            </w:r>
            <w:r>
              <w:rPr>
                <w:rFonts w:hint="eastAsia" w:ascii="Times New Roman" w:hAnsi="Times New Roman" w:eastAsia="宋体"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rPr>
              <w:t>年</w:t>
            </w:r>
            <w:r>
              <w:rPr>
                <w:rFonts w:hint="eastAsia" w:ascii="Times New Roman" w:cs="Times New Roman"/>
                <w:bCs/>
                <w:color w:val="auto"/>
                <w:sz w:val="21"/>
                <w:szCs w:val="21"/>
                <w:highlight w:val="none"/>
                <w:lang w:val="en-US" w:eastAsia="zh-CN"/>
              </w:rPr>
              <w:t>8</w:t>
            </w:r>
            <w:r>
              <w:rPr>
                <w:rFonts w:hint="default" w:ascii="Times New Roman" w:hAnsi="Times New Roman" w:eastAsia="宋体" w:cs="Times New Roman"/>
                <w:bCs/>
                <w:color w:val="auto"/>
                <w:sz w:val="21"/>
                <w:szCs w:val="21"/>
                <w:highlight w:val="none"/>
              </w:rPr>
              <w:t>月</w:t>
            </w:r>
            <w:r>
              <w:rPr>
                <w:rFonts w:hint="eastAsia" w:ascii="Times New Roman" w:cs="Times New Roman"/>
                <w:bCs/>
                <w:color w:val="auto"/>
                <w:sz w:val="21"/>
                <w:szCs w:val="21"/>
                <w:highlight w:val="none"/>
                <w:lang w:val="en-US" w:eastAsia="zh-CN"/>
              </w:rPr>
              <w:t>27</w:t>
            </w:r>
            <w:r>
              <w:rPr>
                <w:rFonts w:hint="default" w:ascii="Times New Roman" w:hAnsi="Times New Roman" w:eastAsia="宋体" w:cs="Times New Roman"/>
                <w:bCs/>
                <w:color w:val="auto"/>
                <w:sz w:val="21"/>
                <w:szCs w:val="21"/>
                <w:highlight w:val="none"/>
              </w:rPr>
              <w:t>日</w:t>
            </w:r>
          </w:p>
        </w:tc>
        <w:tc>
          <w:tcPr>
            <w:tcW w:w="866"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39</w:t>
            </w:r>
          </w:p>
        </w:tc>
        <w:tc>
          <w:tcPr>
            <w:tcW w:w="919" w:type="dxa"/>
            <w:vMerge w:val="continue"/>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p>
        </w:tc>
        <w:tc>
          <w:tcPr>
            <w:tcW w:w="1161"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lang w:val="en-US" w:eastAsia="zh-CN"/>
              </w:rPr>
            </w:pPr>
            <w:r>
              <w:rPr>
                <w:rFonts w:hint="eastAsia" w:ascii="Times New Roman" w:cs="Times New Roman"/>
                <w:color w:val="auto"/>
                <w:sz w:val="21"/>
                <w:szCs w:val="21"/>
                <w:highlight w:val="none"/>
                <w:lang w:val="en-US" w:eastAsia="zh-CN"/>
              </w:rPr>
              <w:t>32</w:t>
            </w:r>
          </w:p>
        </w:tc>
        <w:tc>
          <w:tcPr>
            <w:tcW w:w="899" w:type="dxa"/>
            <w:vMerge w:val="continue"/>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p>
        </w:tc>
        <w:tc>
          <w:tcPr>
            <w:tcW w:w="687" w:type="dxa"/>
            <w:tcBorders>
              <w:tl2br w:val="nil"/>
              <w:tr2bl w:val="nil"/>
            </w:tcBorders>
            <w:noWrap w:val="0"/>
            <w:vAlign w:val="center"/>
          </w:tcPr>
          <w:p>
            <w:pPr>
              <w:pStyle w:val="72"/>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57"/>
        <w:ind w:left="0" w:leftChars="0" w:firstLine="480" w:firstLineChars="200"/>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rFonts w:hint="eastAsia"/>
          <w:color w:val="auto"/>
          <w:highlight w:val="none"/>
        </w:rPr>
        <w:t>上表显示</w:t>
      </w:r>
      <w:r>
        <w:rPr>
          <w:color w:val="auto"/>
          <w:highlight w:val="none"/>
        </w:rPr>
        <w:t>，在评价期内，</w:t>
      </w:r>
      <w:r>
        <w:rPr>
          <w:rFonts w:hint="eastAsia"/>
          <w:color w:val="auto"/>
          <w:highlight w:val="none"/>
          <w:lang w:val="en-US" w:eastAsia="zh-CN"/>
        </w:rPr>
        <w:t>项目区</w:t>
      </w:r>
      <w:r>
        <w:rPr>
          <w:rFonts w:hint="default" w:ascii="Times New Roman" w:hAnsi="Times New Roman" w:cs="Times New Roman"/>
          <w:color w:val="auto"/>
          <w:sz w:val="24"/>
          <w:szCs w:val="24"/>
          <w:highlight w:val="none"/>
        </w:rPr>
        <w:t>昼间噪声值在</w:t>
      </w:r>
      <w:r>
        <w:rPr>
          <w:rFonts w:hint="eastAsia" w:cs="Times New Roman"/>
          <w:color w:val="auto"/>
          <w:sz w:val="24"/>
          <w:szCs w:val="24"/>
          <w:highlight w:val="none"/>
          <w:lang w:val="en-US" w:eastAsia="zh-CN"/>
        </w:rPr>
        <w:t>39</w:t>
      </w:r>
      <w:r>
        <w:rPr>
          <w:rFonts w:hint="default" w:ascii="Times New Roman" w:hAnsi="Times New Roman" w:cs="Times New Roman"/>
          <w:color w:val="auto"/>
          <w:sz w:val="24"/>
          <w:szCs w:val="24"/>
          <w:highlight w:val="none"/>
        </w:rPr>
        <w:t>dB</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，夜间噪声值在</w:t>
      </w:r>
      <w:r>
        <w:rPr>
          <w:rFonts w:hint="eastAsia" w:cs="Times New Roman"/>
          <w:color w:val="auto"/>
          <w:sz w:val="24"/>
          <w:szCs w:val="24"/>
          <w:highlight w:val="none"/>
          <w:lang w:val="en-US" w:eastAsia="zh-CN"/>
        </w:rPr>
        <w:t>32</w:t>
      </w:r>
      <w:r>
        <w:rPr>
          <w:rFonts w:hint="default" w:ascii="Times New Roman" w:hAnsi="Times New Roman" w:cs="Times New Roman"/>
          <w:color w:val="auto"/>
          <w:sz w:val="24"/>
          <w:szCs w:val="24"/>
          <w:highlight w:val="none"/>
        </w:rPr>
        <w:t>dB</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A</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，声环境现状满足《声环境质量标准》（GB3096-2008）中2类标准要求</w:t>
      </w:r>
      <w:r>
        <w:rPr>
          <w:color w:val="auto"/>
          <w:highlight w:val="none"/>
        </w:rPr>
        <w:t>。</w:t>
      </w:r>
    </w:p>
    <w:p>
      <w:pPr>
        <w:pStyle w:val="47"/>
        <w:rPr>
          <w:color w:val="auto"/>
          <w:highlight w:val="none"/>
        </w:rPr>
      </w:pPr>
      <w:bookmarkStart w:id="581" w:name="_Toc54278850"/>
      <w:bookmarkStart w:id="582" w:name="_Toc14319"/>
      <w:bookmarkStart w:id="583" w:name="_Toc173941734"/>
      <w:bookmarkStart w:id="584" w:name="_Toc173941884"/>
      <w:bookmarkStart w:id="585" w:name="_Toc21412"/>
      <w:bookmarkStart w:id="586" w:name="_Toc173942688"/>
      <w:bookmarkStart w:id="587" w:name="_Toc15161"/>
      <w:bookmarkStart w:id="588" w:name="_Toc121691578"/>
      <w:bookmarkStart w:id="589" w:name="_Toc68025025"/>
      <w:bookmarkStart w:id="590" w:name="_Toc93507177"/>
      <w:bookmarkStart w:id="591" w:name="_Toc21104"/>
      <w:bookmarkStart w:id="592" w:name="_Toc173941736"/>
      <w:bookmarkStart w:id="593" w:name="_Toc173941891"/>
      <w:bookmarkStart w:id="594" w:name="_Toc374724191"/>
      <w:bookmarkStart w:id="595" w:name="_Toc508291894"/>
      <w:bookmarkStart w:id="596" w:name="_Toc361761838"/>
      <w:bookmarkStart w:id="597" w:name="_Toc353966746"/>
      <w:bookmarkStart w:id="598" w:name="_Toc173942690"/>
      <w:bookmarkStart w:id="599" w:name="_Toc28909"/>
      <w:r>
        <w:rPr>
          <w:color w:val="auto"/>
          <w:highlight w:val="none"/>
        </w:rPr>
        <w:t>5.环境影响预测与评价</w:t>
      </w:r>
      <w:bookmarkEnd w:id="581"/>
      <w:bookmarkEnd w:id="582"/>
      <w:bookmarkEnd w:id="583"/>
      <w:bookmarkEnd w:id="584"/>
      <w:bookmarkEnd w:id="585"/>
      <w:bookmarkEnd w:id="586"/>
      <w:bookmarkEnd w:id="587"/>
      <w:bookmarkEnd w:id="588"/>
    </w:p>
    <w:p>
      <w:pPr>
        <w:pStyle w:val="49"/>
        <w:rPr>
          <w:color w:val="auto"/>
        </w:rPr>
      </w:pPr>
      <w:bookmarkStart w:id="600" w:name="_Toc173941885"/>
      <w:bookmarkStart w:id="601" w:name="_Toc24378"/>
      <w:bookmarkStart w:id="602" w:name="_Toc173941735"/>
      <w:bookmarkStart w:id="603" w:name="_Toc13246"/>
      <w:bookmarkStart w:id="604" w:name="_Toc14738"/>
      <w:bookmarkStart w:id="605" w:name="_Toc173942689"/>
      <w:r>
        <w:rPr>
          <w:rFonts w:cs="Times New Roman"/>
          <w:color w:val="auto"/>
          <w:highlight w:val="none"/>
        </w:rPr>
        <w:t>5.1生态环境影响分析</w:t>
      </w:r>
      <w:bookmarkEnd w:id="589"/>
      <w:bookmarkEnd w:id="590"/>
      <w:bookmarkEnd w:id="600"/>
      <w:bookmarkEnd w:id="601"/>
      <w:bookmarkEnd w:id="602"/>
      <w:bookmarkEnd w:id="603"/>
      <w:bookmarkEnd w:id="604"/>
      <w:bookmarkEnd w:id="605"/>
    </w:p>
    <w:p>
      <w:pPr>
        <w:pStyle w:val="53"/>
        <w:rPr>
          <w:color w:val="auto"/>
          <w:highlight w:val="none"/>
        </w:rPr>
      </w:pPr>
      <w:bookmarkStart w:id="606" w:name="_Toc173941887"/>
      <w:bookmarkStart w:id="607" w:name="_Hlk96009076"/>
      <w:bookmarkStart w:id="608" w:name="_Toc173941886"/>
      <w:r>
        <w:rPr>
          <w:rFonts w:hint="eastAsia"/>
          <w:color w:val="auto"/>
          <w:highlight w:val="none"/>
        </w:rPr>
        <w:t>5.1.1施工期生态环境影响分析</w:t>
      </w:r>
      <w:bookmarkEnd w:id="606"/>
    </w:p>
    <w:bookmarkEnd w:id="607"/>
    <w:p>
      <w:pPr>
        <w:pStyle w:val="5"/>
        <w:rPr>
          <w:rFonts w:hint="eastAsia" w:ascii="黑体" w:hAnsi="黑体" w:eastAsia="黑体" w:cs="Times New Roman"/>
          <w:b/>
          <w:bCs w:val="0"/>
          <w:color w:val="auto"/>
          <w:sz w:val="24"/>
          <w:szCs w:val="20"/>
          <w:highlight w:val="none"/>
          <w:lang w:val="en-US" w:eastAsia="zh-CN" w:bidi="ar-SA"/>
        </w:rPr>
      </w:pPr>
      <w:r>
        <w:rPr>
          <w:rFonts w:hint="eastAsia" w:ascii="黑体" w:hAnsi="黑体" w:eastAsia="黑体" w:cs="Times New Roman"/>
          <w:b/>
          <w:bCs w:val="0"/>
          <w:color w:val="auto"/>
          <w:sz w:val="24"/>
          <w:szCs w:val="20"/>
          <w:highlight w:val="none"/>
          <w:lang w:val="en-US" w:eastAsia="zh-CN" w:bidi="ar-SA"/>
        </w:rPr>
        <w:t>5.1.1.1占地影响分析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（1）永久占地影响分析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本工程新增永久占地</w:t>
      </w:r>
      <w:r>
        <w:rPr>
          <w:rFonts w:hint="eastAsia" w:cs="Times New Roman"/>
          <w:color w:val="auto"/>
          <w:kern w:val="0"/>
          <w:sz w:val="24"/>
          <w:szCs w:val="21"/>
          <w:highlight w:val="none"/>
          <w:lang w:eastAsia="zh-CN"/>
        </w:rPr>
        <w:t>3.176</w:t>
      </w:r>
      <w:r>
        <w:rPr>
          <w:rFonts w:hint="eastAsia" w:ascii="Times New Roman" w:hAnsi="Times New Roman" w:eastAsia="宋体" w:cs="Times New Roman"/>
          <w:color w:val="auto"/>
          <w:kern w:val="0"/>
          <w:sz w:val="24"/>
          <w:szCs w:val="21"/>
          <w:highlight w:val="none"/>
          <w:lang w:eastAsia="zh-CN"/>
        </w:rPr>
        <w:t>h</w:t>
      </w:r>
      <w:r>
        <w:rPr>
          <w:rFonts w:hint="eastAsia" w:ascii="Times New Roman" w:hAnsi="Times New Roman" w:eastAsia="宋体" w:cs="Times New Roman"/>
          <w:color w:val="auto"/>
          <w:kern w:val="0"/>
          <w:sz w:val="24"/>
          <w:szCs w:val="21"/>
          <w:highlight w:val="none"/>
        </w:rPr>
        <w:t>m</w:t>
      </w:r>
      <w:r>
        <w:rPr>
          <w:rFonts w:hint="eastAsia" w:ascii="Times New Roman" w:hAnsi="Times New Roman" w:eastAsia="宋体" w:cs="Times New Roman"/>
          <w:color w:val="auto"/>
          <w:kern w:val="0"/>
          <w:sz w:val="24"/>
          <w:szCs w:val="21"/>
          <w:highlight w:val="none"/>
          <w:vertAlign w:val="superscript"/>
        </w:rPr>
        <w:t>2</w:t>
      </w:r>
      <w:r>
        <w:rPr>
          <w:rFonts w:hint="eastAsia" w:ascii="Times New Roman" w:hAnsi="Times New Roman" w:eastAsia="宋体" w:cs="Times New Roman"/>
          <w:color w:val="auto"/>
          <w:kern w:val="0"/>
          <w:sz w:val="24"/>
          <w:szCs w:val="21"/>
          <w:highlight w:val="none"/>
        </w:rPr>
        <w:t>，主要是</w:t>
      </w:r>
      <w:r>
        <w:rPr>
          <w:rFonts w:hint="eastAsia" w:cs="Times New Roman"/>
          <w:color w:val="auto"/>
          <w:kern w:val="0"/>
          <w:sz w:val="24"/>
          <w:szCs w:val="21"/>
          <w:highlight w:val="none"/>
          <w:lang w:eastAsia="zh-CN"/>
        </w:rPr>
        <w:t>新建18座井场</w:t>
      </w:r>
      <w:r>
        <w:rPr>
          <w:rFonts w:hint="eastAsia" w:ascii="Times New Roman" w:hAnsi="Times New Roman" w:eastAsia="宋体" w:cs="Times New Roman"/>
          <w:color w:val="auto"/>
          <w:kern w:val="0"/>
          <w:sz w:val="24"/>
          <w:szCs w:val="21"/>
          <w:highlight w:val="none"/>
        </w:rPr>
        <w:t>、</w:t>
      </w:r>
      <w:r>
        <w:rPr>
          <w:rFonts w:hint="eastAsia" w:ascii="Times New Roman" w:hAnsi="Times New Roman" w:eastAsia="宋体" w:cs="Times New Roman"/>
          <w:color w:val="auto"/>
          <w:kern w:val="0"/>
          <w:sz w:val="24"/>
          <w:szCs w:val="21"/>
          <w:highlight w:val="none"/>
          <w:lang w:val="en-US" w:eastAsia="zh-CN"/>
        </w:rPr>
        <w:t>1</w:t>
      </w:r>
      <w:r>
        <w:rPr>
          <w:rFonts w:hint="eastAsia" w:ascii="Times New Roman" w:hAnsi="Times New Roman" w:eastAsia="宋体" w:cs="Times New Roman"/>
          <w:color w:val="auto"/>
          <w:kern w:val="0"/>
          <w:sz w:val="24"/>
          <w:szCs w:val="21"/>
          <w:highlight w:val="none"/>
        </w:rPr>
        <w:t>座</w:t>
      </w:r>
      <w:r>
        <w:rPr>
          <w:rFonts w:hint="eastAsia" w:ascii="Times New Roman" w:hAnsi="Times New Roman" w:eastAsia="宋体" w:cs="Times New Roman"/>
          <w:color w:val="auto"/>
          <w:kern w:val="0"/>
          <w:sz w:val="24"/>
          <w:szCs w:val="21"/>
          <w:highlight w:val="none"/>
          <w:lang w:val="en-US" w:eastAsia="zh-CN"/>
        </w:rPr>
        <w:t>计量站</w:t>
      </w:r>
      <w:r>
        <w:rPr>
          <w:rFonts w:hint="eastAsia" w:ascii="Times New Roman" w:hAnsi="Times New Roman" w:eastAsia="宋体" w:cs="Times New Roman"/>
          <w:color w:val="auto"/>
          <w:kern w:val="0"/>
          <w:sz w:val="24"/>
          <w:szCs w:val="21"/>
          <w:highlight w:val="none"/>
        </w:rPr>
        <w:t>和</w:t>
      </w:r>
      <w:r>
        <w:rPr>
          <w:rFonts w:hint="eastAsia" w:ascii="Times New Roman" w:hAnsi="Times New Roman" w:eastAsia="宋体" w:cs="Times New Roman"/>
          <w:color w:val="auto"/>
          <w:kern w:val="0"/>
          <w:sz w:val="24"/>
          <w:szCs w:val="21"/>
          <w:highlight w:val="none"/>
          <w:lang w:val="en-US" w:eastAsia="zh-CN"/>
        </w:rPr>
        <w:t>新</w:t>
      </w:r>
      <w:r>
        <w:rPr>
          <w:rFonts w:hint="eastAsia" w:ascii="Times New Roman" w:hAnsi="Times New Roman" w:eastAsia="宋体" w:cs="Times New Roman"/>
          <w:color w:val="auto"/>
          <w:kern w:val="0"/>
          <w:sz w:val="24"/>
          <w:szCs w:val="21"/>
          <w:highlight w:val="none"/>
        </w:rPr>
        <w:t>建</w:t>
      </w:r>
      <w:r>
        <w:rPr>
          <w:rFonts w:hint="eastAsia" w:ascii="Times New Roman" w:hAnsi="Times New Roman" w:eastAsia="宋体" w:cs="Times New Roman"/>
          <w:color w:val="auto"/>
          <w:kern w:val="0"/>
          <w:sz w:val="24"/>
          <w:szCs w:val="21"/>
          <w:highlight w:val="none"/>
          <w:lang w:val="en-US" w:eastAsia="zh-CN"/>
        </w:rPr>
        <w:t>1座集中拉油</w:t>
      </w:r>
      <w:r>
        <w:rPr>
          <w:rFonts w:hint="eastAsia" w:ascii="Times New Roman" w:hAnsi="Times New Roman" w:eastAsia="宋体" w:cs="Times New Roman"/>
          <w:color w:val="auto"/>
          <w:kern w:val="0"/>
          <w:sz w:val="24"/>
          <w:szCs w:val="21"/>
          <w:highlight w:val="none"/>
        </w:rPr>
        <w:t>站永久占地。</w:t>
      </w:r>
      <w:r>
        <w:rPr>
          <w:rFonts w:ascii="Times New Roman" w:hAnsi="Times New Roman" w:eastAsia="宋体" w:cs="Times New Roman"/>
          <w:color w:val="auto"/>
          <w:kern w:val="0"/>
          <w:sz w:val="24"/>
          <w:szCs w:val="21"/>
          <w:highlight w:val="none"/>
        </w:rPr>
        <w:t>施工结束后，永久占地被</w:t>
      </w:r>
      <w:r>
        <w:rPr>
          <w:rFonts w:hint="eastAsia" w:ascii="Times New Roman" w:hAnsi="Times New Roman" w:eastAsia="宋体" w:cs="Times New Roman"/>
          <w:color w:val="auto"/>
          <w:kern w:val="0"/>
          <w:sz w:val="24"/>
          <w:szCs w:val="21"/>
          <w:highlight w:val="none"/>
        </w:rPr>
        <w:t>井场</w:t>
      </w:r>
      <w:r>
        <w:rPr>
          <w:rFonts w:ascii="Times New Roman" w:hAnsi="Times New Roman" w:eastAsia="宋体" w:cs="Times New Roman"/>
          <w:color w:val="auto"/>
          <w:kern w:val="0"/>
          <w:sz w:val="24"/>
          <w:szCs w:val="21"/>
          <w:highlight w:val="none"/>
        </w:rPr>
        <w:t>构筑物代替，这部分占地的土壤类型、土地利用类型和植被类型将发生彻底</w:t>
      </w:r>
      <w:r>
        <w:rPr>
          <w:rFonts w:hint="eastAsia" w:cs="Times New Roman"/>
          <w:color w:val="auto"/>
          <w:kern w:val="0"/>
          <w:sz w:val="24"/>
          <w:szCs w:val="21"/>
          <w:highlight w:val="none"/>
          <w:lang w:eastAsia="zh-CN"/>
        </w:rPr>
        <w:t>的</w:t>
      </w:r>
      <w:r>
        <w:rPr>
          <w:rFonts w:ascii="Times New Roman" w:hAnsi="Times New Roman" w:eastAsia="宋体" w:cs="Times New Roman"/>
          <w:color w:val="auto"/>
          <w:kern w:val="0"/>
          <w:sz w:val="24"/>
          <w:szCs w:val="21"/>
          <w:highlight w:val="none"/>
        </w:rPr>
        <w:t>改变，永久占地使原先土壤－植被复合体构成的自然地表被</w:t>
      </w:r>
      <w:r>
        <w:rPr>
          <w:rFonts w:hint="eastAsia" w:ascii="Times New Roman" w:hAnsi="Times New Roman" w:eastAsia="宋体" w:cs="Times New Roman"/>
          <w:color w:val="auto"/>
          <w:kern w:val="0"/>
          <w:sz w:val="24"/>
          <w:szCs w:val="21"/>
          <w:highlight w:val="none"/>
        </w:rPr>
        <w:t>井场</w:t>
      </w:r>
      <w:r>
        <w:rPr>
          <w:rFonts w:ascii="Times New Roman" w:hAnsi="Times New Roman" w:eastAsia="宋体" w:cs="Times New Roman"/>
          <w:color w:val="auto"/>
          <w:kern w:val="0"/>
          <w:sz w:val="24"/>
          <w:szCs w:val="21"/>
          <w:highlight w:val="none"/>
        </w:rPr>
        <w:t>长期取代</w:t>
      </w:r>
      <w:r>
        <w:rPr>
          <w:rFonts w:hint="eastAsia" w:ascii="Times New Roman" w:hAnsi="Times New Roman" w:eastAsia="宋体" w:cs="Times New Roman"/>
          <w:color w:val="auto"/>
          <w:kern w:val="0"/>
          <w:sz w:val="24"/>
          <w:szCs w:val="21"/>
          <w:highlight w:val="none"/>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（2）临时占地影响分析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eastAsia"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本工程新增临时占地</w:t>
      </w:r>
      <w:r>
        <w:rPr>
          <w:rFonts w:hint="eastAsia" w:cs="Times New Roman"/>
          <w:color w:val="auto"/>
          <w:kern w:val="0"/>
          <w:sz w:val="24"/>
          <w:szCs w:val="21"/>
          <w:highlight w:val="none"/>
          <w:lang w:eastAsia="zh-CN"/>
        </w:rPr>
        <w:t>48.52</w:t>
      </w:r>
      <w:r>
        <w:rPr>
          <w:rFonts w:hint="eastAsia" w:ascii="Times New Roman" w:hAnsi="Times New Roman" w:eastAsia="宋体" w:cs="Times New Roman"/>
          <w:color w:val="auto"/>
          <w:kern w:val="0"/>
          <w:sz w:val="24"/>
          <w:szCs w:val="21"/>
          <w:highlight w:val="none"/>
        </w:rPr>
        <w:t>hm</w:t>
      </w:r>
      <w:r>
        <w:rPr>
          <w:rFonts w:hint="eastAsia" w:ascii="Times New Roman" w:hAnsi="Times New Roman" w:eastAsia="宋体" w:cs="Times New Roman"/>
          <w:color w:val="auto"/>
          <w:kern w:val="0"/>
          <w:sz w:val="24"/>
          <w:szCs w:val="21"/>
          <w:highlight w:val="none"/>
          <w:vertAlign w:val="superscript"/>
        </w:rPr>
        <w:t>2</w:t>
      </w:r>
      <w:r>
        <w:rPr>
          <w:rFonts w:hint="eastAsia" w:ascii="Times New Roman" w:hAnsi="Times New Roman" w:eastAsia="宋体" w:cs="Times New Roman"/>
          <w:color w:val="auto"/>
          <w:kern w:val="0"/>
          <w:sz w:val="24"/>
          <w:szCs w:val="21"/>
          <w:highlight w:val="none"/>
        </w:rPr>
        <w:t>，主要是</w:t>
      </w:r>
      <w:r>
        <w:rPr>
          <w:rFonts w:hint="eastAsia" w:ascii="Times New Roman" w:hAnsi="Times New Roman" w:eastAsia="宋体" w:cs="Times New Roman"/>
          <w:color w:val="auto"/>
          <w:kern w:val="0"/>
          <w:sz w:val="24"/>
          <w:szCs w:val="21"/>
          <w:highlight w:val="none"/>
          <w:lang w:val="en-US" w:eastAsia="zh-CN"/>
        </w:rPr>
        <w:t>井场和</w:t>
      </w:r>
      <w:r>
        <w:rPr>
          <w:rFonts w:hint="eastAsia" w:ascii="Times New Roman" w:hAnsi="Times New Roman" w:eastAsia="宋体" w:cs="Times New Roman"/>
          <w:color w:val="auto"/>
          <w:kern w:val="0"/>
          <w:sz w:val="24"/>
          <w:szCs w:val="21"/>
          <w:highlight w:val="none"/>
        </w:rPr>
        <w:t>站场工程临时占地、新建各类管线和</w:t>
      </w:r>
      <w:r>
        <w:rPr>
          <w:rFonts w:hint="eastAsia" w:ascii="Times New Roman" w:hAnsi="Times New Roman" w:eastAsia="宋体" w:cs="Times New Roman"/>
          <w:color w:val="auto"/>
          <w:kern w:val="0"/>
          <w:sz w:val="24"/>
          <w:szCs w:val="21"/>
          <w:highlight w:val="none"/>
          <w:lang w:val="en-US" w:eastAsia="zh-CN"/>
        </w:rPr>
        <w:t>生活营地</w:t>
      </w:r>
      <w:r>
        <w:rPr>
          <w:rFonts w:hint="eastAsia" w:ascii="Times New Roman" w:hAnsi="Times New Roman" w:eastAsia="宋体" w:cs="Times New Roman"/>
          <w:color w:val="auto"/>
          <w:kern w:val="0"/>
          <w:sz w:val="24"/>
          <w:szCs w:val="21"/>
          <w:highlight w:val="none"/>
        </w:rPr>
        <w:t>占地，生态影响主要集中在施工期。本工程临时性占地主要是</w:t>
      </w:r>
      <w:r>
        <w:rPr>
          <w:rFonts w:hint="eastAsia" w:ascii="Times New Roman" w:hAnsi="Times New Roman" w:eastAsia="宋体" w:cs="Times New Roman"/>
          <w:color w:val="auto"/>
          <w:kern w:val="0"/>
          <w:sz w:val="24"/>
          <w:szCs w:val="21"/>
          <w:highlight w:val="none"/>
          <w:lang w:val="en-US" w:eastAsia="zh-CN"/>
        </w:rPr>
        <w:t>采矿用地</w:t>
      </w:r>
      <w:r>
        <w:rPr>
          <w:rFonts w:hint="eastAsia" w:ascii="Times New Roman" w:hAnsi="Times New Roman" w:eastAsia="宋体" w:cs="Times New Roman"/>
          <w:color w:val="auto"/>
          <w:kern w:val="0"/>
          <w:sz w:val="24"/>
          <w:szCs w:val="21"/>
          <w:highlight w:val="none"/>
        </w:rPr>
        <w:t>、</w:t>
      </w:r>
      <w:r>
        <w:rPr>
          <w:rFonts w:hint="eastAsia" w:ascii="Times New Roman" w:hAnsi="Times New Roman" w:eastAsia="宋体" w:cs="Times New Roman"/>
          <w:color w:val="auto"/>
          <w:kern w:val="0"/>
          <w:sz w:val="24"/>
          <w:szCs w:val="21"/>
          <w:highlight w:val="none"/>
          <w:lang w:val="en-US" w:eastAsia="zh-CN"/>
        </w:rPr>
        <w:t>其他</w:t>
      </w:r>
      <w:r>
        <w:rPr>
          <w:rFonts w:hint="eastAsia" w:ascii="Times New Roman" w:hAnsi="Times New Roman" w:eastAsia="宋体" w:cs="Times New Roman"/>
          <w:color w:val="auto"/>
          <w:kern w:val="0"/>
          <w:sz w:val="24"/>
          <w:szCs w:val="21"/>
          <w:highlight w:val="none"/>
        </w:rPr>
        <w:t>草地和裸</w:t>
      </w:r>
      <w:r>
        <w:rPr>
          <w:rFonts w:hint="eastAsia" w:ascii="Times New Roman" w:hAnsi="Times New Roman" w:eastAsia="宋体" w:cs="Times New Roman"/>
          <w:color w:val="auto"/>
          <w:kern w:val="0"/>
          <w:sz w:val="24"/>
          <w:szCs w:val="21"/>
          <w:highlight w:val="none"/>
          <w:lang w:val="en-US" w:eastAsia="zh-CN"/>
        </w:rPr>
        <w:t>土</w:t>
      </w:r>
      <w:r>
        <w:rPr>
          <w:rFonts w:hint="eastAsia" w:ascii="Times New Roman" w:hAnsi="Times New Roman" w:eastAsia="宋体" w:cs="Times New Roman"/>
          <w:color w:val="auto"/>
          <w:kern w:val="0"/>
          <w:sz w:val="24"/>
          <w:szCs w:val="21"/>
          <w:highlight w:val="none"/>
        </w:rPr>
        <w:t>地。</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井场建设对周边区域的生态环境影响主要有：</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a.临时占地将破坏地表原有自然植被，造成生物量损失。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b.施工过程中车辆碾压使占地范围内的土壤紧实度增加，对土地复耕后植被根系发育和生长不利。</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1"/>
          <w:highlight w:val="none"/>
        </w:rPr>
      </w:pPr>
      <w:r>
        <w:rPr>
          <w:rFonts w:hint="eastAsia" w:ascii="Times New Roman" w:hAnsi="Times New Roman" w:eastAsia="宋体" w:cs="Times New Roman"/>
          <w:color w:val="auto"/>
          <w:kern w:val="0"/>
          <w:sz w:val="24"/>
          <w:szCs w:val="21"/>
          <w:highlight w:val="none"/>
        </w:rPr>
        <w:t>c.在干燥天气下，车辆行驶扬尘，使便道两侧作物叶面覆盖降尘，光合作用减弱，影响作物生长；降雨天气，施工车辆进出施工场地，施工便道上的泥土将影响到公路路面的清洁，干燥后会产生扬尘污染。</w:t>
      </w:r>
    </w:p>
    <w:p>
      <w:pPr>
        <w:pStyle w:val="57"/>
        <w:keepNext w:val="0"/>
        <w:keepLines w:val="0"/>
        <w:pageBreakBefore w:val="0"/>
        <w:widowControl/>
        <w:kinsoku/>
        <w:wordWrap/>
        <w:overflowPunct/>
        <w:topLinePunct w:val="0"/>
        <w:autoSpaceDE/>
        <w:autoSpaceDN/>
        <w:bidi w:val="0"/>
        <w:adjustRightInd/>
        <w:snapToGrid/>
        <w:spacing w:line="480" w:lineRule="exact"/>
        <w:textAlignment w:val="auto"/>
        <w:rPr>
          <w:color w:val="auto"/>
          <w:highlight w:val="none"/>
        </w:rPr>
      </w:pPr>
      <w:r>
        <w:rPr>
          <w:rFonts w:hint="eastAsia" w:ascii="Times New Roman" w:hAnsi="Times New Roman" w:eastAsia="宋体" w:cs="Times New Roman"/>
          <w:color w:val="auto"/>
          <w:sz w:val="24"/>
          <w:szCs w:val="21"/>
          <w:highlight w:val="none"/>
          <w:lang w:val="en-US" w:eastAsia="zh-CN" w:bidi="ar-SA"/>
        </w:rPr>
        <w:t>综上所述，临时性工程占地短期内将影响区域内的利用状况，施工结束后，随着农用地补偿及耕地复垦等措施的实施，这一影响将逐渐减小直至消失</w:t>
      </w:r>
      <w:r>
        <w:rPr>
          <w:rFonts w:hint="eastAsia"/>
          <w:color w:val="auto"/>
          <w:highlight w:val="none"/>
        </w:rPr>
        <w:t>。</w:t>
      </w:r>
    </w:p>
    <w:bookmarkEnd w:id="608"/>
    <w:p>
      <w:pPr>
        <w:pStyle w:val="5"/>
        <w:pageBreakBefore w:val="0"/>
        <w:kinsoku/>
        <w:wordWrap/>
        <w:overflowPunct/>
        <w:topLinePunct w:val="0"/>
        <w:autoSpaceDE/>
        <w:autoSpaceDN/>
        <w:bidi w:val="0"/>
        <w:spacing w:line="480" w:lineRule="exact"/>
        <w:textAlignment w:val="auto"/>
        <w:rPr>
          <w:color w:val="auto"/>
          <w:sz w:val="24"/>
          <w:szCs w:val="24"/>
          <w:highlight w:val="none"/>
        </w:rPr>
      </w:pPr>
      <w:r>
        <w:rPr>
          <w:rFonts w:hint="eastAsia"/>
          <w:color w:val="auto"/>
          <w:sz w:val="24"/>
          <w:szCs w:val="24"/>
          <w:highlight w:val="none"/>
        </w:rPr>
        <w:t>5.1.1.</w:t>
      </w:r>
      <w:r>
        <w:rPr>
          <w:color w:val="auto"/>
          <w:sz w:val="24"/>
          <w:szCs w:val="24"/>
          <w:highlight w:val="none"/>
        </w:rPr>
        <w:t>2对植被的影响分析</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本工程</w:t>
      </w:r>
      <w:r>
        <w:rPr>
          <w:color w:val="auto"/>
          <w:sz w:val="24"/>
          <w:szCs w:val="24"/>
          <w:highlight w:val="none"/>
        </w:rPr>
        <w:t>对植被的影响主要</w:t>
      </w:r>
      <w:r>
        <w:rPr>
          <w:rFonts w:hint="eastAsia"/>
          <w:color w:val="auto"/>
          <w:sz w:val="24"/>
          <w:szCs w:val="24"/>
          <w:highlight w:val="none"/>
        </w:rPr>
        <w:t>表现</w:t>
      </w:r>
      <w:r>
        <w:rPr>
          <w:color w:val="auto"/>
          <w:sz w:val="24"/>
          <w:szCs w:val="24"/>
          <w:highlight w:val="none"/>
        </w:rPr>
        <w:t>在施工期的占地产生的影响、人类活动产生的影响</w:t>
      </w:r>
      <w:r>
        <w:rPr>
          <w:rFonts w:hint="eastAsia"/>
          <w:color w:val="auto"/>
          <w:sz w:val="24"/>
          <w:szCs w:val="24"/>
          <w:highlight w:val="none"/>
        </w:rPr>
        <w:t>、</w:t>
      </w:r>
      <w:r>
        <w:rPr>
          <w:color w:val="auto"/>
          <w:sz w:val="24"/>
          <w:szCs w:val="24"/>
          <w:highlight w:val="none"/>
        </w:rPr>
        <w:t>其次污染物排放也将对植被产生一定的影响。</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lang w:eastAsia="zh-CN"/>
        </w:rPr>
        <w:t>夏子街油田</w:t>
      </w:r>
      <w:r>
        <w:rPr>
          <w:color w:val="auto"/>
          <w:sz w:val="24"/>
          <w:szCs w:val="24"/>
          <w:highlight w:val="none"/>
        </w:rPr>
        <w:t>经过了多年的勘探开发后，现已具备了一定的规模，占用了一定面积的土地，使其上的荒漠植被消失，整个自然环境中的植被覆盖度减少，地表永久性构筑物增多。具体的影响方式及影响程度表现在以下几个方面：</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color w:val="auto"/>
          <w:sz w:val="24"/>
          <w:szCs w:val="24"/>
          <w:highlight w:val="none"/>
        </w:rPr>
        <w:t>（1）</w:t>
      </w:r>
      <w:r>
        <w:rPr>
          <w:rFonts w:hint="eastAsia"/>
          <w:color w:val="auto"/>
          <w:sz w:val="24"/>
          <w:szCs w:val="24"/>
          <w:highlight w:val="none"/>
        </w:rPr>
        <w:t>工程占地对植被影响</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rPr>
      </w:pPr>
      <w:r>
        <w:rPr>
          <w:color w:val="auto"/>
          <w:sz w:val="24"/>
          <w:szCs w:val="24"/>
          <w:highlight w:val="none"/>
        </w:rPr>
        <w:t>由影响因素分析和</w:t>
      </w:r>
      <w:r>
        <w:rPr>
          <w:rFonts w:hint="eastAsia"/>
          <w:color w:val="auto"/>
          <w:sz w:val="24"/>
          <w:szCs w:val="24"/>
          <w:highlight w:val="none"/>
          <w:lang w:eastAsia="zh-CN"/>
        </w:rPr>
        <w:t>油田建设</w:t>
      </w:r>
      <w:r>
        <w:rPr>
          <w:color w:val="auto"/>
          <w:sz w:val="24"/>
          <w:szCs w:val="24"/>
          <w:highlight w:val="none"/>
        </w:rPr>
        <w:t>的特点决定了在诸多对自然植被的影响因素中，施工期的建设占地等行为最严重，只有勘探对地表扰动和工程施工占地对影响区段植被的一次性破坏较大。</w:t>
      </w:r>
      <w:r>
        <w:rPr>
          <w:color w:val="auto"/>
          <w:sz w:val="24"/>
          <w:szCs w:val="24"/>
          <w:highlight w:val="none"/>
          <w:lang w:val="en-US" w:eastAsia="zh-CN"/>
        </w:rPr>
        <w:t>管道建设中管沟部分的植被将被彻底清除，管线施工完成后，由于很少再次进行干扰，其地表进行平整后，草本植物会逐渐恢复。</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hint="eastAsia" w:ascii="Times New Roman" w:hAnsi="Times New Roman" w:eastAsia="宋体" w:cs="Times New Roman"/>
          <w:color w:val="auto"/>
          <w:kern w:val="0"/>
          <w:sz w:val="24"/>
          <w:szCs w:val="24"/>
          <w:highlight w:val="none"/>
        </w:rPr>
        <w:t>本工程</w:t>
      </w:r>
      <w:r>
        <w:rPr>
          <w:rFonts w:ascii="Times New Roman" w:hAnsi="Times New Roman" w:eastAsia="宋体" w:cs="Times New Roman"/>
          <w:color w:val="auto"/>
          <w:kern w:val="0"/>
          <w:sz w:val="24"/>
          <w:szCs w:val="24"/>
          <w:highlight w:val="none"/>
        </w:rPr>
        <w:t>共占地</w:t>
      </w:r>
      <w:r>
        <w:rPr>
          <w:rFonts w:hint="eastAsia" w:cs="Times New Roman"/>
          <w:color w:val="auto"/>
          <w:kern w:val="0"/>
          <w:sz w:val="24"/>
          <w:szCs w:val="24"/>
          <w:highlight w:val="none"/>
          <w:lang w:eastAsia="zh-CN"/>
        </w:rPr>
        <w:t>51.696</w:t>
      </w:r>
      <w:r>
        <w:rPr>
          <w:rFonts w:ascii="Times New Roman" w:hAnsi="Times New Roman" w:eastAsia="宋体" w:cs="Times New Roman"/>
          <w:color w:val="auto"/>
          <w:kern w:val="0"/>
          <w:sz w:val="24"/>
          <w:szCs w:val="24"/>
          <w:highlight w:val="none"/>
        </w:rPr>
        <w:t>hm</w:t>
      </w:r>
      <w:r>
        <w:rPr>
          <w:rFonts w:ascii="Times New Roman" w:hAnsi="Times New Roman" w:eastAsia="宋体" w:cs="Times New Roman"/>
          <w:color w:val="auto"/>
          <w:kern w:val="0"/>
          <w:sz w:val="24"/>
          <w:szCs w:val="24"/>
          <w:highlight w:val="none"/>
          <w:vertAlign w:val="superscript"/>
        </w:rPr>
        <w:t>2</w:t>
      </w:r>
      <w:r>
        <w:rPr>
          <w:rFonts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rPr>
        <w:t>本工程占地范围内的现状用地主要为</w:t>
      </w:r>
      <w:r>
        <w:rPr>
          <w:rFonts w:hint="eastAsia" w:ascii="Times New Roman" w:hAnsi="Times New Roman" w:eastAsia="宋体" w:cs="Times New Roman"/>
          <w:color w:val="auto"/>
          <w:kern w:val="0"/>
          <w:sz w:val="24"/>
          <w:szCs w:val="24"/>
          <w:highlight w:val="none"/>
          <w:lang w:val="en-US" w:eastAsia="zh-CN"/>
        </w:rPr>
        <w:t>裸土地、其他草地、采矿用地、灌木林地和盐碱地等</w:t>
      </w:r>
      <w:r>
        <w:rPr>
          <w:rFonts w:hint="eastAsia" w:ascii="Times New Roman" w:hAnsi="Times New Roman" w:eastAsia="宋体" w:cs="Times New Roman"/>
          <w:color w:val="auto"/>
          <w:kern w:val="0"/>
          <w:sz w:val="24"/>
          <w:szCs w:val="24"/>
          <w:highlight w:val="none"/>
        </w:rPr>
        <w:t>，</w:t>
      </w:r>
      <w:r>
        <w:rPr>
          <w:rFonts w:hint="eastAsia" w:ascii="Times New Roman" w:hAnsi="Times New Roman" w:eastAsia="宋体" w:cs="Times New Roman"/>
          <w:color w:val="auto"/>
          <w:kern w:val="0"/>
          <w:sz w:val="24"/>
          <w:szCs w:val="24"/>
          <w:highlight w:val="none"/>
          <w:lang w:val="en-US" w:eastAsia="zh-CN"/>
        </w:rPr>
        <w:t>其他</w:t>
      </w:r>
      <w:r>
        <w:rPr>
          <w:rFonts w:hint="eastAsia" w:ascii="Times New Roman" w:hAnsi="Times New Roman" w:eastAsia="宋体" w:cs="Times New Roman"/>
          <w:color w:val="auto"/>
          <w:kern w:val="0"/>
          <w:sz w:val="24"/>
          <w:szCs w:val="24"/>
          <w:highlight w:val="none"/>
        </w:rPr>
        <w:t>草地和</w:t>
      </w:r>
      <w:r>
        <w:rPr>
          <w:rFonts w:hint="eastAsia" w:ascii="Times New Roman" w:hAnsi="Times New Roman" w:eastAsia="宋体" w:cs="Times New Roman"/>
          <w:color w:val="auto"/>
          <w:kern w:val="0"/>
          <w:sz w:val="24"/>
          <w:szCs w:val="24"/>
          <w:highlight w:val="none"/>
          <w:lang w:val="en-US" w:eastAsia="zh-CN"/>
        </w:rPr>
        <w:t>灌木林</w:t>
      </w:r>
      <w:r>
        <w:rPr>
          <w:rFonts w:hint="eastAsia" w:ascii="Times New Roman" w:hAnsi="Times New Roman" w:eastAsia="宋体" w:cs="Times New Roman"/>
          <w:color w:val="auto"/>
          <w:kern w:val="0"/>
          <w:sz w:val="24"/>
          <w:szCs w:val="24"/>
          <w:highlight w:val="none"/>
        </w:rPr>
        <w:t>地自然植被覆盖</w:t>
      </w:r>
      <w:r>
        <w:rPr>
          <w:rFonts w:hint="eastAsia" w:cs="Times New Roman"/>
          <w:color w:val="auto"/>
          <w:kern w:val="0"/>
          <w:sz w:val="24"/>
          <w:szCs w:val="24"/>
          <w:highlight w:val="none"/>
          <w:lang w:val="en-US" w:eastAsia="zh-CN"/>
        </w:rPr>
        <w:t>度</w:t>
      </w:r>
      <w:r>
        <w:rPr>
          <w:rFonts w:hint="eastAsia" w:ascii="Times New Roman" w:hAnsi="Times New Roman" w:eastAsia="宋体" w:cs="Times New Roman"/>
          <w:color w:val="auto"/>
          <w:kern w:val="0"/>
          <w:sz w:val="24"/>
          <w:szCs w:val="24"/>
          <w:highlight w:val="none"/>
        </w:rPr>
        <w:t>较低</w:t>
      </w:r>
      <w:r>
        <w:rPr>
          <w:rFonts w:ascii="Times New Roman" w:hAnsi="Times New Roman" w:eastAsia="宋体" w:cs="Times New Roman"/>
          <w:color w:val="auto"/>
          <w:kern w:val="0"/>
          <w:sz w:val="24"/>
          <w:szCs w:val="24"/>
          <w:highlight w:val="none"/>
        </w:rPr>
        <w:t>。在投入运营后，其中有</w:t>
      </w:r>
      <w:r>
        <w:rPr>
          <w:rFonts w:hint="eastAsia" w:cs="Times New Roman"/>
          <w:color w:val="auto"/>
          <w:kern w:val="0"/>
          <w:sz w:val="24"/>
          <w:szCs w:val="24"/>
          <w:highlight w:val="none"/>
          <w:lang w:eastAsia="zh-CN"/>
        </w:rPr>
        <w:t>3.176</w:t>
      </w:r>
      <w:r>
        <w:rPr>
          <w:rFonts w:hint="eastAsia" w:ascii="Times New Roman" w:hAnsi="Times New Roman" w:eastAsia="宋体" w:cs="Times New Roman"/>
          <w:color w:val="auto"/>
          <w:kern w:val="0"/>
          <w:sz w:val="24"/>
          <w:szCs w:val="24"/>
          <w:highlight w:val="none"/>
          <w:lang w:eastAsia="zh-CN"/>
        </w:rPr>
        <w:t>h</w:t>
      </w:r>
      <w:r>
        <w:rPr>
          <w:rFonts w:ascii="Times New Roman" w:hAnsi="Times New Roman" w:eastAsia="宋体" w:cs="Times New Roman"/>
          <w:color w:val="auto"/>
          <w:kern w:val="0"/>
          <w:sz w:val="24"/>
          <w:szCs w:val="24"/>
          <w:highlight w:val="none"/>
        </w:rPr>
        <w:t>m</w:t>
      </w:r>
      <w:r>
        <w:rPr>
          <w:rFonts w:ascii="Times New Roman" w:hAnsi="Times New Roman" w:eastAsia="宋体" w:cs="Times New Roman"/>
          <w:color w:val="auto"/>
          <w:kern w:val="0"/>
          <w:sz w:val="24"/>
          <w:szCs w:val="24"/>
          <w:highlight w:val="none"/>
          <w:vertAlign w:val="superscript"/>
        </w:rPr>
        <w:t>2</w:t>
      </w:r>
      <w:r>
        <w:rPr>
          <w:rFonts w:ascii="Times New Roman" w:hAnsi="Times New Roman" w:eastAsia="宋体" w:cs="Times New Roman"/>
          <w:color w:val="auto"/>
          <w:kern w:val="0"/>
          <w:sz w:val="24"/>
          <w:szCs w:val="24"/>
          <w:highlight w:val="none"/>
        </w:rPr>
        <w:t>的地表被永久占用，地表被各种构筑物或砾石覆盖</w:t>
      </w:r>
      <w:r>
        <w:rPr>
          <w:rFonts w:hint="eastAsia" w:ascii="Times New Roman" w:hAnsi="Times New Roman" w:eastAsia="宋体" w:cs="Times New Roman"/>
          <w:color w:val="auto"/>
          <w:kern w:val="0"/>
          <w:sz w:val="24"/>
          <w:szCs w:val="24"/>
          <w:highlight w:val="none"/>
        </w:rPr>
        <w:t>，</w:t>
      </w:r>
      <w:r>
        <w:rPr>
          <w:rFonts w:ascii="Times New Roman" w:hAnsi="Times New Roman" w:eastAsia="宋体" w:cs="Times New Roman"/>
          <w:color w:val="auto"/>
          <w:kern w:val="0"/>
          <w:sz w:val="24"/>
          <w:szCs w:val="24"/>
          <w:highlight w:val="none"/>
        </w:rPr>
        <w:t>临时占地</w:t>
      </w:r>
      <w:r>
        <w:rPr>
          <w:rFonts w:hint="eastAsia" w:cs="Times New Roman"/>
          <w:color w:val="auto"/>
          <w:kern w:val="0"/>
          <w:sz w:val="24"/>
          <w:szCs w:val="24"/>
          <w:highlight w:val="none"/>
          <w:lang w:eastAsia="zh-CN"/>
        </w:rPr>
        <w:t>48.52</w:t>
      </w:r>
      <w:r>
        <w:rPr>
          <w:rFonts w:ascii="Times New Roman" w:hAnsi="Times New Roman" w:eastAsia="宋体" w:cs="Times New Roman"/>
          <w:color w:val="auto"/>
          <w:kern w:val="0"/>
          <w:sz w:val="24"/>
          <w:szCs w:val="24"/>
          <w:highlight w:val="none"/>
        </w:rPr>
        <w:t>hm</w:t>
      </w:r>
      <w:r>
        <w:rPr>
          <w:rFonts w:ascii="Times New Roman" w:hAnsi="Times New Roman" w:eastAsia="宋体" w:cs="Times New Roman"/>
          <w:color w:val="auto"/>
          <w:kern w:val="0"/>
          <w:sz w:val="24"/>
          <w:szCs w:val="24"/>
          <w:highlight w:val="none"/>
          <w:vertAlign w:val="superscript"/>
        </w:rPr>
        <w:t>2</w:t>
      </w:r>
      <w:r>
        <w:rPr>
          <w:rFonts w:ascii="Times New Roman" w:hAnsi="Times New Roman" w:eastAsia="宋体" w:cs="Times New Roman"/>
          <w:color w:val="auto"/>
          <w:kern w:val="0"/>
          <w:sz w:val="24"/>
          <w:szCs w:val="24"/>
          <w:highlight w:val="none"/>
        </w:rPr>
        <w:t>土地重新</w:t>
      </w:r>
      <w:r>
        <w:rPr>
          <w:rFonts w:hint="eastAsia" w:ascii="Times New Roman" w:hAnsi="Times New Roman" w:eastAsia="宋体" w:cs="Times New Roman"/>
          <w:color w:val="auto"/>
          <w:kern w:val="0"/>
          <w:sz w:val="24"/>
          <w:szCs w:val="24"/>
          <w:highlight w:val="none"/>
        </w:rPr>
        <w:t>恢复</w:t>
      </w:r>
      <w:r>
        <w:rPr>
          <w:rFonts w:ascii="Times New Roman" w:hAnsi="Times New Roman" w:eastAsia="宋体" w:cs="Times New Roman"/>
          <w:color w:val="auto"/>
          <w:kern w:val="0"/>
          <w:sz w:val="24"/>
          <w:szCs w:val="24"/>
          <w:highlight w:val="none"/>
        </w:rPr>
        <w:t>到原来的自然状态</w:t>
      </w:r>
      <w:r>
        <w:rPr>
          <w:rFonts w:hint="eastAsia" w:ascii="Times New Roman" w:hAnsi="Times New Roman" w:eastAsia="宋体" w:cs="Times New Roman"/>
          <w:color w:val="auto"/>
          <w:kern w:val="0"/>
          <w:sz w:val="24"/>
          <w:szCs w:val="24"/>
          <w:highlight w:val="none"/>
        </w:rPr>
        <w:t>。</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color w:val="auto"/>
          <w:sz w:val="24"/>
          <w:szCs w:val="24"/>
          <w:highlight w:val="none"/>
        </w:rPr>
        <w:t>（</w:t>
      </w:r>
      <w:r>
        <w:rPr>
          <w:rFonts w:hint="eastAsia"/>
          <w:color w:val="auto"/>
          <w:sz w:val="24"/>
          <w:szCs w:val="24"/>
          <w:highlight w:val="none"/>
        </w:rPr>
        <w:t>2</w:t>
      </w:r>
      <w:r>
        <w:rPr>
          <w:color w:val="auto"/>
          <w:sz w:val="24"/>
          <w:szCs w:val="24"/>
          <w:highlight w:val="none"/>
        </w:rPr>
        <w:t>）石油类污染对植被的影响</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本工程开发建设</w:t>
      </w:r>
      <w:r>
        <w:rPr>
          <w:color w:val="auto"/>
          <w:sz w:val="24"/>
          <w:szCs w:val="24"/>
          <w:highlight w:val="none"/>
        </w:rPr>
        <w:t>过程中石油类对植被的污染途径主要是落地油先污染土壤，改变其结构和性状，使生长其上的植被间接</w:t>
      </w:r>
      <w:r>
        <w:rPr>
          <w:rFonts w:hint="eastAsia"/>
          <w:color w:val="auto"/>
          <w:sz w:val="24"/>
          <w:szCs w:val="24"/>
          <w:highlight w:val="none"/>
        </w:rPr>
        <w:t>地</w:t>
      </w:r>
      <w:r>
        <w:rPr>
          <w:color w:val="auto"/>
          <w:sz w:val="24"/>
          <w:szCs w:val="24"/>
          <w:highlight w:val="none"/>
        </w:rPr>
        <w:t>受到影响。</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bookmarkStart w:id="609" w:name="OLE_LINK659"/>
      <w:r>
        <w:rPr>
          <w:rFonts w:hint="eastAsia"/>
          <w:color w:val="auto"/>
          <w:sz w:val="24"/>
          <w:szCs w:val="24"/>
          <w:highlight w:val="none"/>
        </w:rPr>
        <w:t>本工程</w:t>
      </w:r>
      <w:bookmarkEnd w:id="609"/>
      <w:r>
        <w:rPr>
          <w:rFonts w:hint="eastAsia"/>
          <w:color w:val="auto"/>
          <w:sz w:val="24"/>
          <w:szCs w:val="24"/>
          <w:highlight w:val="none"/>
        </w:rPr>
        <w:t>占地范围内自然植被</w:t>
      </w:r>
      <w:r>
        <w:rPr>
          <w:rFonts w:hint="eastAsia"/>
          <w:color w:val="auto"/>
          <w:sz w:val="24"/>
          <w:szCs w:val="24"/>
          <w:highlight w:val="none"/>
          <w:lang w:val="en-US" w:eastAsia="zh-CN"/>
        </w:rPr>
        <w:t>覆盖度低</w:t>
      </w:r>
      <w:r>
        <w:rPr>
          <w:rFonts w:hint="eastAsia"/>
          <w:color w:val="auto"/>
          <w:sz w:val="24"/>
          <w:szCs w:val="24"/>
          <w:highlight w:val="none"/>
        </w:rPr>
        <w:t>，本工程开工建设尽量</w:t>
      </w:r>
      <w:r>
        <w:rPr>
          <w:rFonts w:hint="eastAsia"/>
          <w:color w:val="auto"/>
          <w:sz w:val="24"/>
          <w:szCs w:val="24"/>
          <w:highlight w:val="none"/>
          <w:lang w:val="en-US" w:eastAsia="zh-CN"/>
        </w:rPr>
        <w:t>避开植被较多的区域</w:t>
      </w:r>
      <w:r>
        <w:rPr>
          <w:rFonts w:hint="eastAsia"/>
          <w:color w:val="auto"/>
          <w:sz w:val="24"/>
          <w:szCs w:val="24"/>
          <w:highlight w:val="none"/>
        </w:rPr>
        <w:t>，</w:t>
      </w:r>
      <w:r>
        <w:rPr>
          <w:color w:val="auto"/>
          <w:sz w:val="24"/>
          <w:szCs w:val="24"/>
          <w:highlight w:val="none"/>
        </w:rPr>
        <w:t>所以地表石油类污染不会使植被受到明显伤害。</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color w:val="auto"/>
          <w:sz w:val="24"/>
          <w:szCs w:val="24"/>
          <w:highlight w:val="none"/>
        </w:rPr>
        <w:t>（</w:t>
      </w:r>
      <w:r>
        <w:rPr>
          <w:rFonts w:hint="eastAsia"/>
          <w:color w:val="auto"/>
          <w:sz w:val="24"/>
          <w:szCs w:val="24"/>
          <w:highlight w:val="none"/>
        </w:rPr>
        <w:t>3</w:t>
      </w:r>
      <w:r>
        <w:rPr>
          <w:color w:val="auto"/>
          <w:sz w:val="24"/>
          <w:szCs w:val="24"/>
          <w:highlight w:val="none"/>
        </w:rPr>
        <w:t>）人类活动对植被的影响</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rPr>
      </w:pPr>
      <w:r>
        <w:rPr>
          <w:rFonts w:hint="eastAsia"/>
          <w:color w:val="auto"/>
          <w:sz w:val="24"/>
          <w:szCs w:val="24"/>
          <w:highlight w:val="none"/>
        </w:rPr>
        <w:t>本工程</w:t>
      </w:r>
      <w:r>
        <w:rPr>
          <w:color w:val="auto"/>
          <w:sz w:val="24"/>
          <w:szCs w:val="24"/>
          <w:highlight w:val="none"/>
        </w:rPr>
        <w:t>开发建设过程中</w:t>
      </w:r>
      <w:r>
        <w:rPr>
          <w:rFonts w:hint="eastAsia"/>
          <w:color w:val="auto"/>
          <w:sz w:val="24"/>
          <w:szCs w:val="24"/>
          <w:highlight w:val="none"/>
        </w:rPr>
        <w:t>人类活动</w:t>
      </w:r>
      <w:r>
        <w:rPr>
          <w:color w:val="auto"/>
          <w:sz w:val="24"/>
          <w:szCs w:val="24"/>
          <w:highlight w:val="none"/>
        </w:rPr>
        <w:t>对植被的影响主要表现在人类和机械对植物的践踏、碾压和砍伐，使原生植被生境发生较大变化。单位面积上人口密度的增加将导致工程开发范围内及边缘区域地表土壤被践踏和自然植被覆盖率减少，使工程区域内局部地带沙漠化的可能性增加，从而形成次生沙漠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rPr>
        <w:t>（</w:t>
      </w:r>
      <w:r>
        <w:rPr>
          <w:rFonts w:hint="eastAsia" w:cs="Times New Roman"/>
          <w:color w:val="auto"/>
          <w:kern w:val="0"/>
          <w:sz w:val="24"/>
          <w:szCs w:val="24"/>
          <w:highlight w:val="none"/>
          <w:lang w:val="en-US" w:eastAsia="zh-CN"/>
        </w:rPr>
        <w:t>4</w:t>
      </w:r>
      <w:r>
        <w:rPr>
          <w:rFonts w:ascii="Times New Roman" w:hAnsi="Times New Roman" w:eastAsia="宋体" w:cs="Times New Roman"/>
          <w:color w:val="auto"/>
          <w:kern w:val="0"/>
          <w:sz w:val="24"/>
          <w:szCs w:val="24"/>
          <w:highlight w:val="none"/>
        </w:rPr>
        <w:t>）植被生物量损失</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本工程总占地约</w:t>
      </w:r>
      <w:r>
        <w:rPr>
          <w:rFonts w:hint="eastAsia" w:cs="Times New Roman"/>
          <w:color w:val="auto"/>
          <w:sz w:val="24"/>
          <w:szCs w:val="24"/>
          <w:highlight w:val="none"/>
          <w:lang w:val="en-US" w:eastAsia="zh-CN" w:bidi="ar-SA"/>
        </w:rPr>
        <w:t>51.696</w:t>
      </w:r>
      <w:r>
        <w:rPr>
          <w:rFonts w:hint="eastAsia" w:ascii="Times New Roman" w:hAnsi="Times New Roman" w:eastAsia="宋体" w:cs="Times New Roman"/>
          <w:color w:val="auto"/>
          <w:sz w:val="24"/>
          <w:szCs w:val="24"/>
          <w:highlight w:val="none"/>
          <w:lang w:val="en-US" w:eastAsia="zh-CN" w:bidi="ar-SA"/>
        </w:rPr>
        <w:t>hm</w:t>
      </w:r>
      <w:r>
        <w:rPr>
          <w:rFonts w:hint="eastAsia" w:ascii="Times New Roman" w:hAnsi="Times New Roman" w:eastAsia="宋体" w:cs="Times New Roman"/>
          <w:color w:val="auto"/>
          <w:sz w:val="24"/>
          <w:szCs w:val="24"/>
          <w:highlight w:val="none"/>
          <w:vertAlign w:val="superscript"/>
          <w:lang w:val="en-US" w:eastAsia="zh-CN" w:bidi="ar-SA"/>
        </w:rPr>
        <w:t>2</w:t>
      </w:r>
      <w:r>
        <w:rPr>
          <w:rFonts w:hint="eastAsia" w:ascii="Times New Roman" w:hAnsi="Times New Roman" w:eastAsia="宋体" w:cs="Times New Roman"/>
          <w:color w:val="auto"/>
          <w:sz w:val="24"/>
          <w:szCs w:val="24"/>
          <w:highlight w:val="none"/>
          <w:lang w:val="en-US" w:eastAsia="zh-CN" w:bidi="ar-SA"/>
        </w:rPr>
        <w:t>，其中永久占地</w:t>
      </w:r>
      <w:r>
        <w:rPr>
          <w:rFonts w:hint="eastAsia" w:cs="Times New Roman"/>
          <w:color w:val="auto"/>
          <w:sz w:val="24"/>
          <w:szCs w:val="24"/>
          <w:highlight w:val="none"/>
          <w:lang w:val="en-US" w:eastAsia="zh-CN" w:bidi="ar-SA"/>
        </w:rPr>
        <w:t>3.176</w:t>
      </w:r>
      <w:r>
        <w:rPr>
          <w:rFonts w:hint="eastAsia" w:ascii="Times New Roman" w:hAnsi="Times New Roman" w:eastAsia="宋体" w:cs="Times New Roman"/>
          <w:color w:val="auto"/>
          <w:sz w:val="24"/>
          <w:szCs w:val="24"/>
          <w:highlight w:val="none"/>
          <w:lang w:val="en-US" w:eastAsia="zh-CN" w:bidi="ar-SA"/>
        </w:rPr>
        <w:t>hm</w:t>
      </w:r>
      <w:r>
        <w:rPr>
          <w:rFonts w:hint="eastAsia" w:ascii="Times New Roman" w:hAnsi="Times New Roman" w:eastAsia="宋体" w:cs="Times New Roman"/>
          <w:color w:val="auto"/>
          <w:sz w:val="24"/>
          <w:szCs w:val="24"/>
          <w:highlight w:val="none"/>
          <w:vertAlign w:val="superscript"/>
          <w:lang w:val="en-US" w:eastAsia="zh-CN" w:bidi="ar-SA"/>
        </w:rPr>
        <w:t>2</w:t>
      </w:r>
      <w:r>
        <w:rPr>
          <w:rFonts w:hint="eastAsia" w:ascii="Times New Roman" w:hAnsi="Times New Roman" w:eastAsia="宋体" w:cs="Times New Roman"/>
          <w:color w:val="auto"/>
          <w:sz w:val="24"/>
          <w:szCs w:val="24"/>
          <w:highlight w:val="none"/>
          <w:lang w:val="en-US" w:eastAsia="zh-CN" w:bidi="ar-SA"/>
        </w:rPr>
        <w:t>、临时占地</w:t>
      </w:r>
      <w:r>
        <w:rPr>
          <w:rFonts w:hint="eastAsia" w:cs="Times New Roman"/>
          <w:color w:val="auto"/>
          <w:sz w:val="24"/>
          <w:szCs w:val="24"/>
          <w:highlight w:val="none"/>
          <w:lang w:val="en-US" w:eastAsia="zh-CN" w:bidi="ar-SA"/>
        </w:rPr>
        <w:t>48.52</w:t>
      </w:r>
      <w:r>
        <w:rPr>
          <w:rFonts w:hint="eastAsia" w:ascii="Times New Roman" w:hAnsi="Times New Roman" w:eastAsia="宋体" w:cs="Times New Roman"/>
          <w:color w:val="auto"/>
          <w:sz w:val="24"/>
          <w:szCs w:val="24"/>
          <w:highlight w:val="none"/>
          <w:lang w:val="en-US" w:eastAsia="zh-CN" w:bidi="ar-SA"/>
        </w:rPr>
        <w:t>hm</w:t>
      </w:r>
      <w:r>
        <w:rPr>
          <w:rFonts w:hint="eastAsia" w:ascii="Times New Roman" w:hAnsi="Times New Roman" w:eastAsia="宋体" w:cs="Times New Roman"/>
          <w:color w:val="auto"/>
          <w:sz w:val="24"/>
          <w:szCs w:val="24"/>
          <w:highlight w:val="none"/>
          <w:vertAlign w:val="superscript"/>
          <w:lang w:val="en-US" w:eastAsia="zh-CN" w:bidi="ar-SA"/>
        </w:rPr>
        <w:t>2</w:t>
      </w:r>
      <w:r>
        <w:rPr>
          <w:rFonts w:ascii="Times New Roman" w:hAnsi="Times New Roman" w:eastAsia="宋体" w:cs="Times New Roman"/>
          <w:color w:val="auto"/>
          <w:sz w:val="24"/>
          <w:szCs w:val="24"/>
          <w:highlight w:val="none"/>
          <w:lang w:val="en-US" w:eastAsia="zh-CN" w:bidi="ar-SA"/>
        </w:rPr>
        <w:t>。</w:t>
      </w:r>
      <w:r>
        <w:rPr>
          <w:rFonts w:hint="eastAsia" w:ascii="Times New Roman" w:hAnsi="Times New Roman" w:eastAsia="宋体" w:cs="Times New Roman"/>
          <w:color w:val="auto"/>
          <w:sz w:val="24"/>
          <w:szCs w:val="24"/>
          <w:highlight w:val="none"/>
          <w:lang w:val="en-US" w:eastAsia="zh-CN" w:bidi="ar-SA"/>
        </w:rPr>
        <w:t>永久占地和临时用地都会导致生物量损失。生物量损失按下式计算，其中S</w:t>
      </w:r>
      <w:r>
        <w:rPr>
          <w:rFonts w:hint="eastAsia" w:ascii="Times New Roman" w:hAnsi="Times New Roman" w:eastAsia="宋体" w:cs="Times New Roman"/>
          <w:color w:val="auto"/>
          <w:sz w:val="24"/>
          <w:szCs w:val="24"/>
          <w:highlight w:val="none"/>
          <w:vertAlign w:val="subscript"/>
          <w:lang w:val="en-US" w:eastAsia="zh-CN" w:bidi="ar-SA"/>
        </w:rPr>
        <w:t>i</w:t>
      </w:r>
      <w:r>
        <w:rPr>
          <w:rFonts w:hint="eastAsia" w:ascii="Times New Roman" w:hAnsi="Times New Roman" w:eastAsia="宋体" w:cs="Times New Roman"/>
          <w:color w:val="auto"/>
          <w:sz w:val="24"/>
          <w:szCs w:val="24"/>
          <w:highlight w:val="none"/>
          <w:lang w:val="en-US" w:eastAsia="zh-CN" w:bidi="ar-SA"/>
        </w:rPr>
        <w:t>以有植被覆盖区域的占地面积计：</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Y=S</w:t>
      </w:r>
      <w:r>
        <w:rPr>
          <w:rFonts w:hint="eastAsia" w:ascii="Times New Roman" w:hAnsi="Times New Roman" w:eastAsia="宋体" w:cs="Times New Roman"/>
          <w:snapToGrid w:val="0"/>
          <w:color w:val="auto"/>
          <w:sz w:val="24"/>
          <w:szCs w:val="24"/>
          <w:highlight w:val="none"/>
          <w:vertAlign w:val="subscript"/>
          <w:lang w:val="en-US" w:eastAsia="zh-CN" w:bidi="ar-SA"/>
        </w:rPr>
        <w:t>i</w:t>
      </w:r>
      <w:r>
        <w:rPr>
          <w:rFonts w:hint="eastAsia" w:ascii="Times New Roman" w:hAnsi="Times New Roman" w:eastAsia="宋体" w:cs="Times New Roman"/>
          <w:snapToGrid w:val="0"/>
          <w:color w:val="auto"/>
          <w:sz w:val="24"/>
          <w:szCs w:val="24"/>
          <w:highlight w:val="none"/>
          <w:lang w:val="en-US" w:eastAsia="zh-CN" w:bidi="ar-SA"/>
        </w:rPr>
        <w:t>×W</w:t>
      </w:r>
      <w:r>
        <w:rPr>
          <w:rFonts w:hint="eastAsia" w:ascii="Times New Roman" w:hAnsi="Times New Roman" w:eastAsia="宋体" w:cs="Times New Roman"/>
          <w:snapToGrid w:val="0"/>
          <w:color w:val="auto"/>
          <w:sz w:val="24"/>
          <w:szCs w:val="24"/>
          <w:highlight w:val="none"/>
          <w:vertAlign w:val="subscript"/>
          <w:lang w:val="en-US" w:eastAsia="zh-CN" w:bidi="ar-SA"/>
        </w:rPr>
        <w:t>i</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snapToGrid w:val="0"/>
          <w:color w:val="auto"/>
          <w:sz w:val="24"/>
          <w:szCs w:val="24"/>
          <w:highlight w:val="none"/>
          <w:lang w:val="en-US" w:eastAsia="zh-CN" w:bidi="ar-SA"/>
        </w:rPr>
        <w:t>式中：</w:t>
      </w:r>
      <w:r>
        <w:rPr>
          <w:rFonts w:hint="eastAsia" w:ascii="Times New Roman" w:hAnsi="Times New Roman" w:eastAsia="宋体" w:cs="Times New Roman"/>
          <w:i/>
          <w:iCs/>
          <w:snapToGrid w:val="0"/>
          <w:color w:val="auto"/>
          <w:sz w:val="24"/>
          <w:szCs w:val="24"/>
          <w:highlight w:val="none"/>
          <w:lang w:val="en-US" w:eastAsia="zh-CN" w:bidi="ar-SA"/>
        </w:rPr>
        <w:t>Y</w:t>
      </w:r>
      <w:r>
        <w:rPr>
          <w:rFonts w:hint="eastAsia" w:ascii="Times New Roman" w:hAnsi="Times New Roman" w:eastAsia="宋体" w:cs="Times New Roman"/>
          <w:snapToGrid w:val="0"/>
          <w:color w:val="auto"/>
          <w:sz w:val="24"/>
          <w:szCs w:val="24"/>
          <w:highlight w:val="none"/>
          <w:lang w:val="en-US" w:eastAsia="zh-CN" w:bidi="ar-SA"/>
        </w:rPr>
        <w:t>——生物量损失，t；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snapToGrid w:val="0"/>
          <w:color w:val="auto"/>
          <w:sz w:val="24"/>
          <w:szCs w:val="24"/>
          <w:highlight w:val="none"/>
          <w:lang w:val="en-US" w:eastAsia="zh-CN" w:bidi="ar-SA"/>
        </w:rPr>
      </w:pPr>
      <w:r>
        <w:rPr>
          <w:rFonts w:hint="eastAsia" w:ascii="Times New Roman" w:hAnsi="Times New Roman" w:eastAsia="宋体" w:cs="Times New Roman"/>
          <w:i/>
          <w:iCs/>
          <w:snapToGrid w:val="0"/>
          <w:color w:val="auto"/>
          <w:sz w:val="24"/>
          <w:szCs w:val="24"/>
          <w:highlight w:val="none"/>
          <w:lang w:val="en-US" w:eastAsia="zh-CN" w:bidi="ar-SA"/>
        </w:rPr>
        <w:t>S</w:t>
      </w:r>
      <w:r>
        <w:rPr>
          <w:rFonts w:hint="eastAsia" w:ascii="Times New Roman" w:hAnsi="Times New Roman" w:eastAsia="宋体" w:cs="Times New Roman"/>
          <w:i/>
          <w:iCs/>
          <w:snapToGrid w:val="0"/>
          <w:color w:val="auto"/>
          <w:sz w:val="24"/>
          <w:szCs w:val="24"/>
          <w:highlight w:val="none"/>
          <w:vertAlign w:val="subscript"/>
          <w:lang w:val="en-US" w:eastAsia="zh-CN" w:bidi="ar-SA"/>
        </w:rPr>
        <w:t>i</w:t>
      </w:r>
      <w:r>
        <w:rPr>
          <w:rFonts w:hint="eastAsia" w:ascii="Times New Roman" w:hAnsi="Times New Roman" w:eastAsia="宋体" w:cs="Times New Roman"/>
          <w:snapToGrid w:val="0"/>
          <w:color w:val="auto"/>
          <w:sz w:val="24"/>
          <w:szCs w:val="24"/>
          <w:highlight w:val="none"/>
          <w:lang w:val="en-US" w:eastAsia="zh-CN" w:bidi="ar-SA"/>
        </w:rPr>
        <w:t>——占地面积，hm</w:t>
      </w:r>
      <w:r>
        <w:rPr>
          <w:rFonts w:hint="eastAsia" w:ascii="Times New Roman" w:hAnsi="Times New Roman" w:eastAsia="宋体" w:cs="Times New Roman"/>
          <w:snapToGrid w:val="0"/>
          <w:color w:val="auto"/>
          <w:sz w:val="24"/>
          <w:szCs w:val="24"/>
          <w:highlight w:val="none"/>
          <w:vertAlign w:val="superscript"/>
          <w:lang w:val="en-US" w:eastAsia="zh-CN" w:bidi="ar-SA"/>
        </w:rPr>
        <w:t>2</w:t>
      </w:r>
      <w:r>
        <w:rPr>
          <w:rFonts w:hint="eastAsia" w:ascii="Times New Roman" w:hAnsi="Times New Roman" w:eastAsia="宋体" w:cs="Times New Roman"/>
          <w:snapToGrid w:val="0"/>
          <w:color w:val="auto"/>
          <w:sz w:val="24"/>
          <w:szCs w:val="24"/>
          <w:highlight w:val="none"/>
          <w:lang w:val="en-US" w:eastAsia="zh-CN" w:bidi="ar-SA"/>
        </w:rPr>
        <w:t>；</w:t>
      </w:r>
    </w:p>
    <w:p>
      <w:pPr>
        <w:pStyle w:val="57"/>
        <w:keepNext w:val="0"/>
        <w:keepLines w:val="0"/>
        <w:pageBreakBefore w:val="0"/>
        <w:kinsoku/>
        <w:wordWrap/>
        <w:overflowPunct/>
        <w:topLinePunct w:val="0"/>
        <w:autoSpaceDE/>
        <w:autoSpaceDN/>
        <w:bidi w:val="0"/>
        <w:adjustRightInd/>
        <w:snapToGrid/>
        <w:spacing w:line="480" w:lineRule="exact"/>
        <w:textAlignment w:val="auto"/>
        <w:rPr>
          <w:snapToGrid w:val="0"/>
          <w:color w:val="auto"/>
          <w:sz w:val="24"/>
          <w:szCs w:val="24"/>
          <w:highlight w:val="none"/>
        </w:rPr>
      </w:pPr>
      <w:r>
        <w:rPr>
          <w:rFonts w:hint="eastAsia" w:ascii="Times New Roman" w:hAnsi="Times New Roman" w:eastAsia="宋体" w:cs="Times New Roman"/>
          <w:i/>
          <w:iCs/>
          <w:snapToGrid w:val="0"/>
          <w:color w:val="auto"/>
          <w:sz w:val="24"/>
          <w:szCs w:val="24"/>
          <w:highlight w:val="none"/>
          <w:lang w:val="en-US" w:eastAsia="zh-CN" w:bidi="ar-SA"/>
        </w:rPr>
        <w:t>W</w:t>
      </w:r>
      <w:r>
        <w:rPr>
          <w:rFonts w:hint="eastAsia" w:ascii="Times New Roman" w:hAnsi="Times New Roman" w:eastAsia="宋体" w:cs="Times New Roman"/>
          <w:i/>
          <w:iCs/>
          <w:snapToGrid w:val="0"/>
          <w:color w:val="auto"/>
          <w:sz w:val="24"/>
          <w:szCs w:val="24"/>
          <w:highlight w:val="none"/>
          <w:vertAlign w:val="subscript"/>
          <w:lang w:val="en-US" w:eastAsia="zh-CN" w:bidi="ar-SA"/>
        </w:rPr>
        <w:t>i</w:t>
      </w:r>
      <w:r>
        <w:rPr>
          <w:rFonts w:hint="eastAsia" w:ascii="Times New Roman" w:hAnsi="Times New Roman" w:eastAsia="宋体" w:cs="Times New Roman"/>
          <w:snapToGrid w:val="0"/>
          <w:color w:val="auto"/>
          <w:sz w:val="24"/>
          <w:szCs w:val="24"/>
          <w:highlight w:val="none"/>
          <w:lang w:val="en-US" w:eastAsia="zh-CN" w:bidi="ar-SA"/>
        </w:rPr>
        <w:t>——单位面积生物量，t/hm</w:t>
      </w:r>
      <w:r>
        <w:rPr>
          <w:rFonts w:hint="eastAsia" w:ascii="Times New Roman" w:hAnsi="Times New Roman" w:eastAsia="宋体" w:cs="Times New Roman"/>
          <w:snapToGrid w:val="0"/>
          <w:color w:val="auto"/>
          <w:sz w:val="24"/>
          <w:szCs w:val="24"/>
          <w:highlight w:val="none"/>
          <w:vertAlign w:val="superscript"/>
          <w:lang w:val="en-US" w:eastAsia="zh-CN" w:bidi="ar-SA"/>
        </w:rPr>
        <w:t>2</w:t>
      </w:r>
      <w:r>
        <w:rPr>
          <w:rFonts w:hint="eastAsia"/>
          <w:snapToGrid w:val="0"/>
          <w:color w:val="auto"/>
          <w:sz w:val="24"/>
          <w:szCs w:val="24"/>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snapToGrid w:val="0"/>
          <w:color w:val="auto"/>
          <w:highlight w:val="none"/>
        </w:rPr>
      </w:pPr>
      <w:r>
        <w:rPr>
          <w:rFonts w:hint="eastAsia"/>
          <w:snapToGrid w:val="0"/>
          <w:color w:val="auto"/>
          <w:highlight w:val="none"/>
        </w:rPr>
        <w:t>表5.1-1  自然植被生物损失量估算一览表</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1177"/>
        <w:gridCol w:w="1055"/>
        <w:gridCol w:w="1267"/>
        <w:gridCol w:w="1562"/>
        <w:gridCol w:w="1592"/>
        <w:gridCol w:w="12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植被类型</w:t>
            </w:r>
          </w:p>
        </w:tc>
        <w:tc>
          <w:tcPr>
            <w:tcW w:w="666"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工程内容</w:t>
            </w:r>
          </w:p>
        </w:tc>
        <w:tc>
          <w:tcPr>
            <w:tcW w:w="59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占地类型</w:t>
            </w:r>
          </w:p>
        </w:tc>
        <w:tc>
          <w:tcPr>
            <w:tcW w:w="71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平均生物量（t/hm</w:t>
            </w:r>
            <w:r>
              <w:rPr>
                <w:rFonts w:hint="eastAsia"/>
                <w:color w:val="auto"/>
                <w:vertAlign w:val="superscript"/>
                <w:lang w:val="en-US" w:eastAsia="zh-CN"/>
              </w:rPr>
              <w:t>2</w:t>
            </w:r>
            <w:r>
              <w:rPr>
                <w:rFonts w:hint="eastAsia"/>
                <w:color w:val="auto"/>
                <w:lang w:val="en-US" w:eastAsia="zh-CN"/>
              </w:rPr>
              <w:t>）</w:t>
            </w:r>
          </w:p>
        </w:tc>
        <w:tc>
          <w:tcPr>
            <w:tcW w:w="884"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占地面积（hm</w:t>
            </w:r>
            <w:r>
              <w:rPr>
                <w:rFonts w:hint="eastAsia"/>
                <w:color w:val="auto"/>
                <w:vertAlign w:val="superscript"/>
                <w:lang w:val="en-US" w:eastAsia="zh-CN"/>
              </w:rPr>
              <w:t>2</w:t>
            </w:r>
            <w:r>
              <w:rPr>
                <w:rFonts w:hint="eastAsia"/>
                <w:color w:val="auto"/>
                <w:lang w:val="en-US" w:eastAsia="zh-CN"/>
              </w:rPr>
              <w:t>）</w:t>
            </w:r>
          </w:p>
        </w:tc>
        <w:tc>
          <w:tcPr>
            <w:tcW w:w="90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生物量损失（t/a）</w:t>
            </w:r>
          </w:p>
        </w:tc>
        <w:tc>
          <w:tcPr>
            <w:tcW w:w="725"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影响时间（a）</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vMerge w:val="restar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荒漠植被</w:t>
            </w:r>
          </w:p>
        </w:tc>
        <w:tc>
          <w:tcPr>
            <w:tcW w:w="666" w:type="pct"/>
            <w:vMerge w:val="restar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井场、站场</w:t>
            </w:r>
          </w:p>
        </w:tc>
        <w:tc>
          <w:tcPr>
            <w:tcW w:w="59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永久</w:t>
            </w:r>
          </w:p>
        </w:tc>
        <w:tc>
          <w:tcPr>
            <w:tcW w:w="71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0.75</w:t>
            </w:r>
          </w:p>
        </w:tc>
        <w:tc>
          <w:tcPr>
            <w:tcW w:w="884"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3.176</w:t>
            </w:r>
          </w:p>
        </w:tc>
        <w:tc>
          <w:tcPr>
            <w:tcW w:w="1592" w:type="dxa"/>
            <w:tcBorders>
              <w:tl2br w:val="nil"/>
              <w:tr2bl w:val="nil"/>
            </w:tcBorders>
            <w:vAlign w:val="center"/>
          </w:tcPr>
          <w:p>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2.38</w:t>
            </w:r>
          </w:p>
        </w:tc>
        <w:tc>
          <w:tcPr>
            <w:tcW w:w="725"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永久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vMerge w:val="continue"/>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p>
        </w:tc>
        <w:tc>
          <w:tcPr>
            <w:tcW w:w="666" w:type="pct"/>
            <w:vMerge w:val="continue"/>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p>
        </w:tc>
        <w:tc>
          <w:tcPr>
            <w:tcW w:w="59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临时</w:t>
            </w:r>
          </w:p>
        </w:tc>
        <w:tc>
          <w:tcPr>
            <w:tcW w:w="71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0.75</w:t>
            </w:r>
          </w:p>
        </w:tc>
        <w:tc>
          <w:tcPr>
            <w:tcW w:w="884"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19.44</w:t>
            </w:r>
          </w:p>
        </w:tc>
        <w:tc>
          <w:tcPr>
            <w:tcW w:w="1592" w:type="dxa"/>
            <w:tcBorders>
              <w:tl2br w:val="nil"/>
              <w:tr2bl w:val="nil"/>
            </w:tcBorders>
            <w:vAlign w:val="center"/>
          </w:tcPr>
          <w:p>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14.58</w:t>
            </w:r>
          </w:p>
        </w:tc>
        <w:tc>
          <w:tcPr>
            <w:tcW w:w="725"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vMerge w:val="continue"/>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p>
        </w:tc>
        <w:tc>
          <w:tcPr>
            <w:tcW w:w="666"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管线</w:t>
            </w:r>
          </w:p>
        </w:tc>
        <w:tc>
          <w:tcPr>
            <w:tcW w:w="59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r>
              <w:rPr>
                <w:rFonts w:hint="eastAsia"/>
                <w:color w:val="auto"/>
                <w:lang w:val="en-US" w:eastAsia="zh-CN"/>
              </w:rPr>
              <w:t>临时</w:t>
            </w:r>
          </w:p>
        </w:tc>
        <w:tc>
          <w:tcPr>
            <w:tcW w:w="71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0.75</w:t>
            </w:r>
          </w:p>
        </w:tc>
        <w:tc>
          <w:tcPr>
            <w:tcW w:w="884"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27.4</w:t>
            </w:r>
          </w:p>
        </w:tc>
        <w:tc>
          <w:tcPr>
            <w:tcW w:w="1592" w:type="dxa"/>
            <w:tcBorders>
              <w:tl2br w:val="nil"/>
              <w:tr2bl w:val="nil"/>
            </w:tcBorders>
            <w:vAlign w:val="center"/>
          </w:tcPr>
          <w:p>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20.55</w:t>
            </w:r>
          </w:p>
        </w:tc>
        <w:tc>
          <w:tcPr>
            <w:tcW w:w="725"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509" w:type="pct"/>
            <w:vMerge w:val="continue"/>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color w:val="auto"/>
                <w:lang w:val="en-US" w:eastAsia="zh-CN"/>
              </w:rPr>
            </w:pPr>
          </w:p>
        </w:tc>
        <w:tc>
          <w:tcPr>
            <w:tcW w:w="666"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生活营地</w:t>
            </w:r>
          </w:p>
        </w:tc>
        <w:tc>
          <w:tcPr>
            <w:tcW w:w="59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临时</w:t>
            </w:r>
          </w:p>
        </w:tc>
        <w:tc>
          <w:tcPr>
            <w:tcW w:w="717"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0.75</w:t>
            </w:r>
          </w:p>
        </w:tc>
        <w:tc>
          <w:tcPr>
            <w:tcW w:w="884"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default"/>
                <w:color w:val="auto"/>
                <w:lang w:val="en-US" w:eastAsia="zh-CN"/>
              </w:rPr>
              <w:t>1.68</w:t>
            </w:r>
          </w:p>
        </w:tc>
        <w:tc>
          <w:tcPr>
            <w:tcW w:w="1592" w:type="dxa"/>
            <w:tcBorders>
              <w:tl2br w:val="nil"/>
              <w:tr2bl w:val="nil"/>
            </w:tcBorders>
            <w:vAlign w:val="center"/>
          </w:tcPr>
          <w:p>
            <w:pPr>
              <w:keepNext w:val="0"/>
              <w:keepLines w:val="0"/>
              <w:widowControl/>
              <w:suppressLineNumbers w:val="0"/>
              <w:jc w:val="center"/>
              <w:textAlignment w:val="center"/>
              <w:rPr>
                <w:rFonts w:hint="eastAsia"/>
                <w:color w:val="auto"/>
                <w:lang w:val="en-US" w:eastAsia="zh-CN"/>
              </w:rPr>
            </w:pPr>
            <w:r>
              <w:rPr>
                <w:rFonts w:hint="default" w:ascii="Times New Roman" w:hAnsi="Times New Roman" w:eastAsia="宋体" w:cs="Times New Roman"/>
                <w:i w:val="0"/>
                <w:iCs w:val="0"/>
                <w:color w:val="auto"/>
                <w:kern w:val="0"/>
                <w:sz w:val="21"/>
                <w:szCs w:val="21"/>
                <w:u w:val="none"/>
                <w:lang w:val="en-US" w:eastAsia="zh-CN" w:bidi="ar"/>
              </w:rPr>
              <w:t>1.26</w:t>
            </w:r>
          </w:p>
        </w:tc>
        <w:tc>
          <w:tcPr>
            <w:tcW w:w="725"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489" w:type="pct"/>
            <w:gridSpan w:val="4"/>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合计</w:t>
            </w:r>
          </w:p>
        </w:tc>
        <w:tc>
          <w:tcPr>
            <w:tcW w:w="884"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51.696</w:t>
            </w:r>
          </w:p>
        </w:tc>
        <w:tc>
          <w:tcPr>
            <w:tcW w:w="901"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default"/>
                <w:color w:val="auto"/>
                <w:lang w:val="en-US" w:eastAsia="zh-CN"/>
              </w:rPr>
            </w:pPr>
            <w:r>
              <w:rPr>
                <w:rFonts w:hint="eastAsia"/>
                <w:color w:val="auto"/>
                <w:lang w:val="en-US" w:eastAsia="zh-CN"/>
              </w:rPr>
              <w:t>38.77</w:t>
            </w:r>
          </w:p>
        </w:tc>
        <w:tc>
          <w:tcPr>
            <w:tcW w:w="725" w:type="pct"/>
            <w:tcBorders>
              <w:tl2br w:val="nil"/>
              <w:tr2bl w:val="nil"/>
            </w:tcBorders>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jc w:val="center"/>
              <w:textAlignment w:val="baseline"/>
              <w:rPr>
                <w:rFonts w:hint="eastAsia"/>
                <w:color w:val="auto"/>
                <w:lang w:val="en-US" w:eastAsia="zh-CN"/>
              </w:rPr>
            </w:pPr>
            <w:r>
              <w:rPr>
                <w:rFonts w:hint="eastAsia"/>
                <w:color w:val="auto"/>
                <w:lang w:val="en-US" w:eastAsia="zh-CN"/>
              </w:rPr>
              <w:t>/</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color w:val="auto"/>
          <w:sz w:val="24"/>
          <w:highlight w:val="none"/>
        </w:rPr>
      </w:pPr>
      <w:r>
        <w:rPr>
          <w:rFonts w:hint="eastAsia"/>
          <w:color w:val="auto"/>
          <w:sz w:val="24"/>
          <w:highlight w:val="none"/>
        </w:rPr>
        <w:t>根据计算，本工程将造成</w:t>
      </w:r>
      <w:r>
        <w:rPr>
          <w:rFonts w:hint="eastAsia"/>
          <w:color w:val="auto"/>
          <w:sz w:val="24"/>
          <w:highlight w:val="none"/>
          <w:lang w:eastAsia="zh-CN"/>
        </w:rPr>
        <w:t>38.77</w:t>
      </w:r>
      <w:r>
        <w:rPr>
          <w:rFonts w:hint="eastAsia"/>
          <w:color w:val="auto"/>
          <w:sz w:val="24"/>
          <w:highlight w:val="none"/>
        </w:rPr>
        <w:t>t自然植被生物量损失。新增生物量损失主要来自临时占地，项目建设位于现有</w:t>
      </w:r>
      <w:r>
        <w:rPr>
          <w:rFonts w:hint="eastAsia"/>
          <w:color w:val="auto"/>
          <w:sz w:val="24"/>
          <w:highlight w:val="none"/>
          <w:lang w:eastAsia="zh-CN"/>
        </w:rPr>
        <w:t>油田</w:t>
      </w:r>
      <w:r>
        <w:rPr>
          <w:rFonts w:hint="eastAsia"/>
          <w:color w:val="auto"/>
          <w:sz w:val="24"/>
          <w:highlight w:val="none"/>
        </w:rPr>
        <w:t>开发区内，因此只要加强施工管理，做好施工结束后的迹地恢复工作，工程建设对植被的环境影响是可以接受的。</w:t>
      </w:r>
    </w:p>
    <w:p>
      <w:pPr>
        <w:pStyle w:val="5"/>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5.1.1.</w:t>
      </w:r>
      <w:r>
        <w:rPr>
          <w:color w:val="auto"/>
          <w:highlight w:val="none"/>
        </w:rPr>
        <w:t>3对野生动物的影响分析</w:t>
      </w:r>
    </w:p>
    <w:p>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油田开发建设对野生动物生存环境、分布范围和种群数量的影响主要分为直接影响和间接影响两个方面。直接影响主要表现为建设工程占地，使野生动物的原始生存环境被破坏或改变；间接影响主要表现为由于植被的减少或污染破坏而引起野生动物食物来源减少。本工程所在区域无国家和自治区重点保护野生动物，现场调查期间，在项目占地区域未发现大型野生动物踪迹，且由于评价区域不是动物的唯一栖息地，故该建设项目对动物区域性生境不产生明显影响。</w:t>
      </w:r>
    </w:p>
    <w:p>
      <w:pPr>
        <w:pStyle w:val="57"/>
        <w:keepNext w:val="0"/>
        <w:keepLines w:val="0"/>
        <w:pageBreakBefore w:val="0"/>
        <w:widowControl w:val="0"/>
        <w:kinsoku/>
        <w:wordWrap/>
        <w:overflowPunct/>
        <w:topLinePunct w:val="0"/>
        <w:autoSpaceDE/>
        <w:autoSpaceDN/>
        <w:bidi w:val="0"/>
        <w:adjustRightInd/>
        <w:snapToGrid/>
        <w:textAlignment w:val="auto"/>
        <w:rPr>
          <w:rFonts w:hint="eastAsia"/>
          <w:color w:val="auto"/>
          <w:highlight w:val="none"/>
        </w:rPr>
      </w:pPr>
      <w:r>
        <w:rPr>
          <w:rFonts w:hint="eastAsia"/>
          <w:color w:val="auto"/>
          <w:highlight w:val="none"/>
        </w:rPr>
        <w:t>在施工生产过程中，由于油田机械设备的轰鸣声惊扰，大多数野生脊椎动物种类将避行远离，使区域内单位面积上的动物种群数量下降，但此类影响对爬行类和小型啮齿类动物的干扰不大。一些伴人型鸟类如麻雀、乌鸦等，一般在离作业区50m以远处活动，待无噪声干扰时较常见于人类生活区附近。因此，随着本工程井场、站场建设的各个过程，夏子街油田内野生动物的种类和数量发生一定的变化，原有的荒漠型鸟类和大型哺乳类将逐渐避开人类活动的干扰迁至其他区域，而常见的伴人型野生动物种类有所增加。</w:t>
      </w:r>
    </w:p>
    <w:p>
      <w:pPr>
        <w:pStyle w:val="57"/>
        <w:keepNext w:val="0"/>
        <w:keepLines w:val="0"/>
        <w:pageBreakBefore w:val="0"/>
        <w:widowControl w:val="0"/>
        <w:kinsoku/>
        <w:wordWrap/>
        <w:overflowPunct/>
        <w:topLinePunct w:val="0"/>
        <w:autoSpaceDE/>
        <w:autoSpaceDN/>
        <w:bidi w:val="0"/>
        <w:adjustRightInd/>
        <w:snapToGrid/>
        <w:textAlignment w:val="auto"/>
        <w:rPr>
          <w:color w:val="auto"/>
          <w:highlight w:val="none"/>
        </w:rPr>
      </w:pPr>
      <w:r>
        <w:rPr>
          <w:rFonts w:hint="eastAsia"/>
          <w:color w:val="auto"/>
          <w:highlight w:val="none"/>
        </w:rPr>
        <w:t>夏子街油田已开发多年，因而大型的野生脊椎动物早已离开此地，因而此次油田开发所影响的只是一些爬行类和鸟类。</w:t>
      </w:r>
    </w:p>
    <w:p>
      <w:pPr>
        <w:keepNext w:val="0"/>
        <w:keepLines w:val="0"/>
        <w:pageBreakBefore w:val="0"/>
        <w:widowControl w:val="0"/>
        <w:kinsoku/>
        <w:wordWrap/>
        <w:overflowPunct/>
        <w:topLinePunct w:val="0"/>
        <w:autoSpaceDE/>
        <w:autoSpaceDN/>
        <w:bidi w:val="0"/>
        <w:spacing w:before="120" w:after="120" w:line="360" w:lineRule="auto"/>
        <w:jc w:val="both"/>
        <w:textAlignment w:val="auto"/>
        <w:outlineLvl w:val="3"/>
        <w:rPr>
          <w:rFonts w:cstheme="majorBidi"/>
          <w:b/>
          <w:bCs/>
          <w:color w:val="auto"/>
          <w:sz w:val="24"/>
          <w:szCs w:val="28"/>
          <w:highlight w:val="none"/>
        </w:rPr>
      </w:pPr>
      <w:r>
        <w:rPr>
          <w:rFonts w:hint="eastAsia" w:cstheme="majorBidi"/>
          <w:b/>
          <w:bCs/>
          <w:color w:val="auto"/>
          <w:sz w:val="24"/>
          <w:szCs w:val="28"/>
          <w:highlight w:val="none"/>
        </w:rPr>
        <w:t>5.1.1.4水土流失影响分析</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根据新水水保〔2019〕4号文，本工程所在区域属于天山北坡诸小河流域重点治理区，本工程实施对区域水土流失影响如下：</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（1）土壤粗粒化</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在土壤沙化过程中，当风力作用地表产生风蚀时，便产生风选作用，细粒物质被带走，粗粒物质大部分原地保留下来，从而使土壤颗粒变粗，将未沙化的原始土壤和“就地起沙”形成的风沙土颗粒粒级加以比较，沙化后的风沙土较之原始土壤粗砂和细砂粒显著增加，而粉砂和粘粒粒级减少。</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（2）土壤贫瘠及含盐量变化</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引起土壤贫瘠化的原因，一是积累土壤有机质的表层被风吹蚀；二是在风沙化发展过程中，土壤干旱并在高温影响下，有机物质矿化加强，使原来积累的有机物大量分解；三是土壤粗粒化结果。从未沙化原始土壤与沙化地段土壤肥力对比看，土壤有机质和全氮含量随沙漠化增加有所降低，特别是土壤有机质随沙化强度的变化十分明显。磷素和钾素随沙化程度增加，含量无明显差异。土壤中的易溶性盐分是随土壤水分发生移动的，并随着土壤水分蒸发而在地表聚积。由于沙土毛管上升高度低，因此，通过毛管上升水流到达地表而产生的积盐很微弱，另外在土壤受到风蚀沙化时，表土层的盐分有的被吹蚀，有的和含盐轻的底土层发生混合，因而也降低了风沙土壤的盐分含量，据调查，随沙化增强，盐分含量降低。</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（3）对油田公路、管线、井场的危害</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项目对水土流失的影响主要发生在施工期，主要表现在：</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①管沟开挖过程及回填土方的堆放等活动，破坏了原有地貌及地表结皮，使原来相对稳定的表土层受到不同程度的扰动和破坏，在降雨作用下，加剧水土流失，还可能加剧区域风灾天气，增加空气中粉尘含量；</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②管道临时占地导致施工区域地表植被减少、造成植物的生物量损失，使土壤结构疏松，并产生一定面积的裸露地面。对原地貌的扰动降低了项目临时占地范围内的土壤抗侵蚀能力，扩大侵蚀面积，诱发土壤侵蚀危害，加剧了水土流失。</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本工程所在区域属于天山北坡诸小河流域重点治理区范围，区域内地表植被分布较少，土壤侵蚀强度以轻度为主，生态环境质量较差，应加强水土保持综合治理工作，减少因项目的建设而产生的水土流失。</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rFonts w:hint="eastAsia"/>
          <w:color w:val="auto"/>
          <w:sz w:val="24"/>
          <w:highlight w:val="none"/>
        </w:rPr>
      </w:pPr>
      <w:r>
        <w:rPr>
          <w:rFonts w:hint="eastAsia"/>
          <w:color w:val="auto"/>
          <w:sz w:val="24"/>
          <w:highlight w:val="none"/>
        </w:rPr>
        <w:t>项目建设过程中对原地貌的扰动将降低项目占地范围内的土壤抗侵蚀能力，造成土地沙化；此外，由于项目地处内陆地区，风沙较大，空气干燥，加上地表植被覆盖度低，若项目土石方堆存过程中未采取防尘网苫盖、洒水抑尘等措施，地表沙化的土壤及废土等遇大风天气易产生严重的扬尘，形成沙尘天气。</w:t>
      </w:r>
    </w:p>
    <w:p>
      <w:pPr>
        <w:keepNext w:val="0"/>
        <w:keepLines w:val="0"/>
        <w:pageBreakBefore w:val="0"/>
        <w:kinsoku/>
        <w:wordWrap/>
        <w:overflowPunct/>
        <w:topLinePunct w:val="0"/>
        <w:autoSpaceDE/>
        <w:autoSpaceDN/>
        <w:bidi w:val="0"/>
        <w:adjustRightInd/>
        <w:snapToGrid/>
        <w:spacing w:line="480" w:lineRule="exact"/>
        <w:ind w:firstLine="480" w:firstLineChars="200"/>
        <w:jc w:val="both"/>
        <w:textAlignment w:val="auto"/>
        <w:rPr>
          <w:color w:val="auto"/>
          <w:sz w:val="24"/>
          <w:highlight w:val="none"/>
        </w:rPr>
      </w:pPr>
      <w:r>
        <w:rPr>
          <w:rFonts w:hint="eastAsia"/>
          <w:color w:val="auto"/>
          <w:sz w:val="24"/>
          <w:highlight w:val="none"/>
        </w:rPr>
        <w:t>项目施工期主要包括井场地面工程、油气集输工程和站场工程，包括管沟开挖等。管沟开挖过程中，若未采取分层开挖、分层回填措施，可能导致土壤的蓄水保肥能力降低，影响区域植被生长，造成土壤逐渐沙化。此外，在施工过程中，各种车辆（尤其是重型卡车）在荒漠上行驶将使经过的土壤变紧实，严重的经过多次碾压后植物很难再生长，甚至退化为裸土地。</w:t>
      </w:r>
    </w:p>
    <w:p>
      <w:pPr>
        <w:pStyle w:val="5"/>
        <w:keepNext w:val="0"/>
        <w:keepLines w:val="0"/>
        <w:pageBreakBefore w:val="0"/>
        <w:widowControl w:val="0"/>
        <w:kinsoku/>
        <w:wordWrap/>
        <w:overflowPunct/>
        <w:topLinePunct w:val="0"/>
        <w:autoSpaceDE/>
        <w:autoSpaceDN/>
        <w:bidi w:val="0"/>
        <w:adjustRightInd w:val="0"/>
        <w:snapToGrid w:val="0"/>
        <w:textAlignment w:val="auto"/>
        <w:rPr>
          <w:color w:val="auto"/>
          <w:highlight w:val="none"/>
        </w:rPr>
      </w:pPr>
      <w:r>
        <w:rPr>
          <w:rFonts w:hint="eastAsia"/>
          <w:color w:val="auto"/>
          <w:highlight w:val="none"/>
        </w:rPr>
        <w:t>5.1.1.5井场、站场建设对生态环境的影响</w:t>
      </w:r>
    </w:p>
    <w:p>
      <w:pPr>
        <w:pStyle w:val="57"/>
        <w:rPr>
          <w:rFonts w:hint="eastAsia"/>
          <w:color w:val="auto"/>
          <w:highlight w:val="none"/>
        </w:rPr>
      </w:pPr>
      <w:r>
        <w:rPr>
          <w:rFonts w:hint="eastAsia"/>
          <w:color w:val="auto"/>
          <w:highlight w:val="none"/>
        </w:rPr>
        <w:t>本工程井场和站场工程主要包括拟</w:t>
      </w:r>
      <w:r>
        <w:rPr>
          <w:rFonts w:hint="eastAsia"/>
          <w:color w:val="auto"/>
          <w:highlight w:val="none"/>
          <w:lang w:eastAsia="zh-CN"/>
        </w:rPr>
        <w:t>新建18座井场</w:t>
      </w:r>
      <w:r>
        <w:rPr>
          <w:rFonts w:hint="eastAsia"/>
          <w:color w:val="auto"/>
          <w:highlight w:val="none"/>
        </w:rPr>
        <w:t>和2座站场。井场站场建设过程中将建设区域进行平整，地表植被被清除、压实，并用砾石铺垫，表层土壤原有的结构和质地已发生改变。</w:t>
      </w:r>
    </w:p>
    <w:p>
      <w:pPr>
        <w:pStyle w:val="57"/>
        <w:rPr>
          <w:color w:val="auto"/>
          <w:highlight w:val="none"/>
        </w:rPr>
      </w:pPr>
      <w:r>
        <w:rPr>
          <w:rFonts w:hint="eastAsia"/>
          <w:color w:val="auto"/>
          <w:highlight w:val="none"/>
        </w:rPr>
        <w:t>工程所在区域评价范围内井场区的土壤类型主要为灰棕漠土和草甸土，类比调查表明，距井场不同距离处土壤中石油类浓度明显高于井场外土壤石油类浓度，说明</w:t>
      </w:r>
      <w:r>
        <w:rPr>
          <w:rFonts w:hint="eastAsia"/>
          <w:color w:val="auto"/>
          <w:highlight w:val="none"/>
          <w:lang w:eastAsia="zh-CN"/>
        </w:rPr>
        <w:t>油田</w:t>
      </w:r>
      <w:r>
        <w:rPr>
          <w:rFonts w:hint="eastAsia"/>
          <w:color w:val="auto"/>
          <w:highlight w:val="none"/>
        </w:rPr>
        <w:t>开采对土壤存在石油类污染；而井场外10m至200m处土壤石油类浓度值较接近，且与区域土壤环境质量对照点石油类浓度也接近，因此油田开采对土壤的污染主要集中在井场内部。</w:t>
      </w:r>
    </w:p>
    <w:p>
      <w:pPr>
        <w:pStyle w:val="5"/>
        <w:rPr>
          <w:color w:val="auto"/>
          <w:highlight w:val="none"/>
        </w:rPr>
      </w:pPr>
      <w:r>
        <w:rPr>
          <w:rFonts w:hint="eastAsia"/>
          <w:color w:val="auto"/>
          <w:highlight w:val="none"/>
        </w:rPr>
        <w:t>5.1.1.6管线建设对生态环境的影响</w:t>
      </w:r>
    </w:p>
    <w:p>
      <w:pPr>
        <w:pStyle w:val="57"/>
        <w:rPr>
          <w:rFonts w:hint="eastAsia"/>
          <w:color w:val="auto"/>
          <w:highlight w:val="none"/>
        </w:rPr>
      </w:pPr>
      <w:r>
        <w:rPr>
          <w:rFonts w:hint="eastAsia"/>
          <w:color w:val="auto"/>
          <w:highlight w:val="none"/>
        </w:rPr>
        <w:t>本工程开挖管沟</w:t>
      </w:r>
      <w:r>
        <w:rPr>
          <w:rFonts w:hint="eastAsia"/>
          <w:color w:val="auto"/>
          <w:highlight w:val="none"/>
          <w:lang w:eastAsia="zh-CN"/>
        </w:rPr>
        <w:t>34.25</w:t>
      </w:r>
      <w:r>
        <w:rPr>
          <w:rFonts w:hint="eastAsia"/>
          <w:color w:val="auto"/>
          <w:highlight w:val="none"/>
        </w:rPr>
        <w:t>km，从管线途经区域两侧评价范围的现状调查结果来看，沿线主要为其他草地和裸土地，植被多为耐旱型植被，沿线土壤侵蚀以轻度侵蚀为主。在管道敷设过程中，开挖和回填对土壤的影响主要为：破坏土壤原有结构，混合土壤层次、改变土壤质地；影响土壤养分；影响土壤紧实度；土壤污染；影响土壤物理性质。</w:t>
      </w:r>
    </w:p>
    <w:p>
      <w:pPr>
        <w:pStyle w:val="57"/>
        <w:rPr>
          <w:rFonts w:hint="eastAsia"/>
          <w:color w:val="auto"/>
          <w:highlight w:val="none"/>
        </w:rPr>
      </w:pPr>
      <w:r>
        <w:rPr>
          <w:rFonts w:hint="eastAsia"/>
          <w:color w:val="auto"/>
          <w:highlight w:val="none"/>
        </w:rPr>
        <w:t>在管线施工期间，管线两侧临时占地范围的土体将被扰动、植被遭到破坏，土壤侵蚀模数和侵蚀量增大。由于管道埋设复原后，绝大部分植被还可以恢复，因此生物量的损失整体看是较小的，并可恢复。</w:t>
      </w:r>
    </w:p>
    <w:p>
      <w:pPr>
        <w:pStyle w:val="5"/>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rPr>
        <w:t>5.1.1.</w:t>
      </w:r>
      <w:r>
        <w:rPr>
          <w:rFonts w:hint="eastAsia"/>
          <w:color w:val="auto"/>
          <w:highlight w:val="none"/>
          <w:lang w:val="en-US" w:eastAsia="zh-CN"/>
        </w:rPr>
        <w:t>7</w:t>
      </w:r>
      <w:r>
        <w:rPr>
          <w:rFonts w:hint="eastAsia" w:ascii="Times New Roman" w:hAnsi="Times New Roman" w:eastAsia="宋体"/>
          <w:color w:val="auto"/>
          <w:highlight w:val="none"/>
        </w:rPr>
        <w:t>土地沙化影响</w:t>
      </w:r>
      <w:r>
        <w:rPr>
          <w:rFonts w:hint="eastAsia" w:ascii="Times New Roman" w:hAnsi="Times New Roman" w:eastAsia="宋体"/>
          <w:color w:val="auto"/>
          <w:highlight w:val="none"/>
          <w:lang w:val="en-US" w:eastAsia="zh-CN"/>
        </w:rPr>
        <w:t>分析</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据《新疆第六次沙化土地监测报告》，本工程所在区域属于非沙化土地、风蚀残丘和戈壁。本工程井场、站场和管线建设对土地沙化的影响主要表现在地表扰动与破坏、植被破坏、风蚀加剧和人为活动增加等，对不同沙化土地类型的影响如下：</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（1）非沙化土地</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非沙化土地生态相对较好、植被覆盖度相对较高、土壤表层有一定结皮或有机质。井场、站场建设时清除地表植被、破坏土壤结构、移除表土，将原本稳定的土地转变为易侵蚀的裸地。场地硬化和井场设施建设形成永久性不透水面，使井场和站场所在区域彻底丧失生态功能，同时施工期车辆碾压破坏井场、站场周边植被。管线建设时开挖管沟会破坏地表植被和土壤结构，形成一条易蚀带，表土回填后若压实不足或植被恢复不良，该线状区域极易成为风蚀突破口或积沙带。同时，管线施工便道也会造成平行于管线的扰动带。</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（2）风蚀残丘</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风蚀残丘是由相对抗蚀性较强的物质组成，形态固定或半固定的风沙地貌。在此区域植被是重要的固沙地貌单元，通常植被比较稀疏。</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井场、站场若选址在残丘上，需要大规模削平或开挖，彻底破坏残丘形态和抗蚀层，暴露内部松散沙物质，导致残丘迅速解体沙化。若选址在残丘附近，施工活动（碾压等）可能破坏残丘坡脚稳定性，削弱其抗蚀能力。新建管线穿越残丘时，管沟开挖会切断残丘的连续性，破坏其结构的稳定性；车辆碾压施工便道会破坏残丘表面脆弱的结皮或植被。</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（3）戈壁</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戈壁区域地表覆盖砾石层，下方是沙物质。砾石层能有效保护下伏沙粒不被风吹走，是典型的“覆盖型”稳定地表，戈壁区植被极其稀疏。</w:t>
      </w:r>
    </w:p>
    <w:p>
      <w:pPr>
        <w:pStyle w:val="57"/>
        <w:rPr>
          <w:rFonts w:hint="eastAsia"/>
          <w:color w:val="auto"/>
          <w:highlight w:val="none"/>
          <w:lang w:eastAsia="zh-CN"/>
        </w:rPr>
      </w:pPr>
      <w:r>
        <w:rPr>
          <w:rFonts w:hint="eastAsia" w:ascii="Times New Roman" w:hAnsi="Times New Roman" w:eastAsia="宋体" w:cs="Times New Roman"/>
          <w:color w:val="auto"/>
          <w:highlight w:val="none"/>
        </w:rPr>
        <w:t>井场、站场建设需要清除地表砾石层进行平整和基础施工，移除砾石保护层会使暴露的下伏沙物质直接成为风蚀源。井场和站场建设的构筑物会改变局地风场，可能在设施下风向形成新的积沙区或加剧上风向的吹蚀作用等。开挖管沟会剥离地表砾石层，暴露沙质沟底，形成线状风蚀带。开挖土回填后，表层往往缺乏足够的砾石覆盖，形成一条易蚀的带状区域。此外，重型设备碾压会破坏井场、站场选址区域和管线施工便道处的砾石层结构，降低其保护效能</w:t>
      </w:r>
      <w:r>
        <w:rPr>
          <w:rFonts w:hint="eastAsia"/>
          <w:color w:val="auto"/>
          <w:highlight w:val="none"/>
          <w:lang w:eastAsia="zh-CN"/>
        </w:rPr>
        <w:t>。</w:t>
      </w:r>
    </w:p>
    <w:p>
      <w:pPr>
        <w:pStyle w:val="5"/>
        <w:rPr>
          <w:rFonts w:hint="eastAsia" w:ascii="Times New Roman" w:hAnsi="Times New Roman" w:eastAsia="宋体"/>
          <w:color w:val="auto"/>
          <w:highlight w:val="none"/>
          <w:lang w:val="en-US" w:eastAsia="zh-CN"/>
        </w:rPr>
      </w:pPr>
      <w:r>
        <w:rPr>
          <w:rFonts w:hint="eastAsia" w:ascii="Times New Roman" w:hAnsi="Times New Roman" w:eastAsia="宋体"/>
          <w:color w:val="auto"/>
          <w:highlight w:val="none"/>
          <w:lang w:val="en-US" w:eastAsia="zh-CN"/>
        </w:rPr>
        <w:t>5.1.1.8对魔鬼城风景名胜区的影响分析</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克拉玛依市魔鬼城是自治区级风景名胜区，以独特的雅丹地貌、天然矿藏、彩石胡杨为主体景观资源，以游览观光、科研科普、探险体验、休闲娱乐为主要功能，具有国家级风景资源价值的特殊地貌类自治区级风景名胜区。</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区邻近魔鬼城风景名胜区，风城二号稠油处理站至乌33转油站净化油外输管线东南侧距离魔鬼城核心景区边界最近距离为40m。根据《克拉玛依市魔鬼城风景名胜区总体规划（2021～2035）》可知，工程不在魔鬼城风景名胜区规划范围内，图4.2-4。</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由于本工程临近魔鬼城风景名胜区，会对魔鬼城旅游景观将产生一定的影响，下面按照“旅游资源共有因子综合评价系统”，采用打分评价方法，就本工程实施后魔鬼城旅游景观资源所受影响进行分析。</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（1）资源要素价值影响分析</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实施后，如果魔鬼城风景旅游区观赏游憩使用价值在项目区域内发生变化，在此区域内景区观赏游憩价值将明显降低，分值应由26分降到5分。但由于项目区位于魔鬼城风景区核心浏览区西北边界，魔鬼城景区由一系列台地和沟壑组成，在景区内视线被阻隔，能够看到项目区域油田设施的可见区面积相当有限。根据实地踏勘和设计分析，工程不占用魔鬼城风景区核心浏览区，在整体效果上的影响有限，本工程实施后，魔鬼城风景旅游区的历史文化科学艺术价值、珍稀奇特程度不受影响，其分值不变。</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实施后，魔鬼城风景旅游区旅游资源的规模、丰度与几率以及完整性会受到一定的影响。不过，本工程开发周期较短，一般15年就会进入退役期，届时现有地面设施将拆除移走，原始景观将得以逐步恢复。因此，从长远分析，本工程对景区的不利影响是暂时的，可恢复的。</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（2）资源影响力影响分析</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实施后，魔鬼城风景旅游区旅游资源的知名度和影响力不会受到明显影响。首先，克拉玛依以油城著称，整个乌尔禾区油井遍地，魔鬼城事实上早已被油田所包围，游客在前往魔鬼城的途中，油井和油田设施随处可见，不会因为工程的实施而影响兴致。其次，克拉玛依被称为油城，其旅游发展规划定位：发展具有石油工业特色的旅游业。如果能够在魔鬼城近距离地参观到油田石油开采过程，了解到新疆石油管理局为保护魔鬼城景观不受影响而采取的一系列避让与保护措施，亦不失为旅游途中的一大收获。因此，资源影响力分值不变。</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（3）环境保护与环境安全</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实施后，魔鬼城风景旅游区在环境保护与环境安全方面存在两个方面的变化。一方面，建设井场、站场和管线等，肯定会在一定程度上增加区域环境风险，降低环境质量；另一方面，在采取了足够的避让和环保措施后，特别是把原油处理和水处理放在了远离风景区的地方，减少占地，进行水土保持和人工植被恢复等，项目对区域景观生态、环境质量的影响可以控制在允许的限度以内；综合考虑，环境保护与环境安全方面分值由3分降至-3分。</w:t>
      </w:r>
    </w:p>
    <w:p>
      <w:pPr>
        <w:pStyle w:val="57"/>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根据对本工程开发规划实施后，魔鬼城景区旅游资源单体的评价，得出该单体旅游资源共有综合因子评价赋分值，见表5.1-2。</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snapToGrid w:val="0"/>
          <w:color w:val="auto"/>
          <w:highlight w:val="none"/>
          <w:lang w:val="en-US" w:eastAsia="zh-CN"/>
        </w:rPr>
      </w:pPr>
      <w:r>
        <w:rPr>
          <w:rFonts w:hint="eastAsia"/>
          <w:snapToGrid w:val="0"/>
          <w:color w:val="auto"/>
          <w:highlight w:val="none"/>
          <w:lang w:val="en-US" w:eastAsia="zh-CN"/>
        </w:rPr>
        <w:t>表5.1-2  项目实施后旅游资源评价赋分结果</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15" w:type="dxa"/>
          <w:left w:w="15" w:type="dxa"/>
          <w:bottom w:w="15" w:type="dxa"/>
          <w:right w:w="15" w:type="dxa"/>
        </w:tblCellMar>
      </w:tblPr>
      <w:tblGrid>
        <w:gridCol w:w="935"/>
        <w:gridCol w:w="2160"/>
        <w:gridCol w:w="4692"/>
        <w:gridCol w:w="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评价项目</w:t>
            </w:r>
          </w:p>
        </w:tc>
        <w:tc>
          <w:tcPr>
            <w:tcW w:w="2160"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评价因子</w:t>
            </w:r>
          </w:p>
        </w:tc>
        <w:tc>
          <w:tcPr>
            <w:tcW w:w="469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评价依据</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赋值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restar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资源要素</w:t>
            </w:r>
          </w:p>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价值</w:t>
            </w:r>
          </w:p>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（85分）</w:t>
            </w:r>
          </w:p>
        </w:tc>
        <w:tc>
          <w:tcPr>
            <w:tcW w:w="2160"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观赏游憩使用价值（30分）</w:t>
            </w:r>
          </w:p>
        </w:tc>
        <w:tc>
          <w:tcPr>
            <w:tcW w:w="469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全部或其中一项具有极高的观赏价值、游憩价值、使用价值。</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历史文化科学艺术价值</w:t>
            </w:r>
          </w:p>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（25分）</w:t>
            </w:r>
          </w:p>
        </w:tc>
        <w:tc>
          <w:tcPr>
            <w:tcW w:w="469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同时或其中一项具有全国意义的历史价值、文化价值、科学价值、艺术价值。</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珍稀奇特程度（15分）</w:t>
            </w:r>
          </w:p>
        </w:tc>
        <w:tc>
          <w:tcPr>
            <w:tcW w:w="469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有大量珍稀物种，景观异常奇特，此类现象在其他地区罕见。</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规模、丰度与几率</w:t>
            </w:r>
          </w:p>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（10分）</w:t>
            </w:r>
          </w:p>
        </w:tc>
        <w:tc>
          <w:tcPr>
            <w:tcW w:w="469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独立型旅游资源单体规模、体量巨大；集合型旅游资源单体结构完美、疏密度优良级；自然景象和人文活动周期性发生或频率极高。</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完整性（5分）</w:t>
            </w:r>
          </w:p>
        </w:tc>
        <w:tc>
          <w:tcPr>
            <w:tcW w:w="469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形态与结构保持完整。</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restar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资源</w:t>
            </w:r>
          </w:p>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影响力</w:t>
            </w:r>
          </w:p>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（15分）</w:t>
            </w:r>
          </w:p>
        </w:tc>
        <w:tc>
          <w:tcPr>
            <w:tcW w:w="2160"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知名度和影响力（10分）</w:t>
            </w:r>
          </w:p>
        </w:tc>
        <w:tc>
          <w:tcPr>
            <w:tcW w:w="469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在世界范围内知名，或构成世界承认的名牌。</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p>
        </w:tc>
        <w:tc>
          <w:tcPr>
            <w:tcW w:w="2160"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适游期或使用范围（5分）</w:t>
            </w:r>
          </w:p>
        </w:tc>
        <w:tc>
          <w:tcPr>
            <w:tcW w:w="469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适宜游览的日期超过150天，或适宜于60%游客使用和参与。</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935"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附加值</w:t>
            </w:r>
          </w:p>
        </w:tc>
        <w:tc>
          <w:tcPr>
            <w:tcW w:w="2160"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环境保护与环境安全</w:t>
            </w:r>
          </w:p>
        </w:tc>
        <w:tc>
          <w:tcPr>
            <w:tcW w:w="4692"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已有工程保护措施，环境安全得到保证。</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15" w:type="dxa"/>
            <w:left w:w="15" w:type="dxa"/>
            <w:bottom w:w="15" w:type="dxa"/>
            <w:right w:w="15" w:type="dxa"/>
          </w:tblCellMar>
        </w:tblPrEx>
        <w:trPr>
          <w:trHeight w:val="397" w:hRule="atLeast"/>
          <w:jc w:val="center"/>
        </w:trPr>
        <w:tc>
          <w:tcPr>
            <w:tcW w:w="7787" w:type="dxa"/>
            <w:gridSpan w:val="3"/>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t>总   分</w:t>
            </w:r>
          </w:p>
        </w:tc>
        <w:tc>
          <w:tcPr>
            <w:tcW w:w="591" w:type="dxa"/>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eastAsia"/>
                <w:color w:val="auto"/>
                <w:lang w:val="en-US" w:eastAsia="zh-CN"/>
              </w:rPr>
            </w:pPr>
            <w:r>
              <w:rPr>
                <w:rFonts w:hint="eastAsia"/>
                <w:color w:val="auto"/>
                <w:lang w:val="en-US" w:eastAsia="zh-CN"/>
              </w:rPr>
              <w:fldChar w:fldCharType="begin"/>
            </w:r>
            <w:r>
              <w:rPr>
                <w:rFonts w:hint="eastAsia"/>
                <w:color w:val="auto"/>
                <w:lang w:val="en-US" w:eastAsia="zh-CN"/>
              </w:rPr>
              <w:instrText xml:space="preserve"> =SUM(ABOVE) </w:instrText>
            </w:r>
            <w:r>
              <w:rPr>
                <w:rFonts w:hint="eastAsia"/>
                <w:color w:val="auto"/>
                <w:lang w:val="en-US" w:eastAsia="zh-CN"/>
              </w:rPr>
              <w:fldChar w:fldCharType="separate"/>
            </w:r>
            <w:r>
              <w:rPr>
                <w:rFonts w:hint="eastAsia"/>
                <w:color w:val="auto"/>
                <w:lang w:val="en-US" w:eastAsia="zh-CN"/>
              </w:rPr>
              <w:t>75.5</w:t>
            </w:r>
            <w:r>
              <w:rPr>
                <w:rFonts w:hint="eastAsia"/>
                <w:color w:val="auto"/>
                <w:lang w:val="en-US" w:eastAsia="zh-CN"/>
              </w:rPr>
              <w:fldChar w:fldCharType="end"/>
            </w:r>
          </w:p>
        </w:tc>
      </w:tr>
    </w:tbl>
    <w:p>
      <w:pPr>
        <w:pStyle w:val="57"/>
        <w:rPr>
          <w:rFonts w:hint="eastAsia"/>
          <w:color w:val="auto"/>
          <w:highlight w:val="none"/>
          <w:lang w:val="en-US" w:eastAsia="zh-CN"/>
        </w:rPr>
      </w:pPr>
      <w:r>
        <w:rPr>
          <w:rFonts w:hint="eastAsia"/>
          <w:color w:val="auto"/>
          <w:highlight w:val="none"/>
          <w:lang w:val="en-US" w:eastAsia="zh-CN"/>
        </w:rPr>
        <w:t>工程实施后，魔鬼城旅游资源单体评价总分为75.5分，旅游资源评价等级仍然为四级旅游资源，仍属优良级旅游资源。</w:t>
      </w:r>
    </w:p>
    <w:p>
      <w:pPr>
        <w:pStyle w:val="57"/>
        <w:rPr>
          <w:rFonts w:hint="eastAsia"/>
          <w:color w:val="auto"/>
          <w:highlight w:val="none"/>
          <w:lang w:val="en-US" w:eastAsia="zh-CN"/>
        </w:rPr>
      </w:pPr>
      <w:r>
        <w:rPr>
          <w:rFonts w:hint="eastAsia"/>
          <w:color w:val="auto"/>
          <w:highlight w:val="none"/>
          <w:lang w:val="en-US" w:eastAsia="zh-CN"/>
        </w:rPr>
        <w:t>通过以上分析评价可以认为，本工程的实施对魔鬼城风景旅游资源具有一定的不利影响，在做出合理避让和保护措施的情况下，影响相对较小，没有明显降低旅游资源的价值。</w:t>
      </w:r>
    </w:p>
    <w:p>
      <w:pPr>
        <w:pStyle w:val="57"/>
        <w:rPr>
          <w:rFonts w:hint="eastAsia"/>
          <w:color w:val="auto"/>
          <w:highlight w:val="none"/>
          <w:lang w:val="en-US" w:eastAsia="zh-CN"/>
        </w:rPr>
      </w:pPr>
      <w:r>
        <w:rPr>
          <w:rFonts w:hint="eastAsia"/>
          <w:color w:val="auto"/>
          <w:highlight w:val="none"/>
          <w:lang w:val="en-US" w:eastAsia="zh-CN"/>
        </w:rPr>
        <w:t>（4）区域景观影响分析及评价</w:t>
      </w:r>
    </w:p>
    <w:p>
      <w:pPr>
        <w:pStyle w:val="57"/>
        <w:rPr>
          <w:rFonts w:hint="eastAsia"/>
          <w:color w:val="auto"/>
          <w:highlight w:val="none"/>
          <w:lang w:val="en-US" w:eastAsia="zh-CN"/>
        </w:rPr>
      </w:pPr>
      <w:r>
        <w:rPr>
          <w:rFonts w:hint="eastAsia"/>
          <w:color w:val="auto"/>
          <w:highlight w:val="none"/>
          <w:lang w:val="en-US" w:eastAsia="zh-CN"/>
        </w:rPr>
        <w:t>评价区属于景观生态等级自然体系和人工体系的复合体，它由荒漠生态系统、特殊的“雅丹”地貌地质景观、道路、油田设施等有规律地相间组成。景观生态体系的质量现状是由区域内自然环境、地形地貌、各种生物及人类社会之间复杂的相互作用来决定的。</w:t>
      </w:r>
    </w:p>
    <w:p>
      <w:pPr>
        <w:pStyle w:val="57"/>
        <w:rPr>
          <w:rFonts w:hint="eastAsia"/>
          <w:color w:val="auto"/>
          <w:highlight w:val="none"/>
          <w:lang w:val="en-US" w:eastAsia="zh-CN"/>
        </w:rPr>
      </w:pPr>
      <w:r>
        <w:rPr>
          <w:rFonts w:hint="eastAsia"/>
          <w:color w:val="auto"/>
          <w:highlight w:val="none"/>
          <w:lang w:val="en-US" w:eastAsia="zh-CN"/>
        </w:rPr>
        <w:t>本工程风城二号稠油处理站至乌33转油站净化油外输管线东南侧距离魔鬼城核心景区边界最近的距离为40m，规划建设时注意进行美学设计和景观美的营造，将不会对魔鬼城景观可能造成太大的影响，油田区开发规划时应与当地旅游管理部门结合，最大限度地减少工程开发对魔鬼城风景旅游区的景观影响。</w:t>
      </w:r>
    </w:p>
    <w:p>
      <w:pPr>
        <w:pStyle w:val="57"/>
        <w:rPr>
          <w:rFonts w:hint="eastAsia"/>
          <w:color w:val="auto"/>
          <w:highlight w:val="none"/>
          <w:lang w:val="en-US" w:eastAsia="zh-CN"/>
        </w:rPr>
      </w:pPr>
      <w:r>
        <w:rPr>
          <w:rFonts w:hint="eastAsia"/>
          <w:color w:val="auto"/>
          <w:highlight w:val="none"/>
          <w:lang w:val="en-US" w:eastAsia="zh-CN"/>
        </w:rPr>
        <w:t>与乌尔禾石油资源开发规划相协调：风景名胜区范围内有地下储油区，规划依照保护要求，将地面采油设施分布区域划定在合理的开发控制区域内，既保护油田景观功能和结构的完整，又能够体现风景区内景观生态系统的多样性，把相互矛盾和干扰降到最低，保证魔鬼城资源的完整性和独立性。</w:t>
      </w:r>
    </w:p>
    <w:p>
      <w:pPr>
        <w:pStyle w:val="53"/>
        <w:rPr>
          <w:color w:val="auto"/>
          <w:highlight w:val="none"/>
        </w:rPr>
      </w:pPr>
      <w:bookmarkStart w:id="610" w:name="_Toc173941888"/>
      <w:r>
        <w:rPr>
          <w:rFonts w:hint="eastAsia"/>
          <w:color w:val="auto"/>
          <w:highlight w:val="none"/>
        </w:rPr>
        <w:t>5.1.2运营期生态环境影响分析</w:t>
      </w:r>
      <w:bookmarkEnd w:id="610"/>
    </w:p>
    <w:p>
      <w:pPr>
        <w:pStyle w:val="57"/>
        <w:rPr>
          <w:color w:val="auto"/>
          <w:highlight w:val="none"/>
        </w:rPr>
      </w:pPr>
      <w:r>
        <w:rPr>
          <w:rFonts w:hint="eastAsia"/>
          <w:color w:val="auto"/>
          <w:highlight w:val="none"/>
        </w:rPr>
        <w:t>本工程运营期对生态环境的影响主要表现在对野生动物、植被等的影响，生态系统完整性影响以及生态景观影响。</w:t>
      </w:r>
    </w:p>
    <w:p>
      <w:pPr>
        <w:pStyle w:val="5"/>
        <w:keepNext w:val="0"/>
        <w:keepLines w:val="0"/>
        <w:widowControl w:val="0"/>
        <w:rPr>
          <w:color w:val="auto"/>
          <w:highlight w:val="none"/>
        </w:rPr>
      </w:pPr>
      <w:r>
        <w:rPr>
          <w:rFonts w:hint="eastAsia"/>
          <w:color w:val="auto"/>
          <w:highlight w:val="none"/>
        </w:rPr>
        <w:t>5.1.2.1对野生动物的影响分析</w:t>
      </w:r>
    </w:p>
    <w:p>
      <w:pPr>
        <w:pStyle w:val="57"/>
        <w:widowControl w:val="0"/>
        <w:rPr>
          <w:color w:val="auto"/>
          <w:highlight w:val="none"/>
        </w:rPr>
      </w:pPr>
      <w:r>
        <w:rPr>
          <w:rFonts w:hint="eastAsia"/>
          <w:color w:val="auto"/>
          <w:highlight w:val="none"/>
        </w:rPr>
        <w:t>运营期车辆运输和机械噪声相对施工期有所减小，人为活动相对施工也有所减少，通过加强管理禁止油田职工对野生动物的猎杀，本工程运营期的噪声和人为活动对野生动物的影响也相对减小。</w:t>
      </w:r>
    </w:p>
    <w:p>
      <w:pPr>
        <w:pStyle w:val="57"/>
        <w:widowControl w:val="0"/>
        <w:rPr>
          <w:color w:val="auto"/>
          <w:highlight w:val="none"/>
        </w:rPr>
      </w:pPr>
      <w:r>
        <w:rPr>
          <w:rFonts w:hint="eastAsia"/>
          <w:color w:val="auto"/>
          <w:highlight w:val="none"/>
        </w:rPr>
        <w:t>运营期道路行车主要是油田巡线的自备车辆，车流量很小，夜间无车行驶，一般情况下，野生动物会自行规避或适应，不会对野生动物产生明显影响。</w:t>
      </w:r>
    </w:p>
    <w:p>
      <w:pPr>
        <w:pStyle w:val="5"/>
        <w:rPr>
          <w:color w:val="auto"/>
          <w:highlight w:val="none"/>
        </w:rPr>
      </w:pPr>
      <w:r>
        <w:rPr>
          <w:rFonts w:hint="eastAsia"/>
          <w:color w:val="auto"/>
          <w:highlight w:val="none"/>
        </w:rPr>
        <w:t>5.1.2.2植被影响分析</w:t>
      </w:r>
    </w:p>
    <w:p>
      <w:pPr>
        <w:pStyle w:val="57"/>
        <w:rPr>
          <w:color w:val="auto"/>
          <w:highlight w:val="none"/>
        </w:rPr>
      </w:pPr>
      <w:r>
        <w:rPr>
          <w:rFonts w:hint="eastAsia"/>
          <w:color w:val="auto"/>
          <w:highlight w:val="none"/>
        </w:rPr>
        <w:t>运营期由于占地活动的结束，工程基本不会对植被产生影响，临时占地的植被开始自然恢复，一般在2～3年内开始发生向原生植被群落演替，并逐渐得到恢复。但事故状态如管线泄漏或火灾均会致使泄漏或火灾处局部范围内植被死亡。但事故造成的植被破坏是小范围的，在荒漠地带植被损失量很小。</w:t>
      </w:r>
    </w:p>
    <w:p>
      <w:pPr>
        <w:pStyle w:val="5"/>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5.1.2.3生态系统完整性影响评价</w:t>
      </w:r>
    </w:p>
    <w:p>
      <w:pPr>
        <w:pStyle w:val="57"/>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生态系统完整性是资源管理和环境保护中一个重要的概念。生态系统完整性是生态系统在特定地理区域的最优化状态，在这种状态下，生态系统具备区域自然生境所应包含的全部本土生物多样性和生态学进程，其结构和功能没有受到人类活动胁迫的损害，本地物种处在能够持续繁衍的种群水平。它主要反映生态系统在外来干扰下维持自然状态、稳定性和自组织能力的程度。评价生态系统完整性对于保护敏感自然生态系统免受人类干扰的影响有着重要的意义。</w:t>
      </w:r>
    </w:p>
    <w:p>
      <w:pPr>
        <w:pStyle w:val="57"/>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在项目建设中，新设施的增加及永久性构筑物的作用，不但不会使区域内异质化程度降低，反而在一定程度上会增加区域的异质性。区域的异质性越大，抵抗外界干扰的能力就越大。因而油田开发建设不会改变区域内景观生态的稳定性及完整性。</w:t>
      </w:r>
    </w:p>
    <w:p>
      <w:pPr>
        <w:pStyle w:val="5"/>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5.1.2.4景观完整性影响分析</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评价区域的基质为荒漠生态景观。荒漠生态景观的稳定性较差，异质化程度低，生态体系的稳定性和必要的抵御干扰的柔韧性较差。</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本工程总占地约</w:t>
      </w:r>
      <w:r>
        <w:rPr>
          <w:rFonts w:hint="eastAsia" w:cs="Times New Roman"/>
          <w:color w:val="auto"/>
          <w:sz w:val="24"/>
          <w:szCs w:val="21"/>
          <w:highlight w:val="none"/>
          <w:lang w:val="en-US" w:eastAsia="zh-CN" w:bidi="ar-SA"/>
        </w:rPr>
        <w:t>51.696</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，其中永久占地</w:t>
      </w:r>
      <w:r>
        <w:rPr>
          <w:rFonts w:hint="eastAsia" w:cs="Times New Roman"/>
          <w:color w:val="auto"/>
          <w:sz w:val="24"/>
          <w:szCs w:val="21"/>
          <w:highlight w:val="none"/>
          <w:lang w:val="en-US" w:eastAsia="zh-CN" w:bidi="ar-SA"/>
        </w:rPr>
        <w:t>3.176</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、临时占地</w:t>
      </w:r>
      <w:r>
        <w:rPr>
          <w:rFonts w:hint="eastAsia" w:cs="Times New Roman"/>
          <w:color w:val="auto"/>
          <w:sz w:val="24"/>
          <w:szCs w:val="21"/>
          <w:highlight w:val="none"/>
          <w:lang w:val="en-US" w:eastAsia="zh-CN" w:bidi="ar-SA"/>
        </w:rPr>
        <w:t>48.52</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荒漠区域被油田设施等永久性构筑物占用，由荒漠生态景观变为人工景观。也就是说，区域内作为基质组成部分的荒漠生态景观中，荒漠区面积有所减少。对于整个评价区域来讲，所占的比例不大，同时还增加了区域的异质性。</w:t>
      </w:r>
    </w:p>
    <w:p>
      <w:pPr>
        <w:pStyle w:val="57"/>
        <w:pageBreakBefore w:val="0"/>
        <w:kinsoku/>
        <w:wordWrap/>
        <w:overflowPunct/>
        <w:topLinePunct w:val="0"/>
        <w:autoSpaceDE/>
        <w:autoSpaceDN/>
        <w:bidi w:val="0"/>
        <w:spacing w:line="480" w:lineRule="exact"/>
        <w:textAlignment w:val="auto"/>
        <w:rPr>
          <w:color w:val="auto"/>
          <w:highlight w:val="none"/>
        </w:rPr>
      </w:pPr>
      <w:r>
        <w:rPr>
          <w:rFonts w:hint="eastAsia" w:ascii="Times New Roman" w:hAnsi="Times New Roman" w:eastAsia="宋体" w:cs="Times New Roman"/>
          <w:color w:val="auto"/>
          <w:sz w:val="24"/>
          <w:szCs w:val="21"/>
          <w:highlight w:val="none"/>
          <w:lang w:val="en-US" w:eastAsia="zh-CN" w:bidi="ar-SA"/>
        </w:rPr>
        <w:t>综上所述，本工程区域</w:t>
      </w:r>
      <w:r>
        <w:rPr>
          <w:rFonts w:hint="eastAsia" w:ascii="Times New Roman" w:hAnsi="Times New Roman" w:eastAsia="宋体" w:cs="Times New Roman"/>
          <w:color w:val="auto"/>
          <w:sz w:val="24"/>
          <w:szCs w:val="21"/>
          <w:highlight w:val="none"/>
          <w:lang w:val="zh-CN" w:eastAsia="zh-CN" w:bidi="ar-SA"/>
        </w:rPr>
        <w:t>生态完整性受项目影响较小，项目区生态完整性变化主要受区域自然环境变化影响。油田开发加大了评价区人为干扰的力度，同时也加剧局部区域由自然荒漠生态系统向人工生态系统演替的趋势；但是由于项目占地面积有限，区域生态系统仍保持开放、物质循环和能量流动。因此对于评价区生态系统的完整性影响较小，其生态稳定性及其结构与功能也不会受到明显</w:t>
      </w:r>
      <w:r>
        <w:rPr>
          <w:rFonts w:hint="eastAsia" w:ascii="Times New Roman" w:hAnsi="Times New Roman" w:eastAsia="宋体" w:cs="Times New Roman"/>
          <w:color w:val="auto"/>
          <w:sz w:val="24"/>
          <w:szCs w:val="21"/>
          <w:highlight w:val="none"/>
          <w:lang w:val="en-US" w:eastAsia="zh-CN" w:bidi="ar-SA"/>
        </w:rPr>
        <w:t>不利</w:t>
      </w:r>
      <w:r>
        <w:rPr>
          <w:rFonts w:hint="eastAsia" w:ascii="Times New Roman" w:hAnsi="Times New Roman" w:eastAsia="宋体" w:cs="Times New Roman"/>
          <w:color w:val="auto"/>
          <w:sz w:val="24"/>
          <w:szCs w:val="21"/>
          <w:highlight w:val="none"/>
          <w:lang w:val="zh-CN" w:eastAsia="zh-CN" w:bidi="ar-SA"/>
        </w:rPr>
        <w:t>影响</w:t>
      </w:r>
      <w:r>
        <w:rPr>
          <w:rFonts w:hint="eastAsia"/>
          <w:color w:val="auto"/>
          <w:highlight w:val="none"/>
        </w:rPr>
        <w:t>。</w:t>
      </w:r>
    </w:p>
    <w:p>
      <w:pPr>
        <w:pStyle w:val="53"/>
        <w:pageBreakBefore w:val="0"/>
        <w:kinsoku/>
        <w:wordWrap/>
        <w:overflowPunct/>
        <w:topLinePunct w:val="0"/>
        <w:autoSpaceDE/>
        <w:autoSpaceDN/>
        <w:bidi w:val="0"/>
        <w:spacing w:line="480" w:lineRule="exact"/>
        <w:textAlignment w:val="auto"/>
        <w:rPr>
          <w:rFonts w:hint="eastAsia" w:cs="Times New Roman"/>
          <w:color w:val="auto"/>
          <w:highlight w:val="none"/>
        </w:rPr>
      </w:pPr>
      <w:bookmarkStart w:id="611" w:name="_Toc173941889"/>
      <w:r>
        <w:rPr>
          <w:rFonts w:hint="eastAsia" w:cs="Times New Roman"/>
          <w:color w:val="auto"/>
          <w:highlight w:val="none"/>
        </w:rPr>
        <w:t>5.1.3退役期生态环境影响分析</w:t>
      </w:r>
      <w:bookmarkEnd w:id="611"/>
    </w:p>
    <w:p>
      <w:pPr>
        <w:pStyle w:val="57"/>
        <w:pageBreakBefore w:val="0"/>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随着油田开采的不断进行，其储量逐渐下降，最终井区将进入退役期。当油气田开发接近尾声时，各种机械设备将停止使用，进驻其中的油田开发工作人员将陆续撤离油气田区域，由此带来的大气污染物、生产废水、噪声及固体废物等对环境的影响将会消失。</w:t>
      </w:r>
    </w:p>
    <w:p>
      <w:pPr>
        <w:pStyle w:val="57"/>
        <w:pageBreakBefore w:val="0"/>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退役期的环境影响以生态环境的恢复为主，同时封井和井场清理也会产生少量扬尘和建筑垃圾，会对周围的环境造成一定影响。油井停采后将进行一系列清理工作，包括地面设施拆除、地下截去至少1m的井筒并用水泥灌注封井、井场清理等。在这期间，将会产生少量扬尘和固体废物。在闭井施工操作中应注意采取降尘措施，文明施工，防止水泥等的洒落与飘散，同时在清理井场时防止飞灰、扬尘的产生，尽可能降低对周边大气环境的影响。</w:t>
      </w:r>
    </w:p>
    <w:p>
      <w:pPr>
        <w:pStyle w:val="57"/>
        <w:pageBreakBefore w:val="0"/>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另外，井场清理等工作还会产生部分废弃管线（地面管线拆除，地下埋地管线清管封堵后不再挖出）、废弃建筑残渣等固体废物，对这些废弃管线、残渣等进行集中清理收集，管线外运经清洗后可回收再利用，废弃建筑残渣外运至指定处理场填埋处理。固体废物的妥善处理，可以有效控制对区域环境的影响。</w:t>
      </w:r>
    </w:p>
    <w:p>
      <w:pPr>
        <w:pStyle w:val="57"/>
        <w:pageBreakBefore w:val="0"/>
        <w:kinsoku/>
        <w:wordWrap/>
        <w:overflowPunct/>
        <w:topLinePunct w:val="0"/>
        <w:autoSpaceDE/>
        <w:autoSpaceDN/>
        <w:bidi w:val="0"/>
        <w:spacing w:line="480" w:lineRule="exact"/>
        <w:textAlignment w:val="auto"/>
        <w:rPr>
          <w:color w:val="auto"/>
          <w:highlight w:val="none"/>
        </w:rPr>
      </w:pPr>
      <w:r>
        <w:rPr>
          <w:rFonts w:hint="eastAsia"/>
          <w:color w:val="auto"/>
          <w:highlight w:val="none"/>
        </w:rPr>
        <w:t>迹地经过清理后，根据周边区域的自然现状对其进行恢复，使井场恢复到相对自然的一种状态。油田设施退役后，人员撤离，区域内没有人为扰动，井场范围内的自然植被会逐渐得以恢复，有助于区域生态环境的改善</w:t>
      </w:r>
      <w:r>
        <w:rPr>
          <w:color w:val="auto"/>
          <w:highlight w:val="none"/>
        </w:rPr>
        <w:t>。</w:t>
      </w:r>
    </w:p>
    <w:p>
      <w:pPr>
        <w:pStyle w:val="53"/>
        <w:pageBreakBefore w:val="0"/>
        <w:kinsoku/>
        <w:wordWrap/>
        <w:overflowPunct/>
        <w:topLinePunct w:val="0"/>
        <w:autoSpaceDE/>
        <w:autoSpaceDN/>
        <w:bidi w:val="0"/>
        <w:spacing w:line="480" w:lineRule="exact"/>
        <w:textAlignment w:val="auto"/>
        <w:rPr>
          <w:rFonts w:eastAsia="宋体"/>
          <w:color w:val="auto"/>
          <w:highlight w:val="none"/>
        </w:rPr>
      </w:pPr>
      <w:bookmarkStart w:id="612" w:name="_Toc173941890"/>
      <w:r>
        <w:rPr>
          <w:color w:val="auto"/>
          <w:highlight w:val="none"/>
        </w:rPr>
        <w:t>5.1.</w:t>
      </w:r>
      <w:r>
        <w:rPr>
          <w:rFonts w:hint="eastAsia"/>
          <w:color w:val="auto"/>
          <w:highlight w:val="none"/>
        </w:rPr>
        <w:t>4</w:t>
      </w:r>
      <w:bookmarkEnd w:id="612"/>
      <w:r>
        <w:rPr>
          <w:rFonts w:hint="eastAsia"/>
          <w:color w:val="auto"/>
          <w:highlight w:val="none"/>
        </w:rPr>
        <w:t>生态影响评价自查表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hint="eastAsia" w:ascii="Times New Roman" w:hAnsi="Times New Roman" w:eastAsia="宋体" w:cs="Times New Roman"/>
          <w:color w:val="auto"/>
          <w:sz w:val="24"/>
          <w:szCs w:val="21"/>
          <w:highlight w:val="none"/>
          <w:lang w:val="en-US" w:eastAsia="zh-CN" w:bidi="ar-SA"/>
        </w:rPr>
        <w:t>本工程对生态环境的影响主要在施工期，为永久占地平整及临时管沟开挖</w:t>
      </w:r>
      <w:r>
        <w:rPr>
          <w:rFonts w:hint="eastAsia" w:cs="Times New Roman"/>
          <w:color w:val="auto"/>
          <w:sz w:val="24"/>
          <w:szCs w:val="21"/>
          <w:highlight w:val="none"/>
          <w:lang w:val="en-US" w:eastAsia="zh-CN" w:bidi="ar-SA"/>
        </w:rPr>
        <w:t>等</w:t>
      </w:r>
      <w:r>
        <w:rPr>
          <w:rFonts w:hint="eastAsia" w:ascii="Times New Roman" w:hAnsi="Times New Roman" w:eastAsia="宋体" w:cs="Times New Roman"/>
          <w:color w:val="auto"/>
          <w:sz w:val="24"/>
          <w:szCs w:val="21"/>
          <w:highlight w:val="none"/>
          <w:lang w:val="en-US" w:eastAsia="zh-CN" w:bidi="ar-SA"/>
        </w:rPr>
        <w:t>建设带来的生态环境影响。本工程永久占地约</w:t>
      </w:r>
      <w:r>
        <w:rPr>
          <w:rFonts w:hint="eastAsia" w:cs="Times New Roman"/>
          <w:color w:val="auto"/>
          <w:sz w:val="24"/>
          <w:szCs w:val="21"/>
          <w:highlight w:val="none"/>
          <w:lang w:val="en-US" w:eastAsia="zh-CN" w:bidi="ar-SA"/>
        </w:rPr>
        <w:t>3.176</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，永久性工程占地对沿线地区的土地利用影响较小。临时占地</w:t>
      </w:r>
      <w:r>
        <w:rPr>
          <w:rFonts w:hint="eastAsia" w:cs="Times New Roman"/>
          <w:color w:val="auto"/>
          <w:sz w:val="24"/>
          <w:szCs w:val="21"/>
          <w:highlight w:val="none"/>
          <w:lang w:val="en-US" w:eastAsia="zh-CN" w:bidi="ar-SA"/>
        </w:rPr>
        <w:t>48.52</w:t>
      </w:r>
      <w:r>
        <w:rPr>
          <w:rFonts w:hint="eastAsia" w:ascii="Times New Roman" w:hAnsi="Times New Roman" w:eastAsia="宋体" w:cs="Times New Roman"/>
          <w:color w:val="auto"/>
          <w:sz w:val="24"/>
          <w:szCs w:val="21"/>
          <w:highlight w:val="none"/>
          <w:lang w:val="en-US" w:eastAsia="zh-CN" w:bidi="ar-SA"/>
        </w:rPr>
        <w:t>hm</w:t>
      </w:r>
      <w:r>
        <w:rPr>
          <w:rFonts w:hint="eastAsia" w:ascii="Times New Roman" w:hAnsi="Times New Roman" w:eastAsia="宋体" w:cs="Times New Roman"/>
          <w:color w:val="auto"/>
          <w:sz w:val="24"/>
          <w:szCs w:val="21"/>
          <w:highlight w:val="none"/>
          <w:vertAlign w:val="superscript"/>
          <w:lang w:val="en-US" w:eastAsia="zh-CN" w:bidi="ar-SA"/>
        </w:rPr>
        <w:t>2</w:t>
      </w:r>
      <w:r>
        <w:rPr>
          <w:rFonts w:hint="eastAsia" w:ascii="Times New Roman" w:hAnsi="Times New Roman" w:eastAsia="宋体" w:cs="Times New Roman"/>
          <w:color w:val="auto"/>
          <w:sz w:val="24"/>
          <w:szCs w:val="21"/>
          <w:highlight w:val="none"/>
          <w:lang w:val="en-US" w:eastAsia="zh-CN" w:bidi="ar-SA"/>
        </w:rPr>
        <w:t>，临时性工程占地仅在施工阶段对沿线土地利用产生短期影响，且大部分用地在施工结束后能恢复原有的利用功能。总体而言，施工结束后，随着生态补偿或生态恢复措施的实施，临时性工程用地扰动区内的原有植被可逐渐恢复，临时性工程占地影响将逐渐减小或消失。</w:t>
      </w:r>
    </w:p>
    <w:p>
      <w:pPr>
        <w:pStyle w:val="57"/>
        <w:rPr>
          <w:color w:val="auto"/>
          <w:spacing w:val="4"/>
          <w:kern w:val="24"/>
          <w:highlight w:val="none"/>
        </w:rPr>
      </w:pPr>
      <w:r>
        <w:rPr>
          <w:rFonts w:hint="eastAsia" w:ascii="Times New Roman" w:hAnsi="Times New Roman" w:eastAsia="宋体" w:cs="Times New Roman"/>
          <w:color w:val="auto"/>
          <w:sz w:val="24"/>
          <w:szCs w:val="21"/>
          <w:highlight w:val="none"/>
          <w:lang w:val="en-US" w:eastAsia="zh-CN" w:bidi="ar-SA"/>
        </w:rPr>
        <w:t>本工程位于克拉玛依市乌尔禾区、塔城地区和布克赛尔蒙古自治县</w:t>
      </w:r>
      <w:r>
        <w:rPr>
          <w:rFonts w:hint="eastAsia" w:cs="Times New Roman"/>
          <w:color w:val="auto"/>
          <w:sz w:val="24"/>
          <w:szCs w:val="21"/>
          <w:highlight w:val="none"/>
          <w:lang w:val="en-US" w:eastAsia="zh-CN" w:bidi="ar-SA"/>
        </w:rPr>
        <w:t>、新疆生产建设兵团第七师胡杨河市境</w:t>
      </w:r>
      <w:r>
        <w:rPr>
          <w:rFonts w:hint="eastAsia" w:ascii="Times New Roman" w:hAnsi="Times New Roman" w:eastAsia="宋体" w:cs="Times New Roman"/>
          <w:color w:val="auto"/>
          <w:sz w:val="24"/>
          <w:szCs w:val="21"/>
          <w:highlight w:val="none"/>
          <w:lang w:val="en-US" w:eastAsia="zh-CN" w:bidi="ar-SA"/>
        </w:rPr>
        <w:t>内</w:t>
      </w:r>
      <w:r>
        <w:rPr>
          <w:rFonts w:hint="eastAsia" w:cs="Times New Roman"/>
          <w:color w:val="auto"/>
          <w:sz w:val="24"/>
          <w:szCs w:val="21"/>
          <w:highlight w:val="none"/>
          <w:lang w:val="en-US" w:eastAsia="zh-CN" w:bidi="ar-SA"/>
        </w:rPr>
        <w:t>，在</w:t>
      </w:r>
      <w:r>
        <w:rPr>
          <w:rFonts w:hint="eastAsia" w:ascii="Times New Roman" w:hAnsi="Times New Roman" w:eastAsia="宋体" w:cs="Times New Roman"/>
          <w:color w:val="auto"/>
          <w:sz w:val="24"/>
          <w:szCs w:val="21"/>
          <w:highlight w:val="none"/>
          <w:lang w:val="en-US" w:eastAsia="zh-CN" w:bidi="ar-SA"/>
        </w:rPr>
        <w:t>项目评价范围和占地范围内均不涉及法定生态保护区域、重要生境以及其他具有重要生态功能、对保护生物多样性具有重要意义的区域等生态敏感区。</w:t>
      </w:r>
      <w:r>
        <w:rPr>
          <w:rFonts w:ascii="Times New Roman" w:hAnsi="Times New Roman" w:eastAsia="宋体" w:cs="Times New Roman"/>
          <w:color w:val="auto"/>
          <w:sz w:val="24"/>
          <w:szCs w:val="21"/>
          <w:highlight w:val="none"/>
          <w:lang w:val="en-US" w:eastAsia="zh-CN" w:bidi="ar-SA"/>
        </w:rPr>
        <w:t>由于本区域的野生动物种类</w:t>
      </w:r>
      <w:r>
        <w:rPr>
          <w:rFonts w:hint="eastAsia" w:ascii="Times New Roman" w:hAnsi="Times New Roman" w:eastAsia="宋体" w:cs="Times New Roman"/>
          <w:color w:val="auto"/>
          <w:sz w:val="24"/>
          <w:szCs w:val="21"/>
          <w:highlight w:val="none"/>
          <w:lang w:val="en-US" w:eastAsia="zh-CN" w:bidi="ar-SA"/>
        </w:rPr>
        <w:t>较</w:t>
      </w:r>
      <w:r>
        <w:rPr>
          <w:rFonts w:ascii="Times New Roman" w:hAnsi="Times New Roman" w:eastAsia="宋体" w:cs="Times New Roman"/>
          <w:color w:val="auto"/>
          <w:sz w:val="24"/>
          <w:szCs w:val="21"/>
          <w:highlight w:val="none"/>
          <w:lang w:val="en-US" w:eastAsia="zh-CN" w:bidi="ar-SA"/>
        </w:rPr>
        <w:t>少，少有大型野生动物在本区域出现，项目对野生动物的影响较小。</w:t>
      </w:r>
      <w:r>
        <w:rPr>
          <w:rFonts w:hint="eastAsia" w:ascii="Times New Roman" w:hAnsi="Times New Roman" w:eastAsia="宋体" w:cs="Times New Roman"/>
          <w:color w:val="auto"/>
          <w:sz w:val="24"/>
          <w:szCs w:val="21"/>
          <w:highlight w:val="none"/>
          <w:lang w:val="en-US" w:eastAsia="zh-CN" w:bidi="ar-SA"/>
        </w:rPr>
        <w:t>总体而言，施工结束后，随着耕地复种、生态补偿及生态恢复措施的实施，临时性工程用地扰动区内的原有植被可逐渐恢复，临时性工程占地影响将逐渐减小或消失，生态环境影响可接受。本项目生态影响评价自查表见表5.1-3</w:t>
      </w:r>
      <w:r>
        <w:rPr>
          <w:rFonts w:hint="eastAsia"/>
          <w:color w:val="auto"/>
          <w:highlight w:val="none"/>
        </w:rPr>
        <w:t>。</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613" w:name="_Toc31188"/>
      <w:bookmarkStart w:id="614" w:name="_Toc27479"/>
      <w:r>
        <w:rPr>
          <w:rFonts w:hint="eastAsia"/>
          <w:color w:val="auto"/>
          <w:highlight w:val="none"/>
        </w:rPr>
        <w:t>表5</w:t>
      </w:r>
      <w:r>
        <w:rPr>
          <w:color w:val="auto"/>
          <w:highlight w:val="none"/>
        </w:rPr>
        <w:t>.1-</w:t>
      </w:r>
      <w:r>
        <w:rPr>
          <w:rFonts w:hint="eastAsia"/>
          <w:color w:val="auto"/>
          <w:highlight w:val="none"/>
        </w:rPr>
        <w:t xml:space="preserve">3  </w:t>
      </w:r>
      <w:r>
        <w:rPr>
          <w:color w:val="auto"/>
          <w:highlight w:val="none"/>
        </w:rPr>
        <w:t>生态影响评价自查表</w:t>
      </w:r>
      <w:bookmarkEnd w:id="613"/>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891"/>
        <w:gridCol w:w="241"/>
        <w:gridCol w:w="1136"/>
        <w:gridCol w:w="617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工作内容</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生态影响识别</w:t>
            </w:r>
          </w:p>
        </w:tc>
        <w:tc>
          <w:tcPr>
            <w:tcW w:w="137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生态保护目标</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重要物种□；国家公园□；自然保护区□；自然公园□；世界自然遗产□；生态保护红线□；重要生境□；其他具有重要生态功能、对保护生物多样性具有重要意义的区域□；其他</w:t>
            </w:r>
            <w:r>
              <w:rPr>
                <w:rFonts w:ascii="Times New Roman" w:hAnsi="Times New Roman" w:eastAsia="宋体" w:cs="Times New Roman"/>
                <w:color w:val="auto"/>
                <w:sz w:val="21"/>
                <w:szCs w:val="20"/>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37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影响方式</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工程占用□；施工活动干扰</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；改变环境条件□；其他</w:t>
            </w:r>
            <w:r>
              <w:rPr>
                <w:rFonts w:ascii="Times New Roman" w:hAnsi="Times New Roman" w:eastAsia="宋体" w:cs="Times New Roman"/>
                <w:color w:val="auto"/>
                <w:sz w:val="21"/>
                <w:szCs w:val="20"/>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9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377"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评价因子</w:t>
            </w:r>
          </w:p>
        </w:tc>
        <w:tc>
          <w:tcPr>
            <w:tcW w:w="6173" w:type="dxa"/>
            <w:tcBorders>
              <w:tl2br w:val="nil"/>
              <w:tr2bl w:val="nil"/>
            </w:tcBorders>
            <w:vAlign w:val="bottom"/>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mc:AlternateContent>
                <mc:Choice Requires="wps">
                  <w:drawing>
                    <wp:anchor distT="0" distB="0" distL="114300" distR="114300" simplePos="0" relativeHeight="251702272" behindDoc="0" locked="0" layoutInCell="1" allowOverlap="1">
                      <wp:simplePos x="0" y="0"/>
                      <wp:positionH relativeFrom="page">
                        <wp:posOffset>4193540</wp:posOffset>
                      </wp:positionH>
                      <wp:positionV relativeFrom="page">
                        <wp:posOffset>1538605</wp:posOffset>
                      </wp:positionV>
                      <wp:extent cx="6350" cy="6350"/>
                      <wp:effectExtent l="0" t="0" r="0" b="0"/>
                      <wp:wrapNone/>
                      <wp:docPr id="20" name="矩形 20"/>
                      <wp:cNvGraphicFramePr/>
                      <a:graphic xmlns:a="http://schemas.openxmlformats.org/drawingml/2006/main">
                        <a:graphicData uri="http://schemas.microsoft.com/office/word/2010/wordprocessingShape">
                          <wps:wsp>
                            <wps:cNvSpPr/>
                            <wps:spPr>
                              <a:xfrm>
                                <a:off x="0" y="0"/>
                                <a:ext cx="6350" cy="6350"/>
                              </a:xfrm>
                              <a:prstGeom prst="rect">
                                <a:avLst/>
                              </a:prstGeom>
                              <a:solidFill>
                                <a:srgbClr val="000000"/>
                              </a:solidFill>
                              <a:ln>
                                <a:noFill/>
                              </a:ln>
                              <a:effectLst/>
                            </wps:spPr>
                            <wps:txbx>
                              <w:txbxContent>
                                <w:p>
                                  <w:pPr>
                                    <w:widowControl/>
                                    <w:adjustRightInd w:val="0"/>
                                    <w:snapToGrid w:val="0"/>
                                    <w:spacing w:line="0" w:lineRule="atLeast"/>
                                    <w:jc w:val="center"/>
                                    <w:rPr>
                                      <w:rFonts w:ascii="Times New Roman" w:hAnsi="Times New Roman" w:eastAsia="宋体" w:cs="Times New Roman"/>
                                      <w:kern w:val="0"/>
                                      <w:szCs w:val="21"/>
                                    </w:rPr>
                                  </w:pPr>
                                </w:p>
                              </w:txbxContent>
                            </wps:txbx>
                            <wps:bodyPr upright="1"/>
                          </wps:wsp>
                        </a:graphicData>
                      </a:graphic>
                    </wp:anchor>
                  </w:drawing>
                </mc:Choice>
                <mc:Fallback>
                  <w:pict>
                    <v:rect id="_x0000_s1026" o:spid="_x0000_s1026" o:spt="1" style="position:absolute;left:0pt;margin-left:330.2pt;margin-top:121.15pt;height:0.5pt;width:0.5pt;mso-position-horizontal-relative:page;mso-position-vertical-relative:page;z-index:251702272;mso-width-relative:page;mso-height-relative:page;" fillcolor="#000000" filled="t" stroked="f" coordsize="21600,21600" o:gfxdata="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DLVWxr2QAAAAsBAAAPAAAAAAAAAAEAIAAAACIAAABkcnMvZG93bnJldi54bWxQSwECFAAUAAAA&#10;CACHTuJAUmziWrQBAAB1AwAADgAAAAAAAAABACAAAAAoAQAAZHJzL2Uyb0RvYy54bWxQSwUGAAAA&#10;AAYABgBZAQAATgUAAAAA&#10;">
                      <v:fill on="t" focussize="0,0"/>
                      <v:stroke on="f"/>
                      <v:imagedata o:title=""/>
                      <o:lock v:ext="edit" aspectratio="f"/>
                      <v:textbox>
                        <w:txbxContent>
                          <w:p>
                            <w:pPr>
                              <w:widowControl/>
                              <w:adjustRightInd w:val="0"/>
                              <w:snapToGrid w:val="0"/>
                              <w:spacing w:line="0" w:lineRule="atLeast"/>
                              <w:jc w:val="center"/>
                              <w:rPr>
                                <w:rFonts w:ascii="Times New Roman" w:hAnsi="Times New Roman" w:eastAsia="宋体" w:cs="Times New Roman"/>
                                <w:kern w:val="0"/>
                                <w:szCs w:val="21"/>
                              </w:rPr>
                            </w:pPr>
                          </w:p>
                        </w:txbxContent>
                      </v:textbox>
                    </v:rect>
                  </w:pict>
                </mc:Fallback>
              </mc:AlternateContent>
            </w:r>
            <w:r>
              <w:rPr>
                <w:rFonts w:hint="eastAsia" w:ascii="Times New Roman" w:hAnsi="Times New Roman" w:eastAsia="宋体" w:cs="Times New Roman"/>
                <w:color w:val="auto"/>
                <w:sz w:val="21"/>
                <w:szCs w:val="20"/>
                <w:highlight w:val="none"/>
                <w:lang w:val="en-US" w:eastAsia="zh-CN" w:bidi="ar-SA"/>
              </w:rPr>
              <w:t>物种</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（分布范围、种群数量、种群结构、行为等）</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生境</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（生境面积、质量                         ）</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生物群落</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（物种组成、群落结构等              ）</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生态系统</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（植被覆盖度、生态系统功能等       ）</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生物多样性□（物种丰富度、优势度等            ）</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生态敏感区□（                                   ）</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自然景观</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（景观多样性、完整性                 ）</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自然遗迹□（                                     ）</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其他</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（水土流失、土壤盐渍化、土地沙化等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评价等级</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一级□  二级□  三级☑  生态影响简单分析□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2268"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评价范围</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陆域面积：</w:t>
            </w:r>
            <w:r>
              <w:rPr>
                <w:rFonts w:ascii="Times New Roman" w:hAnsi="Times New Roman" w:eastAsia="宋体" w:cs="Times New Roman"/>
                <w:color w:val="auto"/>
                <w:sz w:val="21"/>
                <w:szCs w:val="20"/>
                <w:highlight w:val="none"/>
                <w:lang w:val="en-US" w:eastAsia="zh-CN" w:bidi="ar-SA"/>
              </w:rPr>
              <w:t>（</w:t>
            </w:r>
            <w:r>
              <w:rPr>
                <w:rFonts w:hint="eastAsia" w:cs="Times New Roman"/>
                <w:color w:val="auto"/>
                <w:sz w:val="21"/>
                <w:szCs w:val="20"/>
                <w:highlight w:val="none"/>
                <w:lang w:val="en-US" w:eastAsia="zh-CN" w:bidi="ar-SA"/>
              </w:rPr>
              <w:t>24.68</w:t>
            </w:r>
            <w:r>
              <w:rPr>
                <w:rFonts w:ascii="Times New Roman" w:hAnsi="Times New Roman" w:eastAsia="宋体" w:cs="Times New Roman"/>
                <w:color w:val="auto"/>
                <w:sz w:val="21"/>
                <w:szCs w:val="20"/>
                <w:highlight w:val="none"/>
                <w:lang w:val="en-US" w:eastAsia="zh-CN" w:bidi="ar-SA"/>
              </w:rPr>
              <w:t>）km</w:t>
            </w:r>
            <w:r>
              <w:rPr>
                <w:rFonts w:ascii="Times New Roman" w:hAnsi="Times New Roman" w:eastAsia="宋体" w:cs="Times New Roman"/>
                <w:color w:val="auto"/>
                <w:sz w:val="21"/>
                <w:szCs w:val="20"/>
                <w:highlight w:val="none"/>
                <w:vertAlign w:val="superscript"/>
                <w:lang w:val="en-US" w:eastAsia="zh-CN" w:bidi="ar-SA"/>
              </w:rPr>
              <w:t>2</w:t>
            </w:r>
            <w:r>
              <w:rPr>
                <w:rFonts w:ascii="Times New Roman" w:hAnsi="Times New Roman" w:eastAsia="宋体" w:cs="Times New Roman"/>
                <w:color w:val="auto"/>
                <w:sz w:val="21"/>
                <w:szCs w:val="20"/>
                <w:highlight w:val="none"/>
                <w:lang w:val="en-US" w:eastAsia="zh-CN" w:bidi="ar-SA"/>
              </w:rPr>
              <w:t>；水域面积：（）km</w:t>
            </w:r>
            <w:r>
              <w:rPr>
                <w:rFonts w:ascii="Times New Roman" w:hAnsi="Times New Roman" w:eastAsia="宋体" w:cs="Times New Roman"/>
                <w:color w:val="auto"/>
                <w:sz w:val="21"/>
                <w:szCs w:val="20"/>
                <w:highlight w:val="none"/>
                <w:vertAlign w:val="superscript"/>
                <w:lang w:val="en-US" w:eastAsia="zh-CN" w:bidi="ar-SA"/>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生态现状调查与评价</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调查方法</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资料收集</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；遥感调查</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；调查样方、样线□；调查点位、断面□；专家和公众咨询法□；其他</w:t>
            </w:r>
            <w:r>
              <w:rPr>
                <w:rFonts w:ascii="Times New Roman" w:hAnsi="Times New Roman" w:eastAsia="宋体" w:cs="Times New Roman"/>
                <w:color w:val="auto"/>
                <w:sz w:val="21"/>
                <w:szCs w:val="20"/>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调查时间</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春季□；夏季</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；秋季□；冬季□</w:t>
            </w:r>
          </w:p>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丰水期□；枯水期□；平水期□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所在区域的生态问题</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水土流失</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；沙漠化</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；石漠化□；盐渍化</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；生物入侵□；污染危害□；其他</w:t>
            </w:r>
            <w:r>
              <w:rPr>
                <w:rFonts w:ascii="Times New Roman" w:hAnsi="Times New Roman" w:eastAsia="宋体" w:cs="Times New Roman"/>
                <w:color w:val="auto"/>
                <w:sz w:val="21"/>
                <w:szCs w:val="20"/>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评价内容</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植被/植物群落</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；土地利用</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；生态系统</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；生物多样性</w:t>
            </w:r>
            <w:r>
              <w:rPr>
                <w:rFonts w:hint="eastAsia"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；重要物种</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；生态敏感区</w:t>
            </w:r>
            <w:r>
              <w:rPr>
                <w:rFonts w:hint="eastAsia"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；其他</w:t>
            </w:r>
            <w:r>
              <w:rPr>
                <w:rFonts w:ascii="Times New Roman" w:hAnsi="Times New Roman" w:eastAsia="宋体" w:cs="Times New Roman"/>
                <w:color w:val="auto"/>
                <w:sz w:val="21"/>
                <w:szCs w:val="20"/>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生态影响预测与评价</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评价方法</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定性□；定性和定量</w:t>
            </w:r>
            <w:r>
              <w:rPr>
                <w:rFonts w:ascii="Times New Roman" w:hAnsi="Times New Roman" w:eastAsia="宋体" w:cs="Times New Roman"/>
                <w:color w:val="auto"/>
                <w:sz w:val="21"/>
                <w:szCs w:val="20"/>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评价内容</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植被/植物群落</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；土地利用</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；生态系统</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；生物多样性□；重要物种</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；生态敏感区□；生物入侵风险□；其他</w:t>
            </w:r>
            <w:r>
              <w:rPr>
                <w:rFonts w:ascii="Times New Roman" w:hAnsi="Times New Roman" w:eastAsia="宋体" w:cs="Times New Roman"/>
                <w:color w:val="auto"/>
                <w:sz w:val="21"/>
                <w:szCs w:val="20"/>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生态保护对策措施</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对策措施</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避让</w:t>
            </w:r>
            <w:r>
              <w:rPr>
                <w:rFonts w:hint="eastAsia"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；减缓</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；生态修复</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；生态补偿☑；科研□；其他</w:t>
            </w:r>
            <w:r>
              <w:rPr>
                <w:rFonts w:ascii="Times New Roman" w:hAnsi="Times New Roman" w:eastAsia="宋体" w:cs="Times New Roman"/>
                <w:color w:val="auto"/>
                <w:sz w:val="21"/>
                <w:szCs w:val="20"/>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生态监测计划</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全生命周期□；长期跟踪□；常规</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环境管理</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环境监理</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；环境影响后评价</w:t>
            </w:r>
            <w:r>
              <w:rPr>
                <w:rFonts w:hint="eastAsia"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；其他</w:t>
            </w:r>
            <w:r>
              <w:rPr>
                <w:rFonts w:ascii="Times New Roman" w:hAnsi="Times New Roman" w:eastAsia="宋体" w:cs="Times New Roman"/>
                <w:color w:val="auto"/>
                <w:sz w:val="21"/>
                <w:szCs w:val="20"/>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132" w:type="dxa"/>
            <w:gridSpan w:val="2"/>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评价结论</w:t>
            </w:r>
          </w:p>
        </w:tc>
        <w:tc>
          <w:tcPr>
            <w:tcW w:w="1136"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生态影响</w:t>
            </w:r>
          </w:p>
        </w:tc>
        <w:tc>
          <w:tcPr>
            <w:tcW w:w="6173"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可行</w:t>
            </w:r>
            <w:r>
              <w:rPr>
                <w:rFonts w:ascii="Times New Roman" w:hAnsi="Times New Roman" w:eastAsia="宋体" w:cs="Times New Roman"/>
                <w:color w:val="auto"/>
                <w:sz w:val="21"/>
                <w:szCs w:val="20"/>
                <w:highlight w:val="none"/>
                <w:lang w:val="en-US" w:eastAsia="zh-CN" w:bidi="ar-SA"/>
              </w:rPr>
              <w:t>☑</w:t>
            </w:r>
            <w:r>
              <w:rPr>
                <w:rFonts w:hint="eastAsia" w:ascii="Times New Roman" w:hAnsi="Times New Roman" w:eastAsia="宋体" w:cs="Times New Roman"/>
                <w:color w:val="auto"/>
                <w:sz w:val="21"/>
                <w:szCs w:val="20"/>
                <w:highlight w:val="none"/>
                <w:lang w:val="en-US" w:eastAsia="zh-CN" w:bidi="ar-SA"/>
              </w:rPr>
              <w:t>；不可行□</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8441" w:type="dxa"/>
            <w:gridSpan w:val="4"/>
            <w:tcBorders>
              <w:tl2br w:val="nil"/>
              <w:tr2bl w:val="nil"/>
            </w:tcBorders>
            <w:vAlign w:val="center"/>
          </w:tcPr>
          <w:p>
            <w:pPr>
              <w:keepNext w:val="0"/>
              <w:keepLines w:val="0"/>
              <w:pageBreakBefore w:val="0"/>
              <w:widowControl w:val="0"/>
              <w:kinsoku/>
              <w:wordWrap/>
              <w:overflowPunct/>
              <w:topLinePunct w:val="0"/>
              <w:autoSpaceDE/>
              <w:autoSpaceDN/>
              <w:bidi w:val="0"/>
              <w:adjustRightInd w:val="0"/>
              <w:snapToGrid w:val="0"/>
              <w:spacing w:line="240" w:lineRule="atLeast"/>
              <w:ind w:firstLine="0" w:firstLineChars="0"/>
              <w:jc w:val="center"/>
              <w:rPr>
                <w:rFonts w:ascii="Times New Roman" w:hAnsi="Times New Roman" w:eastAsia="宋体" w:cs="Times New Roman"/>
                <w:color w:val="auto"/>
                <w:sz w:val="21"/>
                <w:szCs w:val="20"/>
                <w:highlight w:val="none"/>
                <w:lang w:val="en-US" w:eastAsia="zh-CN" w:bidi="ar-SA"/>
              </w:rPr>
            </w:pPr>
            <w:r>
              <w:rPr>
                <w:rFonts w:hint="eastAsia" w:ascii="Times New Roman" w:hAnsi="Times New Roman" w:eastAsia="宋体" w:cs="Times New Roman"/>
                <w:color w:val="auto"/>
                <w:sz w:val="21"/>
                <w:szCs w:val="20"/>
                <w:highlight w:val="none"/>
                <w:lang w:val="en-US" w:eastAsia="zh-CN" w:bidi="ar-SA"/>
              </w:rPr>
              <w:t>注：“□”为勾选项，可√；“（）”为内容填写项。</w:t>
            </w:r>
          </w:p>
        </w:tc>
      </w:tr>
    </w:tbl>
    <w:p>
      <w:pPr>
        <w:pStyle w:val="49"/>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5.2地下水环境影响分析</w:t>
      </w:r>
      <w:bookmarkEnd w:id="591"/>
      <w:bookmarkEnd w:id="614"/>
    </w:p>
    <w:p>
      <w:pPr>
        <w:pStyle w:val="53"/>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15" w:name="_Toc173941905"/>
      <w:bookmarkStart w:id="616" w:name="OLE_LINK67"/>
      <w:r>
        <w:rPr>
          <w:rFonts w:hint="default" w:ascii="Times New Roman" w:hAnsi="Times New Roman" w:cs="Times New Roman"/>
          <w:color w:val="auto"/>
          <w:highlight w:val="none"/>
        </w:rPr>
        <w:t>5.2.1水文地质条件</w:t>
      </w:r>
      <w:bookmarkEnd w:id="615"/>
    </w:p>
    <w:bookmarkEnd w:id="616"/>
    <w:p>
      <w:pPr>
        <w:pStyle w:val="5"/>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17" w:name="OLE_LINK71"/>
      <w:r>
        <w:rPr>
          <w:rFonts w:hint="default" w:ascii="Times New Roman" w:hAnsi="Times New Roman" w:cs="Times New Roman"/>
          <w:color w:val="auto"/>
          <w:highlight w:val="none"/>
        </w:rPr>
        <w:t>5.1.2.</w:t>
      </w:r>
      <w:r>
        <w:rPr>
          <w:rFonts w:hint="eastAsia" w:ascii="Times New Roman" w:hAnsi="Times New Roman" w:cs="Times New Roman"/>
          <w:color w:val="auto"/>
          <w:highlight w:val="none"/>
          <w:lang w:val="en-US" w:eastAsia="zh-CN"/>
        </w:rPr>
        <w:t>1</w:t>
      </w:r>
      <w:r>
        <w:rPr>
          <w:rFonts w:hint="default" w:ascii="Times New Roman" w:hAnsi="Times New Roman" w:cs="Times New Roman"/>
          <w:color w:val="auto"/>
          <w:highlight w:val="none"/>
        </w:rPr>
        <w:t>区域地层概况</w:t>
      </w:r>
    </w:p>
    <w:bookmarkEnd w:id="617"/>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sz w:val="24"/>
          <w:lang w:eastAsia="zh-CN"/>
        </w:rPr>
      </w:pPr>
      <w:bookmarkStart w:id="618" w:name="OLE_LINK69"/>
      <w:r>
        <w:rPr>
          <w:rFonts w:hint="default" w:ascii="Times New Roman" w:hAnsi="Times New Roman" w:eastAsia="宋体" w:cs="Times New Roman"/>
          <w:color w:val="auto"/>
          <w:kern w:val="0"/>
          <w:sz w:val="24"/>
        </w:rPr>
        <w:t>丰探1井区</w:t>
      </w:r>
      <w:bookmarkEnd w:id="618"/>
      <w:r>
        <w:rPr>
          <w:rFonts w:hint="default" w:ascii="Times New Roman" w:hAnsi="Times New Roman" w:eastAsia="宋体" w:cs="Times New Roman"/>
          <w:color w:val="auto"/>
          <w:kern w:val="0"/>
          <w:sz w:val="24"/>
        </w:rPr>
        <w:t>石炭系基底之上自下而上发育地层为：</w:t>
      </w:r>
      <w:r>
        <w:rPr>
          <w:rFonts w:hint="default" w:ascii="Times New Roman" w:hAnsi="Times New Roman" w:eastAsia="宋体" w:cs="Times New Roman"/>
          <w:color w:val="auto"/>
          <w:sz w:val="24"/>
        </w:rPr>
        <w:t>二叠系佳木河组（P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j</w:t>
      </w:r>
      <w:r>
        <w:rPr>
          <w:rFonts w:hint="default" w:ascii="Times New Roman" w:hAnsi="Times New Roman" w:eastAsia="宋体" w:cs="Times New Roman"/>
          <w:color w:val="auto"/>
          <w:sz w:val="24"/>
        </w:rPr>
        <w:t>）、风城组（P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color w:val="auto"/>
          <w:sz w:val="24"/>
        </w:rPr>
        <w:t>）、夏子街组（P</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x</w:t>
      </w:r>
      <w:r>
        <w:rPr>
          <w:rFonts w:hint="default" w:ascii="Times New Roman" w:hAnsi="Times New Roman" w:eastAsia="宋体" w:cs="Times New Roman"/>
          <w:color w:val="auto"/>
          <w:sz w:val="24"/>
        </w:rPr>
        <w:t>）、下乌尔禾组（P</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w</w:t>
      </w:r>
      <w:r>
        <w:rPr>
          <w:rFonts w:hint="default" w:ascii="Times New Roman" w:hAnsi="Times New Roman" w:eastAsia="宋体" w:cs="Times New Roman"/>
          <w:color w:val="auto"/>
          <w:sz w:val="24"/>
        </w:rPr>
        <w:t>），三叠系百口泉组（T</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b</w:t>
      </w:r>
      <w:r>
        <w:rPr>
          <w:rFonts w:hint="default" w:ascii="Times New Roman" w:hAnsi="Times New Roman" w:eastAsia="宋体" w:cs="Times New Roman"/>
          <w:color w:val="auto"/>
          <w:sz w:val="24"/>
        </w:rPr>
        <w:t>）、克拉玛依组（T</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k</w:t>
      </w:r>
      <w:r>
        <w:rPr>
          <w:rFonts w:hint="default" w:ascii="Times New Roman" w:hAnsi="Times New Roman" w:eastAsia="宋体" w:cs="Times New Roman"/>
          <w:color w:val="auto"/>
          <w:sz w:val="24"/>
        </w:rPr>
        <w:t>）、白碱滩组（T</w:t>
      </w:r>
      <w:r>
        <w:rPr>
          <w:rFonts w:hint="default" w:ascii="Times New Roman" w:hAnsi="Times New Roman" w:eastAsia="宋体" w:cs="Times New Roman"/>
          <w:color w:val="auto"/>
          <w:sz w:val="24"/>
          <w:vertAlign w:val="subscript"/>
        </w:rPr>
        <w:t>3</w:t>
      </w:r>
      <w:r>
        <w:rPr>
          <w:rFonts w:hint="default" w:ascii="Times New Roman" w:hAnsi="Times New Roman" w:eastAsia="宋体" w:cs="Times New Roman"/>
          <w:i/>
          <w:iCs/>
          <w:color w:val="auto"/>
          <w:sz w:val="24"/>
        </w:rPr>
        <w:t>b</w:t>
      </w:r>
      <w:r>
        <w:rPr>
          <w:rFonts w:hint="default" w:ascii="Times New Roman" w:hAnsi="Times New Roman" w:eastAsia="宋体" w:cs="Times New Roman"/>
          <w:color w:val="auto"/>
          <w:sz w:val="24"/>
        </w:rPr>
        <w:t>），侏罗系八道湾组（J</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b</w:t>
      </w:r>
      <w:r>
        <w:rPr>
          <w:rFonts w:hint="default" w:ascii="Times New Roman" w:hAnsi="Times New Roman" w:eastAsia="宋体" w:cs="Times New Roman"/>
          <w:color w:val="auto"/>
          <w:sz w:val="24"/>
        </w:rPr>
        <w:t>）、三工河组（J</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s</w:t>
      </w:r>
      <w:r>
        <w:rPr>
          <w:rFonts w:hint="default" w:ascii="Times New Roman" w:hAnsi="Times New Roman" w:eastAsia="宋体" w:cs="Times New Roman"/>
          <w:color w:val="auto"/>
          <w:sz w:val="24"/>
        </w:rPr>
        <w:t>）、西山窑组（J</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x</w:t>
      </w:r>
      <w:r>
        <w:rPr>
          <w:rFonts w:hint="default" w:ascii="Times New Roman" w:hAnsi="Times New Roman" w:eastAsia="宋体" w:cs="Times New Roman"/>
          <w:color w:val="auto"/>
          <w:sz w:val="24"/>
        </w:rPr>
        <w:t>）、头屯河组（J</w:t>
      </w:r>
      <w:r>
        <w:rPr>
          <w:rFonts w:hint="default" w:ascii="Times New Roman" w:hAnsi="Times New Roman" w:eastAsia="宋体" w:cs="Times New Roman"/>
          <w:color w:val="auto"/>
          <w:sz w:val="24"/>
          <w:vertAlign w:val="subscript"/>
        </w:rPr>
        <w:t>2</w:t>
      </w:r>
      <w:r>
        <w:rPr>
          <w:rFonts w:hint="default" w:ascii="Times New Roman" w:hAnsi="Times New Roman" w:eastAsia="宋体" w:cs="Times New Roman"/>
          <w:i/>
          <w:iCs/>
          <w:color w:val="auto"/>
          <w:sz w:val="24"/>
        </w:rPr>
        <w:t>t</w:t>
      </w:r>
      <w:r>
        <w:rPr>
          <w:rFonts w:hint="default" w:ascii="Times New Roman" w:hAnsi="Times New Roman" w:eastAsia="宋体" w:cs="Times New Roman"/>
          <w:color w:val="auto"/>
          <w:sz w:val="24"/>
        </w:rPr>
        <w:t>）及白垩系。其中石炭系与二叠系，二叠系与三叠系，三叠系与侏罗系，侏罗系与白垩系为区域性不整合接触。根据目前勘探结果，二叠系风城组、夏子街组、乌尔禾组，三叠系百口泉组、克拉玛依组及侏罗系八道湾组均发育油层</w:t>
      </w:r>
      <w:r>
        <w:rPr>
          <w:rFonts w:hint="default" w:ascii="Times New Roman" w:hAnsi="Times New Roman" w:eastAsia="宋体" w:cs="Times New Roman"/>
          <w:color w:val="auto"/>
          <w:sz w:val="24"/>
          <w:lang w:eastAsia="zh-CN"/>
        </w:rPr>
        <w:t>。</w:t>
      </w:r>
      <w:bookmarkStart w:id="619" w:name="OLE_LINK70"/>
      <w:r>
        <w:rPr>
          <w:rFonts w:hint="default" w:ascii="Times New Roman" w:hAnsi="Times New Roman" w:eastAsia="宋体" w:cs="Times New Roman"/>
          <w:color w:val="auto"/>
          <w:kern w:val="0"/>
          <w:sz w:val="24"/>
        </w:rPr>
        <w:t>丰探1井区</w:t>
      </w:r>
      <w:bookmarkEnd w:id="619"/>
      <w:r>
        <w:rPr>
          <w:rFonts w:hint="eastAsia"/>
          <w:color w:val="auto"/>
          <w:sz w:val="24"/>
          <w:szCs w:val="24"/>
          <w:highlight w:val="none"/>
        </w:rPr>
        <w:t>地层简表见表</w:t>
      </w:r>
      <w:r>
        <w:rPr>
          <w:color w:val="auto"/>
          <w:sz w:val="24"/>
          <w:szCs w:val="24"/>
          <w:highlight w:val="none"/>
        </w:rPr>
        <w:t>5.4-1</w:t>
      </w:r>
      <w:r>
        <w:rPr>
          <w:rFonts w:hint="eastAsia"/>
          <w:color w:val="auto"/>
          <w:sz w:val="24"/>
          <w:szCs w:val="24"/>
          <w:highlight w:val="none"/>
        </w:rPr>
        <w:t>。</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kern w:val="0"/>
          <w:sz w:val="24"/>
        </w:rPr>
        <w:t>根据岩性和电性特征，丰探1井区块风城组自下而上分为风一段</w:t>
      </w:r>
      <w:r>
        <w:rPr>
          <w:rFonts w:hint="eastAsia" w:cs="Times New Roman"/>
          <w:color w:val="auto"/>
          <w:kern w:val="0"/>
          <w:sz w:val="24"/>
          <w:lang w:eastAsia="zh-CN"/>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1</w:t>
      </w:r>
      <w:r>
        <w:rPr>
          <w:rFonts w:hint="eastAsia" w:cs="Times New Roman"/>
          <w:iCs/>
          <w:color w:val="auto"/>
          <w:sz w:val="24"/>
          <w:vertAlign w:val="subscript"/>
          <w:lang w:eastAsia="zh-CN"/>
        </w:rPr>
        <w:t>）</w:t>
      </w:r>
      <w:r>
        <w:rPr>
          <w:rFonts w:hint="default" w:ascii="Times New Roman" w:hAnsi="Times New Roman" w:eastAsia="宋体" w:cs="Times New Roman"/>
          <w:color w:val="auto"/>
          <w:kern w:val="0"/>
          <w:sz w:val="24"/>
        </w:rPr>
        <w:t>、风二段</w:t>
      </w:r>
      <w:r>
        <w:rPr>
          <w:rFonts w:hint="eastAsia" w:cs="Times New Roman"/>
          <w:color w:val="auto"/>
          <w:kern w:val="0"/>
          <w:sz w:val="24"/>
          <w:lang w:eastAsia="zh-CN"/>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eastAsia" w:cs="Times New Roman"/>
          <w:iCs/>
          <w:color w:val="auto"/>
          <w:sz w:val="24"/>
          <w:vertAlign w:val="subscript"/>
          <w:lang w:eastAsia="zh-CN"/>
        </w:rPr>
        <w:t>）</w:t>
      </w:r>
      <w:r>
        <w:rPr>
          <w:rFonts w:hint="default" w:ascii="Times New Roman" w:hAnsi="Times New Roman" w:eastAsia="宋体" w:cs="Times New Roman"/>
          <w:color w:val="auto"/>
          <w:kern w:val="0"/>
          <w:sz w:val="24"/>
        </w:rPr>
        <w:t>、风三段</w:t>
      </w:r>
      <w:r>
        <w:rPr>
          <w:rFonts w:hint="eastAsia" w:cs="Times New Roman"/>
          <w:color w:val="auto"/>
          <w:kern w:val="0"/>
          <w:sz w:val="24"/>
          <w:lang w:eastAsia="zh-CN"/>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3</w:t>
      </w:r>
      <w:r>
        <w:rPr>
          <w:rFonts w:hint="eastAsia" w:cs="Times New Roman"/>
          <w:iCs/>
          <w:color w:val="auto"/>
          <w:sz w:val="24"/>
          <w:vertAlign w:val="subscript"/>
          <w:lang w:eastAsia="zh-CN"/>
        </w:rPr>
        <w:t>）</w:t>
      </w:r>
      <w:r>
        <w:rPr>
          <w:rFonts w:hint="default" w:ascii="Times New Roman" w:hAnsi="Times New Roman" w:eastAsia="宋体" w:cs="Times New Roman"/>
          <w:color w:val="auto"/>
          <w:kern w:val="0"/>
          <w:sz w:val="24"/>
        </w:rPr>
        <w:t>。风一段</w:t>
      </w:r>
      <w:r>
        <w:rPr>
          <w:rFonts w:hint="default" w:ascii="Times New Roman" w:hAnsi="Times New Roman" w:eastAsia="宋体" w:cs="Times New Roman"/>
          <w:snapToGrid w:val="0"/>
          <w:color w:val="auto"/>
          <w:spacing w:val="-4"/>
          <w:kern w:val="0"/>
          <w:sz w:val="24"/>
        </w:rPr>
        <w:t>主要发育火山岩与泥页岩互层；</w:t>
      </w:r>
      <w:r>
        <w:rPr>
          <w:rFonts w:hint="default" w:ascii="Times New Roman" w:hAnsi="Times New Roman" w:eastAsia="宋体" w:cs="Times New Roman"/>
          <w:color w:val="auto"/>
          <w:kern w:val="0"/>
          <w:sz w:val="24"/>
        </w:rPr>
        <w:t>风二段</w:t>
      </w:r>
      <w:r>
        <w:rPr>
          <w:rFonts w:hint="default" w:ascii="Times New Roman" w:hAnsi="Times New Roman" w:eastAsia="宋体" w:cs="Times New Roman"/>
          <w:snapToGrid w:val="0"/>
          <w:color w:val="auto"/>
          <w:spacing w:val="-4"/>
          <w:kern w:val="0"/>
          <w:sz w:val="24"/>
        </w:rPr>
        <w:t>自下而上分为</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default" w:ascii="Times New Roman" w:hAnsi="Times New Roman" w:eastAsia="宋体" w:cs="Times New Roman"/>
          <w:iCs/>
          <w:color w:val="auto"/>
          <w:sz w:val="24"/>
          <w:vertAlign w:val="superscript"/>
        </w:rPr>
        <w:t>3</w:t>
      </w:r>
      <w:r>
        <w:rPr>
          <w:rFonts w:hint="default" w:ascii="Times New Roman" w:hAnsi="Times New Roman" w:eastAsia="宋体" w:cs="Times New Roman"/>
          <w:snapToGrid w:val="0"/>
          <w:color w:val="auto"/>
          <w:spacing w:val="-4"/>
          <w:kern w:val="0"/>
          <w:sz w:val="24"/>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default" w:ascii="Times New Roman" w:hAnsi="Times New Roman" w:eastAsia="宋体" w:cs="Times New Roman"/>
          <w:iCs/>
          <w:color w:val="auto"/>
          <w:sz w:val="24"/>
          <w:vertAlign w:val="superscript"/>
        </w:rPr>
        <w:t>2</w:t>
      </w:r>
      <w:r>
        <w:rPr>
          <w:rFonts w:hint="default" w:ascii="Times New Roman" w:hAnsi="Times New Roman" w:eastAsia="宋体" w:cs="Times New Roman"/>
          <w:snapToGrid w:val="0"/>
          <w:color w:val="auto"/>
          <w:spacing w:val="-4"/>
          <w:kern w:val="0"/>
          <w:sz w:val="24"/>
        </w:rPr>
        <w:t>、</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default" w:ascii="Times New Roman" w:hAnsi="Times New Roman" w:eastAsia="宋体" w:cs="Times New Roman"/>
          <w:iCs/>
          <w:color w:val="auto"/>
          <w:sz w:val="24"/>
          <w:vertAlign w:val="superscript"/>
        </w:rPr>
        <w:t>1</w:t>
      </w:r>
      <w:r>
        <w:rPr>
          <w:rFonts w:hint="default" w:ascii="Times New Roman" w:hAnsi="Times New Roman" w:eastAsia="宋体" w:cs="Times New Roman"/>
          <w:snapToGrid w:val="0"/>
          <w:color w:val="auto"/>
          <w:spacing w:val="-4"/>
          <w:kern w:val="0"/>
          <w:sz w:val="24"/>
        </w:rPr>
        <w:t>三个亚段，主要发育长英质页岩、含云灰长英质页岩、云灰质页岩、硅质页岩等，</w:t>
      </w:r>
      <w:r>
        <w:rPr>
          <w:rFonts w:hint="default" w:ascii="Times New Roman" w:hAnsi="Times New Roman" w:eastAsia="宋体" w:cs="Times New Roman"/>
          <w:color w:val="auto"/>
          <w:sz w:val="24"/>
        </w:rPr>
        <w:t>P</w:t>
      </w:r>
      <w:r>
        <w:rPr>
          <w:rFonts w:hint="default" w:ascii="Times New Roman" w:hAnsi="Times New Roman" w:eastAsia="宋体" w:cs="Times New Roman"/>
          <w:color w:val="auto"/>
          <w:sz w:val="24"/>
          <w:vertAlign w:val="subscript"/>
        </w:rPr>
        <w:t>1</w:t>
      </w:r>
      <w:r>
        <w:rPr>
          <w:rFonts w:hint="default" w:ascii="Times New Roman" w:hAnsi="Times New Roman" w:eastAsia="宋体" w:cs="Times New Roman"/>
          <w:i/>
          <w:iCs/>
          <w:color w:val="auto"/>
          <w:sz w:val="24"/>
        </w:rPr>
        <w:t>f</w:t>
      </w:r>
      <w:r>
        <w:rPr>
          <w:rFonts w:hint="default" w:ascii="Times New Roman" w:hAnsi="Times New Roman" w:eastAsia="宋体" w:cs="Times New Roman"/>
          <w:iCs/>
          <w:color w:val="auto"/>
          <w:sz w:val="24"/>
          <w:vertAlign w:val="subscript"/>
        </w:rPr>
        <w:t>2</w:t>
      </w:r>
      <w:r>
        <w:rPr>
          <w:rFonts w:hint="default" w:ascii="Times New Roman" w:hAnsi="Times New Roman" w:eastAsia="宋体" w:cs="Times New Roman"/>
          <w:iCs/>
          <w:color w:val="auto"/>
          <w:sz w:val="24"/>
          <w:vertAlign w:val="superscript"/>
        </w:rPr>
        <w:t>2</w:t>
      </w:r>
      <w:r>
        <w:rPr>
          <w:rFonts w:hint="default" w:ascii="Times New Roman" w:hAnsi="Times New Roman" w:eastAsia="宋体" w:cs="Times New Roman"/>
          <w:iCs/>
          <w:color w:val="auto"/>
          <w:sz w:val="24"/>
        </w:rPr>
        <w:t>局部</w:t>
      </w:r>
      <w:r>
        <w:rPr>
          <w:rFonts w:hint="default" w:ascii="Times New Roman" w:hAnsi="Times New Roman" w:eastAsia="宋体" w:cs="Times New Roman"/>
          <w:snapToGrid w:val="0"/>
          <w:color w:val="auto"/>
          <w:spacing w:val="-4"/>
          <w:kern w:val="0"/>
          <w:sz w:val="24"/>
        </w:rPr>
        <w:t>含硅硼钠石、碳钠镁石、碳钠钙石等碱性矿物；</w:t>
      </w:r>
      <w:r>
        <w:rPr>
          <w:rFonts w:hint="default" w:ascii="Times New Roman" w:hAnsi="Times New Roman" w:eastAsia="宋体" w:cs="Times New Roman"/>
          <w:color w:val="auto"/>
          <w:kern w:val="0"/>
          <w:sz w:val="24"/>
        </w:rPr>
        <w:t>风三段</w:t>
      </w:r>
      <w:r>
        <w:rPr>
          <w:rFonts w:hint="default" w:ascii="Times New Roman" w:hAnsi="Times New Roman" w:eastAsia="宋体" w:cs="Times New Roman"/>
          <w:snapToGrid w:val="0"/>
          <w:color w:val="auto"/>
          <w:spacing w:val="-4"/>
          <w:kern w:val="0"/>
          <w:sz w:val="24"/>
        </w:rPr>
        <w:t>主要发育灰褐色长英质页岩和云灰质页岩，顶部为灰色、灰绿色泥岩。</w:t>
      </w:r>
    </w:p>
    <w:p>
      <w:pPr>
        <w:pStyle w:val="96"/>
        <w:pageBreakBefore w:val="0"/>
        <w:widowControl/>
        <w:kinsoku/>
        <w:wordWrap/>
        <w:overflowPunct/>
        <w:topLinePunct w:val="0"/>
        <w:autoSpaceDE/>
        <w:autoSpaceDN/>
        <w:bidi w:val="0"/>
        <w:spacing w:line="480" w:lineRule="exact"/>
        <w:ind w:left="0" w:firstLine="0"/>
        <w:jc w:val="center"/>
        <w:textAlignment w:val="auto"/>
        <w:rPr>
          <w:rFonts w:ascii="黑体" w:hAnsi="黑体" w:eastAsia="黑体"/>
          <w:color w:val="auto"/>
          <w:highlight w:val="none"/>
        </w:rPr>
      </w:pPr>
      <w:r>
        <w:rPr>
          <w:rFonts w:ascii="黑体" w:hAnsi="黑体" w:eastAsia="黑体"/>
          <w:color w:val="auto"/>
          <w:highlight w:val="none"/>
        </w:rPr>
        <w:t>表5.</w:t>
      </w:r>
      <w:r>
        <w:rPr>
          <w:rFonts w:hint="eastAsia" w:ascii="黑体" w:hAnsi="黑体" w:eastAsia="黑体"/>
          <w:color w:val="auto"/>
          <w:highlight w:val="none"/>
          <w:lang w:val="en-US" w:eastAsia="zh-CN"/>
        </w:rPr>
        <w:t>2</w:t>
      </w:r>
      <w:r>
        <w:rPr>
          <w:rFonts w:ascii="黑体" w:hAnsi="黑体" w:eastAsia="黑体"/>
          <w:color w:val="auto"/>
          <w:highlight w:val="none"/>
        </w:rPr>
        <w:t xml:space="preserve">-1                   </w:t>
      </w:r>
      <w:r>
        <w:rPr>
          <w:rFonts w:hint="eastAsia" w:ascii="黑体" w:hAnsi="黑体" w:eastAsia="黑体"/>
          <w:color w:val="auto"/>
          <w:highlight w:val="none"/>
        </w:rPr>
        <w:t>丰探1井区</w:t>
      </w:r>
      <w:r>
        <w:rPr>
          <w:rFonts w:ascii="黑体" w:hAnsi="黑体" w:eastAsia="黑体"/>
          <w:color w:val="auto"/>
          <w:highlight w:val="none"/>
        </w:rPr>
        <w:t>田地层简表</w:t>
      </w:r>
    </w:p>
    <w:tbl>
      <w:tblPr>
        <w:tblStyle w:val="34"/>
        <w:tblW w:w="9286" w:type="dxa"/>
        <w:tblInd w:w="-113"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21"/>
        <w:gridCol w:w="1099"/>
        <w:gridCol w:w="604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3237" w:type="dxa"/>
            <w:gridSpan w:val="3"/>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地层</w:t>
            </w:r>
          </w:p>
        </w:tc>
        <w:tc>
          <w:tcPr>
            <w:tcW w:w="6049" w:type="dxa"/>
            <w:vMerge w:val="restart"/>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岩 性 简 述</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层系</w:t>
            </w:r>
          </w:p>
        </w:tc>
        <w:tc>
          <w:tcPr>
            <w:tcW w:w="1321" w:type="dxa"/>
            <w:vMerge w:val="restart"/>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 xml:space="preserve">组/群 </w:t>
            </w:r>
          </w:p>
        </w:tc>
        <w:tc>
          <w:tcPr>
            <w:tcW w:w="1099" w:type="dxa"/>
            <w:vMerge w:val="restart"/>
            <w:tcBorders>
              <w:tl2br w:val="nil"/>
              <w:tr2bl w:val="nil"/>
            </w:tcBorders>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地层代号</w:t>
            </w:r>
          </w:p>
        </w:tc>
        <w:tc>
          <w:tcPr>
            <w:tcW w:w="6049"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099" w:type="dxa"/>
            <w:vMerge w:val="continue"/>
            <w:tcBorders>
              <w:tl2br w:val="nil"/>
              <w:tr2bl w:val="nil"/>
            </w:tcBorders>
            <w:vAlign w:val="center"/>
          </w:tcPr>
          <w:p>
            <w:pPr>
              <w:pStyle w:val="41"/>
              <w:bidi w:val="0"/>
              <w:rPr>
                <w:rFonts w:hint="eastAsia" w:ascii="Times New Roman" w:hAnsi="Times New Roman" w:eastAsia="宋体" w:cs="Times New Roman"/>
                <w:color w:val="auto"/>
                <w:highlight w:val="none"/>
              </w:rPr>
            </w:pPr>
          </w:p>
        </w:tc>
        <w:tc>
          <w:tcPr>
            <w:tcW w:w="6049"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白垩系</w:t>
            </w: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吐谷鲁群</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K</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tg</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灰褐色粉砂质泥岩、褐色泥岩互层，底部为灰色砂砾岩。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侏罗系</w:t>
            </w: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头屯河组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J</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t</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zh-CN"/>
              </w:rPr>
              <w:t>上部为灰色泥岩夹薄层泥质粉砂岩；中部以灰色砂砾岩、粉砂岩为主夹粉砂质泥岩；下部以灰色泥岩为主。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西山窑组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J</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vertAlign w:val="baseline"/>
              </w:rPr>
              <w:t>x</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顶部褐色含砾细砂岩、泥岩互层，中下部主要为灰色、浅灰色泥质细砂岩、灰色砂质泥岩及少量灰白色细砂岩，偶夹薄层黑色煤及灰色泥岩。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三工河组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J</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vertAlign w:val="baseline"/>
              </w:rPr>
              <w:t>s</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主要为灰色泥岩、粉砂质泥岩、泥质粉砂岩互层。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八道湾组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J</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vertAlign w:val="baseline"/>
              </w:rPr>
              <w:t>b</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部为灰色泥岩与黑色煤互层，中部为厚层灰色泥质粉砂岩、粉砂质泥岩，夹薄层深灰色炭质泥岩及黑色煤，底部大部分为灰白色荧光含砾泥质细砂岩、灰色含砾细砂岩及粉砂质泥岩，夹薄层黑色煤，深灰色泥岩与泥质粉砂岩互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三叠系</w:t>
            </w: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白碱滩组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w:t>
            </w:r>
            <w:r>
              <w:rPr>
                <w:rFonts w:hint="eastAsia" w:ascii="Times New Roman" w:hAnsi="Times New Roman" w:eastAsia="宋体" w:cs="Times New Roman"/>
                <w:color w:val="auto"/>
                <w:highlight w:val="none"/>
                <w:vertAlign w:val="subscript"/>
              </w:rPr>
              <w:t>3</w:t>
            </w:r>
            <w:r>
              <w:rPr>
                <w:rFonts w:hint="eastAsia" w:ascii="Times New Roman" w:hAnsi="Times New Roman" w:eastAsia="宋体" w:cs="Times New Roman"/>
                <w:color w:val="auto"/>
                <w:highlight w:val="none"/>
                <w:vertAlign w:val="baseline"/>
              </w:rPr>
              <w:t>b</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主要以大段深灰色泥岩为主，中间夹有绿灰色泥质细砂岩及泥质砂岩。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克上组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k</w:t>
            </w:r>
            <w:r>
              <w:rPr>
                <w:rFonts w:hint="eastAsia" w:ascii="Times New Roman" w:hAnsi="Times New Roman" w:eastAsia="宋体" w:cs="Times New Roman"/>
                <w:color w:val="auto"/>
                <w:highlight w:val="none"/>
                <w:vertAlign w:val="subscript"/>
              </w:rPr>
              <w:t>2</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上部主要为灰色、绿灰色泥质粉砂岩、含砾泥质粉砂岩、砂砾岩与深灰色泥岩、砂质泥岩不等厚互层，底部为灰褐色砂质泥岩。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克下组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k</w:t>
            </w:r>
            <w:r>
              <w:rPr>
                <w:rFonts w:hint="eastAsia" w:ascii="Times New Roman" w:hAnsi="Times New Roman" w:eastAsia="宋体" w:cs="Times New Roman"/>
                <w:color w:val="auto"/>
                <w:highlight w:val="none"/>
                <w:vertAlign w:val="subscript"/>
              </w:rPr>
              <w:t>1</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以灰色砂砾岩、含砾泥质粉砂岩为主，夹灰褐色、褐色泥岩。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百口泉组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T</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b</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上部主要为灰褐色泥岩；中部为灰色砂砾岩夹少量泥岩；下部为褐灰色砂砾岩、灰色砂砾岩夹一套泥岩隔夹层。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restart"/>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二叠系</w:t>
            </w: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下乌尔禾组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w</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顶部为不整合面风化壳形成的深灰色泥岩、砂质泥岩，中下部为灰绿色砂砾岩。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夏子街组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2</w:t>
            </w:r>
            <w:r>
              <w:rPr>
                <w:rFonts w:hint="eastAsia" w:ascii="Times New Roman" w:hAnsi="Times New Roman" w:eastAsia="宋体" w:cs="Times New Roman"/>
                <w:color w:val="auto"/>
                <w:highlight w:val="none"/>
              </w:rPr>
              <w:t>x</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顶部为灰色砂砾岩夹泥质粉砂岩，中部为褐色泥质粉砂岩与灰色细砂岩互层，底部为灰色砂砾岩、粗砂岩夹少量泥岩。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vMerge w:val="restart"/>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风城组</w:t>
            </w: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f</w:t>
            </w:r>
            <w:r>
              <w:rPr>
                <w:rFonts w:hint="eastAsia" w:ascii="Times New Roman" w:hAnsi="Times New Roman" w:eastAsia="宋体" w:cs="Times New Roman"/>
                <w:color w:val="auto"/>
                <w:highlight w:val="none"/>
                <w:vertAlign w:val="subscript"/>
              </w:rPr>
              <w:t>3</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主要发育深灰色含云长英质页岩和长英质页岩。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f</w:t>
            </w:r>
            <w:r>
              <w:rPr>
                <w:rFonts w:hint="eastAsia" w:ascii="Times New Roman" w:hAnsi="Times New Roman" w:eastAsia="宋体" w:cs="Times New Roman"/>
                <w:color w:val="auto"/>
                <w:highlight w:val="none"/>
                <w:vertAlign w:val="subscript"/>
              </w:rPr>
              <w:t>2</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主要为一套深灰色长英质页岩、含云长英质页岩和云灰质页岩、硅质页岩。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97" w:hRule="atLeast"/>
        </w:trPr>
        <w:tc>
          <w:tcPr>
            <w:tcW w:w="817"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321" w:type="dxa"/>
            <w:vMerge w:val="continue"/>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p>
        </w:tc>
        <w:tc>
          <w:tcPr>
            <w:tcW w:w="109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P</w:t>
            </w:r>
            <w:r>
              <w:rPr>
                <w:rFonts w:hint="eastAsia" w:ascii="Times New Roman" w:hAnsi="Times New Roman" w:eastAsia="宋体" w:cs="Times New Roman"/>
                <w:color w:val="auto"/>
                <w:highlight w:val="none"/>
                <w:vertAlign w:val="subscript"/>
              </w:rPr>
              <w:t>1</w:t>
            </w:r>
            <w:r>
              <w:rPr>
                <w:rFonts w:hint="eastAsia" w:ascii="Times New Roman" w:hAnsi="Times New Roman" w:eastAsia="宋体" w:cs="Times New Roman"/>
                <w:color w:val="auto"/>
                <w:highlight w:val="none"/>
              </w:rPr>
              <w:t>f</w:t>
            </w:r>
            <w:r>
              <w:rPr>
                <w:rFonts w:hint="eastAsia" w:ascii="Times New Roman" w:hAnsi="Times New Roman" w:eastAsia="宋体" w:cs="Times New Roman"/>
                <w:color w:val="auto"/>
                <w:highlight w:val="none"/>
                <w:vertAlign w:val="subscript"/>
              </w:rPr>
              <w:t>1</w:t>
            </w:r>
          </w:p>
        </w:tc>
        <w:tc>
          <w:tcPr>
            <w:tcW w:w="6049" w:type="dxa"/>
            <w:tcBorders>
              <w:tl2br w:val="nil"/>
              <w:tr2bl w:val="nil"/>
            </w:tcBorders>
            <w:tcMar>
              <w:top w:w="0" w:type="dxa"/>
              <w:left w:w="108" w:type="dxa"/>
              <w:bottom w:w="0" w:type="dxa"/>
              <w:right w:w="108" w:type="dxa"/>
            </w:tcMar>
            <w:vAlign w:val="center"/>
          </w:tcPr>
          <w:p>
            <w:pPr>
              <w:pStyle w:val="41"/>
              <w:bidi w:val="0"/>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上部为凝灰质砂岩，中部发育一套流纹质熔结角砾凝灰岩，底部为凝灰质泥岩及粉砂质泥岩。</w:t>
            </w:r>
          </w:p>
        </w:tc>
      </w:tr>
    </w:tbl>
    <w:p>
      <w:pPr>
        <w:pStyle w:val="5"/>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20" w:name="OLE_LINK72"/>
      <w:r>
        <w:rPr>
          <w:rFonts w:hint="default" w:ascii="Times New Roman" w:hAnsi="Times New Roman" w:cs="Times New Roman"/>
          <w:color w:val="auto"/>
          <w:highlight w:val="none"/>
        </w:rPr>
        <w:t>5.1.2.</w:t>
      </w:r>
      <w:r>
        <w:rPr>
          <w:rFonts w:hint="eastAsia" w:ascii="Times New Roman" w:hAnsi="Times New Roman" w:cs="Times New Roman"/>
          <w:color w:val="auto"/>
          <w:highlight w:val="none"/>
          <w:lang w:val="en-US" w:eastAsia="zh-CN"/>
        </w:rPr>
        <w:t>2</w:t>
      </w:r>
      <w:r>
        <w:rPr>
          <w:rFonts w:hint="default" w:ascii="Times New Roman" w:hAnsi="Times New Roman" w:cs="Times New Roman"/>
          <w:color w:val="auto"/>
          <w:highlight w:val="none"/>
        </w:rPr>
        <w:t>地质构造</w:t>
      </w:r>
    </w:p>
    <w:bookmarkEnd w:id="620"/>
    <w:p>
      <w:pPr>
        <w:pStyle w:val="57"/>
        <w:bidi w:val="0"/>
        <w:rPr>
          <w:rFonts w:hint="eastAsia" w:eastAsia="宋体"/>
          <w:color w:val="auto"/>
          <w:highlight w:val="none"/>
          <w:lang w:val="en-US" w:eastAsia="zh-CN"/>
        </w:rPr>
      </w:pPr>
      <w:r>
        <w:rPr>
          <w:rFonts w:hint="eastAsia"/>
          <w:color w:val="auto"/>
          <w:highlight w:val="none"/>
        </w:rPr>
        <w:t>丰探1玛北地区风城组构造主体位于准噶尔盆地西部隆起乌夏断裂带，乌夏断裂带是海西运动后期发展起来的前陆冲断带，延伸约27km，主要由北东走向的断裂、断褶与单斜组成，具有南北分带、东西分段的地质特征。受盆地西缘逆冲作用的影响，风城组可划分为掩覆带、斜坡区和凹陷区三个次级构造带，构造活动由强变弱，其中丰探1井区位于掩覆带</w:t>
      </w:r>
      <w:r>
        <w:rPr>
          <w:rFonts w:hint="eastAsia"/>
          <w:color w:val="auto"/>
          <w:highlight w:val="none"/>
          <w:lang w:eastAsia="zh-CN"/>
        </w:rPr>
        <w:t>。</w:t>
      </w:r>
    </w:p>
    <w:p>
      <w:pPr>
        <w:pStyle w:val="57"/>
        <w:bidi w:val="0"/>
        <w:rPr>
          <w:rFonts w:hint="eastAsia" w:eastAsia="宋体"/>
          <w:color w:val="auto"/>
          <w:highlight w:val="none"/>
          <w:lang w:eastAsia="zh-CN"/>
        </w:rPr>
      </w:pPr>
      <w:r>
        <w:rPr>
          <w:rFonts w:hint="eastAsia"/>
          <w:color w:val="auto"/>
          <w:highlight w:val="none"/>
        </w:rPr>
        <w:t>丰探1井区风城组整体表现为东北高西南低，纵向上</w:t>
      </w:r>
      <w:r>
        <w:rPr>
          <w:rFonts w:hint="eastAsia"/>
          <w:color w:val="auto"/>
          <w:highlight w:val="none"/>
          <w:lang w:eastAsia="zh-CN"/>
        </w:rPr>
        <w:t>具有</w:t>
      </w:r>
      <w:r>
        <w:rPr>
          <w:rFonts w:hint="eastAsia"/>
          <w:color w:val="auto"/>
          <w:highlight w:val="none"/>
        </w:rPr>
        <w:t>较好继承性，埋深变化大，以C9层顶界构造为例，海拔深度从高部位-3500m变化至低部位-4840m，深度落差达到1340m，构造高点位于玛51X井区玛49井东断裂与夏71井区北断裂交汇处，构造低点位于丰探1井向斜，丰探1井区开发试验方案部署区埋深为5030m</w:t>
      </w:r>
      <w:r>
        <w:rPr>
          <w:rFonts w:hint="eastAsia"/>
          <w:color w:val="auto"/>
          <w:highlight w:val="none"/>
          <w:lang w:eastAsia="zh-CN"/>
        </w:rPr>
        <w:t>～</w:t>
      </w:r>
      <w:r>
        <w:rPr>
          <w:rFonts w:hint="eastAsia"/>
          <w:color w:val="auto"/>
          <w:highlight w:val="none"/>
        </w:rPr>
        <w:t>5260m。玛51X-丰探1井区四侧受断层切割，区块内主要发育北东和南东向两组逆断裂，北东向断裂断距大，延伸长，控制地区构造格局；南东向断裂断距小，延伸短。北东和南东向断裂组合形成丰探1井断块和玛51X井断块，以玛49井北断裂为界，北部为丰探1井区，南部为玛51X井区</w:t>
      </w:r>
      <w:r>
        <w:rPr>
          <w:rFonts w:hint="eastAsia"/>
          <w:color w:val="auto"/>
          <w:highlight w:val="none"/>
          <w:lang w:eastAsia="zh-CN"/>
        </w:rPr>
        <w:t>。</w:t>
      </w:r>
    </w:p>
    <w:p>
      <w:pPr>
        <w:pStyle w:val="5"/>
        <w:pageBreakBefore w:val="0"/>
        <w:widowControl/>
        <w:kinsoku/>
        <w:wordWrap/>
        <w:overflowPunct/>
        <w:topLinePunct w:val="0"/>
        <w:autoSpaceDE/>
        <w:autoSpaceDN/>
        <w:bidi w:val="0"/>
        <w:spacing w:line="480" w:lineRule="exact"/>
        <w:jc w:val="left"/>
        <w:textAlignment w:val="auto"/>
        <w:rPr>
          <w:rFonts w:hint="default" w:ascii="Times New Roman" w:hAnsi="Times New Roman" w:cs="Times New Roman"/>
          <w:color w:val="auto"/>
          <w:highlight w:val="none"/>
        </w:rPr>
      </w:pPr>
      <w:bookmarkStart w:id="621" w:name="OLE_LINK73"/>
      <w:r>
        <w:rPr>
          <w:rFonts w:hint="default" w:ascii="Times New Roman" w:hAnsi="Times New Roman" w:cs="Times New Roman"/>
          <w:color w:val="auto"/>
          <w:highlight w:val="none"/>
        </w:rPr>
        <w:t>5.1.2.</w:t>
      </w:r>
      <w:r>
        <w:rPr>
          <w:rFonts w:hint="eastAsia" w:ascii="Times New Roman" w:hAnsi="Times New Roman" w:cs="Times New Roman"/>
          <w:color w:val="auto"/>
          <w:highlight w:val="none"/>
          <w:lang w:val="en-US" w:eastAsia="zh-CN"/>
        </w:rPr>
        <w:t>3区</w:t>
      </w:r>
      <w:r>
        <w:rPr>
          <w:rFonts w:hint="default" w:ascii="Times New Roman" w:hAnsi="Times New Roman" w:cs="Times New Roman"/>
          <w:color w:val="auto"/>
          <w:highlight w:val="none"/>
        </w:rPr>
        <w:t>域水文地质概况</w:t>
      </w:r>
    </w:p>
    <w:bookmarkEnd w:id="621"/>
    <w:p>
      <w:pPr>
        <w:autoSpaceDE w:val="0"/>
        <w:autoSpaceDN w:val="0"/>
        <w:adjustRightInd w:val="0"/>
        <w:spacing w:line="360" w:lineRule="auto"/>
        <w:ind w:firstLine="480" w:firstLineChars="200"/>
        <w:jc w:val="left"/>
        <w:rPr>
          <w:color w:val="auto"/>
          <w:sz w:val="24"/>
          <w:szCs w:val="24"/>
          <w:highlight w:val="none"/>
        </w:rPr>
      </w:pPr>
      <w:r>
        <w:rPr>
          <w:rFonts w:hint="eastAsia"/>
          <w:color w:val="auto"/>
          <w:sz w:val="24"/>
          <w:szCs w:val="24"/>
          <w:highlight w:val="none"/>
        </w:rPr>
        <w:t>（</w:t>
      </w:r>
      <w:r>
        <w:rPr>
          <w:color w:val="auto"/>
          <w:sz w:val="24"/>
          <w:szCs w:val="24"/>
          <w:highlight w:val="none"/>
        </w:rPr>
        <w:t>1</w:t>
      </w:r>
      <w:r>
        <w:rPr>
          <w:rFonts w:hint="eastAsia"/>
          <w:color w:val="auto"/>
          <w:sz w:val="24"/>
          <w:szCs w:val="24"/>
          <w:highlight w:val="none"/>
        </w:rPr>
        <w:t>）地下水赋存条件</w:t>
      </w:r>
    </w:p>
    <w:p>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区域上地下水类型主要为第四系松散岩类孔隙水、碎屑岩类孔隙裂隙水和基岩裂隙水。</w:t>
      </w:r>
    </w:p>
    <w:p>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第四系松散岩类孔隙水沿和布克河、白杨河呈条带状分布，地下水埋藏较浅，含水层厚度较薄，富水性贫乏。地下水的补给主要接受上游的地下径流补给，其次为大气降雨、暴雨洪流和田间入渗补给，主要以侧向径流、人工开采和蒸发蒸腾等方式排泄。该层地下水水质较差。</w:t>
      </w:r>
    </w:p>
    <w:p>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碎屑岩类孔隙裂隙水主要分布在和什托洛盖及夏子街一带，根据含水岩组的不同可划分为古近系-新近系含水岩组、白垩系含水岩组和侏罗系含水岩组</w:t>
      </w:r>
    </w:p>
    <w:p>
      <w:pPr>
        <w:spacing w:line="360" w:lineRule="auto"/>
        <w:ind w:firstLine="480" w:firstLineChars="200"/>
        <w:jc w:val="left"/>
        <w:rPr>
          <w:color w:val="auto"/>
          <w:sz w:val="24"/>
          <w:szCs w:val="24"/>
          <w:highlight w:val="none"/>
        </w:rPr>
      </w:pPr>
      <w:r>
        <w:rPr>
          <w:rFonts w:hint="eastAsia"/>
          <w:color w:val="auto"/>
          <w:sz w:val="24"/>
          <w:szCs w:val="24"/>
          <w:highlight w:val="none"/>
        </w:rPr>
        <w:t>基岩裂隙水，根据含水岩性特征，可划分为层状岩类裂隙水和块状岩类裂隙水。其中层状岩类裂隙水：主要分布在萨吾尔山南坡、谢米斯台山南坡西段。地层岩性主要火山碎屑岩为主，构造活动剧烈，岩层裂隙发育，有良好的地下水赋存空间；块状岩类裂隙水：主要分布在和什托洛盖镇西北部，含水层以花岗岩为主的块状岩类，裂隙不发育。</w:t>
      </w:r>
    </w:p>
    <w:p>
      <w:pPr>
        <w:spacing w:line="360" w:lineRule="auto"/>
        <w:ind w:firstLine="480" w:firstLineChars="200"/>
        <w:jc w:val="left"/>
        <w:rPr>
          <w:color w:val="auto"/>
          <w:sz w:val="24"/>
          <w:szCs w:val="24"/>
          <w:highlight w:val="none"/>
        </w:rPr>
      </w:pPr>
      <w:r>
        <w:rPr>
          <w:rFonts w:hint="eastAsia"/>
          <w:color w:val="auto"/>
          <w:sz w:val="24"/>
          <w:szCs w:val="24"/>
          <w:highlight w:val="none"/>
        </w:rPr>
        <w:t>（</w:t>
      </w:r>
      <w:r>
        <w:rPr>
          <w:color w:val="auto"/>
          <w:sz w:val="24"/>
          <w:szCs w:val="24"/>
          <w:highlight w:val="none"/>
        </w:rPr>
        <w:t>2</w:t>
      </w:r>
      <w:r>
        <w:rPr>
          <w:rFonts w:hint="eastAsia"/>
          <w:color w:val="auto"/>
          <w:sz w:val="24"/>
          <w:szCs w:val="24"/>
          <w:highlight w:val="none"/>
        </w:rPr>
        <w:t>）地下水补径排条件</w:t>
      </w:r>
    </w:p>
    <w:p>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区域内地下水的补给、径流与排泄受地形地貌、地层岩性、地质构造、水文和气象等因素的制约。从整个区域上看，山区是区内地下水的主要形成区及补给区，山前冲洪积倾斜平原是地下水的主要径流区，盆地或山间谷地沿河地带是地下水的主要排泄区。</w:t>
      </w:r>
    </w:p>
    <w:p>
      <w:pPr>
        <w:spacing w:line="360" w:lineRule="auto"/>
        <w:ind w:firstLine="480" w:firstLineChars="200"/>
        <w:jc w:val="left"/>
        <w:rPr>
          <w:rFonts w:hint="eastAsia"/>
          <w:color w:val="auto"/>
          <w:sz w:val="24"/>
          <w:szCs w:val="24"/>
          <w:highlight w:val="none"/>
        </w:rPr>
      </w:pPr>
      <w:r>
        <w:rPr>
          <w:rFonts w:hint="eastAsia"/>
          <w:color w:val="auto"/>
          <w:sz w:val="24"/>
          <w:szCs w:val="24"/>
          <w:highlight w:val="none"/>
        </w:rPr>
        <w:t>结合地层资料和区域水文地质资料，通过对白垩系、侏罗系地层岩性、特征的分析研究，说明</w:t>
      </w:r>
      <w:r>
        <w:rPr>
          <w:rFonts w:hint="eastAsia"/>
          <w:color w:val="auto"/>
          <w:sz w:val="24"/>
          <w:szCs w:val="24"/>
          <w:highlight w:val="none"/>
          <w:lang w:eastAsia="zh-CN"/>
        </w:rPr>
        <w:t>中生代</w:t>
      </w:r>
      <w:r>
        <w:rPr>
          <w:rFonts w:hint="eastAsia"/>
          <w:color w:val="auto"/>
          <w:sz w:val="24"/>
          <w:szCs w:val="24"/>
          <w:highlight w:val="none"/>
        </w:rPr>
        <w:t>地层是在潮湿气候的泻湖—湖泊环境条件下形成的。从新生代开始，区域地壳不断上升，地层接受风化和剥蚀，湖泊相的</w:t>
      </w:r>
      <w:r>
        <w:rPr>
          <w:rFonts w:hint="eastAsia"/>
          <w:color w:val="auto"/>
          <w:sz w:val="24"/>
          <w:szCs w:val="24"/>
          <w:highlight w:val="none"/>
          <w:lang w:eastAsia="zh-CN"/>
        </w:rPr>
        <w:t>水分</w:t>
      </w:r>
      <w:r>
        <w:rPr>
          <w:rFonts w:hint="eastAsia"/>
          <w:color w:val="auto"/>
          <w:sz w:val="24"/>
          <w:szCs w:val="24"/>
          <w:highlight w:val="none"/>
        </w:rPr>
        <w:t>便在白垩系碎屑岩层的裂隙孔隙中残留下来，形成了区域地下水。与此同时，山区降水入渗形成的基岩裂隙水和地表水，在漫长的地质历史时期，通过侧向流入和渗漏补给储存在白垩系地层中，构成地下水的含水层。区块内下白垩统吐谷鲁群中地下水的补给区主要是扎依尔山、雪米斯坦山及阿尔加提山，补给区基岩主要由古生代基底岩石及不同时期侵入的花岗岩等组成，岩体遭受侵入变质构造破坏作用强烈，赋存着风化及成岩裂隙水、构造及接触带脉状水。单泉涌水量在0.1</w:t>
      </w:r>
      <w:r>
        <w:rPr>
          <w:rFonts w:hint="eastAsia"/>
          <w:color w:val="auto"/>
          <w:sz w:val="24"/>
          <w:szCs w:val="24"/>
          <w:highlight w:val="none"/>
          <w:lang w:eastAsia="zh-CN"/>
        </w:rPr>
        <w:t>～</w:t>
      </w:r>
      <w:r>
        <w:rPr>
          <w:rFonts w:hint="eastAsia"/>
          <w:color w:val="auto"/>
          <w:sz w:val="24"/>
          <w:szCs w:val="24"/>
          <w:highlight w:val="none"/>
        </w:rPr>
        <w:t>1.0L/s之间，多数在0.1</w:t>
      </w:r>
      <w:r>
        <w:rPr>
          <w:rFonts w:hint="eastAsia"/>
          <w:color w:val="auto"/>
          <w:sz w:val="24"/>
          <w:szCs w:val="24"/>
          <w:highlight w:val="none"/>
          <w:lang w:eastAsia="zh-CN"/>
        </w:rPr>
        <w:t>～</w:t>
      </w:r>
      <w:r>
        <w:rPr>
          <w:rFonts w:hint="eastAsia"/>
          <w:color w:val="auto"/>
          <w:sz w:val="24"/>
          <w:szCs w:val="24"/>
          <w:highlight w:val="none"/>
        </w:rPr>
        <w:t>1.0L/s之间。大气降水也是该区主要的补给源。白杨河、和布克河等河流也是其不可或缺的补给来源。</w:t>
      </w:r>
    </w:p>
    <w:p>
      <w:pPr>
        <w:spacing w:line="360" w:lineRule="auto"/>
        <w:ind w:firstLine="480" w:firstLineChars="200"/>
        <w:jc w:val="left"/>
        <w:rPr>
          <w:color w:val="auto"/>
          <w:sz w:val="24"/>
          <w:szCs w:val="24"/>
          <w:highlight w:val="none"/>
        </w:rPr>
      </w:pPr>
      <w:r>
        <w:rPr>
          <w:rFonts w:hint="eastAsia"/>
          <w:color w:val="auto"/>
          <w:sz w:val="24"/>
          <w:szCs w:val="24"/>
          <w:highlight w:val="none"/>
        </w:rPr>
        <w:t>地下水接受山区的地下水补给后，在松散岩类的孔隙中大体由盆地边缘向盆地腹部径流，流向大体为由西北向东南，在冲洪积扇前缘地带因受透水性差的黏性土层阻挡多以溢出泉的形式排泄与地表，或以侧向地下径流的形式继续向盆地中部细土平原区排泄，最终排泄</w:t>
      </w:r>
      <w:r>
        <w:rPr>
          <w:rFonts w:hint="eastAsia"/>
          <w:color w:val="auto"/>
          <w:sz w:val="24"/>
          <w:szCs w:val="24"/>
          <w:highlight w:val="none"/>
          <w:lang w:eastAsia="zh-CN"/>
        </w:rPr>
        <w:t>于</w:t>
      </w:r>
      <w:r>
        <w:rPr>
          <w:rFonts w:hint="eastAsia"/>
          <w:color w:val="auto"/>
          <w:sz w:val="24"/>
          <w:szCs w:val="24"/>
          <w:highlight w:val="none"/>
        </w:rPr>
        <w:t>盆地最低处的内陆湖泊中。在地下水位埋深浅的地带，地下水通过土壤毛细管上升到地表，而后进入蒸发或者通过植物蒸腾进行排泄。</w:t>
      </w:r>
    </w:p>
    <w:p>
      <w:pPr>
        <w:spacing w:line="360" w:lineRule="auto"/>
        <w:ind w:firstLine="480" w:firstLineChars="200"/>
        <w:jc w:val="left"/>
        <w:rPr>
          <w:color w:val="auto"/>
          <w:sz w:val="24"/>
          <w:szCs w:val="24"/>
          <w:highlight w:val="none"/>
        </w:rPr>
      </w:pPr>
      <w:r>
        <w:rPr>
          <w:rFonts w:hint="eastAsia"/>
          <w:color w:val="auto"/>
          <w:sz w:val="24"/>
          <w:szCs w:val="24"/>
          <w:highlight w:val="none"/>
        </w:rPr>
        <w:t>（</w:t>
      </w:r>
      <w:r>
        <w:rPr>
          <w:color w:val="auto"/>
          <w:sz w:val="24"/>
          <w:szCs w:val="24"/>
          <w:highlight w:val="none"/>
        </w:rPr>
        <w:t>3</w:t>
      </w:r>
      <w:r>
        <w:rPr>
          <w:rFonts w:hint="eastAsia"/>
          <w:color w:val="auto"/>
          <w:sz w:val="24"/>
          <w:szCs w:val="24"/>
          <w:highlight w:val="none"/>
        </w:rPr>
        <w:t>）地下水动态</w:t>
      </w:r>
    </w:p>
    <w:p>
      <w:pPr>
        <w:autoSpaceDE w:val="0"/>
        <w:autoSpaceDN w:val="0"/>
        <w:adjustRightInd w:val="0"/>
        <w:spacing w:line="360" w:lineRule="auto"/>
        <w:ind w:firstLine="480" w:firstLineChars="200"/>
        <w:jc w:val="left"/>
        <w:rPr>
          <w:color w:val="auto"/>
          <w:kern w:val="0"/>
          <w:sz w:val="24"/>
          <w:szCs w:val="24"/>
          <w:highlight w:val="none"/>
        </w:rPr>
      </w:pPr>
      <w:r>
        <w:rPr>
          <w:rFonts w:hint="eastAsia"/>
          <w:color w:val="auto"/>
          <w:sz w:val="24"/>
          <w:szCs w:val="24"/>
          <w:highlight w:val="none"/>
        </w:rPr>
        <w:t>平原区地下水动态的变化，除受气候条件中的降水入渗制约外，还受山区河流出山后大量入渗补给地下水，渠系引水和灌溉水入渗补给地下水、盆地中部地下水浅埋区强烈的蒸发浓缩和植物蒸腾以及人工开采地下水等诸多因素的影响。地下水动态的类型除渗入型外，还表现为水文型（即地下水动态变化受地表水影响明显，与地表水动态变化一致）、蒸发型（高温季节蒸发强烈时，地下水位下降，水质浓度变差；低温季节蒸发微弱时，地下水位上升，水质有所变好）和开采型（开采期间地下水位明显下降，非开采期地下水位上升）及其不同组合的混合类型。</w:t>
      </w:r>
    </w:p>
    <w:p>
      <w:pPr>
        <w:pStyle w:val="5"/>
        <w:pageBreakBefore w:val="0"/>
        <w:widowControl/>
        <w:kinsoku/>
        <w:wordWrap/>
        <w:overflowPunct/>
        <w:topLinePunct w:val="0"/>
        <w:autoSpaceDE/>
        <w:autoSpaceDN/>
        <w:bidi w:val="0"/>
        <w:spacing w:line="480" w:lineRule="exact"/>
        <w:jc w:val="lef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5.1.2.</w:t>
      </w:r>
      <w:r>
        <w:rPr>
          <w:rFonts w:hint="eastAsia" w:ascii="Times New Roman" w:hAnsi="Times New Roman" w:cs="Times New Roman"/>
          <w:color w:val="auto"/>
          <w:highlight w:val="none"/>
          <w:lang w:val="en-US" w:eastAsia="zh-CN"/>
        </w:rPr>
        <w:t>4</w:t>
      </w:r>
      <w:r>
        <w:rPr>
          <w:rFonts w:hint="default" w:ascii="Times New Roman" w:hAnsi="Times New Roman" w:cs="Times New Roman"/>
          <w:color w:val="auto"/>
          <w:highlight w:val="none"/>
        </w:rPr>
        <w:t>评价区水文地质条件</w:t>
      </w:r>
    </w:p>
    <w:p>
      <w:pPr>
        <w:pStyle w:val="24"/>
        <w:spacing w:line="360" w:lineRule="auto"/>
        <w:ind w:firstLine="480" w:firstLineChars="200"/>
        <w:jc w:val="left"/>
        <w:rPr>
          <w:rFonts w:hint="eastAsia"/>
          <w:color w:val="auto"/>
          <w:sz w:val="24"/>
          <w:szCs w:val="24"/>
          <w:highlight w:val="none"/>
        </w:rPr>
      </w:pPr>
      <w:r>
        <w:rPr>
          <w:rFonts w:hint="eastAsia"/>
          <w:color w:val="auto"/>
          <w:sz w:val="24"/>
          <w:szCs w:val="24"/>
          <w:highlight w:val="none"/>
        </w:rPr>
        <w:t>（1）地下水赋存条件及含水层特征</w:t>
      </w:r>
    </w:p>
    <w:p>
      <w:pPr>
        <w:pStyle w:val="24"/>
        <w:spacing w:line="360" w:lineRule="auto"/>
        <w:ind w:firstLine="480" w:firstLineChars="200"/>
        <w:jc w:val="left"/>
        <w:rPr>
          <w:rFonts w:hint="eastAsia"/>
          <w:color w:val="auto"/>
          <w:sz w:val="24"/>
          <w:szCs w:val="24"/>
          <w:highlight w:val="none"/>
        </w:rPr>
      </w:pPr>
      <w:r>
        <w:rPr>
          <w:rFonts w:hint="eastAsia"/>
          <w:color w:val="auto"/>
          <w:sz w:val="24"/>
          <w:szCs w:val="24"/>
          <w:highlight w:val="none"/>
        </w:rPr>
        <w:t>评价区地处准噶尔盆地西北部，区域上位于和什托洛盖盆地西缘。为广阔的戈壁砾石带，自西北向东南倾斜，宽阔而平坦，</w:t>
      </w:r>
      <w:r>
        <w:rPr>
          <w:rFonts w:hint="eastAsia"/>
          <w:color w:val="auto"/>
          <w:sz w:val="24"/>
          <w:szCs w:val="24"/>
          <w:highlight w:val="none"/>
          <w:lang w:eastAsia="zh-CN"/>
        </w:rPr>
        <w:t>海拔</w:t>
      </w:r>
      <w:r>
        <w:rPr>
          <w:rFonts w:hint="eastAsia"/>
          <w:color w:val="auto"/>
          <w:sz w:val="24"/>
          <w:szCs w:val="24"/>
          <w:highlight w:val="none"/>
        </w:rPr>
        <w:t>600</w:t>
      </w:r>
      <w:r>
        <w:rPr>
          <w:rFonts w:hint="eastAsia"/>
          <w:color w:val="auto"/>
          <w:sz w:val="24"/>
          <w:szCs w:val="24"/>
          <w:highlight w:val="none"/>
          <w:lang w:eastAsia="zh-CN"/>
        </w:rPr>
        <w:t>～</w:t>
      </w:r>
      <w:r>
        <w:rPr>
          <w:rFonts w:hint="eastAsia"/>
          <w:color w:val="auto"/>
          <w:sz w:val="24"/>
          <w:szCs w:val="24"/>
          <w:highlight w:val="none"/>
        </w:rPr>
        <w:t>800m。受后期洪流侵蚀切割，局部呈崎岖梳状垅岗。地表岩性由次圆或次棱角状砂卵砾石组成，部分地段有亚砂土与砂砾石的交互层。地表植物稀少，呈荒漠戈壁景观。评价区内地下水类型为碎屑岩类裂隙孔隙水。</w:t>
      </w:r>
    </w:p>
    <w:p>
      <w:pPr>
        <w:pStyle w:val="24"/>
        <w:spacing w:line="360" w:lineRule="auto"/>
        <w:ind w:firstLine="480" w:firstLineChars="200"/>
        <w:jc w:val="left"/>
        <w:rPr>
          <w:rFonts w:hint="eastAsia"/>
          <w:color w:val="auto"/>
          <w:sz w:val="24"/>
          <w:szCs w:val="24"/>
          <w:highlight w:val="none"/>
        </w:rPr>
      </w:pPr>
      <w:r>
        <w:rPr>
          <w:rFonts w:hint="eastAsia"/>
          <w:color w:val="auto"/>
          <w:sz w:val="24"/>
          <w:szCs w:val="24"/>
          <w:highlight w:val="none"/>
        </w:rPr>
        <w:t>其中</w:t>
      </w:r>
      <w:bookmarkStart w:id="622" w:name="OLE_LINK74"/>
      <w:r>
        <w:rPr>
          <w:rFonts w:hint="eastAsia"/>
          <w:color w:val="auto"/>
          <w:sz w:val="24"/>
          <w:szCs w:val="24"/>
          <w:highlight w:val="none"/>
          <w:lang w:val="en-US" w:eastAsia="zh-CN"/>
        </w:rPr>
        <w:t>丰探1井区</w:t>
      </w:r>
      <w:bookmarkEnd w:id="622"/>
      <w:r>
        <w:rPr>
          <w:rFonts w:hint="eastAsia"/>
          <w:color w:val="auto"/>
          <w:sz w:val="24"/>
          <w:szCs w:val="24"/>
          <w:highlight w:val="none"/>
        </w:rPr>
        <w:t>地下水类型为单一的碎屑岩类裂隙孔隙水，含水层岩性为砂岩和泥岩互层，上部为透水不含水第四系松散沉积物。含水层岩组为古近系、新近系和侏罗系岩组，含水层岩性为砂岩、砾岩与泥岩的互层，颜色呈青灰色至灰白色，风化程度中等，裂隙不发育，地下水的赋存条件比较差，富水性较弱。地下水埋深较大，且第四系松散层之下有一层连续厚2</w:t>
      </w:r>
      <w:r>
        <w:rPr>
          <w:rFonts w:hint="eastAsia"/>
          <w:color w:val="auto"/>
          <w:sz w:val="24"/>
          <w:szCs w:val="24"/>
          <w:highlight w:val="none"/>
          <w:lang w:eastAsia="zh-CN"/>
        </w:rPr>
        <w:t>～</w:t>
      </w:r>
      <w:r>
        <w:rPr>
          <w:rFonts w:hint="eastAsia"/>
          <w:color w:val="auto"/>
          <w:sz w:val="24"/>
          <w:szCs w:val="24"/>
          <w:highlight w:val="none"/>
        </w:rPr>
        <w:t>20米的泥岩层，隔水能力较强。据原有钻探S10号孔资料，水位埋深56.89米，因含水岩组完整，孔隙裂隙发育程度差，地下水流动缓慢，渗透系数1.611米/日，含水层厚度为30.49米，单井涌水量为217立方米/日。</w:t>
      </w:r>
    </w:p>
    <w:p>
      <w:pPr>
        <w:pStyle w:val="24"/>
        <w:spacing w:line="360" w:lineRule="auto"/>
        <w:ind w:firstLine="480" w:firstLineChars="200"/>
        <w:jc w:val="left"/>
        <w:rPr>
          <w:rFonts w:hint="eastAsia"/>
          <w:color w:val="auto"/>
          <w:sz w:val="24"/>
          <w:szCs w:val="24"/>
          <w:highlight w:val="none"/>
        </w:rPr>
      </w:pPr>
      <w:bookmarkStart w:id="623" w:name="OLE_LINK75"/>
      <w:r>
        <w:rPr>
          <w:rFonts w:hint="eastAsia"/>
          <w:color w:val="auto"/>
          <w:sz w:val="24"/>
          <w:szCs w:val="24"/>
          <w:highlight w:val="none"/>
          <w:lang w:val="en-US" w:eastAsia="zh-CN"/>
        </w:rPr>
        <w:t>新建净化油管道所在区域</w:t>
      </w:r>
      <w:bookmarkEnd w:id="623"/>
      <w:r>
        <w:rPr>
          <w:rFonts w:hint="eastAsia"/>
          <w:color w:val="auto"/>
          <w:sz w:val="24"/>
          <w:szCs w:val="24"/>
          <w:highlight w:val="none"/>
        </w:rPr>
        <w:t>地下水类型为碎屑岩类裂隙孔隙水，含水岩组为白垩系碎屑岩组。岩层中的砂岩、砾岩松散，可充水形成碎屑岩类裂隙孔隙水。由于岩层渗透性较差，岩层产状平缓，地下水于其中运动缓慢，水量小，矿化度较高。根据收集钻孔资料，水位埋深在38.95米，岩层渗透系数0.173米/日，统一换算后的涌水量2.61立方米/日，水量贫乏。</w:t>
      </w:r>
    </w:p>
    <w:p>
      <w:pPr>
        <w:pStyle w:val="24"/>
        <w:spacing w:line="360" w:lineRule="auto"/>
        <w:ind w:firstLine="480" w:firstLineChars="200"/>
        <w:jc w:val="left"/>
        <w:rPr>
          <w:rFonts w:ascii="Times New Roman" w:hAnsi="Times New Roman" w:cs="Times New Roman" w:eastAsiaTheme="minorEastAsia"/>
          <w:b w:val="0"/>
          <w:color w:val="auto"/>
          <w:sz w:val="24"/>
          <w:szCs w:val="24"/>
          <w:highlight w:val="none"/>
        </w:rPr>
      </w:pPr>
      <w:r>
        <w:rPr>
          <w:rFonts w:hint="eastAsia"/>
          <w:color w:val="auto"/>
          <w:sz w:val="24"/>
          <w:szCs w:val="24"/>
          <w:highlight w:val="none"/>
        </w:rPr>
        <w:t>项目区水文地质图见图5.4-2</w:t>
      </w:r>
      <w:r>
        <w:rPr>
          <w:rFonts w:ascii="Times New Roman" w:hAnsi="Times New Roman" w:cs="Times New Roman" w:eastAsiaTheme="minorEastAsia"/>
          <w:b w:val="0"/>
          <w:color w:val="auto"/>
          <w:sz w:val="24"/>
          <w:szCs w:val="24"/>
          <w:highlight w:val="none"/>
        </w:rPr>
        <w:t>。</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（2）补给、径流、排泄条件</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color w:val="auto"/>
          <w:sz w:val="24"/>
          <w:szCs w:val="24"/>
          <w:highlight w:val="none"/>
        </w:rPr>
        <w:t>区内地下水类型为碎屑岩类裂隙孔隙水，无地表水分布，无田地分布，</w:t>
      </w:r>
      <w:bookmarkStart w:id="624" w:name="OLE_LINK76"/>
      <w:r>
        <w:rPr>
          <w:rFonts w:hint="eastAsia"/>
          <w:color w:val="auto"/>
          <w:sz w:val="24"/>
          <w:szCs w:val="24"/>
          <w:highlight w:val="none"/>
          <w:lang w:val="en-US" w:eastAsia="zh-CN"/>
        </w:rPr>
        <w:t>丰探1井区</w:t>
      </w:r>
      <w:bookmarkEnd w:id="624"/>
      <w:r>
        <w:rPr>
          <w:rFonts w:hint="default" w:ascii="Times New Roman" w:hAnsi="Times New Roman" w:cs="Times New Roman"/>
          <w:color w:val="auto"/>
          <w:sz w:val="24"/>
          <w:szCs w:val="24"/>
          <w:highlight w:val="none"/>
        </w:rPr>
        <w:t>地下水主要接受西北部地下径流补给，</w:t>
      </w:r>
      <w:bookmarkStart w:id="625" w:name="OLE_LINK77"/>
      <w:r>
        <w:rPr>
          <w:rFonts w:hint="eastAsia"/>
          <w:color w:val="auto"/>
          <w:sz w:val="24"/>
          <w:szCs w:val="24"/>
          <w:highlight w:val="none"/>
          <w:lang w:val="en-US" w:eastAsia="zh-CN"/>
        </w:rPr>
        <w:t>新建净化油管道所在区域</w:t>
      </w:r>
      <w:bookmarkEnd w:id="625"/>
      <w:r>
        <w:rPr>
          <w:rFonts w:hint="default" w:ascii="Times New Roman" w:hAnsi="Times New Roman" w:cs="Times New Roman"/>
          <w:color w:val="auto"/>
          <w:sz w:val="24"/>
          <w:szCs w:val="24"/>
          <w:highlight w:val="none"/>
        </w:rPr>
        <w:t>还有少量大气降雨和暴雨洪流入渗补给。地下水流向近北西流向东南，水力坡度为4‰~9‰。地下水排泄方式以侧向地下径流排泄为主。</w:t>
      </w:r>
      <w:r>
        <w:rPr>
          <w:rFonts w:hint="default" w:ascii="Times New Roman" w:hAnsi="Times New Roman" w:cs="Times New Roman" w:eastAsiaTheme="minorEastAsia"/>
          <w:color w:val="auto"/>
          <w:sz w:val="24"/>
          <w:szCs w:val="24"/>
          <w:highlight w:val="none"/>
        </w:rPr>
        <w:t>玛纳斯湖为评价区地下水的最终排泄区。</w:t>
      </w:r>
    </w:p>
    <w:p>
      <w:pPr>
        <w:jc w:val="center"/>
        <w:rPr>
          <w:b/>
          <w:color w:val="auto"/>
          <w:sz w:val="24"/>
          <w:szCs w:val="22"/>
          <w:highlight w:val="yellow"/>
        </w:rPr>
      </w:pP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（3）地下水动态</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评价区地下水的显著特点是垂向补给与排泄很少，主要接受上游地下水的侧向径流补给，向下游侧向径流排泄，因而动态类型主要受地下水径流等水文因素影响，地下水动态类型以径流型为主。根据当地气象资料及统测资料，上游冰雪融水时期主要为每年的3月，水位出现大峰值丰水期；降水主要集中在每年的9月，水位出现小峰值；降雪冰冻时期主要集中在每年的12月</w:t>
      </w:r>
      <w:r>
        <w:rPr>
          <w:rFonts w:hint="eastAsia" w:cs="Times New Roman"/>
          <w:color w:val="auto"/>
          <w:sz w:val="24"/>
          <w:szCs w:val="24"/>
          <w:highlight w:val="none"/>
          <w:lang w:eastAsia="zh-CN"/>
        </w:rPr>
        <w:t>－</w:t>
      </w:r>
      <w:r>
        <w:rPr>
          <w:rFonts w:hint="default" w:ascii="Times New Roman" w:hAnsi="Times New Roman" w:cs="Times New Roman"/>
          <w:color w:val="auto"/>
          <w:sz w:val="24"/>
          <w:szCs w:val="24"/>
          <w:highlight w:val="none"/>
        </w:rPr>
        <w:t>次年2月，为枯水期。</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kern w:val="0"/>
          <w:sz w:val="24"/>
          <w:szCs w:val="24"/>
          <w:highlight w:val="none"/>
        </w:rPr>
        <w:t>（4）地下水化学特征</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0"/>
          <w:sz w:val="24"/>
          <w:szCs w:val="24"/>
          <w:highlight w:val="none"/>
        </w:rPr>
      </w:pPr>
      <w:r>
        <w:rPr>
          <w:rFonts w:hint="default" w:ascii="Times New Roman" w:hAnsi="Times New Roman" w:cs="Times New Roman" w:eastAsiaTheme="minorEastAsia"/>
          <w:color w:val="auto"/>
          <w:sz w:val="24"/>
          <w:szCs w:val="24"/>
          <w:highlight w:val="none"/>
        </w:rPr>
        <w:t>该区域地下水化学特征受地质、地貌、岩性、埋藏及补排关系等因素的影响和控制。评价区水化学类型由南向北由HCO</w:t>
      </w:r>
      <w:r>
        <w:rPr>
          <w:rFonts w:hint="default" w:ascii="Times New Roman" w:hAnsi="Times New Roman" w:cs="Times New Roman" w:eastAsiaTheme="minorEastAsia"/>
          <w:color w:val="auto"/>
          <w:sz w:val="24"/>
          <w:szCs w:val="24"/>
          <w:highlight w:val="none"/>
          <w:vertAlign w:val="subscript"/>
        </w:rPr>
        <w:t>3</w:t>
      </w:r>
      <w:r>
        <w:rPr>
          <w:rFonts w:hint="default" w:ascii="Times New Roman" w:hAnsi="Times New Roman" w:cs="Times New Roman" w:eastAsiaTheme="minorEastAsia"/>
          <w:color w:val="auto"/>
          <w:sz w:val="24"/>
          <w:szCs w:val="24"/>
          <w:highlight w:val="none"/>
        </w:rPr>
        <w:t>·SO</w:t>
      </w:r>
      <w:r>
        <w:rPr>
          <w:rFonts w:hint="default" w:ascii="Times New Roman" w:hAnsi="Times New Roman" w:cs="Times New Roman" w:eastAsiaTheme="minorEastAsia"/>
          <w:color w:val="auto"/>
          <w:sz w:val="24"/>
          <w:szCs w:val="24"/>
          <w:highlight w:val="none"/>
          <w:vertAlign w:val="subscript"/>
        </w:rPr>
        <w:t>4</w:t>
      </w:r>
      <w:r>
        <w:rPr>
          <w:rFonts w:hint="default" w:ascii="Times New Roman" w:hAnsi="Times New Roman" w:cs="Times New Roman" w:eastAsiaTheme="minorEastAsia"/>
          <w:color w:val="auto"/>
          <w:sz w:val="24"/>
          <w:szCs w:val="24"/>
          <w:highlight w:val="none"/>
        </w:rPr>
        <w:t>—Na型过渡为Cl·SO</w:t>
      </w:r>
      <w:r>
        <w:rPr>
          <w:rFonts w:hint="default" w:ascii="Times New Roman" w:hAnsi="Times New Roman" w:cs="Times New Roman" w:eastAsiaTheme="minorEastAsia"/>
          <w:color w:val="auto"/>
          <w:sz w:val="24"/>
          <w:szCs w:val="24"/>
          <w:highlight w:val="none"/>
          <w:vertAlign w:val="subscript"/>
        </w:rPr>
        <w:t>4</w:t>
      </w:r>
      <w:r>
        <w:rPr>
          <w:rFonts w:hint="default" w:ascii="Times New Roman" w:hAnsi="Times New Roman" w:cs="Times New Roman" w:eastAsiaTheme="minorEastAsia"/>
          <w:color w:val="auto"/>
          <w:sz w:val="24"/>
          <w:szCs w:val="24"/>
          <w:highlight w:val="none"/>
        </w:rPr>
        <w:t xml:space="preserve"> —Na型。</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kern w:val="0"/>
          <w:sz w:val="24"/>
          <w:szCs w:val="24"/>
          <w:highlight w:val="none"/>
        </w:rPr>
      </w:pPr>
      <w:r>
        <w:rPr>
          <w:rFonts w:hint="eastAsia"/>
          <w:color w:val="auto"/>
          <w:sz w:val="24"/>
          <w:szCs w:val="24"/>
          <w:highlight w:val="none"/>
          <w:lang w:val="en-US" w:eastAsia="zh-CN"/>
        </w:rPr>
        <w:t>丰探1井区</w:t>
      </w:r>
      <w:r>
        <w:rPr>
          <w:rFonts w:hint="default" w:ascii="Times New Roman" w:hAnsi="Times New Roman" w:cs="Times New Roman" w:eastAsiaTheme="minorEastAsia"/>
          <w:color w:val="auto"/>
          <w:kern w:val="0"/>
          <w:sz w:val="24"/>
          <w:szCs w:val="24"/>
          <w:highlight w:val="none"/>
        </w:rPr>
        <w:t>块内地下水矿化度为0.41</w:t>
      </w:r>
      <w:r>
        <w:rPr>
          <w:rFonts w:hint="eastAsia" w:cs="Times New Roman" w:eastAsiaTheme="minorEastAsia"/>
          <w:color w:val="auto"/>
          <w:kern w:val="0"/>
          <w:sz w:val="24"/>
          <w:szCs w:val="24"/>
          <w:highlight w:val="none"/>
          <w:lang w:eastAsia="zh-CN"/>
        </w:rPr>
        <w:t>～</w:t>
      </w:r>
      <w:r>
        <w:rPr>
          <w:rFonts w:hint="default" w:ascii="Times New Roman" w:hAnsi="Times New Roman" w:cs="Times New Roman" w:eastAsiaTheme="minorEastAsia"/>
          <w:color w:val="auto"/>
          <w:kern w:val="0"/>
          <w:sz w:val="24"/>
          <w:szCs w:val="24"/>
          <w:highlight w:val="none"/>
        </w:rPr>
        <w:t>1.44g/L，西北部和中部小于1 g/L，东南部大于1 g/L，为微咸水。区内地下水</w:t>
      </w:r>
      <w:r>
        <w:rPr>
          <w:rFonts w:hint="eastAsia" w:cs="Times New Roman" w:eastAsiaTheme="minorEastAsia"/>
          <w:color w:val="auto"/>
          <w:kern w:val="0"/>
          <w:sz w:val="24"/>
          <w:szCs w:val="24"/>
          <w:highlight w:val="none"/>
          <w:lang w:eastAsia="zh-CN"/>
        </w:rPr>
        <w:t>pH值</w:t>
      </w:r>
      <w:r>
        <w:rPr>
          <w:rFonts w:hint="default" w:ascii="Times New Roman" w:hAnsi="Times New Roman" w:cs="Times New Roman" w:eastAsiaTheme="minorEastAsia"/>
          <w:color w:val="auto"/>
          <w:kern w:val="0"/>
          <w:sz w:val="24"/>
          <w:szCs w:val="24"/>
          <w:highlight w:val="none"/>
        </w:rPr>
        <w:t>在7.8左右，水化学类型为HCO</w:t>
      </w:r>
      <w:r>
        <w:rPr>
          <w:rFonts w:hint="default" w:ascii="Times New Roman" w:hAnsi="Times New Roman" w:cs="Times New Roman" w:eastAsiaTheme="minorEastAsia"/>
          <w:color w:val="auto"/>
          <w:kern w:val="0"/>
          <w:sz w:val="24"/>
          <w:szCs w:val="24"/>
          <w:highlight w:val="none"/>
          <w:vertAlign w:val="subscript"/>
        </w:rPr>
        <w:t>3</w:t>
      </w:r>
      <w:r>
        <w:rPr>
          <w:rFonts w:hint="default" w:ascii="Times New Roman" w:hAnsi="Times New Roman" w:cs="Times New Roman" w:eastAsiaTheme="minorEastAsia"/>
          <w:color w:val="auto"/>
          <w:kern w:val="0"/>
          <w:sz w:val="24"/>
          <w:szCs w:val="24"/>
          <w:highlight w:val="none"/>
        </w:rPr>
        <w:t>·S0</w:t>
      </w:r>
      <w:r>
        <w:rPr>
          <w:rFonts w:hint="default" w:ascii="Times New Roman" w:hAnsi="Times New Roman" w:cs="Times New Roman" w:eastAsiaTheme="minorEastAsia"/>
          <w:color w:val="auto"/>
          <w:kern w:val="0"/>
          <w:sz w:val="24"/>
          <w:szCs w:val="24"/>
          <w:highlight w:val="none"/>
          <w:vertAlign w:val="subscript"/>
        </w:rPr>
        <w:t>4</w:t>
      </w:r>
      <w:r>
        <w:rPr>
          <w:rFonts w:hint="default" w:ascii="Times New Roman" w:hAnsi="Times New Roman" w:cs="Times New Roman" w:eastAsiaTheme="minorEastAsia"/>
          <w:color w:val="auto"/>
          <w:kern w:val="0"/>
          <w:sz w:val="24"/>
          <w:szCs w:val="24"/>
          <w:highlight w:val="none"/>
        </w:rPr>
        <w:t>—Na·Mg型和S0</w:t>
      </w:r>
      <w:r>
        <w:rPr>
          <w:rFonts w:hint="default" w:ascii="Times New Roman" w:hAnsi="Times New Roman" w:cs="Times New Roman" w:eastAsiaTheme="minorEastAsia"/>
          <w:color w:val="auto"/>
          <w:kern w:val="0"/>
          <w:sz w:val="24"/>
          <w:szCs w:val="24"/>
          <w:highlight w:val="none"/>
          <w:vertAlign w:val="subscript"/>
        </w:rPr>
        <w:t>4</w:t>
      </w:r>
      <w:r>
        <w:rPr>
          <w:rFonts w:hint="default" w:ascii="Times New Roman" w:hAnsi="Times New Roman" w:cs="Times New Roman" w:eastAsiaTheme="minorEastAsia"/>
          <w:color w:val="auto"/>
          <w:kern w:val="0"/>
          <w:sz w:val="24"/>
          <w:szCs w:val="24"/>
          <w:highlight w:val="none"/>
        </w:rPr>
        <w:t>·HCO</w:t>
      </w:r>
      <w:r>
        <w:rPr>
          <w:rFonts w:hint="default" w:ascii="Times New Roman" w:hAnsi="Times New Roman" w:cs="Times New Roman" w:eastAsiaTheme="minorEastAsia"/>
          <w:color w:val="auto"/>
          <w:kern w:val="0"/>
          <w:sz w:val="24"/>
          <w:szCs w:val="24"/>
          <w:highlight w:val="none"/>
          <w:vertAlign w:val="subscript"/>
        </w:rPr>
        <w:t>3</w:t>
      </w:r>
      <w:r>
        <w:rPr>
          <w:rFonts w:hint="default" w:ascii="Times New Roman" w:hAnsi="Times New Roman" w:cs="Times New Roman" w:eastAsiaTheme="minorEastAsia"/>
          <w:color w:val="auto"/>
          <w:kern w:val="0"/>
          <w:sz w:val="24"/>
          <w:szCs w:val="24"/>
          <w:highlight w:val="none"/>
        </w:rPr>
        <w:t>—Na·Ca型。</w:t>
      </w:r>
    </w:p>
    <w:p>
      <w:pPr>
        <w:keepNext w:val="0"/>
        <w:keepLines w:val="0"/>
        <w:pageBreakBefore w:val="0"/>
        <w:kinsoku/>
        <w:wordWrap/>
        <w:overflowPunct/>
        <w:topLinePunct w:val="0"/>
        <w:autoSpaceDE/>
        <w:autoSpaceDN/>
        <w:bidi w:val="0"/>
        <w:adjustRightInd/>
        <w:snapToGrid/>
        <w:spacing w:line="360" w:lineRule="auto"/>
        <w:ind w:firstLine="480"/>
        <w:jc w:val="both"/>
        <w:textAlignment w:val="auto"/>
        <w:rPr>
          <w:rFonts w:hint="default" w:ascii="Times New Roman" w:hAnsi="Times New Roman" w:cs="Times New Roman" w:eastAsiaTheme="minorEastAsia"/>
          <w:color w:val="auto"/>
          <w:sz w:val="24"/>
          <w:szCs w:val="24"/>
          <w:highlight w:val="none"/>
        </w:rPr>
      </w:pPr>
      <w:r>
        <w:rPr>
          <w:rFonts w:hint="eastAsia"/>
          <w:color w:val="auto"/>
          <w:sz w:val="24"/>
          <w:szCs w:val="24"/>
          <w:highlight w:val="none"/>
          <w:lang w:val="en-US" w:eastAsia="zh-CN"/>
        </w:rPr>
        <w:t>新建净化油管道所在区域</w:t>
      </w:r>
      <w:r>
        <w:rPr>
          <w:rFonts w:hint="default" w:ascii="Times New Roman" w:hAnsi="Times New Roman" w:cs="Times New Roman" w:eastAsiaTheme="minorEastAsia"/>
          <w:color w:val="auto"/>
          <w:sz w:val="24"/>
          <w:szCs w:val="24"/>
          <w:highlight w:val="none"/>
        </w:rPr>
        <w:t>地下水水化学类型为SO</w:t>
      </w:r>
      <w:r>
        <w:rPr>
          <w:rFonts w:hint="default" w:ascii="Times New Roman" w:hAnsi="Times New Roman" w:cs="Times New Roman" w:eastAsiaTheme="minorEastAsia"/>
          <w:color w:val="auto"/>
          <w:sz w:val="24"/>
          <w:szCs w:val="24"/>
          <w:highlight w:val="none"/>
          <w:vertAlign w:val="subscript"/>
        </w:rPr>
        <w:t>4</w:t>
      </w:r>
      <w:r>
        <w:rPr>
          <w:rFonts w:hint="default" w:ascii="Times New Roman" w:hAnsi="Times New Roman" w:cs="Times New Roman" w:eastAsiaTheme="minorEastAsia"/>
          <w:color w:val="auto"/>
          <w:sz w:val="24"/>
          <w:szCs w:val="24"/>
          <w:highlight w:val="none"/>
        </w:rPr>
        <w:t>·Cl—Na型和Cl·SO</w:t>
      </w:r>
      <w:r>
        <w:rPr>
          <w:rFonts w:hint="default" w:ascii="Times New Roman" w:hAnsi="Times New Roman" w:cs="Times New Roman" w:eastAsiaTheme="minorEastAsia"/>
          <w:color w:val="auto"/>
          <w:sz w:val="24"/>
          <w:szCs w:val="24"/>
          <w:highlight w:val="none"/>
          <w:vertAlign w:val="subscript"/>
        </w:rPr>
        <w:t>4</w:t>
      </w:r>
      <w:r>
        <w:rPr>
          <w:rFonts w:hint="default" w:ascii="Times New Roman" w:hAnsi="Times New Roman" w:cs="Times New Roman" w:eastAsiaTheme="minorEastAsia"/>
          <w:color w:val="auto"/>
          <w:sz w:val="24"/>
          <w:szCs w:val="24"/>
          <w:highlight w:val="none"/>
        </w:rPr>
        <w:t>—Na型，矿化度为1.7-22.3</w:t>
      </w:r>
      <w:r>
        <w:rPr>
          <w:rFonts w:hint="default" w:ascii="Times New Roman" w:hAnsi="Times New Roman" w:cs="Times New Roman" w:eastAsiaTheme="minorEastAsia"/>
          <w:color w:val="auto"/>
          <w:kern w:val="0"/>
          <w:sz w:val="24"/>
          <w:szCs w:val="24"/>
          <w:highlight w:val="none"/>
        </w:rPr>
        <w:t xml:space="preserve"> g/L</w:t>
      </w:r>
      <w:r>
        <w:rPr>
          <w:rFonts w:hint="default" w:ascii="Times New Roman" w:hAnsi="Times New Roman" w:cs="Times New Roman" w:eastAsiaTheme="minorEastAsia"/>
          <w:color w:val="auto"/>
          <w:sz w:val="24"/>
          <w:szCs w:val="24"/>
          <w:highlight w:val="none"/>
        </w:rPr>
        <w:t>，总硬度500.4-2502 mg/L，pH值为7.63-7.93。</w:t>
      </w:r>
    </w:p>
    <w:p>
      <w:pPr>
        <w:pStyle w:val="24"/>
        <w:keepNext w:val="0"/>
        <w:keepLines w:val="0"/>
        <w:pageBreakBefore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eastAsiaTheme="minorEastAsia"/>
          <w:color w:val="auto"/>
          <w:sz w:val="24"/>
          <w:szCs w:val="24"/>
          <w:highlight w:val="none"/>
        </w:rPr>
      </w:pPr>
      <w:r>
        <w:rPr>
          <w:rFonts w:hint="default" w:ascii="Times New Roman" w:hAnsi="Times New Roman" w:cs="Times New Roman" w:eastAsiaTheme="minorEastAsia"/>
          <w:color w:val="auto"/>
          <w:sz w:val="24"/>
          <w:szCs w:val="24"/>
          <w:highlight w:val="none"/>
        </w:rPr>
        <w:t>根据项目区地层水分析资料统计表明，地层水密度1.021g/cm</w:t>
      </w:r>
      <w:r>
        <w:rPr>
          <w:rFonts w:hint="default" w:ascii="Times New Roman" w:hAnsi="Times New Roman" w:cs="Times New Roman" w:eastAsiaTheme="minorEastAsia"/>
          <w:color w:val="auto"/>
          <w:sz w:val="24"/>
          <w:szCs w:val="24"/>
          <w:highlight w:val="none"/>
          <w:vertAlign w:val="superscript"/>
        </w:rPr>
        <w:t>3</w:t>
      </w:r>
      <w:r>
        <w:rPr>
          <w:rFonts w:hint="default" w:ascii="Times New Roman" w:hAnsi="Times New Roman" w:cs="Times New Roman" w:eastAsiaTheme="minorEastAsia"/>
          <w:color w:val="auto"/>
          <w:sz w:val="24"/>
          <w:szCs w:val="24"/>
          <w:highlight w:val="none"/>
        </w:rPr>
        <w:t>，总矿化度变化范围为4120.27mg/L～14533.30mg/L，平均8449.95mg/L，水化学类型为NaHCO</w:t>
      </w:r>
      <w:r>
        <w:rPr>
          <w:rFonts w:hint="default" w:ascii="Times New Roman" w:hAnsi="Times New Roman" w:cs="Times New Roman" w:eastAsiaTheme="minorEastAsia"/>
          <w:color w:val="auto"/>
          <w:sz w:val="24"/>
          <w:szCs w:val="24"/>
          <w:highlight w:val="none"/>
          <w:vertAlign w:val="subscript"/>
        </w:rPr>
        <w:t>3</w:t>
      </w:r>
      <w:r>
        <w:rPr>
          <w:rFonts w:hint="default" w:ascii="Times New Roman" w:hAnsi="Times New Roman" w:cs="Times New Roman" w:eastAsiaTheme="minorEastAsia"/>
          <w:color w:val="auto"/>
          <w:sz w:val="24"/>
          <w:szCs w:val="24"/>
          <w:highlight w:val="none"/>
        </w:rPr>
        <w:t>型。</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（5）地下水开发利用现状</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根据调查，区域内地下水开采主要集中在和布克河、白杨河谷地等，开采层位主要为河谷区第四系松散岩类孔隙潜水，以分散开采为主，取水井类型主要为机井，井深一般在30m左右，主要用途为农业灌溉用水，其次为人蓄及绿化用水。评价区内碎屑岩类孔隙裂隙水富水性较差，除用于油田开发外，未进行其他方式的开采利用。</w:t>
      </w:r>
    </w:p>
    <w:p>
      <w:pPr>
        <w:keepNext w:val="0"/>
        <w:keepLines w:val="0"/>
        <w:pageBreakBefore w:val="0"/>
        <w:kinsoku/>
        <w:wordWrap/>
        <w:overflowPunct/>
        <w:topLinePunct w:val="0"/>
        <w:autoSpaceDE/>
        <w:autoSpaceDN/>
        <w:bidi w:val="0"/>
        <w:adjustRightInd/>
        <w:snapToGrid/>
        <w:spacing w:line="360" w:lineRule="auto"/>
        <w:ind w:firstLine="480"/>
        <w:jc w:val="left"/>
        <w:textAlignment w:val="auto"/>
        <w:rPr>
          <w:rFonts w:hint="default" w:ascii="Times New Roman" w:hAnsi="Times New Roman" w:cs="Times New Roman"/>
          <w:color w:val="auto"/>
          <w:sz w:val="32"/>
          <w:szCs w:val="24"/>
          <w:highlight w:val="none"/>
        </w:rPr>
      </w:pPr>
      <w:r>
        <w:rPr>
          <w:rFonts w:hint="default" w:ascii="Times New Roman" w:hAnsi="Times New Roman" w:cs="Times New Roman"/>
          <w:color w:val="auto"/>
          <w:sz w:val="24"/>
          <w:highlight w:val="none"/>
        </w:rPr>
        <w:t>（6）包气带污染现状调查</w:t>
      </w:r>
    </w:p>
    <w:p>
      <w:pPr>
        <w:keepNext w:val="0"/>
        <w:keepLines w:val="0"/>
        <w:pageBreakBefore w:val="0"/>
        <w:kinsoku/>
        <w:wordWrap/>
        <w:overflowPunct/>
        <w:topLinePunct w:val="0"/>
        <w:autoSpaceDE/>
        <w:autoSpaceDN/>
        <w:bidi w:val="0"/>
        <w:adjustRightInd/>
        <w:snapToGrid/>
        <w:spacing w:line="360" w:lineRule="auto"/>
        <w:ind w:firstLine="540" w:firstLineChars="225"/>
        <w:jc w:val="left"/>
        <w:textAlignment w:val="auto"/>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第四系松散沉积物为透水不含水层，参考区域周边已进行的渗水试验结果，表层渗透系数为5.96m/d，包气带天然防污性能较弱。本次评价区内包气带土壤取样深度为0~0.2m、0</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0.5m、0.5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1.5m、1.5</w:t>
      </w:r>
      <w:r>
        <w:rPr>
          <w:rFonts w:hint="eastAsia" w:cs="Times New Roman"/>
          <w:color w:val="auto"/>
          <w:sz w:val="24"/>
          <w:highlight w:val="none"/>
          <w:lang w:eastAsia="zh-CN"/>
        </w:rPr>
        <w:t>～</w:t>
      </w:r>
      <w:r>
        <w:rPr>
          <w:rFonts w:hint="default" w:ascii="Times New Roman" w:hAnsi="Times New Roman" w:cs="Times New Roman"/>
          <w:color w:val="auto"/>
          <w:sz w:val="24"/>
          <w:highlight w:val="none"/>
        </w:rPr>
        <w:t>2.0m等，</w:t>
      </w:r>
      <w:r>
        <w:rPr>
          <w:rFonts w:hint="default" w:ascii="Times New Roman" w:hAnsi="Times New Roman" w:cs="Times New Roman"/>
          <w:color w:val="auto"/>
          <w:spacing w:val="-7"/>
          <w:sz w:val="24"/>
          <w:highlight w:val="none"/>
        </w:rPr>
        <w:t>检测因子主要</w:t>
      </w:r>
      <w:r>
        <w:rPr>
          <w:rFonts w:hint="default" w:ascii="Times New Roman" w:hAnsi="Times New Roman" w:cs="Times New Roman"/>
          <w:snapToGrid w:val="0"/>
          <w:color w:val="auto"/>
          <w:sz w:val="24"/>
          <w:highlight w:val="none"/>
        </w:rPr>
        <w:t>重金属、挥发性及半挥发性有机物、石油烃（C</w:t>
      </w:r>
      <w:r>
        <w:rPr>
          <w:rFonts w:hint="default" w:ascii="Times New Roman" w:hAnsi="Times New Roman" w:cs="Times New Roman"/>
          <w:snapToGrid w:val="0"/>
          <w:color w:val="auto"/>
          <w:sz w:val="24"/>
          <w:highlight w:val="none"/>
          <w:vertAlign w:val="subscript"/>
        </w:rPr>
        <w:t>10</w:t>
      </w:r>
      <w:r>
        <w:rPr>
          <w:rFonts w:hint="default" w:ascii="Times New Roman" w:hAnsi="Times New Roman" w:cs="Times New Roman"/>
          <w:snapToGrid w:val="0"/>
          <w:color w:val="auto"/>
          <w:sz w:val="24"/>
          <w:highlight w:val="none"/>
        </w:rPr>
        <w:t>~C</w:t>
      </w:r>
      <w:r>
        <w:rPr>
          <w:rFonts w:hint="default" w:ascii="Times New Roman" w:hAnsi="Times New Roman" w:cs="Times New Roman"/>
          <w:snapToGrid w:val="0"/>
          <w:color w:val="auto"/>
          <w:sz w:val="24"/>
          <w:highlight w:val="none"/>
          <w:vertAlign w:val="subscript"/>
        </w:rPr>
        <w:t>40</w:t>
      </w:r>
      <w:r>
        <w:rPr>
          <w:rFonts w:hint="default" w:ascii="Times New Roman" w:hAnsi="Times New Roman" w:cs="Times New Roman"/>
          <w:snapToGrid w:val="0"/>
          <w:color w:val="auto"/>
          <w:sz w:val="24"/>
          <w:highlight w:val="none"/>
        </w:rPr>
        <w:t>）</w:t>
      </w:r>
      <w:r>
        <w:rPr>
          <w:rFonts w:hint="default" w:ascii="Times New Roman" w:hAnsi="Times New Roman" w:cs="Times New Roman"/>
          <w:color w:val="auto"/>
          <w:sz w:val="24"/>
          <w:highlight w:val="none"/>
        </w:rPr>
        <w:t>，并对比《土壤环境质量建设用地土壤污染风险管控标准（试行）》（GB36600-2018）第二类用地筛选值进行了对比分析。</w:t>
      </w:r>
    </w:p>
    <w:p>
      <w:pPr>
        <w:pStyle w:val="57"/>
        <w:jc w:val="left"/>
        <w:rPr>
          <w:rFonts w:hint="eastAsia"/>
          <w:color w:val="auto"/>
          <w:highlight w:val="none"/>
        </w:rPr>
      </w:pPr>
      <w:r>
        <w:rPr>
          <w:rFonts w:hint="default" w:ascii="Times New Roman" w:hAnsi="Times New Roman" w:cs="Times New Roman"/>
          <w:color w:val="auto"/>
          <w:sz w:val="24"/>
          <w:highlight w:val="none"/>
        </w:rPr>
        <w:t>根据本次评价中土壤环境的调查结论，各监测点表层土壤样品中重金属、挥发性及半挥发性有机物检测数值波动较小，均满足《土壤环境质量</w:t>
      </w:r>
      <w:r>
        <w:rPr>
          <w:rFonts w:hint="eastAsia" w:cs="Times New Roman"/>
          <w:color w:val="auto"/>
          <w:sz w:val="24"/>
          <w:highlight w:val="none"/>
          <w:lang w:val="en-US" w:eastAsia="zh-CN"/>
        </w:rPr>
        <w:t xml:space="preserve"> </w:t>
      </w:r>
      <w:r>
        <w:rPr>
          <w:rFonts w:hint="default" w:ascii="Times New Roman" w:hAnsi="Times New Roman" w:cs="Times New Roman"/>
          <w:color w:val="auto"/>
          <w:sz w:val="24"/>
          <w:highlight w:val="none"/>
        </w:rPr>
        <w:t>建设用地土壤污染风险管控标准（试行）》（GB36600-2018）第二类用地筛选值；石油烃（C10~C40）检测结果均可满足《土壤环境质量建设用地土壤污染风险管控标准（试行）》（GB36600-2018）第二类用地筛选值，包气带土壤质量状况良好</w:t>
      </w:r>
      <w:r>
        <w:rPr>
          <w:rFonts w:hint="eastAsia" w:ascii="Times New Roman" w:hAnsi="Times New Roman" w:cs="Times New Roman"/>
          <w:color w:val="auto"/>
          <w:sz w:val="24"/>
          <w:highlight w:val="none"/>
          <w:lang w:eastAsia="zh-CN"/>
        </w:rPr>
        <w:t>。</w:t>
      </w:r>
    </w:p>
    <w:p>
      <w:pPr>
        <w:pStyle w:val="53"/>
        <w:pageBreakBefore w:val="0"/>
        <w:kinsoku/>
        <w:wordWrap/>
        <w:overflowPunct/>
        <w:topLinePunct w:val="0"/>
        <w:autoSpaceDE/>
        <w:autoSpaceDN/>
        <w:bidi w:val="0"/>
        <w:spacing w:line="480" w:lineRule="exact"/>
        <w:jc w:val="left"/>
        <w:textAlignment w:val="auto"/>
        <w:rPr>
          <w:color w:val="auto"/>
          <w:sz w:val="24"/>
          <w:szCs w:val="24"/>
          <w:highlight w:val="none"/>
        </w:rPr>
      </w:pPr>
      <w:bookmarkStart w:id="626" w:name="_Toc173941906"/>
      <w:r>
        <w:rPr>
          <w:color w:val="auto"/>
          <w:sz w:val="24"/>
          <w:szCs w:val="24"/>
          <w:highlight w:val="none"/>
        </w:rPr>
        <w:t>5.</w:t>
      </w:r>
      <w:r>
        <w:rPr>
          <w:rFonts w:hint="eastAsia"/>
          <w:color w:val="auto"/>
          <w:sz w:val="24"/>
          <w:szCs w:val="24"/>
          <w:highlight w:val="none"/>
        </w:rPr>
        <w:t>2</w:t>
      </w:r>
      <w:r>
        <w:rPr>
          <w:color w:val="auto"/>
          <w:sz w:val="24"/>
          <w:szCs w:val="24"/>
          <w:highlight w:val="none"/>
        </w:rPr>
        <w:t>.2</w:t>
      </w:r>
      <w:r>
        <w:rPr>
          <w:rFonts w:hint="eastAsia"/>
          <w:color w:val="auto"/>
          <w:sz w:val="24"/>
          <w:szCs w:val="24"/>
          <w:highlight w:val="none"/>
        </w:rPr>
        <w:t>施工期地下水环境影响分析</w:t>
      </w:r>
      <w:bookmarkEnd w:id="626"/>
    </w:p>
    <w:p>
      <w:pPr>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由于项目区附近无地表水体，项目开发建设、运营产生废水也不排入地表水体，因此，</w:t>
      </w:r>
      <w:r>
        <w:rPr>
          <w:rFonts w:hint="eastAsia"/>
          <w:color w:val="auto"/>
          <w:sz w:val="24"/>
          <w:szCs w:val="24"/>
          <w:highlight w:val="none"/>
          <w:lang w:eastAsia="zh-CN"/>
        </w:rPr>
        <w:t>本工程</w:t>
      </w:r>
      <w:r>
        <w:rPr>
          <w:rFonts w:hint="eastAsia"/>
          <w:color w:val="auto"/>
          <w:sz w:val="24"/>
          <w:szCs w:val="24"/>
          <w:highlight w:val="none"/>
        </w:rPr>
        <w:t>在开发建设、运营对当地区域地表水体不产生影响。本环评仅对工程开发、运行排放废水对工程区域地下水环境的影响进行分析。</w:t>
      </w:r>
    </w:p>
    <w:p>
      <w:pPr>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bCs/>
          <w:color w:val="auto"/>
          <w:sz w:val="24"/>
          <w:szCs w:val="24"/>
          <w:highlight w:val="none"/>
        </w:rPr>
        <w:t>根据工程分析，</w:t>
      </w:r>
      <w:r>
        <w:rPr>
          <w:rFonts w:hint="eastAsia"/>
          <w:color w:val="auto"/>
          <w:sz w:val="24"/>
          <w:szCs w:val="24"/>
          <w:highlight w:val="none"/>
        </w:rPr>
        <w:t>在建设期，对水环境可能造成影响的污染源主要是采油井场</w:t>
      </w:r>
      <w:r>
        <w:rPr>
          <w:rFonts w:hint="eastAsia"/>
          <w:color w:val="auto"/>
          <w:sz w:val="24"/>
          <w:szCs w:val="24"/>
          <w:highlight w:val="none"/>
          <w:lang w:eastAsia="zh-CN"/>
        </w:rPr>
        <w:t>、</w:t>
      </w:r>
      <w:r>
        <w:rPr>
          <w:rFonts w:hint="eastAsia"/>
          <w:color w:val="auto"/>
          <w:sz w:val="24"/>
          <w:szCs w:val="24"/>
          <w:highlight w:val="none"/>
          <w:lang w:val="en-US" w:eastAsia="zh-CN"/>
        </w:rPr>
        <w:t>站场</w:t>
      </w:r>
      <w:r>
        <w:rPr>
          <w:rFonts w:hint="eastAsia"/>
          <w:color w:val="auto"/>
          <w:sz w:val="24"/>
          <w:szCs w:val="24"/>
          <w:highlight w:val="none"/>
        </w:rPr>
        <w:t>，主要污染物为钻井废水（包括机械冷却废水、冲洗废水、钻井液流失废水和其他废水等）和钻井队生活污水</w:t>
      </w:r>
      <w:r>
        <w:rPr>
          <w:rFonts w:hint="eastAsia"/>
          <w:bCs/>
          <w:color w:val="auto"/>
          <w:sz w:val="24"/>
          <w:szCs w:val="24"/>
          <w:highlight w:val="none"/>
        </w:rPr>
        <w:t>、施工废水。</w:t>
      </w: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sz w:val="24"/>
          <w:szCs w:val="24"/>
          <w:highlight w:val="none"/>
        </w:rPr>
        <w:t>整个钻井期间，钻井期间产生的废水都是以井场为中心，呈点状分布。</w:t>
      </w:r>
    </w:p>
    <w:p>
      <w:pPr>
        <w:pStyle w:val="86"/>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bookmarkStart w:id="627" w:name="OLE_LINK79"/>
      <w:r>
        <w:rPr>
          <w:rFonts w:hint="eastAsia"/>
          <w:color w:val="auto"/>
          <w:sz w:val="24"/>
          <w:szCs w:val="24"/>
          <w:highlight w:val="none"/>
        </w:rPr>
        <w:t>（</w:t>
      </w:r>
      <w:r>
        <w:rPr>
          <w:color w:val="auto"/>
          <w:sz w:val="24"/>
          <w:szCs w:val="24"/>
          <w:highlight w:val="none"/>
        </w:rPr>
        <w:t>1</w:t>
      </w:r>
      <w:r>
        <w:rPr>
          <w:rFonts w:hint="eastAsia"/>
          <w:color w:val="auto"/>
          <w:sz w:val="24"/>
          <w:szCs w:val="24"/>
          <w:highlight w:val="none"/>
        </w:rPr>
        <w:t>）钻井废水</w:t>
      </w:r>
    </w:p>
    <w:p>
      <w:pPr>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kern w:val="24"/>
          <w:sz w:val="24"/>
          <w:szCs w:val="24"/>
          <w:highlight w:val="none"/>
        </w:rPr>
        <w:t>钻井施工过程中采用</w:t>
      </w:r>
      <w:r>
        <w:rPr>
          <w:color w:val="auto"/>
          <w:kern w:val="24"/>
          <w:sz w:val="24"/>
          <w:szCs w:val="24"/>
          <w:highlight w:val="none"/>
        </w:rPr>
        <w:t>“</w:t>
      </w:r>
      <w:r>
        <w:rPr>
          <w:rFonts w:hint="eastAsia"/>
          <w:color w:val="auto"/>
          <w:kern w:val="24"/>
          <w:sz w:val="24"/>
          <w:szCs w:val="24"/>
          <w:highlight w:val="none"/>
        </w:rPr>
        <w:t>钻井废弃物不落地达标处理技术</w:t>
      </w:r>
      <w:r>
        <w:rPr>
          <w:color w:val="auto"/>
          <w:kern w:val="24"/>
          <w:sz w:val="24"/>
          <w:szCs w:val="24"/>
          <w:highlight w:val="none"/>
        </w:rPr>
        <w:t>”</w:t>
      </w:r>
      <w:r>
        <w:rPr>
          <w:rFonts w:hint="eastAsia"/>
          <w:color w:val="auto"/>
          <w:kern w:val="24"/>
          <w:sz w:val="24"/>
          <w:szCs w:val="24"/>
          <w:highlight w:val="none"/>
        </w:rPr>
        <w:t>，钻井废水与钻井泥浆、岩屑一同进入不落地处理系统处理，处理后的液相全部回用于配备钻井液，不外排。</w:t>
      </w: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sz w:val="24"/>
          <w:szCs w:val="24"/>
          <w:highlight w:val="none"/>
        </w:rPr>
        <w:t>钻井采用了套管，采取固井措施，有效防止了钻井液漏失污染地下水；钻井废水由泥浆不落地系统收集，一般情况下不会对地下水环境产生影响。</w:t>
      </w:r>
      <w:bookmarkEnd w:id="627"/>
    </w:p>
    <w:p>
      <w:pPr>
        <w:pStyle w:val="86"/>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w:t>
      </w:r>
      <w:r>
        <w:rPr>
          <w:color w:val="auto"/>
          <w:sz w:val="24"/>
          <w:szCs w:val="24"/>
          <w:highlight w:val="none"/>
        </w:rPr>
        <w:t>2</w:t>
      </w:r>
      <w:r>
        <w:rPr>
          <w:rFonts w:hint="eastAsia"/>
          <w:color w:val="auto"/>
          <w:sz w:val="24"/>
          <w:szCs w:val="24"/>
          <w:highlight w:val="none"/>
        </w:rPr>
        <w:t>）生活污水</w:t>
      </w:r>
    </w:p>
    <w:p>
      <w:pPr>
        <w:pStyle w:val="75"/>
        <w:pageBreakBefore w:val="0"/>
        <w:kinsoku/>
        <w:wordWrap/>
        <w:overflowPunct/>
        <w:topLinePunct w:val="0"/>
        <w:autoSpaceDE/>
        <w:autoSpaceDN/>
        <w:bidi w:val="0"/>
        <w:spacing w:line="480" w:lineRule="exact"/>
        <w:jc w:val="left"/>
        <w:textAlignment w:val="auto"/>
        <w:rPr>
          <w:rFonts w:ascii="黑体" w:hAnsi="黑体" w:eastAsia="黑体"/>
          <w:b/>
          <w:bCs w:val="0"/>
          <w:color w:val="auto"/>
          <w:sz w:val="24"/>
          <w:szCs w:val="24"/>
        </w:rPr>
      </w:pPr>
      <w:bookmarkStart w:id="628" w:name="OLE_LINK78"/>
      <w:r>
        <w:rPr>
          <w:rFonts w:hint="eastAsia"/>
          <w:color w:val="auto"/>
          <w:sz w:val="24"/>
          <w:szCs w:val="24"/>
          <w:highlight w:val="none"/>
        </w:rPr>
        <w:t>生活营地设置防渗生活污水池，定期拉运至乌尔禾区生活污水处理厂处理，粪便排入环保厕所内</w:t>
      </w:r>
      <w:r>
        <w:rPr>
          <w:rFonts w:hint="eastAsia"/>
          <w:color w:val="auto"/>
          <w:sz w:val="24"/>
          <w:szCs w:val="24"/>
          <w:highlight w:val="none"/>
          <w:lang w:eastAsia="zh-CN"/>
        </w:rPr>
        <w:t>，</w:t>
      </w:r>
      <w:r>
        <w:rPr>
          <w:rFonts w:hint="eastAsia"/>
          <w:color w:val="auto"/>
          <w:sz w:val="24"/>
          <w:szCs w:val="24"/>
          <w:highlight w:val="none"/>
        </w:rPr>
        <w:t>收集后运至乌尔禾区生活垃圾填埋场</w:t>
      </w:r>
      <w:bookmarkEnd w:id="628"/>
      <w:r>
        <w:rPr>
          <w:rFonts w:hint="eastAsia"/>
          <w:color w:val="auto"/>
          <w:sz w:val="24"/>
          <w:szCs w:val="24"/>
          <w:highlight w:val="none"/>
        </w:rPr>
        <w:t>。</w:t>
      </w:r>
    </w:p>
    <w:p>
      <w:pPr>
        <w:pStyle w:val="76"/>
        <w:pageBreakBefore w:val="0"/>
        <w:kinsoku/>
        <w:wordWrap/>
        <w:overflowPunct/>
        <w:topLinePunct w:val="0"/>
        <w:autoSpaceDE/>
        <w:autoSpaceDN/>
        <w:bidi w:val="0"/>
        <w:spacing w:line="480" w:lineRule="exact"/>
        <w:jc w:val="left"/>
        <w:textAlignment w:val="auto"/>
        <w:rPr>
          <w:snapToGrid w:val="0"/>
          <w:color w:val="auto"/>
          <w:sz w:val="24"/>
          <w:szCs w:val="24"/>
          <w:highlight w:val="none"/>
        </w:rPr>
      </w:pPr>
      <w:r>
        <w:rPr>
          <w:rFonts w:hint="eastAsia"/>
          <w:snapToGrid w:val="0"/>
          <w:color w:val="auto"/>
          <w:sz w:val="24"/>
          <w:szCs w:val="24"/>
          <w:highlight w:val="none"/>
        </w:rPr>
        <w:t>（</w:t>
      </w:r>
      <w:r>
        <w:rPr>
          <w:snapToGrid w:val="0"/>
          <w:color w:val="auto"/>
          <w:sz w:val="24"/>
          <w:szCs w:val="24"/>
          <w:highlight w:val="none"/>
        </w:rPr>
        <w:t>3</w:t>
      </w:r>
      <w:r>
        <w:rPr>
          <w:rFonts w:hint="eastAsia"/>
          <w:snapToGrid w:val="0"/>
          <w:color w:val="auto"/>
          <w:sz w:val="24"/>
          <w:szCs w:val="24"/>
          <w:highlight w:val="none"/>
        </w:rPr>
        <w:t>）管道施工废水</w:t>
      </w:r>
    </w:p>
    <w:p>
      <w:pPr>
        <w:pStyle w:val="76"/>
        <w:pageBreakBefore w:val="0"/>
        <w:kinsoku/>
        <w:wordWrap/>
        <w:overflowPunct/>
        <w:topLinePunct w:val="0"/>
        <w:autoSpaceDE/>
        <w:autoSpaceDN/>
        <w:bidi w:val="0"/>
        <w:spacing w:line="480" w:lineRule="exact"/>
        <w:jc w:val="left"/>
        <w:textAlignment w:val="auto"/>
        <w:rPr>
          <w:color w:val="auto"/>
          <w:sz w:val="24"/>
          <w:szCs w:val="24"/>
          <w:highlight w:val="none"/>
        </w:rPr>
      </w:pPr>
      <w:r>
        <w:rPr>
          <w:rFonts w:hint="eastAsia"/>
          <w:snapToGrid w:val="0"/>
          <w:color w:val="auto"/>
          <w:sz w:val="24"/>
          <w:szCs w:val="24"/>
          <w:highlight w:val="none"/>
        </w:rPr>
        <w:t>管道试压采用洁净水，管道试压废水中主要污染物为</w:t>
      </w:r>
      <w:r>
        <w:rPr>
          <w:snapToGrid w:val="0"/>
          <w:color w:val="auto"/>
          <w:sz w:val="24"/>
          <w:szCs w:val="24"/>
          <w:highlight w:val="none"/>
        </w:rPr>
        <w:t>SS</w:t>
      </w:r>
      <w:r>
        <w:rPr>
          <w:rFonts w:hint="eastAsia"/>
          <w:snapToGrid w:val="0"/>
          <w:color w:val="auto"/>
          <w:sz w:val="24"/>
          <w:szCs w:val="24"/>
          <w:highlight w:val="none"/>
        </w:rPr>
        <w:t>。管道试压分段进行，试压水排出后进入下一段管线循环使用。试压结束后，试压废水可用作场地降尘用水。</w:t>
      </w:r>
    </w:p>
    <w:p>
      <w:pPr>
        <w:pStyle w:val="57"/>
        <w:pageBreakBefore w:val="0"/>
        <w:widowControl/>
        <w:kinsoku/>
        <w:wordWrap/>
        <w:overflowPunct/>
        <w:topLinePunct w:val="0"/>
        <w:autoSpaceDE/>
        <w:autoSpaceDN/>
        <w:bidi w:val="0"/>
        <w:spacing w:line="480" w:lineRule="exact"/>
        <w:jc w:val="left"/>
        <w:textAlignment w:val="auto"/>
        <w:rPr>
          <w:rFonts w:hint="eastAsia"/>
          <w:color w:val="auto"/>
          <w:sz w:val="24"/>
          <w:szCs w:val="24"/>
          <w:highlight w:val="none"/>
        </w:rPr>
      </w:pPr>
      <w:r>
        <w:rPr>
          <w:rFonts w:hint="eastAsia"/>
          <w:color w:val="auto"/>
          <w:sz w:val="24"/>
          <w:szCs w:val="24"/>
          <w:highlight w:val="none"/>
        </w:rPr>
        <w:t>综上，落实开发期各项环保措施的情况下，本</w:t>
      </w:r>
      <w:r>
        <w:rPr>
          <w:rFonts w:hint="eastAsia"/>
          <w:color w:val="auto"/>
          <w:sz w:val="24"/>
          <w:szCs w:val="24"/>
          <w:highlight w:val="none"/>
          <w:lang w:val="en-US" w:eastAsia="zh-CN"/>
        </w:rPr>
        <w:t>工程</w:t>
      </w:r>
      <w:r>
        <w:rPr>
          <w:rFonts w:hint="eastAsia"/>
          <w:color w:val="auto"/>
          <w:sz w:val="24"/>
          <w:szCs w:val="24"/>
          <w:highlight w:val="none"/>
        </w:rPr>
        <w:t>开发期废水对水环境的影响较小。</w:t>
      </w:r>
    </w:p>
    <w:p>
      <w:pPr>
        <w:pStyle w:val="53"/>
        <w:pageBreakBefore w:val="0"/>
        <w:widowControl/>
        <w:kinsoku/>
        <w:wordWrap/>
        <w:overflowPunct/>
        <w:topLinePunct w:val="0"/>
        <w:autoSpaceDE/>
        <w:autoSpaceDN/>
        <w:bidi w:val="0"/>
        <w:spacing w:line="480" w:lineRule="exact"/>
        <w:jc w:val="left"/>
        <w:textAlignment w:val="auto"/>
        <w:rPr>
          <w:color w:val="auto"/>
          <w:highlight w:val="none"/>
        </w:rPr>
      </w:pPr>
      <w:bookmarkStart w:id="629" w:name="_Toc173941907"/>
      <w:r>
        <w:rPr>
          <w:color w:val="auto"/>
          <w:highlight w:val="none"/>
        </w:rPr>
        <w:t>5.</w:t>
      </w:r>
      <w:r>
        <w:rPr>
          <w:rFonts w:hint="eastAsia"/>
          <w:color w:val="auto"/>
          <w:highlight w:val="none"/>
        </w:rPr>
        <w:t>2</w:t>
      </w:r>
      <w:r>
        <w:rPr>
          <w:color w:val="auto"/>
          <w:highlight w:val="none"/>
        </w:rPr>
        <w:t>.3</w:t>
      </w:r>
      <w:r>
        <w:rPr>
          <w:rFonts w:hint="eastAsia"/>
          <w:color w:val="auto"/>
          <w:highlight w:val="none"/>
        </w:rPr>
        <w:t>运营期地下水环境影响分析</w:t>
      </w:r>
      <w:bookmarkEnd w:id="629"/>
    </w:p>
    <w:p>
      <w:pPr>
        <w:pStyle w:val="5"/>
        <w:pageBreakBefore w:val="0"/>
        <w:widowControl/>
        <w:kinsoku/>
        <w:wordWrap/>
        <w:overflowPunct/>
        <w:topLinePunct w:val="0"/>
        <w:autoSpaceDE/>
        <w:autoSpaceDN/>
        <w:bidi w:val="0"/>
        <w:spacing w:line="480" w:lineRule="exact"/>
        <w:jc w:val="left"/>
        <w:textAlignment w:val="auto"/>
        <w:rPr>
          <w:color w:val="auto"/>
          <w:highlight w:val="none"/>
        </w:rPr>
      </w:pPr>
      <w:r>
        <w:rPr>
          <w:color w:val="auto"/>
          <w:highlight w:val="none"/>
        </w:rPr>
        <w:t>5.</w:t>
      </w:r>
      <w:r>
        <w:rPr>
          <w:rFonts w:hint="eastAsia"/>
          <w:color w:val="auto"/>
          <w:highlight w:val="none"/>
        </w:rPr>
        <w:t>2</w:t>
      </w:r>
      <w:r>
        <w:rPr>
          <w:color w:val="auto"/>
          <w:highlight w:val="none"/>
        </w:rPr>
        <w:t>.3.1正常状况下地下水环境影响分析</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（1）生产废水对地下水影响分析</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运营期，</w:t>
      </w:r>
      <w:r>
        <w:rPr>
          <w:rFonts w:hint="eastAsia"/>
          <w:color w:val="auto"/>
          <w:sz w:val="24"/>
          <w:szCs w:val="24"/>
          <w:highlight w:val="none"/>
          <w:lang w:eastAsia="zh-CN"/>
        </w:rPr>
        <w:t>本工程</w:t>
      </w:r>
      <w:r>
        <w:rPr>
          <w:rFonts w:hint="eastAsia"/>
          <w:color w:val="auto"/>
          <w:sz w:val="24"/>
          <w:szCs w:val="24"/>
          <w:highlight w:val="none"/>
        </w:rPr>
        <w:t>废水污染源主要为采出水、井下作业废水等。</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本工程采出水和井下作业废水均依托</w:t>
      </w:r>
      <w:r>
        <w:rPr>
          <w:rFonts w:hint="eastAsia"/>
          <w:color w:val="auto"/>
          <w:sz w:val="24"/>
          <w:szCs w:val="24"/>
          <w:highlight w:val="none"/>
          <w:lang w:eastAsia="zh-CN"/>
        </w:rPr>
        <w:t>风城二号稠油联合站</w:t>
      </w:r>
      <w:r>
        <w:rPr>
          <w:rFonts w:hint="eastAsia"/>
          <w:color w:val="auto"/>
          <w:sz w:val="24"/>
          <w:szCs w:val="24"/>
          <w:highlight w:val="none"/>
        </w:rPr>
        <w:t>含油污水处理系统处理达到《</w:t>
      </w:r>
      <w:r>
        <w:rPr>
          <w:rFonts w:hint="eastAsia"/>
          <w:color w:val="auto"/>
          <w:sz w:val="24"/>
          <w:szCs w:val="24"/>
          <w:highlight w:val="none"/>
          <w:lang w:eastAsia="zh-CN"/>
        </w:rPr>
        <w:t>碎屑岩油藏注水水质指标技术要求及分析方法</w:t>
      </w:r>
      <w:r>
        <w:rPr>
          <w:rFonts w:hint="eastAsia"/>
          <w:color w:val="auto"/>
          <w:sz w:val="24"/>
          <w:szCs w:val="24"/>
          <w:highlight w:val="none"/>
        </w:rPr>
        <w:t>》（</w:t>
      </w:r>
      <w:r>
        <w:rPr>
          <w:rFonts w:hint="eastAsia"/>
          <w:color w:val="auto"/>
          <w:sz w:val="24"/>
          <w:szCs w:val="24"/>
          <w:highlight w:val="none"/>
          <w:lang w:eastAsia="zh-CN"/>
        </w:rPr>
        <w:t>SY/T 5329-2022</w:t>
      </w:r>
      <w:r>
        <w:rPr>
          <w:rFonts w:hint="eastAsia"/>
          <w:color w:val="auto"/>
          <w:sz w:val="24"/>
          <w:szCs w:val="24"/>
          <w:highlight w:val="none"/>
        </w:rPr>
        <w:t>）</w:t>
      </w:r>
      <w:r>
        <w:rPr>
          <w:rFonts w:hint="eastAsia"/>
          <w:color w:val="auto"/>
          <w:sz w:val="24"/>
          <w:szCs w:val="24"/>
          <w:highlight w:val="none"/>
          <w:lang w:eastAsia="zh-CN"/>
        </w:rPr>
        <w:t>、《陆上油气田采出水地下注入环境保护技术规范》（SY/T7784-2024）</w:t>
      </w:r>
      <w:r>
        <w:rPr>
          <w:rFonts w:hint="eastAsia"/>
          <w:color w:val="auto"/>
          <w:sz w:val="24"/>
          <w:szCs w:val="24"/>
          <w:highlight w:val="none"/>
        </w:rPr>
        <w:t>中的有关标准后</w:t>
      </w:r>
      <w:r>
        <w:rPr>
          <w:rFonts w:hint="eastAsia"/>
          <w:color w:val="auto"/>
          <w:sz w:val="24"/>
          <w:szCs w:val="24"/>
          <w:highlight w:val="none"/>
          <w:lang w:eastAsia="zh-CN"/>
        </w:rPr>
        <w:t>回注地层</w:t>
      </w:r>
      <w:r>
        <w:rPr>
          <w:rFonts w:hint="eastAsia"/>
          <w:color w:val="auto"/>
          <w:sz w:val="24"/>
          <w:szCs w:val="24"/>
          <w:highlight w:val="none"/>
        </w:rPr>
        <w:t>。回注地层与区域地下水处于不同层系，超出本区域地下水含水层的深度。在固井质量良好的情况下可确保井壁不会发生侧漏，有效隔离含水层与井内回注水的交换，有效保护地下水层。故正常情况下，采出水和井下作业废水不外排，对地下水影响很小。</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（2）油泥</w:t>
      </w:r>
      <w:r>
        <w:rPr>
          <w:rFonts w:hint="eastAsia"/>
          <w:color w:val="auto"/>
          <w:sz w:val="24"/>
          <w:szCs w:val="24"/>
          <w:highlight w:val="none"/>
          <w:lang w:eastAsia="zh-CN"/>
        </w:rPr>
        <w:t>（</w:t>
      </w:r>
      <w:r>
        <w:rPr>
          <w:rFonts w:hint="eastAsia"/>
          <w:color w:val="auto"/>
          <w:sz w:val="24"/>
          <w:szCs w:val="24"/>
          <w:highlight w:val="none"/>
        </w:rPr>
        <w:t>砂</w:t>
      </w:r>
      <w:r>
        <w:rPr>
          <w:rFonts w:hint="eastAsia"/>
          <w:color w:val="auto"/>
          <w:sz w:val="24"/>
          <w:szCs w:val="24"/>
          <w:highlight w:val="none"/>
          <w:lang w:eastAsia="zh-CN"/>
        </w:rPr>
        <w:t>）</w:t>
      </w:r>
      <w:r>
        <w:rPr>
          <w:rFonts w:hint="eastAsia"/>
          <w:color w:val="auto"/>
          <w:sz w:val="24"/>
          <w:szCs w:val="24"/>
          <w:highlight w:val="none"/>
        </w:rPr>
        <w:t>对地下水影响分析</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本工程在修井及采油等过程中都可能产生落地油。根据新疆油田公司的作业要求，井下作业必须采用带罐进行，井口排出物全部进罐，故基本无落地油产生。新疆油田公司要求各作业队伍在作业过程中尽可能避免落地油的产生，落地油一旦产生须及时、彻底进行回收，在措施落实、管理到位的前提下，可最大限度减少落地油量，故落地油对开发区域地下水的影响很小。</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（3）各类管线对地下水影响分析</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ascii="Times New Roman" w:hAnsi="Times New Roman" w:eastAsia="宋体" w:cs="Times New Roman"/>
          <w:color w:val="auto"/>
          <w:sz w:val="24"/>
          <w:szCs w:val="24"/>
          <w:highlight w:val="none"/>
        </w:rPr>
      </w:pPr>
      <w:r>
        <w:rPr>
          <w:rFonts w:hint="eastAsia"/>
          <w:color w:val="auto"/>
          <w:sz w:val="24"/>
          <w:szCs w:val="24"/>
          <w:highlight w:val="none"/>
        </w:rPr>
        <w:t>本工程各类管线均是全封闭系统，集输管线采用柔性复合管</w:t>
      </w:r>
      <w:r>
        <w:rPr>
          <w:rFonts w:hint="eastAsia"/>
          <w:color w:val="auto"/>
          <w:sz w:val="24"/>
          <w:szCs w:val="24"/>
          <w:highlight w:val="none"/>
          <w:lang w:eastAsia="zh-CN"/>
        </w:rPr>
        <w:t>、</w:t>
      </w:r>
      <w:r>
        <w:rPr>
          <w:rFonts w:hint="eastAsia"/>
          <w:color w:val="auto"/>
          <w:sz w:val="24"/>
          <w:szCs w:val="24"/>
          <w:highlight w:val="none"/>
        </w:rPr>
        <w:t>热塑性塑料内衬玻璃钢复合管</w:t>
      </w:r>
      <w:r>
        <w:rPr>
          <w:rFonts w:hint="eastAsia"/>
          <w:color w:val="auto"/>
          <w:sz w:val="24"/>
          <w:szCs w:val="24"/>
          <w:highlight w:val="none"/>
          <w:lang w:val="en-US" w:eastAsia="zh-CN"/>
        </w:rPr>
        <w:t>及</w:t>
      </w:r>
      <w:r>
        <w:rPr>
          <w:rFonts w:hint="eastAsia"/>
          <w:color w:val="auto"/>
          <w:sz w:val="24"/>
          <w:szCs w:val="24"/>
          <w:highlight w:val="none"/>
          <w:lang w:eastAsia="zh-CN"/>
        </w:rPr>
        <w:t>无缝钢管</w:t>
      </w:r>
      <w:r>
        <w:rPr>
          <w:rFonts w:hint="eastAsia"/>
          <w:color w:val="auto"/>
          <w:sz w:val="24"/>
          <w:szCs w:val="24"/>
          <w:highlight w:val="none"/>
        </w:rPr>
        <w:t>，采取严格的防腐防渗措施。本工程顶管埋深-1.</w:t>
      </w:r>
      <w:r>
        <w:rPr>
          <w:rFonts w:hint="eastAsia"/>
          <w:color w:val="auto"/>
          <w:sz w:val="24"/>
          <w:szCs w:val="24"/>
          <w:highlight w:val="none"/>
          <w:lang w:val="en-US" w:eastAsia="zh-CN"/>
        </w:rPr>
        <w:t>8</w:t>
      </w:r>
      <w:r>
        <w:rPr>
          <w:rFonts w:hint="eastAsia"/>
          <w:color w:val="auto"/>
          <w:sz w:val="24"/>
          <w:szCs w:val="24"/>
          <w:highlight w:val="none"/>
        </w:rPr>
        <w:t>m，管线埋设区域的地下水埋深大于30m，正常状况下，输送、储存的介质不会与管线穿越区的地</w:t>
      </w:r>
      <w:r>
        <w:rPr>
          <w:rFonts w:hint="eastAsia" w:ascii="Times New Roman" w:hAnsi="Times New Roman" w:eastAsia="宋体" w:cs="Times New Roman"/>
          <w:color w:val="auto"/>
          <w:sz w:val="24"/>
          <w:szCs w:val="24"/>
          <w:highlight w:val="none"/>
        </w:rPr>
        <w:t>下水水体之间发生联系，不会对区域地下水环境产生污染影响。</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（4）采油井场、站场</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本工程正常状况下，井口区、站场装置区采取严格的防渗，定期开展井筒完整性检查，泵体完整性检查等，避免“跑、冒、滴、漏”的发生，不会对区域地下水环境产生污染影响。</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w:t>
      </w:r>
      <w:r>
        <w:rPr>
          <w:rFonts w:hint="eastAsia"/>
          <w:color w:val="auto"/>
          <w:sz w:val="24"/>
          <w:szCs w:val="24"/>
          <w:highlight w:val="none"/>
          <w:lang w:val="en-US" w:eastAsia="zh-CN"/>
        </w:rPr>
        <w:t>5</w:t>
      </w:r>
      <w:r>
        <w:rPr>
          <w:rFonts w:hint="eastAsia"/>
          <w:color w:val="auto"/>
          <w:sz w:val="24"/>
          <w:szCs w:val="24"/>
          <w:highlight w:val="none"/>
        </w:rPr>
        <w:t>）小结</w:t>
      </w:r>
    </w:p>
    <w:p>
      <w:pPr>
        <w:pStyle w:val="86"/>
        <w:pageBreakBefore w:val="0"/>
        <w:widowControl/>
        <w:kinsoku/>
        <w:wordWrap/>
        <w:overflowPunct/>
        <w:topLinePunct w:val="0"/>
        <w:autoSpaceDE/>
        <w:autoSpaceDN/>
        <w:bidi w:val="0"/>
        <w:spacing w:line="480" w:lineRule="exact"/>
        <w:ind w:firstLineChars="0"/>
        <w:jc w:val="left"/>
        <w:textAlignment w:val="auto"/>
        <w:rPr>
          <w:rFonts w:hint="eastAsia"/>
          <w:color w:val="auto"/>
          <w:sz w:val="24"/>
          <w:szCs w:val="24"/>
          <w:highlight w:val="none"/>
        </w:rPr>
      </w:pPr>
      <w:r>
        <w:rPr>
          <w:rFonts w:hint="eastAsia"/>
          <w:color w:val="auto"/>
          <w:sz w:val="24"/>
          <w:szCs w:val="24"/>
          <w:highlight w:val="none"/>
        </w:rPr>
        <w:t>运营期主要水污染物为油田采出水和井下作业废水。运营期</w:t>
      </w:r>
      <w:r>
        <w:rPr>
          <w:rFonts w:hint="eastAsia"/>
          <w:color w:val="auto"/>
          <w:sz w:val="24"/>
          <w:szCs w:val="24"/>
          <w:highlight w:val="none"/>
          <w:lang w:eastAsia="zh-CN"/>
        </w:rPr>
        <w:t>本工程</w:t>
      </w:r>
      <w:r>
        <w:rPr>
          <w:rFonts w:hint="eastAsia"/>
          <w:color w:val="auto"/>
          <w:sz w:val="24"/>
          <w:szCs w:val="24"/>
          <w:highlight w:val="none"/>
        </w:rPr>
        <w:t>采出水和井下作业废水可以依托</w:t>
      </w:r>
      <w:r>
        <w:rPr>
          <w:rFonts w:hint="eastAsia"/>
          <w:color w:val="auto"/>
          <w:sz w:val="24"/>
          <w:szCs w:val="24"/>
          <w:highlight w:val="none"/>
          <w:lang w:eastAsia="zh-CN"/>
        </w:rPr>
        <w:t>风城二号稠油联合站</w:t>
      </w:r>
      <w:r>
        <w:rPr>
          <w:rFonts w:hint="eastAsia"/>
          <w:color w:val="auto"/>
          <w:sz w:val="24"/>
          <w:szCs w:val="24"/>
          <w:highlight w:val="none"/>
        </w:rPr>
        <w:t>含油污水处理系统处理达到《</w:t>
      </w:r>
      <w:r>
        <w:rPr>
          <w:rFonts w:hint="eastAsia"/>
          <w:color w:val="auto"/>
          <w:sz w:val="24"/>
          <w:szCs w:val="24"/>
          <w:highlight w:val="none"/>
          <w:lang w:eastAsia="zh-CN"/>
        </w:rPr>
        <w:t>碎屑岩油藏注水水质指标技术要求及分析方法</w:t>
      </w:r>
      <w:r>
        <w:rPr>
          <w:rFonts w:hint="eastAsia"/>
          <w:color w:val="auto"/>
          <w:sz w:val="24"/>
          <w:szCs w:val="24"/>
          <w:highlight w:val="none"/>
        </w:rPr>
        <w:t>》（</w:t>
      </w:r>
      <w:r>
        <w:rPr>
          <w:rFonts w:hint="eastAsia"/>
          <w:color w:val="auto"/>
          <w:sz w:val="24"/>
          <w:szCs w:val="24"/>
          <w:highlight w:val="none"/>
          <w:lang w:eastAsia="zh-CN"/>
        </w:rPr>
        <w:t>SY/T 5329-2022</w:t>
      </w:r>
      <w:r>
        <w:rPr>
          <w:rFonts w:hint="eastAsia"/>
          <w:color w:val="auto"/>
          <w:sz w:val="24"/>
          <w:szCs w:val="24"/>
          <w:highlight w:val="none"/>
        </w:rPr>
        <w:t>）</w:t>
      </w:r>
      <w:r>
        <w:rPr>
          <w:rFonts w:hint="eastAsia"/>
          <w:color w:val="auto"/>
          <w:sz w:val="24"/>
          <w:szCs w:val="24"/>
          <w:highlight w:val="none"/>
          <w:lang w:eastAsia="zh-CN"/>
        </w:rPr>
        <w:t>、</w:t>
      </w:r>
      <w:r>
        <w:rPr>
          <w:rFonts w:hint="eastAsia"/>
          <w:color w:val="auto"/>
          <w:sz w:val="24"/>
          <w:szCs w:val="24"/>
          <w:highlight w:val="none"/>
        </w:rPr>
        <w:t>《陆上油气田采出水地下注入环境保护技术规范》（SY/T7784-2024）中的有关标准后</w:t>
      </w:r>
      <w:r>
        <w:rPr>
          <w:rFonts w:hint="eastAsia"/>
          <w:color w:val="auto"/>
          <w:sz w:val="24"/>
          <w:szCs w:val="24"/>
          <w:highlight w:val="none"/>
          <w:lang w:eastAsia="zh-CN"/>
        </w:rPr>
        <w:t>回注地层</w:t>
      </w:r>
      <w:r>
        <w:rPr>
          <w:rFonts w:hint="eastAsia"/>
          <w:color w:val="auto"/>
          <w:sz w:val="24"/>
          <w:szCs w:val="24"/>
          <w:highlight w:val="none"/>
        </w:rPr>
        <w:t>，回注井在钻井过程中进行了固井，在固井质量良好的情况下可以确保井壁不会发生侧漏，有效保护地下水层，在正常情况下不会对其产生影响；集输管线是全封闭系统，输送、储存的介质不会与管线穿越区的地下水水体之间发生联系，正常运行时不会对管线穿越地</w:t>
      </w:r>
      <w:r>
        <w:rPr>
          <w:rFonts w:hint="eastAsia"/>
          <w:color w:val="auto"/>
          <w:sz w:val="24"/>
          <w:szCs w:val="24"/>
          <w:highlight w:val="none"/>
          <w:lang w:eastAsia="zh-CN"/>
        </w:rPr>
        <w:t>区的</w:t>
      </w:r>
      <w:r>
        <w:rPr>
          <w:rFonts w:hint="eastAsia"/>
          <w:color w:val="auto"/>
          <w:sz w:val="24"/>
          <w:szCs w:val="24"/>
          <w:highlight w:val="none"/>
        </w:rPr>
        <w:t>地下水环境造成影响。</w:t>
      </w:r>
    </w:p>
    <w:p>
      <w:pPr>
        <w:pStyle w:val="57"/>
        <w:pageBreakBefore w:val="0"/>
        <w:widowControl/>
        <w:kinsoku/>
        <w:wordWrap/>
        <w:overflowPunct/>
        <w:topLinePunct w:val="0"/>
        <w:autoSpaceDE/>
        <w:autoSpaceDN/>
        <w:bidi w:val="0"/>
        <w:spacing w:line="480" w:lineRule="exact"/>
        <w:jc w:val="left"/>
        <w:textAlignment w:val="auto"/>
        <w:rPr>
          <w:color w:val="auto"/>
          <w:highlight w:val="none"/>
        </w:rPr>
      </w:pPr>
      <w:r>
        <w:rPr>
          <w:rFonts w:hint="eastAsia"/>
          <w:color w:val="auto"/>
          <w:sz w:val="24"/>
          <w:szCs w:val="24"/>
          <w:highlight w:val="none"/>
        </w:rPr>
        <w:t>因此，正常状况下，</w:t>
      </w:r>
      <w:r>
        <w:rPr>
          <w:rFonts w:hint="eastAsia"/>
          <w:color w:val="auto"/>
          <w:sz w:val="24"/>
          <w:szCs w:val="24"/>
          <w:highlight w:val="none"/>
          <w:lang w:eastAsia="zh-CN"/>
        </w:rPr>
        <w:t>本工程</w:t>
      </w:r>
      <w:r>
        <w:rPr>
          <w:rFonts w:hint="eastAsia"/>
          <w:color w:val="auto"/>
          <w:sz w:val="24"/>
          <w:szCs w:val="24"/>
          <w:highlight w:val="none"/>
        </w:rPr>
        <w:t>在运营期，建设方严格按照拟定的环保措施进行的情况下，可对废水进行妥善处置，对水环境的影响很小</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5.</w:t>
      </w:r>
      <w:r>
        <w:rPr>
          <w:rFonts w:hint="eastAsia"/>
          <w:color w:val="auto"/>
          <w:highlight w:val="none"/>
          <w:lang w:val="en-US" w:eastAsia="zh-CN"/>
        </w:rPr>
        <w:t>2</w:t>
      </w:r>
      <w:r>
        <w:rPr>
          <w:color w:val="auto"/>
          <w:highlight w:val="none"/>
        </w:rPr>
        <w:t>.3.2非正常状况下地下水环境影响分析</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油田工程生产过程中，各个环节都存在着易燃、易爆、有害物质，除危害工程本身安全外，同时对地下水也构成污染的危险。主要表现因操作失误或处理措施不当而发生的井喷或井漏等工程事故；自然灾害引起的油田污染事故；集输管线、阀组</w:t>
      </w:r>
      <w:r>
        <w:rPr>
          <w:rFonts w:hint="eastAsia"/>
          <w:color w:val="auto"/>
          <w:highlight w:val="none"/>
          <w:lang w:eastAsia="zh-CN"/>
        </w:rPr>
        <w:t>、</w:t>
      </w:r>
      <w:r>
        <w:rPr>
          <w:rFonts w:hint="eastAsia"/>
          <w:color w:val="auto"/>
          <w:highlight w:val="none"/>
          <w:lang w:val="en-US" w:eastAsia="zh-CN"/>
        </w:rPr>
        <w:t>设备</w:t>
      </w:r>
      <w:r>
        <w:rPr>
          <w:rFonts w:hint="eastAsia"/>
          <w:color w:val="auto"/>
          <w:highlight w:val="none"/>
        </w:rPr>
        <w:t>运行过程中，管线腐蚀穿孔，误操作及人为破坏等原因造成的管线破裂使油品泄漏。无论是人为因素还是自然因素所造成的事故，对油田区地下水体均可能产生污染的风险。</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油田开发对地下水产生污染的途径主要有两种方式，即渗透污染和穿透污染途径</w:t>
      </w:r>
      <w:r>
        <w:rPr>
          <w:color w:val="auto"/>
          <w:highlight w:val="none"/>
        </w:rPr>
        <w:t>。</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w:t>
      </w:r>
      <w:r>
        <w:rPr>
          <w:rFonts w:hint="eastAsia"/>
          <w:color w:val="auto"/>
          <w:highlight w:val="none"/>
        </w:rPr>
        <w:t>情景1：</w:t>
      </w:r>
      <w:r>
        <w:rPr>
          <w:color w:val="auto"/>
          <w:highlight w:val="none"/>
        </w:rPr>
        <w:t>穿透污染</w:t>
      </w:r>
      <w:r>
        <w:rPr>
          <w:rFonts w:hint="eastAsia"/>
          <w:color w:val="auto"/>
          <w:highlight w:val="none"/>
        </w:rPr>
        <w:t>（油水窜层）</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污染物沿着裂隙或孔隙直接到达含水层从而污染地下水的方式称为穿透污染。以该种方式污染地下水的主要是</w:t>
      </w:r>
      <w:r>
        <w:rPr>
          <w:rFonts w:hint="eastAsia"/>
          <w:color w:val="auto"/>
          <w:highlight w:val="none"/>
        </w:rPr>
        <w:t>采油</w:t>
      </w:r>
      <w:r>
        <w:rPr>
          <w:color w:val="auto"/>
          <w:highlight w:val="none"/>
        </w:rPr>
        <w:t>过程中套外返水。</w:t>
      </w:r>
      <w:r>
        <w:rPr>
          <w:rFonts w:hint="eastAsia"/>
          <w:color w:val="auto"/>
          <w:highlight w:val="none"/>
        </w:rPr>
        <w:t>一旦出现</w:t>
      </w:r>
      <w:r>
        <w:rPr>
          <w:color w:val="auto"/>
          <w:highlight w:val="none"/>
        </w:rPr>
        <w:t>套外返水事故，采出液在水头压力差的作用下，可能直接进入含水层，发生油水串层，并在含水层中扩散迁移，污染地下水。</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油气窜层污染的主要原因一般是由于表层套管和油气层套管的固井效果变差导致油气窜层使地下水受污染。由废弃井、套管被腐蚀破坏而污染到地下水的现象，在前期不会发生，待</w:t>
      </w:r>
      <w:r>
        <w:rPr>
          <w:rFonts w:hint="eastAsia"/>
          <w:color w:val="auto"/>
          <w:highlight w:val="none"/>
        </w:rPr>
        <w:t>油井</w:t>
      </w:r>
      <w:r>
        <w:rPr>
          <w:color w:val="auto"/>
          <w:highlight w:val="none"/>
        </w:rPr>
        <w:t>开发到中后期时，废弃井、套管被腐蚀破坏，才可能会对地下水有影响：废弃井在长期闲置过程中，在地下各种复合作用下，固井水泥被腐蚀，套管被腐蚀穿孔，加上只封死井口，油气物质失去了释放通道，会通过</w:t>
      </w:r>
      <w:r>
        <w:rPr>
          <w:rFonts w:hint="eastAsia"/>
          <w:color w:val="auto"/>
          <w:highlight w:val="none"/>
        </w:rPr>
        <w:t>径</w:t>
      </w:r>
      <w:r>
        <w:rPr>
          <w:color w:val="auto"/>
          <w:highlight w:val="none"/>
        </w:rPr>
        <w:t>流进入潜水含水层，参与地下水循环。虽然此时油层几乎没有多少压力，原油不大可能进入到含水层污染地下水，但这一现象仍应引起重视。</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本次地下水环境影响评价主要考虑最不利的极端情况下，油水窜层后对工程区下游第四系含水层水质的影响，针对污染物</w:t>
      </w:r>
      <w:r>
        <w:rPr>
          <w:rFonts w:hint="eastAsia"/>
          <w:color w:val="auto"/>
          <w:highlight w:val="none"/>
          <w:lang w:eastAsia="zh-CN"/>
        </w:rPr>
        <w:t>进入</w:t>
      </w:r>
      <w:r>
        <w:rPr>
          <w:color w:val="auto"/>
          <w:highlight w:val="none"/>
        </w:rPr>
        <w:t>第四系孔隙水含水层后的运移进行重点预测、评价。</w:t>
      </w:r>
    </w:p>
    <w:p>
      <w:pPr>
        <w:pStyle w:val="57"/>
        <w:pageBreakBefore w:val="0"/>
        <w:kinsoku/>
        <w:wordWrap/>
        <w:overflowPunct/>
        <w:topLinePunct w:val="0"/>
        <w:autoSpaceDE/>
        <w:autoSpaceDN/>
        <w:bidi w:val="0"/>
        <w:spacing w:line="480" w:lineRule="exact"/>
        <w:rPr>
          <w:color w:val="auto"/>
          <w:highlight w:val="none"/>
        </w:rPr>
      </w:pPr>
      <w:r>
        <w:rPr>
          <w:rFonts w:hint="eastAsia" w:ascii="宋体"/>
          <w:color w:val="auto"/>
          <w:highlight w:val="none"/>
        </w:rPr>
        <w:t>①</w:t>
      </w:r>
      <w:r>
        <w:rPr>
          <w:color w:val="auto"/>
          <w:highlight w:val="none"/>
        </w:rPr>
        <w:t>预测情景</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当发生窜层时，污染物</w:t>
      </w:r>
      <w:r>
        <w:rPr>
          <w:rFonts w:hint="eastAsia"/>
          <w:color w:val="auto"/>
          <w:highlight w:val="none"/>
        </w:rPr>
        <w:t>进入</w:t>
      </w:r>
      <w:r>
        <w:rPr>
          <w:color w:val="auto"/>
          <w:highlight w:val="none"/>
        </w:rPr>
        <w:t>含水层中。考虑最不利情况，污染物泄漏为连续排放，发生窜层后，工程区内的污染物通过孔隙、裂隙径流至下游第四系含水层的水质。因此污染物在含水层中的迁移，可将预测情形概化为一维连续</w:t>
      </w:r>
      <w:r>
        <w:rPr>
          <w:rFonts w:hint="eastAsia"/>
          <w:color w:val="auto"/>
          <w:highlight w:val="none"/>
        </w:rPr>
        <w:t>泄漏</w:t>
      </w:r>
      <w:r>
        <w:rPr>
          <w:color w:val="auto"/>
          <w:highlight w:val="none"/>
        </w:rPr>
        <w:t>点源的水动力弥散问题。</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②</w:t>
      </w:r>
      <w:r>
        <w:rPr>
          <w:color w:val="auto"/>
          <w:highlight w:val="none"/>
        </w:rPr>
        <w:t>预测方法</w:t>
      </w:r>
    </w:p>
    <w:p>
      <w:pPr>
        <w:pStyle w:val="57"/>
        <w:pageBreakBefore w:val="0"/>
        <w:kinsoku/>
        <w:wordWrap/>
        <w:overflowPunct/>
        <w:topLinePunct w:val="0"/>
        <w:autoSpaceDE/>
        <w:autoSpaceDN/>
        <w:bidi w:val="0"/>
        <w:spacing w:line="480" w:lineRule="exact"/>
        <w:rPr>
          <w:b/>
          <w:color w:val="auto"/>
          <w:highlight w:val="none"/>
        </w:rPr>
      </w:pPr>
      <w:r>
        <w:rPr>
          <w:rFonts w:hint="eastAsia"/>
          <w:color w:val="auto"/>
          <w:highlight w:val="none"/>
        </w:rPr>
        <w:t>本工程</w:t>
      </w:r>
      <w:r>
        <w:rPr>
          <w:color w:val="auto"/>
          <w:highlight w:val="none"/>
        </w:rPr>
        <w:t>按</w:t>
      </w:r>
      <w:r>
        <w:rPr>
          <w:rFonts w:hint="eastAsia"/>
          <w:color w:val="auto"/>
          <w:highlight w:val="none"/>
        </w:rPr>
        <w:t>Ⅰ</w:t>
      </w:r>
      <w:r>
        <w:rPr>
          <w:color w:val="auto"/>
          <w:highlight w:val="none"/>
        </w:rPr>
        <w:t>类项目地下水环境影响评价级别为</w:t>
      </w:r>
      <w:r>
        <w:rPr>
          <w:rFonts w:hint="eastAsia"/>
          <w:color w:val="auto"/>
          <w:highlight w:val="none"/>
          <w:lang w:val="en-US" w:eastAsia="zh-CN"/>
        </w:rPr>
        <w:t>二</w:t>
      </w:r>
      <w:r>
        <w:rPr>
          <w:color w:val="auto"/>
          <w:highlight w:val="none"/>
        </w:rPr>
        <w:t>级，按照《</w:t>
      </w:r>
      <w:r>
        <w:rPr>
          <w:rFonts w:hint="eastAsia"/>
          <w:color w:val="auto"/>
          <w:highlight w:val="none"/>
          <w:lang w:eastAsia="zh-CN"/>
        </w:rPr>
        <w:t>环境影响评价技术导则 地下水环境</w:t>
      </w:r>
      <w:r>
        <w:rPr>
          <w:color w:val="auto"/>
          <w:highlight w:val="none"/>
        </w:rPr>
        <w:t>》</w:t>
      </w:r>
      <w:r>
        <w:rPr>
          <w:rFonts w:hint="eastAsia"/>
          <w:color w:val="auto"/>
          <w:highlight w:val="none"/>
        </w:rPr>
        <w:t>（</w:t>
      </w:r>
      <w:r>
        <w:rPr>
          <w:color w:val="auto"/>
          <w:highlight w:val="none"/>
        </w:rPr>
        <w:t>HJ610-2016</w:t>
      </w:r>
      <w:r>
        <w:rPr>
          <w:rFonts w:hint="eastAsia"/>
          <w:color w:val="auto"/>
          <w:highlight w:val="none"/>
        </w:rPr>
        <w:t>）</w:t>
      </w:r>
      <w:r>
        <w:rPr>
          <w:color w:val="auto"/>
          <w:highlight w:val="none"/>
        </w:rPr>
        <w:t>的规定，预测方法可以采用数值法或者解析法，由于评价区水文地质条件较简单、评价区内含水层的基本参数变化很小、污染物的排放对地下水流场没有明显的影响，本报告采用解析法对地下水环境影响进行预测。</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③</w:t>
      </w:r>
      <w:r>
        <w:rPr>
          <w:color w:val="auto"/>
          <w:highlight w:val="none"/>
        </w:rPr>
        <w:t>预测因子</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油井套管发生泄漏，采出液中污染物主要有石油类等污染物。根据《环境影响评价技术导则地下水环境》（HJ610-2016）中情景设置预测因子相关要求，对每一类别中的各项因子采取标准指数法进行排序，分别取标准指数较大的因子作为预测因子。根据采出液污染物特征，本次选取石油类作为预测特征因子</w:t>
      </w:r>
      <w:r>
        <w:rPr>
          <w:color w:val="auto"/>
          <w:highlight w:val="none"/>
        </w:rPr>
        <w:t>。</w:t>
      </w:r>
    </w:p>
    <w:p>
      <w:pPr>
        <w:pStyle w:val="57"/>
        <w:pageBreakBefore w:val="0"/>
        <w:kinsoku/>
        <w:wordWrap/>
        <w:overflowPunct/>
        <w:topLinePunct w:val="0"/>
        <w:autoSpaceDE/>
        <w:autoSpaceDN/>
        <w:bidi w:val="0"/>
        <w:spacing w:line="480" w:lineRule="exact"/>
        <w:rPr>
          <w:color w:val="auto"/>
          <w:highlight w:val="none"/>
        </w:rPr>
      </w:pPr>
      <w:r>
        <w:rPr>
          <w:rFonts w:hint="eastAsia" w:ascii="宋体"/>
          <w:color w:val="auto"/>
          <w:highlight w:val="none"/>
        </w:rPr>
        <w:t>④</w:t>
      </w:r>
      <w:r>
        <w:rPr>
          <w:color w:val="auto"/>
          <w:highlight w:val="none"/>
        </w:rPr>
        <w:t>预测模型</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本次地下水污染模拟仅考虑污染物随地下水发生对流、弥散作用，对污染物与液体介质</w:t>
      </w:r>
      <w:r>
        <w:rPr>
          <w:rFonts w:hint="eastAsia"/>
          <w:color w:val="auto"/>
          <w:highlight w:val="none"/>
        </w:rPr>
        <w:t>（</w:t>
      </w:r>
      <w:r>
        <w:rPr>
          <w:color w:val="auto"/>
          <w:highlight w:val="none"/>
        </w:rPr>
        <w:t>地下水</w:t>
      </w:r>
      <w:r>
        <w:rPr>
          <w:rFonts w:hint="eastAsia"/>
          <w:color w:val="auto"/>
          <w:highlight w:val="none"/>
        </w:rPr>
        <w:t>）</w:t>
      </w:r>
      <w:r>
        <w:rPr>
          <w:color w:val="auto"/>
          <w:highlight w:val="none"/>
        </w:rPr>
        <w:t>、固体介质</w:t>
      </w:r>
      <w:r>
        <w:rPr>
          <w:rFonts w:hint="eastAsia"/>
          <w:color w:val="auto"/>
          <w:highlight w:val="none"/>
        </w:rPr>
        <w:t>（</w:t>
      </w:r>
      <w:r>
        <w:rPr>
          <w:color w:val="auto"/>
          <w:highlight w:val="none"/>
        </w:rPr>
        <w:t>包气带介质和地下水含水介质</w:t>
      </w:r>
      <w:r>
        <w:rPr>
          <w:rFonts w:hint="eastAsia"/>
          <w:color w:val="auto"/>
          <w:highlight w:val="none"/>
        </w:rPr>
        <w:t>）</w:t>
      </w:r>
      <w:r>
        <w:rPr>
          <w:color w:val="auto"/>
          <w:highlight w:val="none"/>
        </w:rPr>
        <w:t>等的化学反应</w:t>
      </w:r>
      <w:r>
        <w:rPr>
          <w:rFonts w:hint="eastAsia"/>
          <w:color w:val="auto"/>
          <w:highlight w:val="none"/>
        </w:rPr>
        <w:t>（</w:t>
      </w:r>
      <w:r>
        <w:rPr>
          <w:color w:val="auto"/>
          <w:highlight w:val="none"/>
        </w:rPr>
        <w:t>如酸碱反应、氧化还原反应、吸附、交换、挥发及生物化学反应</w:t>
      </w:r>
      <w:r>
        <w:rPr>
          <w:rFonts w:hint="eastAsia"/>
          <w:color w:val="auto"/>
          <w:highlight w:val="none"/>
        </w:rPr>
        <w:t>）</w:t>
      </w:r>
      <w:r>
        <w:rPr>
          <w:color w:val="auto"/>
          <w:highlight w:val="none"/>
        </w:rPr>
        <w:t>等可能存在的环境消减因素做保守考虑。这样选择的理由是：</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1）对于长期持续的污染事件，环境自净作用属于次要因素，而水体的对流、弥散作用是污染物运移的主要因素。</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2）污染物在地下水中的反应运移非常复杂，物理、化学、微生物等环境自净作用往往会使污染浓度衰减。忽略这些环境自净因素可以模拟出污染的最大</w:t>
      </w:r>
      <w:r>
        <w:rPr>
          <w:rFonts w:hint="eastAsia"/>
          <w:color w:val="auto"/>
          <w:highlight w:val="none"/>
        </w:rPr>
        <w:t>（</w:t>
      </w:r>
      <w:r>
        <w:rPr>
          <w:color w:val="auto"/>
          <w:highlight w:val="none"/>
        </w:rPr>
        <w:t>或潜在</w:t>
      </w:r>
      <w:r>
        <w:rPr>
          <w:rFonts w:hint="eastAsia"/>
          <w:color w:val="auto"/>
          <w:highlight w:val="none"/>
        </w:rPr>
        <w:t>）</w:t>
      </w:r>
      <w:r>
        <w:rPr>
          <w:color w:val="auto"/>
          <w:highlight w:val="none"/>
        </w:rPr>
        <w:t>影响范围，符合保守性评价原则。</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3）对这些化学、生物化学作用进行精确模拟还属于国际性难题，一些模拟参数还存在很大争议，</w:t>
      </w:r>
      <w:r>
        <w:rPr>
          <w:rFonts w:hint="eastAsia"/>
          <w:color w:val="auto"/>
          <w:highlight w:val="none"/>
          <w:lang w:eastAsia="zh-CN"/>
        </w:rPr>
        <w:t>精确</w:t>
      </w:r>
      <w:r>
        <w:rPr>
          <w:color w:val="auto"/>
          <w:highlight w:val="none"/>
        </w:rPr>
        <w:t>模拟还需要大量的实验支持。</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4）在国际上有很多用保守型污染物作为模拟因子的环境质量评价的实例，保守型考虑符合环境评价的思想。</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污染物在含水层中的迁移，特别是泄露点的连续泄漏，造成的水环境污染会更加严重。本次按照《环境影响评价技术导则 地下水环境》（HJ610-2016）附录D中一维无限长多孔介质柱体，一端为定浓度边界预测模型进行预测，计算公式如下：</w:t>
      </w:r>
    </w:p>
    <w:p>
      <w:pPr>
        <w:pageBreakBefore w:val="0"/>
        <w:kinsoku/>
        <w:wordWrap/>
        <w:overflowPunct/>
        <w:topLinePunct w:val="0"/>
        <w:autoSpaceDE/>
        <w:autoSpaceDN/>
        <w:bidi w:val="0"/>
        <w:spacing w:line="480" w:lineRule="exact"/>
        <w:rPr>
          <w:color w:val="auto"/>
          <w:highlight w:val="none"/>
        </w:rPr>
      </w:pPr>
    </w:p>
    <w:p>
      <w:pPr>
        <w:pageBreakBefore w:val="0"/>
        <w:kinsoku/>
        <w:wordWrap/>
        <w:overflowPunct/>
        <w:topLinePunct w:val="0"/>
        <w:autoSpaceDE/>
        <w:autoSpaceDN/>
        <w:bidi w:val="0"/>
        <w:spacing w:line="480" w:lineRule="exact"/>
        <w:rPr>
          <w:color w:val="auto"/>
          <w:highlight w:val="none"/>
        </w:rPr>
      </w:pPr>
      <w:r>
        <w:rPr>
          <w:color w:val="auto"/>
          <w:highlight w:val="none"/>
        </w:rPr>
        <w:drawing>
          <wp:anchor distT="0" distB="0" distL="0" distR="0" simplePos="0" relativeHeight="251697152" behindDoc="0" locked="0" layoutInCell="1" allowOverlap="1">
            <wp:simplePos x="0" y="0"/>
            <wp:positionH relativeFrom="column">
              <wp:posOffset>1440180</wp:posOffset>
            </wp:positionH>
            <wp:positionV relativeFrom="paragraph">
              <wp:posOffset>-270510</wp:posOffset>
            </wp:positionV>
            <wp:extent cx="2585085" cy="513080"/>
            <wp:effectExtent l="0" t="0" r="5715" b="1270"/>
            <wp:wrapNone/>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2585085" cy="513080"/>
                    </a:xfrm>
                    <a:prstGeom prst="rect">
                      <a:avLst/>
                    </a:prstGeom>
                    <a:noFill/>
                    <a:ln>
                      <a:noFill/>
                    </a:ln>
                  </pic:spPr>
                </pic:pic>
              </a:graphicData>
            </a:graphic>
          </wp:anchor>
        </w:drawing>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以上式中：</w:t>
      </w:r>
      <w:r>
        <w:rPr>
          <w:i/>
          <w:color w:val="auto"/>
          <w:highlight w:val="none"/>
        </w:rPr>
        <w:t>x</w:t>
      </w:r>
      <w:r>
        <w:rPr>
          <w:color w:val="auto"/>
          <w:highlight w:val="none"/>
        </w:rPr>
        <w:t>—距注入点的距离，m；</w:t>
      </w:r>
    </w:p>
    <w:p>
      <w:pPr>
        <w:pStyle w:val="57"/>
        <w:pageBreakBefore w:val="0"/>
        <w:kinsoku/>
        <w:wordWrap/>
        <w:overflowPunct/>
        <w:topLinePunct w:val="0"/>
        <w:autoSpaceDE/>
        <w:autoSpaceDN/>
        <w:bidi w:val="0"/>
        <w:spacing w:line="480" w:lineRule="exact"/>
        <w:rPr>
          <w:color w:val="auto"/>
          <w:highlight w:val="none"/>
        </w:rPr>
      </w:pPr>
      <w:r>
        <w:rPr>
          <w:i/>
          <w:color w:val="auto"/>
          <w:highlight w:val="none"/>
        </w:rPr>
        <w:t>t</w:t>
      </w:r>
      <w:r>
        <w:rPr>
          <w:color w:val="auto"/>
          <w:highlight w:val="none"/>
        </w:rPr>
        <w:t>—时间，d；</w:t>
      </w:r>
    </w:p>
    <w:p>
      <w:pPr>
        <w:pStyle w:val="57"/>
        <w:pageBreakBefore w:val="0"/>
        <w:kinsoku/>
        <w:wordWrap/>
        <w:overflowPunct/>
        <w:topLinePunct w:val="0"/>
        <w:autoSpaceDE/>
        <w:autoSpaceDN/>
        <w:bidi w:val="0"/>
        <w:spacing w:line="480" w:lineRule="exact"/>
        <w:rPr>
          <w:color w:val="auto"/>
          <w:highlight w:val="none"/>
        </w:rPr>
      </w:pPr>
      <w:r>
        <w:rPr>
          <w:i/>
          <w:color w:val="auto"/>
          <w:highlight w:val="none"/>
        </w:rPr>
        <w:t>C（x，t）—t</w:t>
      </w:r>
      <w:r>
        <w:rPr>
          <w:color w:val="auto"/>
          <w:highlight w:val="none"/>
        </w:rPr>
        <w:t>时刻</w:t>
      </w:r>
      <w:r>
        <w:rPr>
          <w:i/>
          <w:color w:val="auto"/>
          <w:highlight w:val="none"/>
        </w:rPr>
        <w:t>x</w:t>
      </w:r>
      <w:r>
        <w:rPr>
          <w:color w:val="auto"/>
          <w:highlight w:val="none"/>
        </w:rPr>
        <w:t>处的示踪剂浓度，g/l；</w:t>
      </w:r>
    </w:p>
    <w:p>
      <w:pPr>
        <w:pStyle w:val="57"/>
        <w:pageBreakBefore w:val="0"/>
        <w:kinsoku/>
        <w:wordWrap/>
        <w:overflowPunct/>
        <w:topLinePunct w:val="0"/>
        <w:autoSpaceDE/>
        <w:autoSpaceDN/>
        <w:bidi w:val="0"/>
        <w:spacing w:line="480" w:lineRule="exact"/>
        <w:rPr>
          <w:color w:val="auto"/>
          <w:highlight w:val="none"/>
        </w:rPr>
      </w:pPr>
      <w:r>
        <w:rPr>
          <w:i/>
          <w:color w:val="auto"/>
          <w:highlight w:val="none"/>
        </w:rPr>
        <w:t>C</w:t>
      </w:r>
      <w:r>
        <w:rPr>
          <w:i/>
          <w:color w:val="auto"/>
          <w:highlight w:val="none"/>
          <w:vertAlign w:val="subscript"/>
        </w:rPr>
        <w:t>0—</w:t>
      </w:r>
      <w:r>
        <w:rPr>
          <w:color w:val="auto"/>
          <w:highlight w:val="none"/>
          <w:vertAlign w:val="subscript"/>
        </w:rPr>
        <w:t>—</w:t>
      </w:r>
      <w:r>
        <w:rPr>
          <w:color w:val="auto"/>
          <w:highlight w:val="none"/>
        </w:rPr>
        <w:t>注入的示踪剂浓度，g/l；</w:t>
      </w:r>
    </w:p>
    <w:p>
      <w:pPr>
        <w:pStyle w:val="57"/>
        <w:pageBreakBefore w:val="0"/>
        <w:kinsoku/>
        <w:wordWrap/>
        <w:overflowPunct/>
        <w:topLinePunct w:val="0"/>
        <w:autoSpaceDE/>
        <w:autoSpaceDN/>
        <w:bidi w:val="0"/>
        <w:spacing w:line="480" w:lineRule="exact"/>
        <w:rPr>
          <w:color w:val="auto"/>
          <w:highlight w:val="none"/>
        </w:rPr>
      </w:pPr>
      <w:r>
        <w:rPr>
          <w:i/>
          <w:color w:val="auto"/>
          <w:highlight w:val="none"/>
        </w:rPr>
        <w:t>u</w:t>
      </w:r>
      <w:r>
        <w:rPr>
          <w:rFonts w:hint="eastAsia"/>
          <w:i/>
          <w:color w:val="auto"/>
          <w:highlight w:val="none"/>
        </w:rPr>
        <w:t>——</w:t>
      </w:r>
      <w:r>
        <w:rPr>
          <w:color w:val="auto"/>
          <w:highlight w:val="none"/>
        </w:rPr>
        <w:t>水流速度，m/d；</w:t>
      </w:r>
    </w:p>
    <w:p>
      <w:pPr>
        <w:pStyle w:val="57"/>
        <w:pageBreakBefore w:val="0"/>
        <w:kinsoku/>
        <w:wordWrap/>
        <w:overflowPunct/>
        <w:topLinePunct w:val="0"/>
        <w:autoSpaceDE/>
        <w:autoSpaceDN/>
        <w:bidi w:val="0"/>
        <w:spacing w:line="480" w:lineRule="exact"/>
        <w:rPr>
          <w:color w:val="auto"/>
          <w:highlight w:val="none"/>
        </w:rPr>
      </w:pPr>
      <w:r>
        <w:rPr>
          <w:i/>
          <w:color w:val="auto"/>
          <w:highlight w:val="none"/>
        </w:rPr>
        <w:t>n</w:t>
      </w:r>
      <w:r>
        <w:rPr>
          <w:rFonts w:hint="eastAsia"/>
          <w:i/>
          <w:color w:val="auto"/>
          <w:highlight w:val="none"/>
        </w:rPr>
        <w:t>——</w:t>
      </w:r>
      <w:r>
        <w:rPr>
          <w:color w:val="auto"/>
          <w:highlight w:val="none"/>
        </w:rPr>
        <w:t>有效孔隙度，无量纲；</w:t>
      </w:r>
    </w:p>
    <w:p>
      <w:pPr>
        <w:pStyle w:val="57"/>
        <w:pageBreakBefore w:val="0"/>
        <w:kinsoku/>
        <w:wordWrap/>
        <w:overflowPunct/>
        <w:topLinePunct w:val="0"/>
        <w:autoSpaceDE/>
        <w:autoSpaceDN/>
        <w:bidi w:val="0"/>
        <w:spacing w:line="480" w:lineRule="exact"/>
        <w:rPr>
          <w:color w:val="auto"/>
          <w:highlight w:val="none"/>
        </w:rPr>
      </w:pPr>
      <w:r>
        <w:rPr>
          <w:i/>
          <w:color w:val="auto"/>
          <w:highlight w:val="none"/>
        </w:rPr>
        <w:t>D</w:t>
      </w:r>
      <w:r>
        <w:rPr>
          <w:i/>
          <w:color w:val="auto"/>
          <w:highlight w:val="none"/>
          <w:vertAlign w:val="subscript"/>
        </w:rPr>
        <w:t>L</w:t>
      </w:r>
      <w:r>
        <w:rPr>
          <w:rFonts w:hint="eastAsia"/>
          <w:color w:val="auto"/>
          <w:highlight w:val="none"/>
        </w:rPr>
        <w:t>—</w:t>
      </w:r>
      <w:r>
        <w:rPr>
          <w:color w:val="auto"/>
          <w:highlight w:val="none"/>
        </w:rPr>
        <w:t>纵向弥散系数，m</w:t>
      </w:r>
      <w:r>
        <w:rPr>
          <w:color w:val="auto"/>
          <w:highlight w:val="none"/>
          <w:vertAlign w:val="superscript"/>
        </w:rPr>
        <w:t>2</w:t>
      </w:r>
      <w:r>
        <w:rPr>
          <w:color w:val="auto"/>
          <w:highlight w:val="none"/>
        </w:rPr>
        <w:t>/d；</w:t>
      </w:r>
    </w:p>
    <w:p>
      <w:pPr>
        <w:pStyle w:val="57"/>
        <w:pageBreakBefore w:val="0"/>
        <w:kinsoku/>
        <w:wordWrap/>
        <w:overflowPunct/>
        <w:topLinePunct w:val="0"/>
        <w:autoSpaceDE/>
        <w:autoSpaceDN/>
        <w:bidi w:val="0"/>
        <w:spacing w:line="480" w:lineRule="exact"/>
        <w:rPr>
          <w:color w:val="auto"/>
          <w:highlight w:val="none"/>
        </w:rPr>
      </w:pPr>
      <w:r>
        <w:rPr>
          <w:i/>
          <w:color w:val="auto"/>
          <w:highlight w:val="none"/>
        </w:rPr>
        <w:t>erf</w:t>
      </w:r>
      <w:r>
        <w:rPr>
          <w:color w:val="auto"/>
          <w:highlight w:val="none"/>
        </w:rPr>
        <w:t>c(  )—余误差函数。</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⑤</w:t>
      </w:r>
      <w:r>
        <w:rPr>
          <w:color w:val="auto"/>
          <w:highlight w:val="none"/>
        </w:rPr>
        <w:t>预测参数</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根据区域水文地质条件，评价区内第四系含水层岩性主要为细砂。本次评价水文地质参数主要通过油田区域的勘察资料及经验值等综合确定。模型中所需参数及来源见表5.</w:t>
      </w:r>
      <w:r>
        <w:rPr>
          <w:rFonts w:hint="eastAsia"/>
          <w:color w:val="auto"/>
          <w:highlight w:val="none"/>
          <w:lang w:val="en-US" w:eastAsia="zh-CN"/>
        </w:rPr>
        <w:t>2-2</w:t>
      </w:r>
      <w:r>
        <w:rPr>
          <w:color w:val="auto"/>
          <w:highlight w:val="none"/>
        </w:rPr>
        <w:t>。</w:t>
      </w:r>
    </w:p>
    <w:p>
      <w:pPr>
        <w:pStyle w:val="54"/>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表5.</w:t>
      </w:r>
      <w:r>
        <w:rPr>
          <w:rFonts w:hint="eastAsia"/>
          <w:color w:val="auto"/>
          <w:highlight w:val="none"/>
          <w:lang w:val="en-US" w:eastAsia="zh-CN"/>
        </w:rPr>
        <w:t>2</w:t>
      </w:r>
      <w:r>
        <w:rPr>
          <w:rFonts w:hint="eastAsia"/>
          <w:color w:val="auto"/>
          <w:highlight w:val="none"/>
        </w:rPr>
        <w:t>-</w:t>
      </w:r>
      <w:r>
        <w:rPr>
          <w:rFonts w:hint="eastAsia"/>
          <w:color w:val="auto"/>
          <w:highlight w:val="none"/>
          <w:lang w:val="en-US" w:eastAsia="zh-CN"/>
        </w:rPr>
        <w:t>2</w:t>
      </w:r>
      <w:r>
        <w:rPr>
          <w:rFonts w:hint="eastAsia"/>
          <w:color w:val="auto"/>
          <w:highlight w:val="none"/>
        </w:rPr>
        <w:t xml:space="preserve">   水质预测模型所需参数一览表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65"/>
        <w:gridCol w:w="664"/>
        <w:gridCol w:w="851"/>
        <w:gridCol w:w="738"/>
        <w:gridCol w:w="578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pPr>
              <w:rPr>
                <w:color w:val="auto"/>
                <w:highlight w:val="none"/>
              </w:rPr>
            </w:pPr>
            <w:r>
              <w:rPr>
                <w:color w:val="auto"/>
                <w:highlight w:val="none"/>
              </w:rPr>
              <w:t>序号</w:t>
            </w:r>
          </w:p>
        </w:tc>
        <w:tc>
          <w:tcPr>
            <w:tcW w:w="664" w:type="dxa"/>
            <w:tcBorders>
              <w:tl2br w:val="nil"/>
              <w:tr2bl w:val="nil"/>
            </w:tcBorders>
            <w:vAlign w:val="center"/>
          </w:tcPr>
          <w:p>
            <w:pPr>
              <w:rPr>
                <w:color w:val="auto"/>
                <w:highlight w:val="none"/>
              </w:rPr>
            </w:pPr>
            <w:r>
              <w:rPr>
                <w:color w:val="auto"/>
                <w:highlight w:val="none"/>
              </w:rPr>
              <w:t>参数符号</w:t>
            </w:r>
          </w:p>
        </w:tc>
        <w:tc>
          <w:tcPr>
            <w:tcW w:w="851" w:type="dxa"/>
            <w:tcBorders>
              <w:tl2br w:val="nil"/>
              <w:tr2bl w:val="nil"/>
            </w:tcBorders>
            <w:vAlign w:val="center"/>
          </w:tcPr>
          <w:p>
            <w:pPr>
              <w:rPr>
                <w:color w:val="auto"/>
                <w:highlight w:val="none"/>
              </w:rPr>
            </w:pPr>
            <w:r>
              <w:rPr>
                <w:color w:val="auto"/>
                <w:highlight w:val="none"/>
              </w:rPr>
              <w:t>参数名称</w:t>
            </w:r>
          </w:p>
        </w:tc>
        <w:tc>
          <w:tcPr>
            <w:tcW w:w="738" w:type="dxa"/>
            <w:tcBorders>
              <w:tl2br w:val="nil"/>
              <w:tr2bl w:val="nil"/>
            </w:tcBorders>
            <w:vAlign w:val="center"/>
          </w:tcPr>
          <w:p>
            <w:pPr>
              <w:rPr>
                <w:color w:val="auto"/>
                <w:highlight w:val="none"/>
              </w:rPr>
            </w:pPr>
            <w:r>
              <w:rPr>
                <w:color w:val="auto"/>
                <w:highlight w:val="none"/>
              </w:rPr>
              <w:t>参数数值</w:t>
            </w:r>
          </w:p>
        </w:tc>
        <w:tc>
          <w:tcPr>
            <w:tcW w:w="5784" w:type="dxa"/>
            <w:tcBorders>
              <w:tl2br w:val="nil"/>
              <w:tr2bl w:val="nil"/>
            </w:tcBorders>
            <w:vAlign w:val="center"/>
          </w:tcPr>
          <w:p>
            <w:pPr>
              <w:rPr>
                <w:color w:val="auto"/>
                <w:highlight w:val="none"/>
              </w:rPr>
            </w:pPr>
            <w:r>
              <w:rPr>
                <w:color w:val="auto"/>
                <w:highlight w:val="none"/>
              </w:rPr>
              <w:t>数值来源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pPr>
              <w:rPr>
                <w:color w:val="auto"/>
                <w:highlight w:val="none"/>
              </w:rPr>
            </w:pPr>
            <w:r>
              <w:rPr>
                <w:color w:val="auto"/>
                <w:highlight w:val="none"/>
              </w:rPr>
              <w:t>1</w:t>
            </w:r>
          </w:p>
        </w:tc>
        <w:tc>
          <w:tcPr>
            <w:tcW w:w="664" w:type="dxa"/>
            <w:tcBorders>
              <w:tl2br w:val="nil"/>
              <w:tr2bl w:val="nil"/>
            </w:tcBorders>
            <w:vAlign w:val="center"/>
          </w:tcPr>
          <w:p>
            <w:pPr>
              <w:tabs>
                <w:tab w:val="left" w:pos="1080"/>
                <w:tab w:val="left" w:pos="6090"/>
              </w:tabs>
              <w:snapToGrid w:val="0"/>
              <w:jc w:val="center"/>
              <w:rPr>
                <w:color w:val="auto"/>
                <w:highlight w:val="none"/>
              </w:rPr>
            </w:pPr>
            <w:r>
              <w:rPr>
                <w:bCs/>
                <w:color w:val="auto"/>
                <w:szCs w:val="21"/>
                <w:highlight w:val="none"/>
              </w:rPr>
              <w:t>u</w:t>
            </w:r>
          </w:p>
        </w:tc>
        <w:tc>
          <w:tcPr>
            <w:tcW w:w="851" w:type="dxa"/>
            <w:tcBorders>
              <w:tl2br w:val="nil"/>
              <w:tr2bl w:val="nil"/>
            </w:tcBorders>
            <w:vAlign w:val="center"/>
          </w:tcPr>
          <w:p>
            <w:pPr>
              <w:tabs>
                <w:tab w:val="left" w:pos="1080"/>
                <w:tab w:val="left" w:pos="6090"/>
              </w:tabs>
              <w:snapToGrid w:val="0"/>
              <w:jc w:val="center"/>
              <w:rPr>
                <w:color w:val="auto"/>
                <w:highlight w:val="none"/>
              </w:rPr>
            </w:pPr>
            <w:r>
              <w:rPr>
                <w:rFonts w:hint="eastAsia"/>
                <w:bCs/>
                <w:color w:val="auto"/>
                <w:szCs w:val="21"/>
                <w:highlight w:val="none"/>
              </w:rPr>
              <w:t>水流速度</w:t>
            </w:r>
          </w:p>
        </w:tc>
        <w:tc>
          <w:tcPr>
            <w:tcW w:w="738" w:type="dxa"/>
            <w:tcBorders>
              <w:tl2br w:val="nil"/>
              <w:tr2bl w:val="nil"/>
            </w:tcBorders>
            <w:vAlign w:val="center"/>
          </w:tcPr>
          <w:p>
            <w:pPr>
              <w:tabs>
                <w:tab w:val="left" w:pos="1080"/>
                <w:tab w:val="left" w:pos="6090"/>
              </w:tabs>
              <w:snapToGrid w:val="0"/>
              <w:jc w:val="center"/>
              <w:rPr>
                <w:color w:val="auto"/>
                <w:highlight w:val="none"/>
              </w:rPr>
            </w:pPr>
            <w:r>
              <w:rPr>
                <w:bCs/>
                <w:color w:val="auto"/>
                <w:szCs w:val="21"/>
                <w:highlight w:val="none"/>
              </w:rPr>
              <w:t>0.06m/d</w:t>
            </w:r>
          </w:p>
        </w:tc>
        <w:tc>
          <w:tcPr>
            <w:tcW w:w="5784" w:type="dxa"/>
            <w:tcBorders>
              <w:tl2br w:val="nil"/>
              <w:tr2bl w:val="nil"/>
            </w:tcBorders>
            <w:vAlign w:val="center"/>
          </w:tcPr>
          <w:p>
            <w:pPr>
              <w:tabs>
                <w:tab w:val="left" w:pos="1080"/>
                <w:tab w:val="left" w:pos="6090"/>
              </w:tabs>
              <w:snapToGrid w:val="0"/>
              <w:jc w:val="left"/>
              <w:rPr>
                <w:color w:val="auto"/>
                <w:highlight w:val="none"/>
              </w:rPr>
            </w:pPr>
            <w:r>
              <w:rPr>
                <w:rFonts w:hint="eastAsia"/>
                <w:bCs/>
                <w:color w:val="auto"/>
                <w:szCs w:val="21"/>
                <w:highlight w:val="none"/>
              </w:rPr>
              <w:t>地下水的平均实际流速</w:t>
            </w:r>
            <w:r>
              <w:rPr>
                <w:bCs/>
                <w:color w:val="auto"/>
                <w:szCs w:val="21"/>
                <w:highlight w:val="none"/>
              </w:rPr>
              <w:t>u= KI /n</w:t>
            </w:r>
            <w:r>
              <w:rPr>
                <w:rFonts w:hint="eastAsia"/>
                <w:bCs/>
                <w:color w:val="auto"/>
                <w:szCs w:val="21"/>
                <w:highlight w:val="none"/>
              </w:rPr>
              <w:t>，根据评价区水文地质条件，渗透系数取1.611</w:t>
            </w:r>
            <w:r>
              <w:rPr>
                <w:bCs/>
                <w:color w:val="auto"/>
                <w:szCs w:val="21"/>
                <w:highlight w:val="none"/>
              </w:rPr>
              <w:t>m/d</w:t>
            </w:r>
            <w:r>
              <w:rPr>
                <w:rFonts w:hint="eastAsia"/>
                <w:bCs/>
                <w:color w:val="auto"/>
                <w:szCs w:val="21"/>
                <w:highlight w:val="none"/>
              </w:rPr>
              <w:t>，水力坡度取</w:t>
            </w:r>
            <w:r>
              <w:rPr>
                <w:bCs/>
                <w:color w:val="auto"/>
                <w:szCs w:val="21"/>
                <w:highlight w:val="none"/>
              </w:rPr>
              <w:t>9‰</w:t>
            </w:r>
            <w:r>
              <w:rPr>
                <w:rFonts w:hint="eastAsia"/>
                <w:bCs/>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pPr>
              <w:rPr>
                <w:color w:val="auto"/>
                <w:highlight w:val="none"/>
              </w:rPr>
            </w:pPr>
            <w:r>
              <w:rPr>
                <w:color w:val="auto"/>
                <w:highlight w:val="none"/>
              </w:rPr>
              <w:t>2</w:t>
            </w:r>
          </w:p>
        </w:tc>
        <w:tc>
          <w:tcPr>
            <w:tcW w:w="664" w:type="dxa"/>
            <w:tcBorders>
              <w:tl2br w:val="nil"/>
              <w:tr2bl w:val="nil"/>
            </w:tcBorders>
            <w:vAlign w:val="center"/>
          </w:tcPr>
          <w:p>
            <w:pPr>
              <w:tabs>
                <w:tab w:val="left" w:pos="1080"/>
                <w:tab w:val="left" w:pos="6090"/>
              </w:tabs>
              <w:snapToGrid w:val="0"/>
              <w:jc w:val="center"/>
              <w:rPr>
                <w:color w:val="auto"/>
                <w:highlight w:val="none"/>
              </w:rPr>
            </w:pPr>
            <w:r>
              <w:rPr>
                <w:bCs/>
                <w:color w:val="auto"/>
                <w:szCs w:val="21"/>
                <w:highlight w:val="none"/>
              </w:rPr>
              <w:t>D</w:t>
            </w:r>
            <w:r>
              <w:rPr>
                <w:bCs/>
                <w:color w:val="auto"/>
                <w:szCs w:val="21"/>
                <w:highlight w:val="none"/>
                <w:vertAlign w:val="subscript"/>
              </w:rPr>
              <w:t>L</w:t>
            </w:r>
          </w:p>
        </w:tc>
        <w:tc>
          <w:tcPr>
            <w:tcW w:w="851" w:type="dxa"/>
            <w:tcBorders>
              <w:tl2br w:val="nil"/>
              <w:tr2bl w:val="nil"/>
            </w:tcBorders>
            <w:vAlign w:val="center"/>
          </w:tcPr>
          <w:p>
            <w:pPr>
              <w:tabs>
                <w:tab w:val="left" w:pos="1080"/>
                <w:tab w:val="left" w:pos="6090"/>
              </w:tabs>
              <w:snapToGrid w:val="0"/>
              <w:jc w:val="center"/>
              <w:rPr>
                <w:color w:val="auto"/>
                <w:highlight w:val="none"/>
              </w:rPr>
            </w:pPr>
            <w:r>
              <w:rPr>
                <w:rFonts w:hint="eastAsia"/>
                <w:bCs/>
                <w:color w:val="auto"/>
                <w:szCs w:val="21"/>
                <w:highlight w:val="none"/>
              </w:rPr>
              <w:t>纵向弥散系数</w:t>
            </w:r>
          </w:p>
        </w:tc>
        <w:tc>
          <w:tcPr>
            <w:tcW w:w="738" w:type="dxa"/>
            <w:tcBorders>
              <w:tl2br w:val="nil"/>
              <w:tr2bl w:val="nil"/>
            </w:tcBorders>
            <w:vAlign w:val="center"/>
          </w:tcPr>
          <w:p>
            <w:pPr>
              <w:tabs>
                <w:tab w:val="left" w:pos="1080"/>
                <w:tab w:val="left" w:pos="6090"/>
              </w:tabs>
              <w:snapToGrid w:val="0"/>
              <w:jc w:val="center"/>
              <w:rPr>
                <w:color w:val="auto"/>
                <w:highlight w:val="none"/>
              </w:rPr>
            </w:pPr>
            <w:r>
              <w:rPr>
                <w:bCs/>
                <w:color w:val="auto"/>
                <w:szCs w:val="21"/>
                <w:highlight w:val="none"/>
              </w:rPr>
              <w:t>0.6m</w:t>
            </w:r>
            <w:r>
              <w:rPr>
                <w:bCs/>
                <w:color w:val="auto"/>
                <w:szCs w:val="21"/>
                <w:highlight w:val="none"/>
                <w:vertAlign w:val="superscript"/>
              </w:rPr>
              <w:t>2</w:t>
            </w:r>
            <w:r>
              <w:rPr>
                <w:bCs/>
                <w:color w:val="auto"/>
                <w:szCs w:val="21"/>
                <w:highlight w:val="none"/>
              </w:rPr>
              <w:t>/d</w:t>
            </w:r>
          </w:p>
        </w:tc>
        <w:tc>
          <w:tcPr>
            <w:tcW w:w="5784" w:type="dxa"/>
            <w:tcBorders>
              <w:tl2br w:val="nil"/>
              <w:tr2bl w:val="nil"/>
            </w:tcBorders>
            <w:vAlign w:val="center"/>
          </w:tcPr>
          <w:p>
            <w:pPr>
              <w:tabs>
                <w:tab w:val="left" w:pos="1080"/>
                <w:tab w:val="left" w:pos="6090"/>
              </w:tabs>
              <w:snapToGrid w:val="0"/>
              <w:jc w:val="left"/>
              <w:rPr>
                <w:color w:val="auto"/>
                <w:highlight w:val="none"/>
              </w:rPr>
            </w:pPr>
            <w:r>
              <w:rPr>
                <w:bCs/>
                <w:color w:val="auto"/>
                <w:szCs w:val="21"/>
                <w:highlight w:val="none"/>
              </w:rPr>
              <w:t>D</w:t>
            </w:r>
            <w:r>
              <w:rPr>
                <w:bCs/>
                <w:color w:val="auto"/>
                <w:szCs w:val="21"/>
                <w:highlight w:val="none"/>
                <w:vertAlign w:val="subscript"/>
              </w:rPr>
              <w:t>L</w:t>
            </w:r>
            <w:r>
              <w:rPr>
                <w:bCs/>
                <w:color w:val="auto"/>
                <w:szCs w:val="21"/>
                <w:highlight w:val="none"/>
              </w:rPr>
              <w:t>=aLu</w:t>
            </w:r>
            <w:r>
              <w:rPr>
                <w:rFonts w:hint="eastAsia"/>
                <w:bCs/>
                <w:color w:val="auto"/>
                <w:szCs w:val="21"/>
                <w:highlight w:val="none"/>
              </w:rPr>
              <w:t>，</w:t>
            </w:r>
            <w:r>
              <w:rPr>
                <w:bCs/>
                <w:color w:val="auto"/>
                <w:szCs w:val="21"/>
                <w:highlight w:val="none"/>
              </w:rPr>
              <w:t>aL</w:t>
            </w:r>
            <w:r>
              <w:rPr>
                <w:rFonts w:hint="eastAsia"/>
                <w:bCs/>
                <w:color w:val="auto"/>
                <w:szCs w:val="21"/>
                <w:highlight w:val="none"/>
              </w:rPr>
              <w:t>为纵向弥散度。参考前人的研究成果，弥散度应介于</w:t>
            </w:r>
            <w:r>
              <w:rPr>
                <w:bCs/>
                <w:color w:val="auto"/>
                <w:szCs w:val="21"/>
                <w:highlight w:val="none"/>
              </w:rPr>
              <w:t>1</w:t>
            </w:r>
            <w:r>
              <w:rPr>
                <w:rFonts w:hint="eastAsia"/>
                <w:bCs/>
                <w:color w:val="auto"/>
                <w:szCs w:val="21"/>
                <w:highlight w:val="none"/>
              </w:rPr>
              <w:t>～</w:t>
            </w:r>
            <w:r>
              <w:rPr>
                <w:bCs/>
                <w:color w:val="auto"/>
                <w:szCs w:val="21"/>
                <w:highlight w:val="none"/>
              </w:rPr>
              <w:t>10</w:t>
            </w:r>
            <w:r>
              <w:rPr>
                <w:rFonts w:hint="eastAsia"/>
                <w:bCs/>
                <w:color w:val="auto"/>
                <w:szCs w:val="21"/>
                <w:highlight w:val="none"/>
              </w:rPr>
              <w:t>之间，按照最不利的评价原则，本次模拟取弥散度参数值取</w:t>
            </w:r>
            <w:r>
              <w:rPr>
                <w:bCs/>
                <w:color w:val="auto"/>
                <w:szCs w:val="21"/>
                <w:highlight w:val="none"/>
              </w:rPr>
              <w:t>10</w:t>
            </w:r>
            <w:r>
              <w:rPr>
                <w:rFonts w:hint="eastAsia"/>
                <w:bCs/>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pPr>
              <w:rPr>
                <w:color w:val="auto"/>
                <w:highlight w:val="none"/>
              </w:rPr>
            </w:pPr>
            <w:r>
              <w:rPr>
                <w:color w:val="auto"/>
                <w:highlight w:val="none"/>
              </w:rPr>
              <w:t>3</w:t>
            </w:r>
          </w:p>
        </w:tc>
        <w:tc>
          <w:tcPr>
            <w:tcW w:w="664" w:type="dxa"/>
            <w:tcBorders>
              <w:tl2br w:val="nil"/>
              <w:tr2bl w:val="nil"/>
            </w:tcBorders>
            <w:vAlign w:val="center"/>
          </w:tcPr>
          <w:p>
            <w:pPr>
              <w:tabs>
                <w:tab w:val="left" w:pos="1080"/>
                <w:tab w:val="left" w:pos="6090"/>
              </w:tabs>
              <w:snapToGrid w:val="0"/>
              <w:jc w:val="center"/>
              <w:rPr>
                <w:color w:val="auto"/>
                <w:highlight w:val="none"/>
              </w:rPr>
            </w:pPr>
            <w:r>
              <w:rPr>
                <w:bCs/>
                <w:color w:val="auto"/>
                <w:szCs w:val="21"/>
                <w:highlight w:val="none"/>
              </w:rPr>
              <w:t>n</w:t>
            </w:r>
          </w:p>
        </w:tc>
        <w:tc>
          <w:tcPr>
            <w:tcW w:w="851" w:type="dxa"/>
            <w:tcBorders>
              <w:tl2br w:val="nil"/>
              <w:tr2bl w:val="nil"/>
            </w:tcBorders>
            <w:vAlign w:val="center"/>
          </w:tcPr>
          <w:p>
            <w:pPr>
              <w:tabs>
                <w:tab w:val="left" w:pos="1080"/>
                <w:tab w:val="left" w:pos="6090"/>
              </w:tabs>
              <w:snapToGrid w:val="0"/>
              <w:jc w:val="center"/>
              <w:rPr>
                <w:color w:val="auto"/>
                <w:highlight w:val="none"/>
              </w:rPr>
            </w:pPr>
            <w:r>
              <w:rPr>
                <w:rFonts w:hint="eastAsia"/>
                <w:bCs/>
                <w:color w:val="auto"/>
                <w:szCs w:val="21"/>
                <w:highlight w:val="none"/>
              </w:rPr>
              <w:t>有效孔隙度</w:t>
            </w:r>
          </w:p>
        </w:tc>
        <w:tc>
          <w:tcPr>
            <w:tcW w:w="738" w:type="dxa"/>
            <w:tcBorders>
              <w:tl2br w:val="nil"/>
              <w:tr2bl w:val="nil"/>
            </w:tcBorders>
            <w:vAlign w:val="center"/>
          </w:tcPr>
          <w:p>
            <w:pPr>
              <w:tabs>
                <w:tab w:val="left" w:pos="1080"/>
                <w:tab w:val="left" w:pos="6090"/>
              </w:tabs>
              <w:snapToGrid w:val="0"/>
              <w:jc w:val="center"/>
              <w:rPr>
                <w:color w:val="auto"/>
                <w:highlight w:val="none"/>
              </w:rPr>
            </w:pPr>
            <w:r>
              <w:rPr>
                <w:bCs/>
                <w:color w:val="auto"/>
                <w:szCs w:val="21"/>
                <w:highlight w:val="none"/>
              </w:rPr>
              <w:t>25%</w:t>
            </w:r>
          </w:p>
        </w:tc>
        <w:tc>
          <w:tcPr>
            <w:tcW w:w="5784" w:type="dxa"/>
            <w:tcBorders>
              <w:tl2br w:val="nil"/>
              <w:tr2bl w:val="nil"/>
            </w:tcBorders>
            <w:vAlign w:val="center"/>
          </w:tcPr>
          <w:p>
            <w:pPr>
              <w:tabs>
                <w:tab w:val="left" w:pos="1080"/>
                <w:tab w:val="left" w:pos="6090"/>
              </w:tabs>
              <w:snapToGrid w:val="0"/>
              <w:jc w:val="left"/>
              <w:rPr>
                <w:rFonts w:hAnsi="宋体" w:cs="宋体"/>
                <w:color w:val="auto"/>
                <w:highlight w:val="none"/>
              </w:rPr>
            </w:pPr>
            <w:r>
              <w:rPr>
                <w:rFonts w:hint="eastAsia"/>
                <w:bCs/>
                <w:color w:val="auto"/>
                <w:szCs w:val="21"/>
                <w:highlight w:val="none"/>
              </w:rPr>
              <w:t>根据项目所在区域含水层特征，确定区域有效孔隙度</w:t>
            </w:r>
            <w:r>
              <w:rPr>
                <w:bCs/>
                <w:color w:val="auto"/>
                <w:szCs w:val="21"/>
                <w:highlight w:val="none"/>
              </w:rPr>
              <w:t>n=0.25</w:t>
            </w:r>
            <w:r>
              <w:rPr>
                <w:rFonts w:hint="eastAsia"/>
                <w:bCs/>
                <w:color w:val="auto"/>
                <w:szCs w:val="21"/>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pPr>
              <w:rPr>
                <w:color w:val="auto"/>
                <w:highlight w:val="none"/>
              </w:rPr>
            </w:pPr>
            <w:r>
              <w:rPr>
                <w:color w:val="auto"/>
                <w:highlight w:val="none"/>
              </w:rPr>
              <w:t>4</w:t>
            </w:r>
          </w:p>
        </w:tc>
        <w:tc>
          <w:tcPr>
            <w:tcW w:w="664" w:type="dxa"/>
            <w:tcBorders>
              <w:tl2br w:val="nil"/>
              <w:tr2bl w:val="nil"/>
            </w:tcBorders>
            <w:vAlign w:val="center"/>
          </w:tcPr>
          <w:p>
            <w:pPr>
              <w:tabs>
                <w:tab w:val="left" w:pos="1080"/>
                <w:tab w:val="left" w:pos="6090"/>
              </w:tabs>
              <w:snapToGrid w:val="0"/>
              <w:jc w:val="center"/>
              <w:rPr>
                <w:color w:val="auto"/>
                <w:highlight w:val="none"/>
              </w:rPr>
            </w:pPr>
            <w:r>
              <w:rPr>
                <w:bCs/>
                <w:color w:val="auto"/>
                <w:szCs w:val="21"/>
                <w:highlight w:val="none"/>
              </w:rPr>
              <w:t>t</w:t>
            </w:r>
          </w:p>
        </w:tc>
        <w:tc>
          <w:tcPr>
            <w:tcW w:w="851" w:type="dxa"/>
            <w:tcBorders>
              <w:tl2br w:val="nil"/>
              <w:tr2bl w:val="nil"/>
            </w:tcBorders>
            <w:vAlign w:val="center"/>
          </w:tcPr>
          <w:p>
            <w:pPr>
              <w:tabs>
                <w:tab w:val="left" w:pos="1080"/>
                <w:tab w:val="left" w:pos="6090"/>
              </w:tabs>
              <w:snapToGrid w:val="0"/>
              <w:jc w:val="center"/>
              <w:rPr>
                <w:color w:val="auto"/>
                <w:highlight w:val="none"/>
              </w:rPr>
            </w:pPr>
            <w:r>
              <w:rPr>
                <w:rFonts w:hint="eastAsia"/>
                <w:bCs/>
                <w:color w:val="auto"/>
                <w:szCs w:val="21"/>
                <w:highlight w:val="none"/>
              </w:rPr>
              <w:t>时间</w:t>
            </w:r>
          </w:p>
        </w:tc>
        <w:tc>
          <w:tcPr>
            <w:tcW w:w="6522" w:type="dxa"/>
            <w:gridSpan w:val="2"/>
            <w:tcBorders>
              <w:tl2br w:val="nil"/>
              <w:tr2bl w:val="nil"/>
            </w:tcBorders>
            <w:vAlign w:val="center"/>
          </w:tcPr>
          <w:p>
            <w:pPr>
              <w:tabs>
                <w:tab w:val="left" w:pos="1080"/>
                <w:tab w:val="left" w:pos="6090"/>
              </w:tabs>
              <w:snapToGrid w:val="0"/>
              <w:jc w:val="left"/>
              <w:rPr>
                <w:color w:val="auto"/>
                <w:highlight w:val="none"/>
              </w:rPr>
            </w:pPr>
            <w:r>
              <w:rPr>
                <w:rFonts w:hint="eastAsia"/>
                <w:bCs/>
                <w:color w:val="auto"/>
                <w:szCs w:val="21"/>
                <w:highlight w:val="none"/>
              </w:rPr>
              <w:t>计算发生渗漏后</w:t>
            </w:r>
            <w:r>
              <w:rPr>
                <w:bCs/>
                <w:color w:val="auto"/>
                <w:szCs w:val="21"/>
                <w:highlight w:val="none"/>
              </w:rPr>
              <w:t>100d</w:t>
            </w:r>
            <w:r>
              <w:rPr>
                <w:rFonts w:hint="eastAsia"/>
                <w:bCs/>
                <w:color w:val="auto"/>
                <w:szCs w:val="21"/>
                <w:highlight w:val="none"/>
              </w:rPr>
              <w:t>、</w:t>
            </w:r>
            <w:r>
              <w:rPr>
                <w:bCs/>
                <w:color w:val="auto"/>
                <w:szCs w:val="21"/>
                <w:highlight w:val="none"/>
              </w:rPr>
              <w:t>1000d</w:t>
            </w:r>
            <w:r>
              <w:rPr>
                <w:rFonts w:hint="eastAsia"/>
                <w:bCs/>
                <w:color w:val="auto"/>
                <w:szCs w:val="21"/>
                <w:highlight w:val="none"/>
              </w:rPr>
              <w:t>、</w:t>
            </w:r>
            <w:r>
              <w:rPr>
                <w:bCs/>
                <w:color w:val="auto"/>
                <w:szCs w:val="21"/>
                <w:highlight w:val="none"/>
              </w:rPr>
              <w:t>3650d</w:t>
            </w:r>
            <w:r>
              <w:rPr>
                <w:rFonts w:hint="eastAsia"/>
                <w:bCs/>
                <w:color w:val="auto"/>
                <w:szCs w:val="21"/>
                <w:highlight w:val="none"/>
              </w:rPr>
              <w:t>后各预测点的浓度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5" w:type="dxa"/>
            <w:tcBorders>
              <w:tl2br w:val="nil"/>
              <w:tr2bl w:val="nil"/>
            </w:tcBorders>
            <w:vAlign w:val="center"/>
          </w:tcPr>
          <w:p>
            <w:pPr>
              <w:rPr>
                <w:color w:val="auto"/>
                <w:highlight w:val="none"/>
              </w:rPr>
            </w:pPr>
            <w:r>
              <w:rPr>
                <w:color w:val="auto"/>
                <w:highlight w:val="none"/>
              </w:rPr>
              <w:t>5</w:t>
            </w:r>
          </w:p>
        </w:tc>
        <w:tc>
          <w:tcPr>
            <w:tcW w:w="664" w:type="dxa"/>
            <w:tcBorders>
              <w:tl2br w:val="nil"/>
              <w:tr2bl w:val="nil"/>
            </w:tcBorders>
            <w:vAlign w:val="center"/>
          </w:tcPr>
          <w:p>
            <w:pPr>
              <w:tabs>
                <w:tab w:val="left" w:pos="1080"/>
                <w:tab w:val="left" w:pos="6090"/>
              </w:tabs>
              <w:snapToGrid w:val="0"/>
              <w:jc w:val="center"/>
              <w:rPr>
                <w:color w:val="auto"/>
                <w:highlight w:val="none"/>
              </w:rPr>
            </w:pPr>
            <w:r>
              <w:rPr>
                <w:bCs/>
                <w:color w:val="auto"/>
                <w:szCs w:val="21"/>
                <w:highlight w:val="none"/>
              </w:rPr>
              <w:t>C</w:t>
            </w:r>
            <w:r>
              <w:rPr>
                <w:bCs/>
                <w:color w:val="auto"/>
                <w:szCs w:val="21"/>
                <w:highlight w:val="none"/>
                <w:vertAlign w:val="subscript"/>
              </w:rPr>
              <w:t>0</w:t>
            </w:r>
          </w:p>
        </w:tc>
        <w:tc>
          <w:tcPr>
            <w:tcW w:w="851" w:type="dxa"/>
            <w:tcBorders>
              <w:tl2br w:val="nil"/>
              <w:tr2bl w:val="nil"/>
            </w:tcBorders>
            <w:vAlign w:val="center"/>
          </w:tcPr>
          <w:p>
            <w:pPr>
              <w:tabs>
                <w:tab w:val="left" w:pos="1080"/>
                <w:tab w:val="left" w:pos="6090"/>
              </w:tabs>
              <w:snapToGrid w:val="0"/>
              <w:jc w:val="center"/>
              <w:rPr>
                <w:color w:val="auto"/>
                <w:highlight w:val="none"/>
              </w:rPr>
            </w:pPr>
            <w:r>
              <w:rPr>
                <w:rFonts w:hint="eastAsia"/>
                <w:bCs/>
                <w:color w:val="auto"/>
                <w:szCs w:val="21"/>
                <w:highlight w:val="none"/>
              </w:rPr>
              <w:t>污染物浓度</w:t>
            </w:r>
          </w:p>
        </w:tc>
        <w:tc>
          <w:tcPr>
            <w:tcW w:w="6522" w:type="dxa"/>
            <w:gridSpan w:val="2"/>
            <w:tcBorders>
              <w:tl2br w:val="nil"/>
              <w:tr2bl w:val="nil"/>
            </w:tcBorders>
            <w:vAlign w:val="center"/>
          </w:tcPr>
          <w:p>
            <w:pPr>
              <w:tabs>
                <w:tab w:val="left" w:pos="1080"/>
                <w:tab w:val="left" w:pos="6090"/>
              </w:tabs>
              <w:snapToGrid w:val="0"/>
              <w:jc w:val="left"/>
              <w:rPr>
                <w:color w:val="auto"/>
                <w:highlight w:val="none"/>
              </w:rPr>
            </w:pPr>
            <w:r>
              <w:rPr>
                <w:rFonts w:hint="eastAsia"/>
                <w:bCs/>
                <w:color w:val="auto"/>
                <w:szCs w:val="21"/>
                <w:highlight w:val="none"/>
              </w:rPr>
              <w:t>根据工程分析，石油类污染物浓度取6</w:t>
            </w:r>
            <w:r>
              <w:rPr>
                <w:bCs/>
                <w:color w:val="auto"/>
                <w:szCs w:val="21"/>
                <w:highlight w:val="none"/>
              </w:rPr>
              <w:t>9.53</w:t>
            </w:r>
            <w:r>
              <w:rPr>
                <w:rFonts w:hint="eastAsia"/>
                <w:bCs/>
                <w:color w:val="auto"/>
                <w:szCs w:val="21"/>
                <w:highlight w:val="none"/>
              </w:rPr>
              <w:t>mg</w:t>
            </w:r>
            <w:r>
              <w:rPr>
                <w:bCs/>
                <w:color w:val="auto"/>
                <w:szCs w:val="21"/>
                <w:highlight w:val="none"/>
              </w:rPr>
              <w:t>/L</w:t>
            </w:r>
            <w:r>
              <w:rPr>
                <w:rFonts w:hint="eastAsia"/>
                <w:bCs/>
                <w:color w:val="auto"/>
                <w:szCs w:val="21"/>
                <w:highlight w:val="none"/>
              </w:rPr>
              <w:t>。</w:t>
            </w:r>
            <w:r>
              <w:rPr>
                <w:rFonts w:hint="eastAsia"/>
                <w:bCs/>
                <w:color w:val="auto"/>
                <w:szCs w:val="18"/>
                <w:highlight w:val="none"/>
              </w:rPr>
              <w:t>石油类参照《地表水环境质量标准》（</w:t>
            </w:r>
            <w:r>
              <w:rPr>
                <w:bCs/>
                <w:color w:val="auto"/>
                <w:szCs w:val="18"/>
                <w:highlight w:val="none"/>
              </w:rPr>
              <w:t>GB3838-2002</w:t>
            </w:r>
            <w:r>
              <w:rPr>
                <w:rFonts w:hint="eastAsia"/>
                <w:bCs/>
                <w:color w:val="auto"/>
                <w:szCs w:val="18"/>
                <w:highlight w:val="none"/>
              </w:rPr>
              <w:t>）中Ⅲ类，将石油类污染物浓度标准定为</w:t>
            </w:r>
            <w:r>
              <w:rPr>
                <w:bCs/>
                <w:color w:val="auto"/>
                <w:szCs w:val="18"/>
                <w:highlight w:val="none"/>
              </w:rPr>
              <w:t>0.05mg/L</w:t>
            </w:r>
            <w:r>
              <w:rPr>
                <w:rFonts w:hint="eastAsia"/>
                <w:bCs/>
                <w:color w:val="auto"/>
                <w:szCs w:val="18"/>
                <w:highlight w:val="none"/>
              </w:rPr>
              <w:t>。检出限为</w:t>
            </w:r>
            <w:r>
              <w:rPr>
                <w:bCs/>
                <w:color w:val="auto"/>
                <w:szCs w:val="18"/>
                <w:highlight w:val="none"/>
              </w:rPr>
              <w:t>0.01mg/L</w:t>
            </w:r>
            <w:r>
              <w:rPr>
                <w:rFonts w:hint="eastAsia"/>
                <w:bCs/>
                <w:color w:val="auto"/>
                <w:szCs w:val="18"/>
                <w:highlight w:val="none"/>
              </w:rPr>
              <w:t>。</w:t>
            </w:r>
          </w:p>
        </w:tc>
      </w:tr>
    </w:tbl>
    <w:p>
      <w:pPr>
        <w:pStyle w:val="57"/>
        <w:keepNext w:val="0"/>
        <w:keepLines w:val="0"/>
        <w:pageBreakBefore w:val="0"/>
        <w:widowControl/>
        <w:kinsoku/>
        <w:wordWrap/>
        <w:overflowPunct/>
        <w:topLinePunct w:val="0"/>
        <w:autoSpaceDE/>
        <w:autoSpaceDN/>
        <w:bidi w:val="0"/>
        <w:spacing w:line="480" w:lineRule="exact"/>
        <w:ind w:left="0" w:leftChars="0" w:firstLine="480" w:firstLineChars="200"/>
        <w:jc w:val="left"/>
        <w:textAlignment w:val="auto"/>
        <w:rPr>
          <w:color w:val="auto"/>
          <w:highlight w:val="none"/>
        </w:rPr>
      </w:pPr>
      <w:r>
        <w:rPr>
          <w:rFonts w:hint="eastAsia"/>
          <w:color w:val="auto"/>
          <w:highlight w:val="none"/>
        </w:rPr>
        <w:t>⑥</w:t>
      </w:r>
      <w:r>
        <w:rPr>
          <w:color w:val="auto"/>
          <w:highlight w:val="none"/>
        </w:rPr>
        <w:t>预测结果与分析</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bCs/>
          <w:color w:val="auto"/>
          <w:highlight w:val="none"/>
        </w:rPr>
      </w:pPr>
      <w:r>
        <w:rPr>
          <w:rFonts w:hint="eastAsia"/>
          <w:bCs/>
          <w:color w:val="auto"/>
          <w:sz w:val="24"/>
          <w:szCs w:val="24"/>
          <w:highlight w:val="none"/>
        </w:rPr>
        <w:t>将以上确定</w:t>
      </w:r>
      <w:r>
        <w:rPr>
          <w:rFonts w:hint="eastAsia"/>
          <w:bCs/>
          <w:color w:val="auto"/>
          <w:sz w:val="24"/>
          <w:szCs w:val="24"/>
          <w:highlight w:val="none"/>
          <w:lang w:eastAsia="zh-CN"/>
        </w:rPr>
        <w:t>的</w:t>
      </w:r>
      <w:r>
        <w:rPr>
          <w:rFonts w:hint="eastAsia"/>
          <w:bCs/>
          <w:color w:val="auto"/>
          <w:sz w:val="24"/>
          <w:szCs w:val="24"/>
          <w:highlight w:val="none"/>
        </w:rPr>
        <w:t>参数代入模型，便可以求出不同时段，在预测情景下，泄露了不同天数（</w:t>
      </w:r>
      <w:r>
        <w:rPr>
          <w:bCs/>
          <w:color w:val="auto"/>
          <w:sz w:val="24"/>
          <w:szCs w:val="24"/>
          <w:highlight w:val="none"/>
        </w:rPr>
        <w:t>100</w:t>
      </w:r>
      <w:r>
        <w:rPr>
          <w:rFonts w:hint="eastAsia"/>
          <w:bCs/>
          <w:color w:val="auto"/>
          <w:sz w:val="24"/>
          <w:szCs w:val="24"/>
          <w:highlight w:val="none"/>
        </w:rPr>
        <w:t>天、</w:t>
      </w:r>
      <w:r>
        <w:rPr>
          <w:bCs/>
          <w:color w:val="auto"/>
          <w:sz w:val="24"/>
          <w:szCs w:val="24"/>
          <w:highlight w:val="none"/>
        </w:rPr>
        <w:t>1000</w:t>
      </w:r>
      <w:r>
        <w:rPr>
          <w:rFonts w:hint="eastAsia"/>
          <w:bCs/>
          <w:color w:val="auto"/>
          <w:sz w:val="24"/>
          <w:szCs w:val="24"/>
          <w:highlight w:val="none"/>
        </w:rPr>
        <w:t>天、</w:t>
      </w:r>
      <w:r>
        <w:rPr>
          <w:bCs/>
          <w:color w:val="auto"/>
          <w:sz w:val="24"/>
          <w:szCs w:val="24"/>
          <w:highlight w:val="none"/>
        </w:rPr>
        <w:t>3650</w:t>
      </w:r>
      <w:r>
        <w:rPr>
          <w:rFonts w:hint="eastAsia"/>
          <w:bCs/>
          <w:color w:val="auto"/>
          <w:sz w:val="24"/>
          <w:szCs w:val="24"/>
          <w:highlight w:val="none"/>
        </w:rPr>
        <w:t>天）时，污染物在含水层不同位置的浓度分布情况。具体见表</w:t>
      </w:r>
      <w:r>
        <w:rPr>
          <w:bCs/>
          <w:color w:val="auto"/>
          <w:sz w:val="24"/>
          <w:szCs w:val="24"/>
          <w:highlight w:val="none"/>
        </w:rPr>
        <w:t>5.</w:t>
      </w:r>
      <w:r>
        <w:rPr>
          <w:rFonts w:hint="eastAsia"/>
          <w:bCs/>
          <w:color w:val="auto"/>
          <w:sz w:val="24"/>
          <w:szCs w:val="24"/>
          <w:highlight w:val="none"/>
          <w:lang w:val="en-US" w:eastAsia="zh-CN"/>
        </w:rPr>
        <w:t>2</w:t>
      </w:r>
      <w:r>
        <w:rPr>
          <w:bCs/>
          <w:color w:val="auto"/>
          <w:sz w:val="24"/>
          <w:szCs w:val="24"/>
          <w:highlight w:val="none"/>
        </w:rPr>
        <w:t>-3</w:t>
      </w:r>
      <w:r>
        <w:rPr>
          <w:rFonts w:hint="eastAsia"/>
          <w:bCs/>
          <w:color w:val="auto"/>
          <w:sz w:val="24"/>
          <w:szCs w:val="24"/>
          <w:highlight w:val="none"/>
        </w:rPr>
        <w:t>、表</w:t>
      </w:r>
      <w:r>
        <w:rPr>
          <w:bCs/>
          <w:color w:val="auto"/>
          <w:sz w:val="24"/>
          <w:szCs w:val="24"/>
          <w:highlight w:val="none"/>
        </w:rPr>
        <w:t>5.</w:t>
      </w:r>
      <w:r>
        <w:rPr>
          <w:rFonts w:hint="eastAsia"/>
          <w:bCs/>
          <w:color w:val="auto"/>
          <w:sz w:val="24"/>
          <w:szCs w:val="24"/>
          <w:highlight w:val="none"/>
          <w:lang w:val="en-US" w:eastAsia="zh-CN"/>
        </w:rPr>
        <w:t>2</w:t>
      </w:r>
      <w:r>
        <w:rPr>
          <w:bCs/>
          <w:color w:val="auto"/>
          <w:sz w:val="24"/>
          <w:szCs w:val="24"/>
          <w:highlight w:val="none"/>
        </w:rPr>
        <w:t>-4</w:t>
      </w:r>
      <w:r>
        <w:rPr>
          <w:rFonts w:hint="eastAsia"/>
          <w:bCs/>
          <w:color w:val="auto"/>
          <w:sz w:val="24"/>
          <w:szCs w:val="24"/>
          <w:highlight w:val="none"/>
        </w:rPr>
        <w:t>，图</w:t>
      </w:r>
      <w:r>
        <w:rPr>
          <w:bCs/>
          <w:color w:val="auto"/>
          <w:sz w:val="24"/>
          <w:szCs w:val="24"/>
          <w:highlight w:val="none"/>
        </w:rPr>
        <w:t>5.</w:t>
      </w:r>
      <w:r>
        <w:rPr>
          <w:rFonts w:hint="eastAsia"/>
          <w:bCs/>
          <w:color w:val="auto"/>
          <w:sz w:val="24"/>
          <w:szCs w:val="24"/>
          <w:highlight w:val="none"/>
          <w:lang w:val="en-US" w:eastAsia="zh-CN"/>
        </w:rPr>
        <w:t>2</w:t>
      </w:r>
      <w:r>
        <w:rPr>
          <w:bCs/>
          <w:color w:val="auto"/>
          <w:sz w:val="24"/>
          <w:szCs w:val="24"/>
          <w:highlight w:val="none"/>
        </w:rPr>
        <w:t>-</w:t>
      </w:r>
      <w:r>
        <w:rPr>
          <w:rFonts w:hint="eastAsia"/>
          <w:bCs/>
          <w:color w:val="auto"/>
          <w:sz w:val="24"/>
          <w:szCs w:val="24"/>
          <w:highlight w:val="none"/>
          <w:lang w:val="en-US" w:eastAsia="zh-CN"/>
        </w:rPr>
        <w:t>2</w:t>
      </w:r>
      <w:r>
        <w:rPr>
          <w:rFonts w:hint="eastAsia"/>
          <w:bCs/>
          <w:color w:val="auto"/>
          <w:sz w:val="24"/>
          <w:szCs w:val="24"/>
          <w:highlight w:val="none"/>
        </w:rPr>
        <w:t>。</w:t>
      </w:r>
    </w:p>
    <w:p>
      <w:pPr>
        <w:keepNext w:val="0"/>
        <w:keepLines w:val="0"/>
        <w:pageBreakBefore w:val="0"/>
        <w:widowControl/>
        <w:kinsoku/>
        <w:wordWrap/>
        <w:overflowPunct/>
        <w:topLinePunct w:val="0"/>
        <w:autoSpaceDE/>
        <w:autoSpaceDN/>
        <w:bidi w:val="0"/>
        <w:spacing w:line="480" w:lineRule="exact"/>
        <w:ind w:firstLine="422" w:firstLineChars="200"/>
        <w:textAlignment w:val="auto"/>
        <w:rPr>
          <w:b/>
          <w:bCs/>
          <w:color w:val="auto"/>
          <w:position w:val="-3"/>
          <w:sz w:val="22"/>
          <w:szCs w:val="22"/>
          <w:highlight w:val="none"/>
        </w:rPr>
      </w:pPr>
      <w:r>
        <w:rPr>
          <w:rFonts w:hint="eastAsia"/>
          <w:b/>
          <w:bCs/>
          <w:color w:val="auto"/>
          <w:position w:val="-3"/>
          <w:highlight w:val="none"/>
        </w:rPr>
        <w:t>表</w:t>
      </w:r>
      <w:r>
        <w:rPr>
          <w:b/>
          <w:bCs/>
          <w:color w:val="auto"/>
          <w:position w:val="-3"/>
          <w:highlight w:val="none"/>
        </w:rPr>
        <w:t>5.</w:t>
      </w:r>
      <w:r>
        <w:rPr>
          <w:rFonts w:hint="eastAsia"/>
          <w:b/>
          <w:bCs/>
          <w:color w:val="auto"/>
          <w:position w:val="-3"/>
          <w:highlight w:val="none"/>
          <w:lang w:val="en-US" w:eastAsia="zh-CN"/>
        </w:rPr>
        <w:t>2</w:t>
      </w:r>
      <w:r>
        <w:rPr>
          <w:b/>
          <w:bCs/>
          <w:color w:val="auto"/>
          <w:position w:val="-3"/>
          <w:highlight w:val="none"/>
        </w:rPr>
        <w:t xml:space="preserve">-3          </w:t>
      </w:r>
      <w:r>
        <w:rPr>
          <w:rFonts w:hint="eastAsia"/>
          <w:b/>
          <w:bCs/>
          <w:color w:val="auto"/>
          <w:position w:val="-3"/>
          <w:highlight w:val="none"/>
        </w:rPr>
        <w:t>石油类污染物在潜水含水层中的浓度迁移预测结果</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44"/>
        <w:gridCol w:w="1523"/>
        <w:gridCol w:w="1346"/>
        <w:gridCol w:w="1638"/>
        <w:gridCol w:w="1346"/>
        <w:gridCol w:w="163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623" w:type="pct"/>
            <w:gridSpan w:val="2"/>
            <w:tcBorders>
              <w:tl2br w:val="nil"/>
              <w:tr2bl w:val="nil"/>
            </w:tcBorders>
            <w:noWrap/>
            <w:vAlign w:val="center"/>
          </w:tcPr>
          <w:p>
            <w:pPr>
              <w:jc w:val="center"/>
              <w:rPr>
                <w:color w:val="auto"/>
                <w:szCs w:val="21"/>
                <w:highlight w:val="none"/>
              </w:rPr>
            </w:pPr>
            <w:r>
              <w:rPr>
                <w:color w:val="auto"/>
                <w:szCs w:val="21"/>
                <w:highlight w:val="none"/>
              </w:rPr>
              <w:t>100d</w:t>
            </w:r>
          </w:p>
        </w:tc>
        <w:tc>
          <w:tcPr>
            <w:tcW w:w="1689" w:type="pct"/>
            <w:gridSpan w:val="2"/>
            <w:tcBorders>
              <w:tl2br w:val="nil"/>
              <w:tr2bl w:val="nil"/>
            </w:tcBorders>
            <w:noWrap/>
            <w:vAlign w:val="center"/>
          </w:tcPr>
          <w:p>
            <w:pPr>
              <w:jc w:val="center"/>
              <w:rPr>
                <w:color w:val="auto"/>
                <w:szCs w:val="21"/>
                <w:highlight w:val="none"/>
              </w:rPr>
            </w:pPr>
            <w:r>
              <w:rPr>
                <w:color w:val="auto"/>
                <w:szCs w:val="21"/>
                <w:highlight w:val="none"/>
              </w:rPr>
              <w:t>1000d</w:t>
            </w:r>
          </w:p>
        </w:tc>
        <w:tc>
          <w:tcPr>
            <w:tcW w:w="1689" w:type="pct"/>
            <w:gridSpan w:val="2"/>
            <w:tcBorders>
              <w:tl2br w:val="nil"/>
              <w:tr2bl w:val="nil"/>
            </w:tcBorders>
            <w:noWrap/>
            <w:vAlign w:val="center"/>
          </w:tcPr>
          <w:p>
            <w:pPr>
              <w:jc w:val="center"/>
              <w:rPr>
                <w:color w:val="auto"/>
                <w:szCs w:val="21"/>
                <w:highlight w:val="none"/>
              </w:rPr>
            </w:pPr>
            <w:r>
              <w:rPr>
                <w:color w:val="auto"/>
                <w:szCs w:val="21"/>
                <w:highlight w:val="none"/>
              </w:rPr>
              <w:t>3650d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color w:val="auto"/>
                <w:szCs w:val="21"/>
                <w:highlight w:val="none"/>
              </w:rPr>
            </w:pPr>
            <w:r>
              <w:rPr>
                <w:rFonts w:hint="eastAsia"/>
                <w:color w:val="auto"/>
                <w:szCs w:val="21"/>
                <w:highlight w:val="none"/>
              </w:rPr>
              <w:t>距离（</w:t>
            </w:r>
            <w:r>
              <w:rPr>
                <w:color w:val="auto"/>
                <w:szCs w:val="21"/>
                <w:highlight w:val="none"/>
              </w:rPr>
              <w:t>m</w:t>
            </w:r>
            <w:r>
              <w:rPr>
                <w:rFonts w:hint="eastAsia"/>
                <w:color w:val="auto"/>
                <w:szCs w:val="21"/>
                <w:highlight w:val="none"/>
              </w:rPr>
              <w:t>）</w:t>
            </w:r>
          </w:p>
        </w:tc>
        <w:tc>
          <w:tcPr>
            <w:tcW w:w="862" w:type="pct"/>
            <w:tcBorders>
              <w:tl2br w:val="nil"/>
              <w:tr2bl w:val="nil"/>
            </w:tcBorders>
            <w:noWrap/>
            <w:vAlign w:val="center"/>
          </w:tcPr>
          <w:p>
            <w:pPr>
              <w:jc w:val="center"/>
              <w:rPr>
                <w:color w:val="auto"/>
                <w:szCs w:val="21"/>
                <w:highlight w:val="none"/>
              </w:rPr>
            </w:pPr>
            <w:r>
              <w:rPr>
                <w:rFonts w:hint="eastAsia"/>
                <w:color w:val="auto"/>
                <w:szCs w:val="21"/>
                <w:highlight w:val="none"/>
              </w:rPr>
              <w:t>浓度</w:t>
            </w:r>
            <w:r>
              <w:rPr>
                <w:color w:val="auto"/>
                <w:szCs w:val="21"/>
                <w:highlight w:val="none"/>
              </w:rPr>
              <w:t xml:space="preserve">c(mg/L) </w:t>
            </w:r>
          </w:p>
        </w:tc>
        <w:tc>
          <w:tcPr>
            <w:tcW w:w="762" w:type="pct"/>
            <w:tcBorders>
              <w:tl2br w:val="nil"/>
              <w:tr2bl w:val="nil"/>
            </w:tcBorders>
            <w:noWrap/>
            <w:vAlign w:val="center"/>
          </w:tcPr>
          <w:p>
            <w:pPr>
              <w:jc w:val="center"/>
              <w:rPr>
                <w:color w:val="auto"/>
                <w:szCs w:val="21"/>
                <w:highlight w:val="none"/>
              </w:rPr>
            </w:pPr>
            <w:r>
              <w:rPr>
                <w:rFonts w:hint="eastAsia"/>
                <w:color w:val="auto"/>
                <w:szCs w:val="21"/>
                <w:highlight w:val="none"/>
              </w:rPr>
              <w:t>距离（</w:t>
            </w:r>
            <w:r>
              <w:rPr>
                <w:color w:val="auto"/>
                <w:szCs w:val="21"/>
                <w:highlight w:val="none"/>
              </w:rPr>
              <w:t>m</w:t>
            </w:r>
            <w:r>
              <w:rPr>
                <w:rFonts w:hint="eastAsia"/>
                <w:color w:val="auto"/>
                <w:szCs w:val="21"/>
                <w:highlight w:val="none"/>
              </w:rPr>
              <w:t>）</w:t>
            </w:r>
          </w:p>
        </w:tc>
        <w:tc>
          <w:tcPr>
            <w:tcW w:w="927" w:type="pct"/>
            <w:tcBorders>
              <w:tl2br w:val="nil"/>
              <w:tr2bl w:val="nil"/>
            </w:tcBorders>
            <w:noWrap/>
            <w:vAlign w:val="center"/>
          </w:tcPr>
          <w:p>
            <w:pPr>
              <w:jc w:val="center"/>
              <w:rPr>
                <w:color w:val="auto"/>
                <w:szCs w:val="21"/>
                <w:highlight w:val="none"/>
              </w:rPr>
            </w:pPr>
            <w:r>
              <w:rPr>
                <w:color w:val="auto"/>
                <w:szCs w:val="21"/>
                <w:highlight w:val="none"/>
              </w:rPr>
              <w:t xml:space="preserve"> </w:t>
            </w:r>
            <w:r>
              <w:rPr>
                <w:rFonts w:hint="eastAsia"/>
                <w:color w:val="auto"/>
                <w:szCs w:val="21"/>
                <w:highlight w:val="none"/>
              </w:rPr>
              <w:t>浓度</w:t>
            </w:r>
            <w:r>
              <w:rPr>
                <w:color w:val="auto"/>
                <w:szCs w:val="21"/>
                <w:highlight w:val="none"/>
              </w:rPr>
              <w:t xml:space="preserve">c(mg/L) </w:t>
            </w:r>
          </w:p>
        </w:tc>
        <w:tc>
          <w:tcPr>
            <w:tcW w:w="762" w:type="pct"/>
            <w:tcBorders>
              <w:tl2br w:val="nil"/>
              <w:tr2bl w:val="nil"/>
            </w:tcBorders>
            <w:noWrap/>
            <w:vAlign w:val="center"/>
          </w:tcPr>
          <w:p>
            <w:pPr>
              <w:jc w:val="center"/>
              <w:rPr>
                <w:color w:val="auto"/>
                <w:szCs w:val="21"/>
                <w:highlight w:val="none"/>
              </w:rPr>
            </w:pPr>
            <w:r>
              <w:rPr>
                <w:rFonts w:hint="eastAsia"/>
                <w:color w:val="auto"/>
                <w:szCs w:val="21"/>
                <w:highlight w:val="none"/>
              </w:rPr>
              <w:t>距离（</w:t>
            </w:r>
            <w:r>
              <w:rPr>
                <w:color w:val="auto"/>
                <w:szCs w:val="21"/>
                <w:highlight w:val="none"/>
              </w:rPr>
              <w:t>m</w:t>
            </w:r>
            <w:r>
              <w:rPr>
                <w:rFonts w:hint="eastAsia"/>
                <w:color w:val="auto"/>
                <w:szCs w:val="21"/>
                <w:highlight w:val="none"/>
              </w:rPr>
              <w:t>）</w:t>
            </w:r>
          </w:p>
        </w:tc>
        <w:tc>
          <w:tcPr>
            <w:tcW w:w="927" w:type="pct"/>
            <w:tcBorders>
              <w:tl2br w:val="nil"/>
              <w:tr2bl w:val="nil"/>
            </w:tcBorders>
            <w:noWrap/>
            <w:vAlign w:val="center"/>
          </w:tcPr>
          <w:p>
            <w:pPr>
              <w:jc w:val="center"/>
              <w:rPr>
                <w:color w:val="auto"/>
                <w:szCs w:val="21"/>
                <w:highlight w:val="none"/>
              </w:rPr>
            </w:pPr>
            <w:r>
              <w:rPr>
                <w:color w:val="auto"/>
                <w:szCs w:val="21"/>
                <w:highlight w:val="none"/>
              </w:rPr>
              <w:t xml:space="preserve"> </w:t>
            </w:r>
            <w:r>
              <w:rPr>
                <w:rFonts w:hint="eastAsia"/>
                <w:color w:val="auto"/>
                <w:szCs w:val="21"/>
                <w:highlight w:val="none"/>
              </w:rPr>
              <w:t>浓度</w:t>
            </w:r>
            <w:r>
              <w:rPr>
                <w:color w:val="auto"/>
                <w:szCs w:val="21"/>
                <w:highlight w:val="none"/>
              </w:rPr>
              <w:t xml:space="preserve">c(mg/L)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widowControl/>
              <w:jc w:val="center"/>
              <w:rPr>
                <w:rFonts w:eastAsia="等线"/>
                <w:color w:val="auto"/>
                <w:kern w:val="0"/>
                <w:sz w:val="22"/>
                <w:szCs w:val="22"/>
                <w:highlight w:val="none"/>
              </w:rPr>
            </w:pPr>
            <w:r>
              <w:rPr>
                <w:rFonts w:eastAsia="等线"/>
                <w:color w:val="auto"/>
                <w:sz w:val="22"/>
                <w:szCs w:val="22"/>
                <w:highlight w:val="none"/>
              </w:rPr>
              <w:t>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69.500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69.500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69.500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38.500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62.600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69.300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11.500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42.200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120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66.600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1.700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90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17.600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180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54.000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40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0.117</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120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4.050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240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29.900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43</w:t>
            </w:r>
          </w:p>
        </w:tc>
        <w:tc>
          <w:tcPr>
            <w:tcW w:w="862"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0.05</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150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0.48</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300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9.460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47</w:t>
            </w:r>
          </w:p>
        </w:tc>
        <w:tc>
          <w:tcPr>
            <w:tcW w:w="862"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0.01</w:t>
            </w:r>
          </w:p>
        </w:tc>
        <w:tc>
          <w:tcPr>
            <w:tcW w:w="762"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174</w:t>
            </w:r>
          </w:p>
        </w:tc>
        <w:tc>
          <w:tcPr>
            <w:tcW w:w="927"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0.05</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360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1.150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50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0.004</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180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0.03</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420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189</w:t>
            </w:r>
          </w:p>
        </w:tc>
        <w:tc>
          <w:tcPr>
            <w:tcW w:w="927"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0.01</w:t>
            </w:r>
          </w:p>
        </w:tc>
        <w:tc>
          <w:tcPr>
            <w:tcW w:w="762"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429</w:t>
            </w:r>
          </w:p>
        </w:tc>
        <w:tc>
          <w:tcPr>
            <w:tcW w:w="927"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0.05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70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210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c>
          <w:tcPr>
            <w:tcW w:w="762"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458</w:t>
            </w:r>
          </w:p>
        </w:tc>
        <w:tc>
          <w:tcPr>
            <w:tcW w:w="927" w:type="pct"/>
            <w:tcBorders>
              <w:tl2br w:val="nil"/>
              <w:tr2bl w:val="nil"/>
            </w:tcBorders>
            <w:noWrap/>
            <w:vAlign w:val="center"/>
          </w:tcPr>
          <w:p>
            <w:pPr>
              <w:jc w:val="center"/>
              <w:rPr>
                <w:rFonts w:eastAsia="等线"/>
                <w:b/>
                <w:bCs/>
                <w:color w:val="auto"/>
                <w:sz w:val="22"/>
                <w:szCs w:val="22"/>
                <w:highlight w:val="none"/>
              </w:rPr>
            </w:pPr>
            <w:r>
              <w:rPr>
                <w:rFonts w:eastAsia="等线"/>
                <w:b/>
                <w:bCs/>
                <w:color w:val="auto"/>
                <w:sz w:val="22"/>
                <w:szCs w:val="22"/>
                <w:highlight w:val="none"/>
              </w:rPr>
              <w:t>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80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240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480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61"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90</w:t>
            </w:r>
          </w:p>
        </w:tc>
        <w:tc>
          <w:tcPr>
            <w:tcW w:w="8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270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62"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540</w:t>
            </w:r>
          </w:p>
        </w:tc>
        <w:tc>
          <w:tcPr>
            <w:tcW w:w="92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r>
    </w:tbl>
    <w:p>
      <w:pPr>
        <w:keepNext w:val="0"/>
        <w:keepLines w:val="0"/>
        <w:pageBreakBefore w:val="0"/>
        <w:widowControl w:val="0"/>
        <w:kinsoku/>
        <w:wordWrap/>
        <w:overflowPunct/>
        <w:topLinePunct w:val="0"/>
        <w:autoSpaceDE/>
        <w:autoSpaceDN/>
        <w:bidi w:val="0"/>
        <w:adjustRightInd/>
        <w:snapToGrid/>
        <w:spacing w:line="240" w:lineRule="auto"/>
        <w:ind w:firstLine="422" w:firstLineChars="200"/>
        <w:jc w:val="center"/>
        <w:textAlignment w:val="auto"/>
        <w:rPr>
          <w:b/>
          <w:bCs/>
          <w:color w:val="auto"/>
          <w:position w:val="-3"/>
          <w:highlight w:val="none"/>
        </w:rPr>
      </w:pPr>
      <w:r>
        <w:rPr>
          <w:rFonts w:hint="eastAsia"/>
          <w:b/>
          <w:bCs/>
          <w:color w:val="auto"/>
          <w:position w:val="-3"/>
          <w:highlight w:val="none"/>
        </w:rPr>
        <w:t>表</w:t>
      </w:r>
      <w:r>
        <w:rPr>
          <w:b/>
          <w:bCs/>
          <w:color w:val="auto"/>
          <w:position w:val="-3"/>
          <w:highlight w:val="none"/>
        </w:rPr>
        <w:t>5.</w:t>
      </w:r>
      <w:r>
        <w:rPr>
          <w:rFonts w:hint="eastAsia"/>
          <w:b/>
          <w:bCs/>
          <w:color w:val="auto"/>
          <w:position w:val="-3"/>
          <w:highlight w:val="none"/>
          <w:lang w:val="en-US" w:eastAsia="zh-CN"/>
        </w:rPr>
        <w:t>2</w:t>
      </w:r>
      <w:r>
        <w:rPr>
          <w:b/>
          <w:bCs/>
          <w:color w:val="auto"/>
          <w:position w:val="-3"/>
          <w:highlight w:val="none"/>
        </w:rPr>
        <w:t xml:space="preserve">-4                        </w:t>
      </w:r>
      <w:r>
        <w:rPr>
          <w:rFonts w:hint="eastAsia"/>
          <w:b/>
          <w:bCs/>
          <w:color w:val="auto"/>
          <w:position w:val="-3"/>
          <w:highlight w:val="none"/>
        </w:rPr>
        <w:t>预测结果统计表</w:t>
      </w:r>
    </w:p>
    <w:tbl>
      <w:tblPr>
        <w:tblStyle w:val="34"/>
        <w:tblW w:w="49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1443"/>
        <w:gridCol w:w="2416"/>
        <w:gridCol w:w="1589"/>
        <w:gridCol w:w="1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tcBorders>
              <w:tl2br w:val="nil"/>
              <w:tr2bl w:val="nil"/>
            </w:tcBorders>
            <w:vAlign w:val="center"/>
          </w:tcPr>
          <w:p>
            <w:pPr>
              <w:jc w:val="center"/>
              <w:rPr>
                <w:color w:val="auto"/>
                <w:szCs w:val="18"/>
                <w:highlight w:val="none"/>
              </w:rPr>
            </w:pPr>
            <w:r>
              <w:rPr>
                <w:rFonts w:hint="eastAsia"/>
                <w:color w:val="auto"/>
                <w:szCs w:val="18"/>
                <w:highlight w:val="none"/>
              </w:rPr>
              <w:t>预测因子</w:t>
            </w:r>
          </w:p>
        </w:tc>
        <w:tc>
          <w:tcPr>
            <w:tcW w:w="819" w:type="pct"/>
            <w:tcBorders>
              <w:tl2br w:val="nil"/>
              <w:tr2bl w:val="nil"/>
            </w:tcBorders>
            <w:vAlign w:val="center"/>
          </w:tcPr>
          <w:p>
            <w:pPr>
              <w:jc w:val="center"/>
              <w:rPr>
                <w:color w:val="auto"/>
                <w:szCs w:val="18"/>
                <w:highlight w:val="none"/>
              </w:rPr>
            </w:pPr>
            <w:r>
              <w:rPr>
                <w:rFonts w:hint="eastAsia"/>
                <w:color w:val="auto"/>
                <w:szCs w:val="18"/>
                <w:highlight w:val="none"/>
              </w:rPr>
              <w:t>预测时间</w:t>
            </w:r>
          </w:p>
        </w:tc>
        <w:tc>
          <w:tcPr>
            <w:tcW w:w="1371" w:type="pct"/>
            <w:tcBorders>
              <w:tl2br w:val="nil"/>
              <w:tr2bl w:val="nil"/>
            </w:tcBorders>
            <w:vAlign w:val="center"/>
          </w:tcPr>
          <w:p>
            <w:pPr>
              <w:jc w:val="center"/>
              <w:rPr>
                <w:color w:val="auto"/>
                <w:szCs w:val="18"/>
                <w:highlight w:val="none"/>
              </w:rPr>
            </w:pPr>
            <w:r>
              <w:rPr>
                <w:rFonts w:hint="eastAsia"/>
                <w:color w:val="auto"/>
                <w:szCs w:val="18"/>
                <w:highlight w:val="none"/>
              </w:rPr>
              <w:t>超标距离</w:t>
            </w:r>
          </w:p>
          <w:p>
            <w:pPr>
              <w:jc w:val="center"/>
              <w:rPr>
                <w:color w:val="auto"/>
                <w:szCs w:val="18"/>
                <w:highlight w:val="none"/>
              </w:rPr>
            </w:pPr>
            <w:r>
              <w:rPr>
                <w:rFonts w:hint="eastAsia"/>
                <w:color w:val="auto"/>
                <w:szCs w:val="18"/>
                <w:highlight w:val="none"/>
              </w:rPr>
              <w:t>（</w:t>
            </w:r>
            <w:r>
              <w:rPr>
                <w:color w:val="auto"/>
                <w:szCs w:val="18"/>
                <w:highlight w:val="none"/>
              </w:rPr>
              <w:t>m</w:t>
            </w:r>
            <w:r>
              <w:rPr>
                <w:rFonts w:hint="eastAsia"/>
                <w:color w:val="auto"/>
                <w:szCs w:val="18"/>
                <w:highlight w:val="none"/>
              </w:rPr>
              <w:t>）</w:t>
            </w:r>
          </w:p>
        </w:tc>
        <w:tc>
          <w:tcPr>
            <w:tcW w:w="902" w:type="pct"/>
            <w:tcBorders>
              <w:tl2br w:val="nil"/>
              <w:tr2bl w:val="nil"/>
            </w:tcBorders>
            <w:vAlign w:val="center"/>
          </w:tcPr>
          <w:p>
            <w:pPr>
              <w:jc w:val="center"/>
              <w:rPr>
                <w:color w:val="auto"/>
                <w:szCs w:val="18"/>
                <w:highlight w:val="none"/>
              </w:rPr>
            </w:pPr>
            <w:r>
              <w:rPr>
                <w:rFonts w:hint="eastAsia"/>
                <w:color w:val="auto"/>
                <w:szCs w:val="18"/>
                <w:highlight w:val="none"/>
              </w:rPr>
              <w:t>影响距离（</w:t>
            </w:r>
            <w:r>
              <w:rPr>
                <w:color w:val="auto"/>
                <w:szCs w:val="18"/>
                <w:highlight w:val="none"/>
              </w:rPr>
              <w:t>m</w:t>
            </w:r>
            <w:r>
              <w:rPr>
                <w:rFonts w:hint="eastAsia"/>
                <w:color w:val="auto"/>
                <w:szCs w:val="18"/>
                <w:highlight w:val="none"/>
              </w:rPr>
              <w:t>）</w:t>
            </w:r>
          </w:p>
        </w:tc>
        <w:tc>
          <w:tcPr>
            <w:tcW w:w="1044" w:type="pct"/>
            <w:tcBorders>
              <w:tl2br w:val="nil"/>
              <w:tr2bl w:val="nil"/>
            </w:tcBorders>
            <w:vAlign w:val="center"/>
          </w:tcPr>
          <w:p>
            <w:pPr>
              <w:jc w:val="center"/>
              <w:rPr>
                <w:color w:val="auto"/>
                <w:szCs w:val="18"/>
                <w:highlight w:val="none"/>
              </w:rPr>
            </w:pPr>
            <w:r>
              <w:rPr>
                <w:rFonts w:hint="eastAsia"/>
                <w:color w:val="auto"/>
                <w:szCs w:val="18"/>
                <w:highlight w:val="none"/>
              </w:rPr>
              <w:t>影响范围内居民饮用水井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Merge w:val="restart"/>
            <w:tcBorders>
              <w:tl2br w:val="nil"/>
              <w:tr2bl w:val="nil"/>
            </w:tcBorders>
            <w:vAlign w:val="center"/>
          </w:tcPr>
          <w:p>
            <w:pPr>
              <w:jc w:val="center"/>
              <w:rPr>
                <w:color w:val="auto"/>
                <w:szCs w:val="18"/>
                <w:highlight w:val="none"/>
              </w:rPr>
            </w:pPr>
            <w:r>
              <w:rPr>
                <w:rFonts w:hint="eastAsia"/>
                <w:color w:val="auto"/>
                <w:szCs w:val="18"/>
                <w:highlight w:val="none"/>
              </w:rPr>
              <w:t>石油类</w:t>
            </w:r>
          </w:p>
        </w:tc>
        <w:tc>
          <w:tcPr>
            <w:tcW w:w="819" w:type="pct"/>
            <w:tcBorders>
              <w:tl2br w:val="nil"/>
              <w:tr2bl w:val="nil"/>
            </w:tcBorders>
            <w:vAlign w:val="center"/>
          </w:tcPr>
          <w:p>
            <w:pPr>
              <w:jc w:val="center"/>
              <w:rPr>
                <w:color w:val="auto"/>
                <w:szCs w:val="18"/>
                <w:highlight w:val="none"/>
              </w:rPr>
            </w:pPr>
            <w:r>
              <w:rPr>
                <w:color w:val="auto"/>
                <w:szCs w:val="18"/>
                <w:highlight w:val="none"/>
              </w:rPr>
              <w:t>100d</w:t>
            </w:r>
          </w:p>
        </w:tc>
        <w:tc>
          <w:tcPr>
            <w:tcW w:w="1371" w:type="pct"/>
            <w:tcBorders>
              <w:tl2br w:val="nil"/>
              <w:tr2bl w:val="nil"/>
            </w:tcBorders>
            <w:vAlign w:val="center"/>
          </w:tcPr>
          <w:p>
            <w:pPr>
              <w:jc w:val="center"/>
              <w:rPr>
                <w:color w:val="auto"/>
                <w:szCs w:val="18"/>
                <w:highlight w:val="none"/>
              </w:rPr>
            </w:pPr>
            <w:r>
              <w:rPr>
                <w:color w:val="auto"/>
                <w:szCs w:val="18"/>
                <w:highlight w:val="none"/>
              </w:rPr>
              <w:t>43</w:t>
            </w:r>
          </w:p>
        </w:tc>
        <w:tc>
          <w:tcPr>
            <w:tcW w:w="902" w:type="pct"/>
            <w:tcBorders>
              <w:tl2br w:val="nil"/>
              <w:tr2bl w:val="nil"/>
            </w:tcBorders>
            <w:vAlign w:val="center"/>
          </w:tcPr>
          <w:p>
            <w:pPr>
              <w:jc w:val="center"/>
              <w:rPr>
                <w:color w:val="auto"/>
                <w:szCs w:val="18"/>
                <w:highlight w:val="none"/>
              </w:rPr>
            </w:pPr>
            <w:r>
              <w:rPr>
                <w:color w:val="auto"/>
                <w:szCs w:val="18"/>
                <w:highlight w:val="none"/>
              </w:rPr>
              <w:t>47</w:t>
            </w:r>
          </w:p>
        </w:tc>
        <w:tc>
          <w:tcPr>
            <w:tcW w:w="1044" w:type="pct"/>
            <w:tcBorders>
              <w:tl2br w:val="nil"/>
              <w:tr2bl w:val="nil"/>
            </w:tcBorders>
            <w:vAlign w:val="center"/>
          </w:tcPr>
          <w:p>
            <w:pPr>
              <w:jc w:val="center"/>
              <w:rPr>
                <w:color w:val="auto"/>
                <w:szCs w:val="18"/>
                <w:highlight w:val="none"/>
              </w:rPr>
            </w:pPr>
            <w:r>
              <w:rPr>
                <w:rFonts w:hint="eastAsia"/>
                <w:color w:val="auto"/>
                <w:szCs w:val="18"/>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pPr>
              <w:widowControl/>
              <w:jc w:val="left"/>
              <w:rPr>
                <w:color w:val="auto"/>
                <w:szCs w:val="18"/>
                <w:highlight w:val="none"/>
              </w:rPr>
            </w:pPr>
          </w:p>
        </w:tc>
        <w:tc>
          <w:tcPr>
            <w:tcW w:w="819" w:type="pct"/>
            <w:tcBorders>
              <w:tl2br w:val="nil"/>
              <w:tr2bl w:val="nil"/>
            </w:tcBorders>
            <w:vAlign w:val="center"/>
          </w:tcPr>
          <w:p>
            <w:pPr>
              <w:jc w:val="center"/>
              <w:rPr>
                <w:color w:val="auto"/>
                <w:szCs w:val="18"/>
                <w:highlight w:val="none"/>
              </w:rPr>
            </w:pPr>
            <w:r>
              <w:rPr>
                <w:color w:val="auto"/>
                <w:szCs w:val="18"/>
                <w:highlight w:val="none"/>
              </w:rPr>
              <w:t>1000d</w:t>
            </w:r>
          </w:p>
        </w:tc>
        <w:tc>
          <w:tcPr>
            <w:tcW w:w="1371" w:type="pct"/>
            <w:tcBorders>
              <w:tl2br w:val="nil"/>
              <w:tr2bl w:val="nil"/>
            </w:tcBorders>
            <w:vAlign w:val="center"/>
          </w:tcPr>
          <w:p>
            <w:pPr>
              <w:jc w:val="center"/>
              <w:rPr>
                <w:color w:val="auto"/>
                <w:szCs w:val="18"/>
                <w:highlight w:val="none"/>
              </w:rPr>
            </w:pPr>
            <w:r>
              <w:rPr>
                <w:color w:val="auto"/>
                <w:szCs w:val="18"/>
                <w:highlight w:val="none"/>
              </w:rPr>
              <w:t>174</w:t>
            </w:r>
          </w:p>
        </w:tc>
        <w:tc>
          <w:tcPr>
            <w:tcW w:w="902" w:type="pct"/>
            <w:tcBorders>
              <w:tl2br w:val="nil"/>
              <w:tr2bl w:val="nil"/>
            </w:tcBorders>
            <w:vAlign w:val="center"/>
          </w:tcPr>
          <w:p>
            <w:pPr>
              <w:jc w:val="center"/>
              <w:rPr>
                <w:color w:val="auto"/>
                <w:szCs w:val="18"/>
                <w:highlight w:val="none"/>
              </w:rPr>
            </w:pPr>
            <w:r>
              <w:rPr>
                <w:color w:val="auto"/>
                <w:szCs w:val="18"/>
                <w:highlight w:val="none"/>
              </w:rPr>
              <w:t>189</w:t>
            </w:r>
          </w:p>
        </w:tc>
        <w:tc>
          <w:tcPr>
            <w:tcW w:w="1044" w:type="pct"/>
            <w:tcBorders>
              <w:tl2br w:val="nil"/>
              <w:tr2bl w:val="nil"/>
            </w:tcBorders>
          </w:tcPr>
          <w:p>
            <w:pPr>
              <w:jc w:val="center"/>
              <w:rPr>
                <w:color w:val="auto"/>
                <w:szCs w:val="18"/>
                <w:highlight w:val="none"/>
              </w:rPr>
            </w:pPr>
            <w:r>
              <w:rPr>
                <w:rFonts w:hint="eastAsia"/>
                <w:color w:val="auto"/>
                <w:szCs w:val="18"/>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0" w:type="auto"/>
            <w:vMerge w:val="continue"/>
            <w:tcBorders>
              <w:tl2br w:val="nil"/>
              <w:tr2bl w:val="nil"/>
            </w:tcBorders>
            <w:vAlign w:val="center"/>
          </w:tcPr>
          <w:p>
            <w:pPr>
              <w:widowControl/>
              <w:jc w:val="left"/>
              <w:rPr>
                <w:color w:val="auto"/>
                <w:szCs w:val="18"/>
                <w:highlight w:val="none"/>
              </w:rPr>
            </w:pPr>
          </w:p>
        </w:tc>
        <w:tc>
          <w:tcPr>
            <w:tcW w:w="819" w:type="pct"/>
            <w:tcBorders>
              <w:tl2br w:val="nil"/>
              <w:tr2bl w:val="nil"/>
            </w:tcBorders>
            <w:vAlign w:val="center"/>
          </w:tcPr>
          <w:p>
            <w:pPr>
              <w:jc w:val="center"/>
              <w:rPr>
                <w:color w:val="auto"/>
                <w:szCs w:val="18"/>
                <w:highlight w:val="none"/>
              </w:rPr>
            </w:pPr>
            <w:r>
              <w:rPr>
                <w:color w:val="auto"/>
                <w:szCs w:val="18"/>
                <w:highlight w:val="none"/>
              </w:rPr>
              <w:t>3650d</w:t>
            </w:r>
          </w:p>
        </w:tc>
        <w:tc>
          <w:tcPr>
            <w:tcW w:w="1371" w:type="pct"/>
            <w:tcBorders>
              <w:tl2br w:val="nil"/>
              <w:tr2bl w:val="nil"/>
            </w:tcBorders>
            <w:vAlign w:val="center"/>
          </w:tcPr>
          <w:p>
            <w:pPr>
              <w:jc w:val="center"/>
              <w:rPr>
                <w:color w:val="auto"/>
                <w:szCs w:val="18"/>
                <w:highlight w:val="none"/>
              </w:rPr>
            </w:pPr>
            <w:r>
              <w:rPr>
                <w:color w:val="auto"/>
                <w:szCs w:val="18"/>
                <w:highlight w:val="none"/>
              </w:rPr>
              <w:t>429</w:t>
            </w:r>
          </w:p>
        </w:tc>
        <w:tc>
          <w:tcPr>
            <w:tcW w:w="902" w:type="pct"/>
            <w:tcBorders>
              <w:tl2br w:val="nil"/>
              <w:tr2bl w:val="nil"/>
            </w:tcBorders>
            <w:vAlign w:val="center"/>
          </w:tcPr>
          <w:p>
            <w:pPr>
              <w:jc w:val="center"/>
              <w:rPr>
                <w:color w:val="auto"/>
                <w:szCs w:val="18"/>
                <w:highlight w:val="none"/>
              </w:rPr>
            </w:pPr>
            <w:r>
              <w:rPr>
                <w:color w:val="auto"/>
                <w:szCs w:val="18"/>
                <w:highlight w:val="none"/>
              </w:rPr>
              <w:t>458</w:t>
            </w:r>
          </w:p>
        </w:tc>
        <w:tc>
          <w:tcPr>
            <w:tcW w:w="1044" w:type="pct"/>
            <w:tcBorders>
              <w:tl2br w:val="nil"/>
              <w:tr2bl w:val="nil"/>
            </w:tcBorders>
          </w:tcPr>
          <w:p>
            <w:pPr>
              <w:jc w:val="center"/>
              <w:rPr>
                <w:color w:val="auto"/>
                <w:szCs w:val="18"/>
                <w:highlight w:val="none"/>
              </w:rPr>
            </w:pPr>
            <w:r>
              <w:rPr>
                <w:rFonts w:hint="eastAsia"/>
                <w:color w:val="auto"/>
                <w:szCs w:val="18"/>
                <w:highlight w:val="none"/>
              </w:rPr>
              <w:t>无</w:t>
            </w:r>
          </w:p>
        </w:tc>
      </w:tr>
    </w:tbl>
    <w:p>
      <w:pPr>
        <w:spacing w:line="360" w:lineRule="auto"/>
        <w:jc w:val="center"/>
        <w:rPr>
          <w:b/>
          <w:color w:val="auto"/>
          <w:highlight w:val="none"/>
        </w:rPr>
      </w:pPr>
      <w:r>
        <w:rPr>
          <w:color w:val="auto"/>
          <w:sz w:val="24"/>
          <w:szCs w:val="24"/>
          <w:highlight w:val="none"/>
        </w:rPr>
        <w:drawing>
          <wp:inline distT="0" distB="0" distL="0" distR="0">
            <wp:extent cx="4396105" cy="1974215"/>
            <wp:effectExtent l="0" t="0" r="4445" b="698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4398299" cy="1974215"/>
                    </a:xfrm>
                    <a:prstGeom prst="rect">
                      <a:avLst/>
                    </a:prstGeom>
                    <a:noFill/>
                  </pic:spPr>
                </pic:pic>
              </a:graphicData>
            </a:graphic>
          </wp:inline>
        </w:drawing>
      </w:r>
    </w:p>
    <w:p>
      <w:pPr>
        <w:spacing w:line="360" w:lineRule="auto"/>
        <w:jc w:val="center"/>
        <w:rPr>
          <w:b/>
          <w:color w:val="auto"/>
          <w:highlight w:val="none"/>
        </w:rPr>
      </w:pPr>
      <w:r>
        <w:rPr>
          <w:rFonts w:hint="eastAsia"/>
          <w:b/>
          <w:color w:val="auto"/>
          <w:highlight w:val="none"/>
        </w:rPr>
        <w:t>图</w:t>
      </w:r>
      <w:r>
        <w:rPr>
          <w:b/>
          <w:color w:val="auto"/>
          <w:highlight w:val="none"/>
        </w:rPr>
        <w:t>5.</w:t>
      </w:r>
      <w:r>
        <w:rPr>
          <w:rFonts w:hint="eastAsia"/>
          <w:b/>
          <w:color w:val="auto"/>
          <w:highlight w:val="none"/>
          <w:lang w:val="en-US" w:eastAsia="zh-CN"/>
        </w:rPr>
        <w:t>2</w:t>
      </w:r>
      <w:r>
        <w:rPr>
          <w:b/>
          <w:color w:val="auto"/>
          <w:highlight w:val="none"/>
        </w:rPr>
        <w:t>-</w:t>
      </w:r>
      <w:r>
        <w:rPr>
          <w:rFonts w:hint="eastAsia"/>
          <w:b/>
          <w:color w:val="auto"/>
          <w:highlight w:val="none"/>
          <w:lang w:val="en-US" w:eastAsia="zh-CN"/>
        </w:rPr>
        <w:t>2</w:t>
      </w:r>
      <w:r>
        <w:rPr>
          <w:b/>
          <w:color w:val="auto"/>
          <w:highlight w:val="none"/>
        </w:rPr>
        <w:t xml:space="preserve"> </w:t>
      </w:r>
      <w:r>
        <w:rPr>
          <w:rFonts w:hint="eastAsia"/>
          <w:b/>
          <w:color w:val="auto"/>
          <w:highlight w:val="none"/>
        </w:rPr>
        <w:t>发生</w:t>
      </w:r>
      <w:r>
        <w:rPr>
          <w:rFonts w:hint="eastAsia"/>
          <w:b/>
          <w:color w:val="auto"/>
          <w:highlight w:val="none"/>
          <w:lang w:eastAsia="zh-CN"/>
        </w:rPr>
        <w:t>泄漏</w:t>
      </w:r>
      <w:r>
        <w:rPr>
          <w:rFonts w:hint="eastAsia"/>
          <w:b/>
          <w:color w:val="auto"/>
          <w:highlight w:val="none"/>
        </w:rPr>
        <w:t>后石油类污染物浓度变化趋势图</w:t>
      </w:r>
    </w:p>
    <w:p>
      <w:pPr>
        <w:pStyle w:val="57"/>
        <w:rPr>
          <w:bCs/>
          <w:color w:val="auto"/>
          <w:highlight w:val="none"/>
        </w:rPr>
      </w:pPr>
      <w:r>
        <w:rPr>
          <w:rFonts w:hint="eastAsia"/>
          <w:color w:val="auto"/>
          <w:sz w:val="24"/>
          <w:szCs w:val="24"/>
          <w:highlight w:val="none"/>
        </w:rPr>
        <w:t>根据以上预测结果，在本次设定的预测情形下：预测期间，随着时间、距离增加，污染范围也呈增加趋势。石油类浓度在预测</w:t>
      </w:r>
      <w:r>
        <w:rPr>
          <w:color w:val="auto"/>
          <w:sz w:val="24"/>
          <w:szCs w:val="24"/>
          <w:highlight w:val="none"/>
        </w:rPr>
        <w:t>100d</w:t>
      </w:r>
      <w:r>
        <w:rPr>
          <w:rFonts w:hint="eastAsia"/>
          <w:color w:val="auto"/>
          <w:sz w:val="24"/>
          <w:szCs w:val="24"/>
          <w:highlight w:val="none"/>
        </w:rPr>
        <w:t>、</w:t>
      </w:r>
      <w:r>
        <w:rPr>
          <w:color w:val="auto"/>
          <w:sz w:val="24"/>
          <w:szCs w:val="24"/>
          <w:highlight w:val="none"/>
        </w:rPr>
        <w:t>1000d</w:t>
      </w:r>
      <w:r>
        <w:rPr>
          <w:rFonts w:hint="eastAsia"/>
          <w:color w:val="auto"/>
          <w:sz w:val="24"/>
          <w:szCs w:val="24"/>
          <w:highlight w:val="none"/>
        </w:rPr>
        <w:t>、</w:t>
      </w:r>
      <w:r>
        <w:rPr>
          <w:color w:val="auto"/>
          <w:sz w:val="24"/>
          <w:szCs w:val="24"/>
          <w:highlight w:val="none"/>
        </w:rPr>
        <w:t>3650d</w:t>
      </w:r>
      <w:r>
        <w:rPr>
          <w:rFonts w:hint="eastAsia"/>
          <w:color w:val="auto"/>
          <w:sz w:val="24"/>
          <w:szCs w:val="24"/>
          <w:highlight w:val="none"/>
        </w:rPr>
        <w:t>时地下水超标距离分别为</w:t>
      </w:r>
      <w:r>
        <w:rPr>
          <w:color w:val="auto"/>
          <w:sz w:val="24"/>
          <w:szCs w:val="24"/>
          <w:highlight w:val="none"/>
        </w:rPr>
        <w:t>43m</w:t>
      </w:r>
      <w:r>
        <w:rPr>
          <w:rFonts w:hint="eastAsia"/>
          <w:color w:val="auto"/>
          <w:sz w:val="24"/>
          <w:szCs w:val="24"/>
          <w:highlight w:val="none"/>
        </w:rPr>
        <w:t>、</w:t>
      </w:r>
      <w:r>
        <w:rPr>
          <w:color w:val="auto"/>
          <w:sz w:val="24"/>
          <w:szCs w:val="24"/>
          <w:highlight w:val="none"/>
        </w:rPr>
        <w:t>174m</w:t>
      </w:r>
      <w:r>
        <w:rPr>
          <w:rFonts w:hint="eastAsia"/>
          <w:color w:val="auto"/>
          <w:sz w:val="24"/>
          <w:szCs w:val="24"/>
          <w:highlight w:val="none"/>
        </w:rPr>
        <w:t>、</w:t>
      </w:r>
      <w:r>
        <w:rPr>
          <w:color w:val="auto"/>
          <w:sz w:val="24"/>
          <w:szCs w:val="24"/>
          <w:highlight w:val="none"/>
        </w:rPr>
        <w:t>429m</w:t>
      </w:r>
      <w:r>
        <w:rPr>
          <w:rFonts w:hint="eastAsia"/>
          <w:color w:val="auto"/>
          <w:sz w:val="24"/>
          <w:szCs w:val="24"/>
          <w:highlight w:val="none"/>
        </w:rPr>
        <w:t>，影响距离分别为</w:t>
      </w:r>
      <w:r>
        <w:rPr>
          <w:color w:val="auto"/>
          <w:sz w:val="24"/>
          <w:szCs w:val="24"/>
          <w:highlight w:val="none"/>
        </w:rPr>
        <w:t>47m</w:t>
      </w:r>
      <w:r>
        <w:rPr>
          <w:rFonts w:hint="eastAsia"/>
          <w:color w:val="auto"/>
          <w:sz w:val="24"/>
          <w:szCs w:val="24"/>
          <w:highlight w:val="none"/>
        </w:rPr>
        <w:t>、</w:t>
      </w:r>
      <w:r>
        <w:rPr>
          <w:color w:val="auto"/>
          <w:sz w:val="24"/>
          <w:szCs w:val="24"/>
          <w:highlight w:val="none"/>
        </w:rPr>
        <w:t>189m</w:t>
      </w:r>
      <w:r>
        <w:rPr>
          <w:rFonts w:hint="eastAsia"/>
          <w:color w:val="auto"/>
          <w:sz w:val="24"/>
          <w:szCs w:val="24"/>
          <w:highlight w:val="none"/>
        </w:rPr>
        <w:t>、</w:t>
      </w:r>
      <w:r>
        <w:rPr>
          <w:color w:val="auto"/>
          <w:sz w:val="24"/>
          <w:szCs w:val="24"/>
          <w:highlight w:val="none"/>
        </w:rPr>
        <w:t>4588m</w:t>
      </w:r>
      <w:r>
        <w:rPr>
          <w:rFonts w:hint="eastAsia"/>
          <w:color w:val="auto"/>
          <w:sz w:val="24"/>
          <w:szCs w:val="24"/>
          <w:highlight w:val="none"/>
        </w:rPr>
        <w:t>，影响范围内无居民饮用水井等敏感点，但下渗废水对该地区地下水的影响依然存在。因此，为预防污染的发生和污染源的形成，表层套管严格封闭上层淡水含水层，定期维护，固井质量应符合要求，废弃井应全部打水泥塞，并经严格的试压以防窜漏污染地下水，套损发生后及时采取治理技术，尽量避免</w:t>
      </w:r>
      <w:r>
        <w:rPr>
          <w:rFonts w:hint="eastAsia"/>
          <w:bCs/>
          <w:color w:val="auto"/>
          <w:sz w:val="24"/>
          <w:szCs w:val="24"/>
          <w:highlight w:val="none"/>
        </w:rPr>
        <w:t>窜层污染到泄漏点周边区域内的地下水</w:t>
      </w:r>
      <w:r>
        <w:rPr>
          <w:bCs/>
          <w:color w:val="auto"/>
          <w:highlight w:val="none"/>
        </w:rPr>
        <w:t>。</w:t>
      </w:r>
    </w:p>
    <w:p>
      <w:pPr>
        <w:pStyle w:val="57"/>
        <w:rPr>
          <w:color w:val="auto"/>
          <w:highlight w:val="none"/>
        </w:rPr>
      </w:pPr>
      <w:r>
        <w:rPr>
          <w:color w:val="auto"/>
          <w:highlight w:val="none"/>
        </w:rPr>
        <w:t>（2）</w:t>
      </w:r>
      <w:r>
        <w:rPr>
          <w:rFonts w:hint="eastAsia"/>
          <w:color w:val="auto"/>
          <w:highlight w:val="none"/>
        </w:rPr>
        <w:t>情景2：</w:t>
      </w:r>
      <w:r>
        <w:rPr>
          <w:color w:val="auto"/>
          <w:highlight w:val="none"/>
        </w:rPr>
        <w:t>渗透污染</w:t>
      </w:r>
      <w:r>
        <w:rPr>
          <w:rFonts w:hint="eastAsia"/>
          <w:color w:val="auto"/>
          <w:highlight w:val="none"/>
        </w:rPr>
        <w:t>（泄漏）</w:t>
      </w:r>
    </w:p>
    <w:p>
      <w:pPr>
        <w:pStyle w:val="57"/>
        <w:rPr>
          <w:color w:val="auto"/>
          <w:highlight w:val="none"/>
        </w:rPr>
      </w:pPr>
      <w:r>
        <w:rPr>
          <w:rFonts w:hint="eastAsia"/>
          <w:color w:val="auto"/>
          <w:highlight w:val="none"/>
        </w:rPr>
        <w:t>地面及包气带污染物沿着松散的孔隙下渗至含水层致使地下水污染的方式称渗透污染。本工程可能产生的渗透污染主要是井喷、集输管线泄漏、落地油渗漏等，都是通过包气带渗透到潜水含水层而污染地下水的。包气带厚度愈薄，透水性愈好，就愈造成潜水污染，反之，包气带愈厚、透水性愈差，则其隔污能力就愈强，则潜水污染就愈轻。</w:t>
      </w:r>
    </w:p>
    <w:p>
      <w:pPr>
        <w:pStyle w:val="57"/>
        <w:rPr>
          <w:color w:val="auto"/>
          <w:highlight w:val="none"/>
        </w:rPr>
      </w:pPr>
      <w:r>
        <w:rPr>
          <w:rFonts w:hint="eastAsia"/>
          <w:color w:val="auto"/>
          <w:highlight w:val="none"/>
        </w:rPr>
        <w:t>当区域地层压力增大，就可能引发井喷事故。管线与法兰连接处、管线泄漏事故会导致浅部隐蔽性污染源的产生，泄漏的油品下渗而可能导致地下水污染风险的发生。发生泄漏的原因有如下几种：误操作、机械故障、外力作用和腐蚀等，这几种因素的产生都是人为的或人为操控程度很高，发生污染的危害程度也取决于操作人员的处置和控制。泄漏事故会导致浅部隐蔽性污染源的产生，泄漏的油品下渗而可能导致地下水污染风险的发生。</w:t>
      </w:r>
    </w:p>
    <w:p>
      <w:pPr>
        <w:pStyle w:val="57"/>
        <w:rPr>
          <w:color w:val="auto"/>
          <w:highlight w:val="none"/>
        </w:rPr>
      </w:pPr>
      <w:r>
        <w:rPr>
          <w:rFonts w:hint="eastAsia"/>
          <w:color w:val="auto"/>
          <w:highlight w:val="none"/>
        </w:rPr>
        <w:t>通常泄漏事故对地下水环境的影响程度主要取决于原油的物理性质、泄漏方式、多孔介质特征及地下水位埋深等多种因素。由于管线泄漏事故为短期大量排放，污染物的泄漏以地表扩展为主，一般能及时发现，并可很快加以控制，石油烃等污染物在其中迁移的阻滞作用较强，迁移及衰减速度较慢，其影响范围不大，对地下水环境一般不易产生不利影响。</w:t>
      </w:r>
    </w:p>
    <w:p>
      <w:pPr>
        <w:pStyle w:val="57"/>
        <w:rPr>
          <w:color w:val="auto"/>
          <w:highlight w:val="none"/>
        </w:rPr>
      </w:pPr>
      <w:r>
        <w:rPr>
          <w:rFonts w:hint="eastAsia"/>
          <w:color w:val="auto"/>
          <w:highlight w:val="none"/>
        </w:rPr>
        <w:t>污染物进入地下后，污染物向地下水系统的迁移途径为：</w:t>
      </w:r>
    </w:p>
    <w:p>
      <w:pPr>
        <w:pStyle w:val="57"/>
        <w:rPr>
          <w:color w:val="auto"/>
          <w:highlight w:val="none"/>
        </w:rPr>
      </w:pPr>
      <w:r>
        <w:rPr>
          <w:rFonts w:hint="eastAsia"/>
          <w:color w:val="auto"/>
          <w:highlight w:val="none"/>
        </w:rPr>
        <w:t>入渗污染物→表土层→包气带→含水层→迁移</w:t>
      </w:r>
    </w:p>
    <w:p>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为了评价污染物入渗对评价区内地下水水质的影响，故本次地下水环境影响预测采用解析法，针对石油类污染物进入含水层后的运移进行重点预测、评价。</w:t>
      </w:r>
    </w:p>
    <w:p>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①</w:t>
      </w:r>
      <w:r>
        <w:rPr>
          <w:color w:val="auto"/>
          <w:highlight w:val="none"/>
        </w:rPr>
        <w:t>预测情景</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根据区域水文地质条件，地下水</w:t>
      </w:r>
      <w:r>
        <w:rPr>
          <w:rFonts w:hint="eastAsia"/>
          <w:color w:val="auto"/>
          <w:highlight w:val="none"/>
        </w:rPr>
        <w:t>类型主要</w:t>
      </w:r>
      <w:r>
        <w:rPr>
          <w:color w:val="auto"/>
          <w:highlight w:val="none"/>
        </w:rPr>
        <w:t>为第四系潜水含水层。当泄漏量很大时，</w:t>
      </w:r>
      <w:r>
        <w:rPr>
          <w:rFonts w:hint="eastAsia"/>
          <w:color w:val="auto"/>
          <w:highlight w:val="none"/>
        </w:rPr>
        <w:t>石油类</w:t>
      </w:r>
      <w:r>
        <w:rPr>
          <w:color w:val="auto"/>
          <w:highlight w:val="none"/>
        </w:rPr>
        <w:t>污染物可能通过包气带</w:t>
      </w:r>
      <w:r>
        <w:rPr>
          <w:rFonts w:hint="eastAsia"/>
          <w:color w:val="auto"/>
          <w:highlight w:val="none"/>
        </w:rPr>
        <w:t>进入</w:t>
      </w:r>
      <w:r>
        <w:rPr>
          <w:color w:val="auto"/>
          <w:highlight w:val="none"/>
        </w:rPr>
        <w:t>潜水中，影响潜水水质。污染物泄漏为非连续排放，泄漏后一般可及时发现泄漏状况</w:t>
      </w:r>
      <w:r>
        <w:rPr>
          <w:rFonts w:hint="eastAsia"/>
          <w:color w:val="auto"/>
          <w:highlight w:val="none"/>
        </w:rPr>
        <w:t>并截断</w:t>
      </w:r>
      <w:r>
        <w:rPr>
          <w:color w:val="auto"/>
          <w:highlight w:val="none"/>
        </w:rPr>
        <w:t>，排放时间在时间尺度上设定为短时泄漏，泄漏时长最多按1d计。考虑最不利情况，按渗漏的污染物穿透包气带污染地下水，不考虑污染物的吸附、生物降解、化学反应等因素。</w:t>
      </w:r>
    </w:p>
    <w:p>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②</w:t>
      </w:r>
      <w:r>
        <w:rPr>
          <w:color w:val="auto"/>
          <w:highlight w:val="none"/>
        </w:rPr>
        <w:t>预测方法</w:t>
      </w:r>
    </w:p>
    <w:p>
      <w:pPr>
        <w:pStyle w:val="57"/>
        <w:keepNext w:val="0"/>
        <w:keepLines w:val="0"/>
        <w:pageBreakBefore w:val="0"/>
        <w:kinsoku/>
        <w:wordWrap/>
        <w:overflowPunct/>
        <w:topLinePunct w:val="0"/>
        <w:autoSpaceDE/>
        <w:autoSpaceDN/>
        <w:bidi w:val="0"/>
        <w:spacing w:line="480" w:lineRule="exact"/>
        <w:rPr>
          <w:b/>
          <w:color w:val="auto"/>
          <w:highlight w:val="none"/>
        </w:rPr>
      </w:pPr>
      <w:r>
        <w:rPr>
          <w:color w:val="auto"/>
          <w:highlight w:val="none"/>
        </w:rPr>
        <w:t>本次评价采用解析法对地下水环境影响进行预测。</w:t>
      </w:r>
    </w:p>
    <w:p>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③</w:t>
      </w:r>
      <w:r>
        <w:rPr>
          <w:color w:val="auto"/>
          <w:highlight w:val="none"/>
        </w:rPr>
        <w:t>预测模型</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污染物在浅层含水层中的迁移，可将预测情形概化为一维短时</w:t>
      </w:r>
      <w:r>
        <w:rPr>
          <w:rFonts w:hint="eastAsia"/>
          <w:color w:val="auto"/>
          <w:highlight w:val="none"/>
        </w:rPr>
        <w:t>泄漏</w:t>
      </w:r>
      <w:r>
        <w:rPr>
          <w:color w:val="auto"/>
          <w:highlight w:val="none"/>
        </w:rPr>
        <w:t>点源的水动力弥散问题。在模型计算中，对污染物的吸附、挥发、生物化学反应均不</w:t>
      </w:r>
      <w:r>
        <w:rPr>
          <w:rFonts w:hint="eastAsia"/>
          <w:color w:val="auto"/>
          <w:highlight w:val="none"/>
          <w:lang w:eastAsia="zh-CN"/>
        </w:rPr>
        <w:t>予考虑</w:t>
      </w:r>
      <w:r>
        <w:rPr>
          <w:color w:val="auto"/>
          <w:highlight w:val="none"/>
        </w:rPr>
        <w:t>，对模型中的各项参数均予保守性估计</w:t>
      </w:r>
      <w:r>
        <w:rPr>
          <w:rFonts w:hint="eastAsia"/>
          <w:color w:val="auto"/>
          <w:highlight w:val="none"/>
        </w:rPr>
        <w:t>。</w:t>
      </w:r>
    </w:p>
    <w:p>
      <w:pPr>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drawing>
          <wp:anchor distT="0" distB="0" distL="0" distR="0" simplePos="0" relativeHeight="251701248" behindDoc="0" locked="0" layoutInCell="1" allowOverlap="1">
            <wp:simplePos x="0" y="0"/>
            <wp:positionH relativeFrom="column">
              <wp:posOffset>1276350</wp:posOffset>
            </wp:positionH>
            <wp:positionV relativeFrom="paragraph">
              <wp:posOffset>104140</wp:posOffset>
            </wp:positionV>
            <wp:extent cx="3010535" cy="543560"/>
            <wp:effectExtent l="0" t="0" r="18415" b="8890"/>
            <wp:wrapNone/>
            <wp:docPr id="53292" name="图片 5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92" name="图片 5329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010535" cy="543560"/>
                    </a:xfrm>
                    <a:prstGeom prst="rect">
                      <a:avLst/>
                    </a:prstGeom>
                    <a:noFill/>
                    <a:ln>
                      <a:noFill/>
                    </a:ln>
                  </pic:spPr>
                </pic:pic>
              </a:graphicData>
            </a:graphic>
          </wp:anchor>
        </w:drawing>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以上式中：x—距注入点的距离，m；</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t—时间，d；</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C（x，t）—t时刻x处的示踪剂浓度，g/l；</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C</w:t>
      </w:r>
      <w:r>
        <w:rPr>
          <w:color w:val="auto"/>
          <w:highlight w:val="none"/>
          <w:vertAlign w:val="subscript"/>
        </w:rPr>
        <w:t>0——</w:t>
      </w:r>
      <w:r>
        <w:rPr>
          <w:color w:val="auto"/>
          <w:highlight w:val="none"/>
        </w:rPr>
        <w:t>注入的示踪剂浓度，g/l；</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u—水流速度，m/d；</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n</w:t>
      </w:r>
      <w:bookmarkStart w:id="630" w:name="OLE_LINK156"/>
      <w:r>
        <w:rPr>
          <w:color w:val="auto"/>
          <w:highlight w:val="none"/>
        </w:rPr>
        <w:t>—</w:t>
      </w:r>
      <w:bookmarkEnd w:id="630"/>
      <w:r>
        <w:rPr>
          <w:color w:val="auto"/>
          <w:highlight w:val="none"/>
        </w:rPr>
        <w:t xml:space="preserve">有效孔隙度，无量纲； </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D</w:t>
      </w:r>
      <w:r>
        <w:rPr>
          <w:color w:val="auto"/>
          <w:highlight w:val="none"/>
          <w:vertAlign w:val="subscript"/>
        </w:rPr>
        <w:t>L</w:t>
      </w:r>
      <w:r>
        <w:rPr>
          <w:color w:val="auto"/>
          <w:highlight w:val="none"/>
        </w:rPr>
        <w:t>—纵向弥散系数，m</w:t>
      </w:r>
      <w:r>
        <w:rPr>
          <w:color w:val="auto"/>
          <w:highlight w:val="none"/>
          <w:vertAlign w:val="superscript"/>
        </w:rPr>
        <w:t>2</w:t>
      </w:r>
      <w:r>
        <w:rPr>
          <w:color w:val="auto"/>
          <w:highlight w:val="none"/>
        </w:rPr>
        <w:t>/d；</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erfc(  )—余误差函数。</w:t>
      </w:r>
    </w:p>
    <w:p>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④</w:t>
      </w:r>
      <w:r>
        <w:rPr>
          <w:color w:val="auto"/>
          <w:highlight w:val="none"/>
        </w:rPr>
        <w:t>预测参数</w:t>
      </w:r>
      <w:r>
        <w:rPr>
          <w:rFonts w:hint="eastAsia"/>
          <w:color w:val="auto"/>
          <w:highlight w:val="none"/>
        </w:rPr>
        <w:t>及因子</w:t>
      </w:r>
    </w:p>
    <w:p>
      <w:pPr>
        <w:pStyle w:val="57"/>
        <w:keepNext w:val="0"/>
        <w:keepLines w:val="0"/>
        <w:pageBreakBefore w:val="0"/>
        <w:kinsoku/>
        <w:wordWrap/>
        <w:overflowPunct/>
        <w:topLinePunct w:val="0"/>
        <w:autoSpaceDE/>
        <w:autoSpaceDN/>
        <w:bidi w:val="0"/>
        <w:spacing w:line="480" w:lineRule="exact"/>
        <w:rPr>
          <w:rFonts w:eastAsia="等线"/>
          <w:color w:val="auto"/>
          <w:szCs w:val="32"/>
          <w:highlight w:val="none"/>
        </w:rPr>
      </w:pPr>
      <w:r>
        <w:rPr>
          <w:color w:val="auto"/>
          <w:highlight w:val="none"/>
        </w:rPr>
        <w:t>本次评价水文地质参数主要通过收集项目所在区域的成果资料及经验参数来确定。石油类因子</w:t>
      </w:r>
      <w:r>
        <w:rPr>
          <w:rFonts w:hint="eastAsia"/>
          <w:color w:val="auto"/>
          <w:highlight w:val="none"/>
        </w:rPr>
        <w:t>是油田</w:t>
      </w:r>
      <w:r>
        <w:rPr>
          <w:color w:val="auto"/>
          <w:highlight w:val="none"/>
        </w:rPr>
        <w:t>开采</w:t>
      </w:r>
      <w:r>
        <w:rPr>
          <w:rFonts w:hint="eastAsia"/>
          <w:color w:val="auto"/>
          <w:highlight w:val="none"/>
          <w:lang w:eastAsia="zh-CN"/>
        </w:rPr>
        <w:t>污染监测项目</w:t>
      </w:r>
      <w:r>
        <w:rPr>
          <w:color w:val="auto"/>
          <w:highlight w:val="none"/>
        </w:rPr>
        <w:t>的</w:t>
      </w:r>
      <w:r>
        <w:rPr>
          <w:rFonts w:hint="eastAsia"/>
          <w:color w:val="auto"/>
          <w:highlight w:val="none"/>
        </w:rPr>
        <w:t>特征污染物，标准污染指数也最高</w:t>
      </w:r>
      <w:r>
        <w:rPr>
          <w:color w:val="auto"/>
          <w:highlight w:val="none"/>
        </w:rPr>
        <w:t>。因此，本次影响预测以石油类进行预测。具体</w:t>
      </w:r>
      <w:r>
        <w:rPr>
          <w:color w:val="auto"/>
          <w:szCs w:val="32"/>
          <w:highlight w:val="none"/>
        </w:rPr>
        <w:t>见表5</w:t>
      </w:r>
      <w:r>
        <w:rPr>
          <w:rFonts w:hint="eastAsia"/>
          <w:color w:val="auto"/>
          <w:szCs w:val="32"/>
          <w:highlight w:val="none"/>
          <w:lang w:val="en-US" w:eastAsia="zh-CN"/>
        </w:rPr>
        <w:t>.2-2</w:t>
      </w:r>
      <w:r>
        <w:rPr>
          <w:color w:val="auto"/>
          <w:szCs w:val="32"/>
          <w:highlight w:val="none"/>
        </w:rPr>
        <w:t>。</w:t>
      </w:r>
    </w:p>
    <w:p>
      <w:pPr>
        <w:pStyle w:val="57"/>
        <w:keepNext w:val="0"/>
        <w:keepLines w:val="0"/>
        <w:pageBreakBefore w:val="0"/>
        <w:kinsoku/>
        <w:wordWrap/>
        <w:overflowPunct/>
        <w:topLinePunct w:val="0"/>
        <w:autoSpaceDE/>
        <w:autoSpaceDN/>
        <w:bidi w:val="0"/>
        <w:spacing w:line="480" w:lineRule="exact"/>
        <w:rPr>
          <w:color w:val="auto"/>
          <w:highlight w:val="none"/>
        </w:rPr>
      </w:pPr>
      <w:r>
        <w:rPr>
          <w:rFonts w:hint="eastAsia"/>
          <w:color w:val="auto"/>
          <w:highlight w:val="none"/>
        </w:rPr>
        <w:t>⑤</w:t>
      </w:r>
      <w:r>
        <w:rPr>
          <w:color w:val="auto"/>
          <w:highlight w:val="none"/>
        </w:rPr>
        <w:t>预测结果与分析</w:t>
      </w:r>
    </w:p>
    <w:p>
      <w:pPr>
        <w:pStyle w:val="57"/>
        <w:keepNext w:val="0"/>
        <w:keepLines w:val="0"/>
        <w:pageBreakBefore w:val="0"/>
        <w:kinsoku/>
        <w:wordWrap/>
        <w:overflowPunct/>
        <w:topLinePunct w:val="0"/>
        <w:autoSpaceDE/>
        <w:autoSpaceDN/>
        <w:bidi w:val="0"/>
        <w:spacing w:line="480" w:lineRule="exact"/>
        <w:rPr>
          <w:color w:val="auto"/>
          <w:highlight w:val="none"/>
        </w:rPr>
      </w:pPr>
      <w:r>
        <w:rPr>
          <w:color w:val="auto"/>
          <w:highlight w:val="none"/>
        </w:rPr>
        <w:t>将以上确定</w:t>
      </w:r>
      <w:r>
        <w:rPr>
          <w:rFonts w:hint="eastAsia"/>
          <w:color w:val="auto"/>
          <w:highlight w:val="none"/>
        </w:rPr>
        <w:t>的</w:t>
      </w:r>
      <w:r>
        <w:rPr>
          <w:color w:val="auto"/>
          <w:highlight w:val="none"/>
        </w:rPr>
        <w:t>参数代入模型，便可以求出不同时段，石油类在预测情景下，不同天数（100天、1000天、3650天）时，污染物在含水层不同位置的浓度分布情况。具体见表5.</w:t>
      </w:r>
      <w:r>
        <w:rPr>
          <w:rFonts w:hint="eastAsia"/>
          <w:color w:val="auto"/>
          <w:highlight w:val="none"/>
          <w:lang w:val="en-US" w:eastAsia="zh-CN"/>
        </w:rPr>
        <w:t>2-5</w:t>
      </w:r>
      <w:r>
        <w:rPr>
          <w:rFonts w:hint="eastAsia"/>
          <w:color w:val="auto"/>
          <w:highlight w:val="none"/>
        </w:rPr>
        <w:t>、表5.</w:t>
      </w:r>
      <w:r>
        <w:rPr>
          <w:rFonts w:hint="eastAsia"/>
          <w:color w:val="auto"/>
          <w:highlight w:val="none"/>
          <w:lang w:val="en-US" w:eastAsia="zh-CN"/>
        </w:rPr>
        <w:t>2-6</w:t>
      </w:r>
      <w:r>
        <w:rPr>
          <w:color w:val="auto"/>
          <w:highlight w:val="none"/>
        </w:rPr>
        <w:t>，图5.</w:t>
      </w:r>
      <w:r>
        <w:rPr>
          <w:rFonts w:hint="eastAsia"/>
          <w:color w:val="auto"/>
          <w:highlight w:val="none"/>
          <w:lang w:val="en-US" w:eastAsia="zh-CN"/>
        </w:rPr>
        <w:t>2-3</w:t>
      </w:r>
      <w:r>
        <w:rPr>
          <w:color w:val="auto"/>
          <w:highlight w:val="none"/>
        </w:rPr>
        <w:t>。</w:t>
      </w:r>
    </w:p>
    <w:p>
      <w:pPr>
        <w:pStyle w:val="54"/>
        <w:keepNext w:val="0"/>
        <w:keepLines w:val="0"/>
        <w:pageBreakBefore w:val="0"/>
        <w:kinsoku/>
        <w:wordWrap/>
        <w:overflowPunct/>
        <w:topLinePunct w:val="0"/>
        <w:autoSpaceDE/>
        <w:autoSpaceDN/>
        <w:bidi w:val="0"/>
        <w:spacing w:line="480" w:lineRule="exact"/>
        <w:ind w:firstLine="482"/>
        <w:rPr>
          <w:rFonts w:hint="eastAsia"/>
          <w:color w:val="auto"/>
          <w:highlight w:val="none"/>
        </w:rPr>
      </w:pPr>
      <w:r>
        <w:rPr>
          <w:rFonts w:hint="eastAsia"/>
          <w:color w:val="auto"/>
          <w:highlight w:val="none"/>
        </w:rPr>
        <w:t>表5.</w:t>
      </w:r>
      <w:r>
        <w:rPr>
          <w:rFonts w:hint="eastAsia"/>
          <w:color w:val="auto"/>
          <w:highlight w:val="none"/>
          <w:lang w:val="en-US" w:eastAsia="zh-CN"/>
        </w:rPr>
        <w:t>2-5</w:t>
      </w:r>
      <w:r>
        <w:rPr>
          <w:rFonts w:hint="eastAsia"/>
          <w:color w:val="auto"/>
          <w:highlight w:val="none"/>
        </w:rPr>
        <w:t xml:space="preserve"> 石油类污染物在潜水含水层中的浓度迁移预测结果（情景2）</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49"/>
        <w:gridCol w:w="1279"/>
        <w:gridCol w:w="1443"/>
        <w:gridCol w:w="1279"/>
        <w:gridCol w:w="1553"/>
        <w:gridCol w:w="1279"/>
        <w:gridCol w:w="155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restart"/>
            <w:tcBorders>
              <w:tl2br w:val="nil"/>
              <w:tr2bl w:val="nil"/>
            </w:tcBorders>
            <w:vAlign w:val="center"/>
          </w:tcPr>
          <w:p>
            <w:pPr>
              <w:widowControl/>
              <w:jc w:val="center"/>
              <w:rPr>
                <w:color w:val="auto"/>
                <w:kern w:val="0"/>
                <w:szCs w:val="21"/>
                <w:highlight w:val="none"/>
              </w:rPr>
            </w:pPr>
            <w:r>
              <w:rPr>
                <w:color w:val="auto"/>
                <w:kern w:val="0"/>
                <w:szCs w:val="21"/>
                <w:highlight w:val="none"/>
              </w:rPr>
              <w:t>污染物</w:t>
            </w:r>
          </w:p>
        </w:tc>
        <w:tc>
          <w:tcPr>
            <w:tcW w:w="1541" w:type="pct"/>
            <w:gridSpan w:val="2"/>
            <w:tcBorders>
              <w:tl2br w:val="nil"/>
              <w:tr2bl w:val="nil"/>
            </w:tcBorders>
            <w:noWrap/>
            <w:vAlign w:val="center"/>
          </w:tcPr>
          <w:p>
            <w:pPr>
              <w:widowControl/>
              <w:jc w:val="center"/>
              <w:rPr>
                <w:color w:val="auto"/>
                <w:kern w:val="0"/>
                <w:szCs w:val="21"/>
                <w:highlight w:val="none"/>
              </w:rPr>
            </w:pPr>
            <w:r>
              <w:rPr>
                <w:color w:val="auto"/>
                <w:kern w:val="0"/>
                <w:szCs w:val="21"/>
                <w:highlight w:val="none"/>
              </w:rPr>
              <w:t>100d</w:t>
            </w:r>
          </w:p>
        </w:tc>
        <w:tc>
          <w:tcPr>
            <w:tcW w:w="1603" w:type="pct"/>
            <w:gridSpan w:val="2"/>
            <w:tcBorders>
              <w:tl2br w:val="nil"/>
              <w:tr2bl w:val="nil"/>
            </w:tcBorders>
            <w:noWrap/>
            <w:vAlign w:val="center"/>
          </w:tcPr>
          <w:p>
            <w:pPr>
              <w:widowControl/>
              <w:jc w:val="center"/>
              <w:rPr>
                <w:color w:val="auto"/>
                <w:kern w:val="0"/>
                <w:szCs w:val="21"/>
                <w:highlight w:val="none"/>
              </w:rPr>
            </w:pPr>
            <w:r>
              <w:rPr>
                <w:color w:val="auto"/>
                <w:kern w:val="0"/>
                <w:szCs w:val="21"/>
                <w:highlight w:val="none"/>
              </w:rPr>
              <w:t>1000d</w:t>
            </w:r>
          </w:p>
        </w:tc>
        <w:tc>
          <w:tcPr>
            <w:tcW w:w="1603" w:type="pct"/>
            <w:gridSpan w:val="2"/>
            <w:tcBorders>
              <w:tl2br w:val="nil"/>
              <w:tr2bl w:val="nil"/>
            </w:tcBorders>
            <w:noWrap/>
            <w:vAlign w:val="center"/>
          </w:tcPr>
          <w:p>
            <w:pPr>
              <w:widowControl/>
              <w:jc w:val="center"/>
              <w:rPr>
                <w:color w:val="auto"/>
                <w:kern w:val="0"/>
                <w:szCs w:val="21"/>
                <w:highlight w:val="none"/>
              </w:rPr>
            </w:pPr>
            <w:r>
              <w:rPr>
                <w:color w:val="auto"/>
                <w:kern w:val="0"/>
                <w:szCs w:val="21"/>
                <w:highlight w:val="none"/>
              </w:rPr>
              <w:t>3650d</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widowControl/>
              <w:jc w:val="center"/>
              <w:rPr>
                <w:color w:val="auto"/>
                <w:kern w:val="0"/>
                <w:szCs w:val="21"/>
                <w:highlight w:val="none"/>
              </w:rPr>
            </w:pPr>
            <w:r>
              <w:rPr>
                <w:color w:val="auto"/>
                <w:kern w:val="0"/>
                <w:szCs w:val="21"/>
                <w:highlight w:val="none"/>
              </w:rPr>
              <w:t>距离（m）</w:t>
            </w:r>
          </w:p>
        </w:tc>
        <w:tc>
          <w:tcPr>
            <w:tcW w:w="817" w:type="pct"/>
            <w:tcBorders>
              <w:tl2br w:val="nil"/>
              <w:tr2bl w:val="nil"/>
            </w:tcBorders>
            <w:noWrap/>
            <w:vAlign w:val="center"/>
          </w:tcPr>
          <w:p>
            <w:pPr>
              <w:widowControl/>
              <w:jc w:val="center"/>
              <w:rPr>
                <w:color w:val="auto"/>
                <w:kern w:val="0"/>
                <w:szCs w:val="21"/>
                <w:highlight w:val="none"/>
              </w:rPr>
            </w:pPr>
            <w:r>
              <w:rPr>
                <w:color w:val="auto"/>
                <w:kern w:val="0"/>
                <w:szCs w:val="21"/>
                <w:highlight w:val="none"/>
              </w:rPr>
              <w:t xml:space="preserve">浓度c(mg/L) </w:t>
            </w:r>
          </w:p>
        </w:tc>
        <w:tc>
          <w:tcPr>
            <w:tcW w:w="724" w:type="pct"/>
            <w:tcBorders>
              <w:tl2br w:val="nil"/>
              <w:tr2bl w:val="nil"/>
            </w:tcBorders>
            <w:noWrap/>
            <w:vAlign w:val="center"/>
          </w:tcPr>
          <w:p>
            <w:pPr>
              <w:widowControl/>
              <w:jc w:val="center"/>
              <w:rPr>
                <w:color w:val="auto"/>
                <w:kern w:val="0"/>
                <w:szCs w:val="21"/>
                <w:highlight w:val="none"/>
              </w:rPr>
            </w:pPr>
            <w:r>
              <w:rPr>
                <w:color w:val="auto"/>
                <w:kern w:val="0"/>
                <w:szCs w:val="21"/>
                <w:highlight w:val="none"/>
              </w:rPr>
              <w:t>距离（m）</w:t>
            </w:r>
          </w:p>
        </w:tc>
        <w:tc>
          <w:tcPr>
            <w:tcW w:w="879" w:type="pct"/>
            <w:tcBorders>
              <w:tl2br w:val="nil"/>
              <w:tr2bl w:val="nil"/>
            </w:tcBorders>
            <w:noWrap/>
            <w:vAlign w:val="center"/>
          </w:tcPr>
          <w:p>
            <w:pPr>
              <w:widowControl/>
              <w:jc w:val="center"/>
              <w:rPr>
                <w:color w:val="auto"/>
                <w:kern w:val="0"/>
                <w:szCs w:val="21"/>
                <w:highlight w:val="none"/>
              </w:rPr>
            </w:pPr>
            <w:r>
              <w:rPr>
                <w:color w:val="auto"/>
                <w:kern w:val="0"/>
                <w:szCs w:val="21"/>
                <w:highlight w:val="none"/>
              </w:rPr>
              <w:t xml:space="preserve"> 浓度c(mg/L) </w:t>
            </w:r>
          </w:p>
        </w:tc>
        <w:tc>
          <w:tcPr>
            <w:tcW w:w="724" w:type="pct"/>
            <w:tcBorders>
              <w:tl2br w:val="nil"/>
              <w:tr2bl w:val="nil"/>
            </w:tcBorders>
            <w:noWrap/>
            <w:vAlign w:val="center"/>
          </w:tcPr>
          <w:p>
            <w:pPr>
              <w:widowControl/>
              <w:jc w:val="center"/>
              <w:rPr>
                <w:color w:val="auto"/>
                <w:kern w:val="0"/>
                <w:szCs w:val="21"/>
                <w:highlight w:val="none"/>
              </w:rPr>
            </w:pPr>
            <w:r>
              <w:rPr>
                <w:color w:val="auto"/>
                <w:kern w:val="0"/>
                <w:szCs w:val="21"/>
                <w:highlight w:val="none"/>
              </w:rPr>
              <w:t>距离（m）</w:t>
            </w:r>
          </w:p>
        </w:tc>
        <w:tc>
          <w:tcPr>
            <w:tcW w:w="879" w:type="pct"/>
            <w:tcBorders>
              <w:tl2br w:val="nil"/>
              <w:tr2bl w:val="nil"/>
            </w:tcBorders>
            <w:noWrap/>
            <w:vAlign w:val="center"/>
          </w:tcPr>
          <w:p>
            <w:pPr>
              <w:widowControl/>
              <w:jc w:val="center"/>
              <w:rPr>
                <w:color w:val="auto"/>
                <w:kern w:val="0"/>
                <w:szCs w:val="21"/>
                <w:highlight w:val="none"/>
              </w:rPr>
            </w:pPr>
            <w:r>
              <w:rPr>
                <w:color w:val="auto"/>
                <w:kern w:val="0"/>
                <w:szCs w:val="21"/>
                <w:highlight w:val="none"/>
              </w:rPr>
              <w:t xml:space="preserve"> 浓度c(mg/L)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restart"/>
            <w:tcBorders>
              <w:tl2br w:val="nil"/>
              <w:tr2bl w:val="nil"/>
            </w:tcBorders>
            <w:vAlign w:val="center"/>
          </w:tcPr>
          <w:p>
            <w:pPr>
              <w:widowControl/>
              <w:jc w:val="center"/>
              <w:rPr>
                <w:color w:val="auto"/>
                <w:kern w:val="0"/>
                <w:szCs w:val="21"/>
                <w:highlight w:val="none"/>
              </w:rPr>
            </w:pPr>
            <w:r>
              <w:rPr>
                <w:color w:val="auto"/>
                <w:kern w:val="0"/>
                <w:szCs w:val="21"/>
                <w:highlight w:val="none"/>
              </w:rPr>
              <w:t>石油类</w:t>
            </w:r>
          </w:p>
        </w:tc>
        <w:tc>
          <w:tcPr>
            <w:tcW w:w="724" w:type="pct"/>
            <w:tcBorders>
              <w:tl2br w:val="nil"/>
              <w:tr2bl w:val="nil"/>
            </w:tcBorders>
            <w:noWrap/>
            <w:vAlign w:val="center"/>
          </w:tcPr>
          <w:p>
            <w:pPr>
              <w:widowControl/>
              <w:jc w:val="center"/>
              <w:rPr>
                <w:rFonts w:eastAsia="等线"/>
                <w:color w:val="auto"/>
                <w:kern w:val="0"/>
                <w:sz w:val="22"/>
                <w:szCs w:val="22"/>
                <w:highlight w:val="none"/>
              </w:rPr>
            </w:pPr>
            <w:r>
              <w:rPr>
                <w:rFonts w:eastAsia="等线"/>
                <w:color w:val="auto"/>
                <w:sz w:val="22"/>
                <w:szCs w:val="22"/>
                <w:highlight w:val="none"/>
              </w:rPr>
              <w:t>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0.066</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0.005</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0.190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0.025</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50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0.145</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0.048</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100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0.0409</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90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0.041</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150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0.012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36</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0.01</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120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0.016</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200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40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0.005</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129</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0.010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250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50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150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300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60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180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318</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70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210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350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80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240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400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90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270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450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54" w:type="pct"/>
            <w:vMerge w:val="continue"/>
            <w:tcBorders>
              <w:tl2br w:val="nil"/>
              <w:tr2bl w:val="nil"/>
            </w:tcBorders>
            <w:vAlign w:val="center"/>
          </w:tcPr>
          <w:p>
            <w:pPr>
              <w:widowControl/>
              <w:jc w:val="left"/>
              <w:rPr>
                <w:color w:val="auto"/>
                <w:kern w:val="0"/>
                <w:szCs w:val="21"/>
                <w:highlight w:val="none"/>
              </w:rPr>
            </w:pP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100</w:t>
            </w:r>
          </w:p>
        </w:tc>
        <w:tc>
          <w:tcPr>
            <w:tcW w:w="817"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300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c>
          <w:tcPr>
            <w:tcW w:w="724"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500</w:t>
            </w:r>
          </w:p>
        </w:tc>
        <w:tc>
          <w:tcPr>
            <w:tcW w:w="879" w:type="pct"/>
            <w:tcBorders>
              <w:tl2br w:val="nil"/>
              <w:tr2bl w:val="nil"/>
            </w:tcBorders>
            <w:noWrap/>
            <w:vAlign w:val="center"/>
          </w:tcPr>
          <w:p>
            <w:pPr>
              <w:jc w:val="center"/>
              <w:rPr>
                <w:rFonts w:eastAsia="等线"/>
                <w:color w:val="auto"/>
                <w:sz w:val="22"/>
                <w:szCs w:val="22"/>
                <w:highlight w:val="none"/>
              </w:rPr>
            </w:pPr>
            <w:r>
              <w:rPr>
                <w:rFonts w:eastAsia="等线"/>
                <w:color w:val="auto"/>
                <w:sz w:val="22"/>
                <w:szCs w:val="22"/>
                <w:highlight w:val="none"/>
              </w:rPr>
              <w:t>0.000</w:t>
            </w:r>
          </w:p>
        </w:tc>
      </w:tr>
    </w:tbl>
    <w:p>
      <w:pPr>
        <w:pStyle w:val="54"/>
        <w:keepNext w:val="0"/>
        <w:keepLines w:val="0"/>
        <w:pageBreakBefore w:val="0"/>
        <w:kinsoku/>
        <w:wordWrap/>
        <w:overflowPunct/>
        <w:topLinePunct w:val="0"/>
        <w:autoSpaceDE/>
        <w:autoSpaceDN/>
        <w:bidi w:val="0"/>
        <w:spacing w:line="480" w:lineRule="exact"/>
        <w:ind w:firstLine="482"/>
        <w:rPr>
          <w:rFonts w:hint="eastAsia" w:cs="Times New Roman"/>
          <w:color w:val="auto"/>
          <w:highlight w:val="none"/>
        </w:rPr>
      </w:pPr>
      <w:r>
        <w:rPr>
          <w:rFonts w:hint="eastAsia" w:cs="Times New Roman"/>
          <w:color w:val="auto"/>
          <w:highlight w:val="none"/>
        </w:rPr>
        <w:t>表5.</w:t>
      </w:r>
      <w:r>
        <w:rPr>
          <w:rFonts w:hint="eastAsia" w:cs="Times New Roman"/>
          <w:color w:val="auto"/>
          <w:highlight w:val="none"/>
          <w:lang w:val="en-US" w:eastAsia="zh-CN"/>
        </w:rPr>
        <w:t>2</w:t>
      </w:r>
      <w:r>
        <w:rPr>
          <w:rFonts w:hint="eastAsia" w:cs="Times New Roman"/>
          <w:color w:val="auto"/>
          <w:highlight w:val="none"/>
        </w:rPr>
        <w:t>-</w:t>
      </w:r>
      <w:r>
        <w:rPr>
          <w:rFonts w:hint="eastAsia" w:cs="Times New Roman"/>
          <w:color w:val="auto"/>
          <w:highlight w:val="none"/>
          <w:lang w:val="en-US" w:eastAsia="zh-CN"/>
        </w:rPr>
        <w:t>6</w:t>
      </w:r>
      <w:r>
        <w:rPr>
          <w:rFonts w:hint="eastAsia" w:cs="Times New Roman"/>
          <w:color w:val="auto"/>
          <w:highlight w:val="none"/>
        </w:rPr>
        <w:t xml:space="preserve">       预测结果统计表（情景2）</w:t>
      </w:r>
    </w:p>
    <w:tbl>
      <w:tblPr>
        <w:tblStyle w:val="34"/>
        <w:tblW w:w="498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524"/>
        <w:gridCol w:w="1443"/>
        <w:gridCol w:w="2416"/>
        <w:gridCol w:w="1589"/>
        <w:gridCol w:w="183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tcBorders>
              <w:tl2br w:val="nil"/>
              <w:tr2bl w:val="nil"/>
            </w:tcBorders>
            <w:vAlign w:val="center"/>
          </w:tcPr>
          <w:p>
            <w:pPr>
              <w:rPr>
                <w:color w:val="auto"/>
                <w:highlight w:val="none"/>
              </w:rPr>
            </w:pPr>
            <w:r>
              <w:rPr>
                <w:color w:val="auto"/>
                <w:highlight w:val="none"/>
              </w:rPr>
              <w:t>预测因子</w:t>
            </w:r>
          </w:p>
        </w:tc>
        <w:tc>
          <w:tcPr>
            <w:tcW w:w="819" w:type="pct"/>
            <w:tcBorders>
              <w:tl2br w:val="nil"/>
              <w:tr2bl w:val="nil"/>
            </w:tcBorders>
            <w:vAlign w:val="center"/>
          </w:tcPr>
          <w:p>
            <w:pPr>
              <w:rPr>
                <w:color w:val="auto"/>
                <w:highlight w:val="none"/>
              </w:rPr>
            </w:pPr>
            <w:r>
              <w:rPr>
                <w:color w:val="auto"/>
                <w:highlight w:val="none"/>
              </w:rPr>
              <w:t>预测时间</w:t>
            </w:r>
          </w:p>
        </w:tc>
        <w:tc>
          <w:tcPr>
            <w:tcW w:w="1371" w:type="pct"/>
            <w:tcBorders>
              <w:tl2br w:val="nil"/>
              <w:tr2bl w:val="nil"/>
            </w:tcBorders>
            <w:vAlign w:val="center"/>
          </w:tcPr>
          <w:p>
            <w:pPr>
              <w:rPr>
                <w:color w:val="auto"/>
                <w:highlight w:val="none"/>
              </w:rPr>
            </w:pPr>
            <w:r>
              <w:rPr>
                <w:color w:val="auto"/>
                <w:highlight w:val="none"/>
              </w:rPr>
              <w:t>超标距离（m）</w:t>
            </w:r>
          </w:p>
        </w:tc>
        <w:tc>
          <w:tcPr>
            <w:tcW w:w="902" w:type="pct"/>
            <w:tcBorders>
              <w:tl2br w:val="nil"/>
              <w:tr2bl w:val="nil"/>
            </w:tcBorders>
            <w:vAlign w:val="center"/>
          </w:tcPr>
          <w:p>
            <w:pPr>
              <w:rPr>
                <w:color w:val="auto"/>
                <w:highlight w:val="none"/>
              </w:rPr>
            </w:pPr>
            <w:r>
              <w:rPr>
                <w:color w:val="auto"/>
                <w:highlight w:val="none"/>
              </w:rPr>
              <w:t>影响距离（m）</w:t>
            </w:r>
          </w:p>
        </w:tc>
        <w:tc>
          <w:tcPr>
            <w:tcW w:w="1043" w:type="pct"/>
            <w:tcBorders>
              <w:tl2br w:val="nil"/>
              <w:tr2bl w:val="nil"/>
            </w:tcBorders>
            <w:vAlign w:val="center"/>
          </w:tcPr>
          <w:p>
            <w:pPr>
              <w:rPr>
                <w:color w:val="auto"/>
                <w:highlight w:val="none"/>
              </w:rPr>
            </w:pPr>
            <w:r>
              <w:rPr>
                <w:color w:val="auto"/>
                <w:highlight w:val="none"/>
              </w:rPr>
              <w:t>影响范围内</w:t>
            </w:r>
            <w:r>
              <w:rPr>
                <w:rFonts w:hint="eastAsia"/>
                <w:color w:val="auto"/>
                <w:highlight w:val="none"/>
              </w:rPr>
              <w:t>居民饮用水井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Merge w:val="restart"/>
            <w:tcBorders>
              <w:tl2br w:val="nil"/>
              <w:tr2bl w:val="nil"/>
            </w:tcBorders>
            <w:vAlign w:val="center"/>
          </w:tcPr>
          <w:p>
            <w:pPr>
              <w:rPr>
                <w:color w:val="auto"/>
                <w:highlight w:val="none"/>
              </w:rPr>
            </w:pPr>
            <w:r>
              <w:rPr>
                <w:rFonts w:hint="eastAsia"/>
                <w:color w:val="auto"/>
                <w:highlight w:val="none"/>
              </w:rPr>
              <w:t>石油类</w:t>
            </w:r>
          </w:p>
        </w:tc>
        <w:tc>
          <w:tcPr>
            <w:tcW w:w="819" w:type="pct"/>
            <w:tcBorders>
              <w:tl2br w:val="nil"/>
              <w:tr2bl w:val="nil"/>
            </w:tcBorders>
            <w:vAlign w:val="center"/>
          </w:tcPr>
          <w:p>
            <w:pPr>
              <w:rPr>
                <w:color w:val="auto"/>
                <w:highlight w:val="none"/>
              </w:rPr>
            </w:pPr>
            <w:r>
              <w:rPr>
                <w:color w:val="auto"/>
                <w:highlight w:val="none"/>
              </w:rPr>
              <w:t>100d</w:t>
            </w:r>
          </w:p>
        </w:tc>
        <w:tc>
          <w:tcPr>
            <w:tcW w:w="1371" w:type="pct"/>
            <w:tcBorders>
              <w:tl2br w:val="nil"/>
              <w:tr2bl w:val="nil"/>
            </w:tcBorders>
            <w:vAlign w:val="center"/>
          </w:tcPr>
          <w:p>
            <w:pPr>
              <w:rPr>
                <w:color w:val="auto"/>
                <w:highlight w:val="none"/>
              </w:rPr>
            </w:pPr>
            <w:r>
              <w:rPr>
                <w:color w:val="auto"/>
                <w:highlight w:val="none"/>
              </w:rPr>
              <w:t>0</w:t>
            </w:r>
          </w:p>
        </w:tc>
        <w:tc>
          <w:tcPr>
            <w:tcW w:w="902" w:type="pct"/>
            <w:tcBorders>
              <w:tl2br w:val="nil"/>
              <w:tr2bl w:val="nil"/>
            </w:tcBorders>
            <w:vAlign w:val="center"/>
          </w:tcPr>
          <w:p>
            <w:pPr>
              <w:rPr>
                <w:rFonts w:hint="default" w:eastAsia="宋体"/>
                <w:color w:val="auto"/>
                <w:highlight w:val="none"/>
                <w:lang w:val="en-US" w:eastAsia="zh-CN"/>
              </w:rPr>
            </w:pPr>
            <w:r>
              <w:rPr>
                <w:rFonts w:hint="eastAsia"/>
                <w:color w:val="auto"/>
                <w:highlight w:val="none"/>
                <w:lang w:val="en-US" w:eastAsia="zh-CN"/>
              </w:rPr>
              <w:t>35</w:t>
            </w:r>
          </w:p>
        </w:tc>
        <w:tc>
          <w:tcPr>
            <w:tcW w:w="1043" w:type="pct"/>
            <w:tcBorders>
              <w:tl2br w:val="nil"/>
              <w:tr2bl w:val="nil"/>
            </w:tcBorders>
            <w:vAlign w:val="center"/>
          </w:tcPr>
          <w:p>
            <w:pPr>
              <w:rPr>
                <w:color w:val="auto"/>
                <w:highlight w:val="none"/>
              </w:rPr>
            </w:pPr>
            <w:r>
              <w:rPr>
                <w:color w:val="auto"/>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Merge w:val="continue"/>
            <w:tcBorders>
              <w:tl2br w:val="nil"/>
              <w:tr2bl w:val="nil"/>
            </w:tcBorders>
            <w:vAlign w:val="center"/>
          </w:tcPr>
          <w:p>
            <w:pPr>
              <w:rPr>
                <w:color w:val="auto"/>
                <w:highlight w:val="none"/>
              </w:rPr>
            </w:pPr>
          </w:p>
        </w:tc>
        <w:tc>
          <w:tcPr>
            <w:tcW w:w="819" w:type="pct"/>
            <w:tcBorders>
              <w:tl2br w:val="nil"/>
              <w:tr2bl w:val="nil"/>
            </w:tcBorders>
            <w:vAlign w:val="center"/>
          </w:tcPr>
          <w:p>
            <w:pPr>
              <w:rPr>
                <w:color w:val="auto"/>
                <w:highlight w:val="none"/>
              </w:rPr>
            </w:pPr>
            <w:r>
              <w:rPr>
                <w:color w:val="auto"/>
                <w:highlight w:val="none"/>
              </w:rPr>
              <w:t>1000d</w:t>
            </w:r>
          </w:p>
        </w:tc>
        <w:tc>
          <w:tcPr>
            <w:tcW w:w="1371" w:type="pct"/>
            <w:tcBorders>
              <w:tl2br w:val="nil"/>
              <w:tr2bl w:val="nil"/>
            </w:tcBorders>
            <w:vAlign w:val="center"/>
          </w:tcPr>
          <w:p>
            <w:pPr>
              <w:rPr>
                <w:color w:val="auto"/>
                <w:highlight w:val="none"/>
              </w:rPr>
            </w:pPr>
            <w:r>
              <w:rPr>
                <w:color w:val="auto"/>
                <w:highlight w:val="none"/>
              </w:rPr>
              <w:t>0</w:t>
            </w:r>
          </w:p>
        </w:tc>
        <w:tc>
          <w:tcPr>
            <w:tcW w:w="902" w:type="pct"/>
            <w:tcBorders>
              <w:tl2br w:val="nil"/>
              <w:tr2bl w:val="nil"/>
            </w:tcBorders>
            <w:vAlign w:val="center"/>
          </w:tcPr>
          <w:p>
            <w:pPr>
              <w:rPr>
                <w:rFonts w:hint="default" w:eastAsia="宋体"/>
                <w:color w:val="auto"/>
                <w:highlight w:val="none"/>
                <w:lang w:val="en-US" w:eastAsia="zh-CN"/>
              </w:rPr>
            </w:pPr>
            <w:r>
              <w:rPr>
                <w:rFonts w:hint="eastAsia"/>
                <w:color w:val="auto"/>
                <w:highlight w:val="none"/>
                <w:lang w:val="en-US" w:eastAsia="zh-CN"/>
              </w:rPr>
              <w:t>120</w:t>
            </w:r>
          </w:p>
        </w:tc>
        <w:tc>
          <w:tcPr>
            <w:tcW w:w="1043" w:type="pct"/>
            <w:tcBorders>
              <w:tl2br w:val="nil"/>
              <w:tr2bl w:val="nil"/>
            </w:tcBorders>
          </w:tcPr>
          <w:p>
            <w:pPr>
              <w:rPr>
                <w:color w:val="auto"/>
                <w:highlight w:val="none"/>
              </w:rPr>
            </w:pPr>
            <w:r>
              <w:rPr>
                <w:color w:val="auto"/>
                <w:highlight w:val="none"/>
              </w:rPr>
              <w:t>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65" w:type="pct"/>
            <w:vMerge w:val="continue"/>
            <w:tcBorders>
              <w:tl2br w:val="nil"/>
              <w:tr2bl w:val="nil"/>
            </w:tcBorders>
            <w:vAlign w:val="center"/>
          </w:tcPr>
          <w:p>
            <w:pPr>
              <w:rPr>
                <w:color w:val="auto"/>
                <w:highlight w:val="none"/>
              </w:rPr>
            </w:pPr>
          </w:p>
        </w:tc>
        <w:tc>
          <w:tcPr>
            <w:tcW w:w="819" w:type="pct"/>
            <w:tcBorders>
              <w:tl2br w:val="nil"/>
              <w:tr2bl w:val="nil"/>
            </w:tcBorders>
            <w:vAlign w:val="center"/>
          </w:tcPr>
          <w:p>
            <w:pPr>
              <w:rPr>
                <w:color w:val="auto"/>
                <w:highlight w:val="none"/>
              </w:rPr>
            </w:pPr>
            <w:r>
              <w:rPr>
                <w:color w:val="auto"/>
                <w:highlight w:val="none"/>
              </w:rPr>
              <w:t>3650d</w:t>
            </w:r>
          </w:p>
        </w:tc>
        <w:tc>
          <w:tcPr>
            <w:tcW w:w="1371" w:type="pct"/>
            <w:tcBorders>
              <w:tl2br w:val="nil"/>
              <w:tr2bl w:val="nil"/>
            </w:tcBorders>
            <w:vAlign w:val="center"/>
          </w:tcPr>
          <w:p>
            <w:pPr>
              <w:rPr>
                <w:color w:val="auto"/>
                <w:highlight w:val="none"/>
              </w:rPr>
            </w:pPr>
            <w:r>
              <w:rPr>
                <w:rFonts w:hint="eastAsia"/>
                <w:color w:val="auto"/>
                <w:highlight w:val="none"/>
              </w:rPr>
              <w:t>0</w:t>
            </w:r>
          </w:p>
        </w:tc>
        <w:tc>
          <w:tcPr>
            <w:tcW w:w="902" w:type="pct"/>
            <w:tcBorders>
              <w:tl2br w:val="nil"/>
              <w:tr2bl w:val="nil"/>
            </w:tcBorders>
            <w:vAlign w:val="center"/>
          </w:tcPr>
          <w:p>
            <w:pPr>
              <w:rPr>
                <w:rFonts w:hint="default" w:eastAsia="宋体"/>
                <w:color w:val="auto"/>
                <w:highlight w:val="none"/>
                <w:lang w:val="en-US" w:eastAsia="zh-CN"/>
              </w:rPr>
            </w:pPr>
            <w:r>
              <w:rPr>
                <w:rFonts w:hint="eastAsia"/>
                <w:color w:val="auto"/>
                <w:highlight w:val="none"/>
                <w:lang w:val="en-US" w:eastAsia="zh-CN"/>
              </w:rPr>
              <w:t>210</w:t>
            </w:r>
          </w:p>
        </w:tc>
        <w:tc>
          <w:tcPr>
            <w:tcW w:w="1043" w:type="pct"/>
            <w:tcBorders>
              <w:tl2br w:val="nil"/>
              <w:tr2bl w:val="nil"/>
            </w:tcBorders>
          </w:tcPr>
          <w:p>
            <w:pPr>
              <w:rPr>
                <w:color w:val="auto"/>
                <w:highlight w:val="none"/>
              </w:rPr>
            </w:pPr>
            <w:r>
              <w:rPr>
                <w:color w:val="auto"/>
                <w:highlight w:val="none"/>
              </w:rPr>
              <w:t>无</w:t>
            </w:r>
          </w:p>
        </w:tc>
      </w:tr>
    </w:tbl>
    <w:p>
      <w:pPr>
        <w:jc w:val="center"/>
        <w:rPr>
          <w:color w:val="auto"/>
          <w:highlight w:val="none"/>
        </w:rPr>
      </w:pPr>
      <w:r>
        <w:rPr>
          <w:color w:val="auto"/>
          <w:highlight w:val="none"/>
        </w:rPr>
        <w:drawing>
          <wp:inline distT="0" distB="0" distL="114300" distR="114300">
            <wp:extent cx="4572000" cy="2199005"/>
            <wp:effectExtent l="0" t="0" r="0" b="1079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pic:cNvPicPr>
                  </pic:nvPicPr>
                  <pic:blipFill>
                    <a:blip r:embed="rId27"/>
                    <a:stretch>
                      <a:fillRect/>
                    </a:stretch>
                  </pic:blipFill>
                  <pic:spPr>
                    <a:xfrm>
                      <a:off x="0" y="0"/>
                      <a:ext cx="4572000" cy="2199005"/>
                    </a:xfrm>
                    <a:prstGeom prst="rect">
                      <a:avLst/>
                    </a:prstGeom>
                    <a:noFill/>
                    <a:ln>
                      <a:noFill/>
                    </a:ln>
                  </pic:spPr>
                </pic:pic>
              </a:graphicData>
            </a:graphic>
          </wp:inline>
        </w:drawing>
      </w:r>
    </w:p>
    <w:p>
      <w:pPr>
        <w:pStyle w:val="54"/>
        <w:ind w:firstLine="482"/>
        <w:rPr>
          <w:rFonts w:hAnsi="宋体" w:cs="宋体"/>
          <w:bCs/>
          <w:color w:val="auto"/>
          <w:highlight w:val="none"/>
        </w:rPr>
      </w:pPr>
      <w:r>
        <w:rPr>
          <w:rFonts w:hint="eastAsia"/>
          <w:color w:val="auto"/>
          <w:highlight w:val="none"/>
        </w:rPr>
        <w:t>图5.</w:t>
      </w:r>
      <w:r>
        <w:rPr>
          <w:rFonts w:hint="eastAsia"/>
          <w:color w:val="auto"/>
          <w:highlight w:val="none"/>
          <w:lang w:val="en-US" w:eastAsia="zh-CN"/>
        </w:rPr>
        <w:t>2-3</w:t>
      </w:r>
      <w:r>
        <w:rPr>
          <w:rFonts w:hint="eastAsia"/>
          <w:color w:val="auto"/>
          <w:highlight w:val="none"/>
        </w:rPr>
        <w:t xml:space="preserve"> 发生泄漏后石油类污染物浓度变化趋势图（情景2）</w:t>
      </w:r>
    </w:p>
    <w:p>
      <w:pPr>
        <w:pStyle w:val="57"/>
        <w:rPr>
          <w:bCs/>
          <w:color w:val="auto"/>
          <w:highlight w:val="none"/>
        </w:rPr>
      </w:pPr>
      <w:r>
        <w:rPr>
          <w:color w:val="auto"/>
          <w:highlight w:val="none"/>
        </w:rPr>
        <w:t>根</w:t>
      </w:r>
      <w:r>
        <w:rPr>
          <w:rFonts w:hint="eastAsia"/>
          <w:color w:val="auto"/>
          <w:highlight w:val="none"/>
          <w:lang w:eastAsia="zh-CN"/>
        </w:rPr>
        <w:t>据</w:t>
      </w:r>
      <w:r>
        <w:rPr>
          <w:rFonts w:hint="eastAsia"/>
          <w:color w:val="auto"/>
          <w:highlight w:val="none"/>
        </w:rPr>
        <w:t>以上预测结果，在本次设定的预测情形下：预测期间，随着距离的增加，石油类在含水层中沿地下水流向运移，污染物的浓度呈先增大后减小的趋势；随着泄漏后的时间的增加，影响范围呈增加趋势。在本次预测情景下的泄漏对地下水环境的影响很小。石油类浓度在</w:t>
      </w:r>
      <w:r>
        <w:rPr>
          <w:rFonts w:hint="eastAsia"/>
          <w:color w:val="auto"/>
          <w:highlight w:val="none"/>
          <w:lang w:eastAsia="zh-CN"/>
        </w:rPr>
        <w:t>泄漏</w:t>
      </w:r>
      <w:r>
        <w:rPr>
          <w:rFonts w:hint="eastAsia"/>
          <w:color w:val="auto"/>
          <w:highlight w:val="none"/>
        </w:rPr>
        <w:t>发生后100d、1000d、3650d时的影响距离约35m、120m、210m，下渗废水对该地区地下水的潜在影响依然存在。故管道必须采取必要的防腐措施，并加强巡检，防止其泄漏进而</w:t>
      </w:r>
      <w:r>
        <w:rPr>
          <w:rFonts w:hint="eastAsia"/>
          <w:color w:val="auto"/>
          <w:highlight w:val="none"/>
          <w:lang w:eastAsia="zh-CN"/>
        </w:rPr>
        <w:t>污染</w:t>
      </w:r>
      <w:r>
        <w:rPr>
          <w:rFonts w:hint="eastAsia"/>
          <w:color w:val="auto"/>
          <w:highlight w:val="none"/>
        </w:rPr>
        <w:t>周边区域内的地下水</w:t>
      </w:r>
      <w:r>
        <w:rPr>
          <w:color w:val="auto"/>
          <w:highlight w:val="none"/>
        </w:rPr>
        <w:t>。</w:t>
      </w:r>
    </w:p>
    <w:p>
      <w:pPr>
        <w:pStyle w:val="57"/>
        <w:rPr>
          <w:color w:val="auto"/>
          <w:highlight w:val="none"/>
        </w:rPr>
      </w:pPr>
      <w:r>
        <w:rPr>
          <w:rFonts w:hint="eastAsia"/>
          <w:bCs/>
          <w:color w:val="auto"/>
          <w:szCs w:val="24"/>
          <w:highlight w:val="none"/>
        </w:rPr>
        <w:t>井场、站场装置区等</w:t>
      </w:r>
      <w:r>
        <w:rPr>
          <w:bCs/>
          <w:color w:val="auto"/>
          <w:szCs w:val="24"/>
          <w:highlight w:val="none"/>
        </w:rPr>
        <w:t>必须采取必要的防渗措施，</w:t>
      </w:r>
      <w:r>
        <w:rPr>
          <w:rFonts w:hint="eastAsia"/>
          <w:color w:val="auto"/>
          <w:highlight w:val="none"/>
        </w:rPr>
        <w:t>在非正常状况下，</w:t>
      </w:r>
      <w:r>
        <w:rPr>
          <w:snapToGrid w:val="0"/>
          <w:color w:val="auto"/>
          <w:highlight w:val="none"/>
        </w:rPr>
        <w:t>由于</w:t>
      </w:r>
      <w:r>
        <w:rPr>
          <w:rFonts w:hint="eastAsia"/>
          <w:bCs/>
          <w:color w:val="auto"/>
          <w:highlight w:val="none"/>
        </w:rPr>
        <w:t>项目区</w:t>
      </w:r>
      <w:r>
        <w:rPr>
          <w:bCs/>
          <w:color w:val="auto"/>
          <w:highlight w:val="none"/>
        </w:rPr>
        <w:t>地下水循环条件差，径流、排泄基本处于停滞状态，因此，</w:t>
      </w:r>
      <w:r>
        <w:rPr>
          <w:rFonts w:hint="eastAsia"/>
          <w:bCs/>
          <w:color w:val="auto"/>
          <w:highlight w:val="none"/>
        </w:rPr>
        <w:t>泄漏</w:t>
      </w:r>
      <w:r>
        <w:rPr>
          <w:bCs/>
          <w:color w:val="auto"/>
          <w:highlight w:val="none"/>
        </w:rPr>
        <w:t>对地下水环境产生的影响非常有限</w:t>
      </w:r>
      <w:r>
        <w:rPr>
          <w:rFonts w:hint="eastAsia"/>
          <w:bCs/>
          <w:color w:val="auto"/>
          <w:highlight w:val="none"/>
        </w:rPr>
        <w:t>，</w:t>
      </w:r>
      <w:r>
        <w:rPr>
          <w:rFonts w:hint="eastAsia"/>
          <w:color w:val="auto"/>
          <w:highlight w:val="none"/>
        </w:rPr>
        <w:t>在非正常状况下，建设单位应立即采取切断措施并及时组织专门力量进行污染物的清除工作，在最短的时间内清除地面及地下的石油类物质，</w:t>
      </w:r>
      <w:r>
        <w:rPr>
          <w:bCs/>
          <w:color w:val="auto"/>
          <w:szCs w:val="24"/>
          <w:highlight w:val="none"/>
        </w:rPr>
        <w:t>并加强</w:t>
      </w:r>
      <w:r>
        <w:rPr>
          <w:rFonts w:hint="eastAsia"/>
          <w:bCs/>
          <w:color w:val="auto"/>
          <w:szCs w:val="24"/>
          <w:highlight w:val="none"/>
        </w:rPr>
        <w:t>后期污染治理和跟踪监测</w:t>
      </w:r>
      <w:r>
        <w:rPr>
          <w:bCs/>
          <w:color w:val="auto"/>
          <w:szCs w:val="24"/>
          <w:highlight w:val="none"/>
        </w:rPr>
        <w:t>，</w:t>
      </w:r>
      <w:r>
        <w:rPr>
          <w:rFonts w:hint="eastAsia"/>
          <w:bCs/>
          <w:color w:val="auto"/>
          <w:szCs w:val="24"/>
          <w:highlight w:val="none"/>
        </w:rPr>
        <w:t>尽量避免</w:t>
      </w:r>
      <w:r>
        <w:rPr>
          <w:bCs/>
          <w:color w:val="auto"/>
          <w:szCs w:val="24"/>
          <w:highlight w:val="none"/>
        </w:rPr>
        <w:t>泄漏污染到周边区域内的地下水。</w:t>
      </w:r>
      <w:r>
        <w:rPr>
          <w:rFonts w:hint="eastAsia"/>
          <w:color w:val="auto"/>
          <w:highlight w:val="none"/>
        </w:rPr>
        <w:t>只要建设单位和施工单位严格按照拟定的环保措施进行，非正常状况下，对地下水的影响</w:t>
      </w:r>
      <w:r>
        <w:rPr>
          <w:rFonts w:hint="eastAsia"/>
          <w:color w:val="auto"/>
          <w:highlight w:val="none"/>
          <w:lang w:eastAsia="zh-CN"/>
        </w:rPr>
        <w:t>属于</w:t>
      </w:r>
      <w:r>
        <w:rPr>
          <w:rFonts w:hint="eastAsia"/>
          <w:color w:val="auto"/>
          <w:highlight w:val="none"/>
        </w:rPr>
        <w:t>可接受范围。</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lang w:val="zh-CN"/>
        </w:rPr>
      </w:pPr>
      <w:r>
        <w:rPr>
          <w:rFonts w:hint="default" w:ascii="Times New Roman" w:hAnsi="Times New Roman" w:cs="Times New Roman"/>
          <w:color w:val="auto"/>
          <w:highlight w:val="none"/>
        </w:rPr>
        <w:t>综上，本工程需采取地下水污染防治措施按照“源头控制、过程防控、跟踪监测、应急响应”相结合的原则，并定期开展地下水跟踪监测，在严格按照地下水污染防护措施后，本工程对区域地下水环境影响可接受。</w:t>
      </w:r>
    </w:p>
    <w:p>
      <w:pPr>
        <w:pStyle w:val="53"/>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31" w:name="_Toc173941908"/>
      <w:r>
        <w:rPr>
          <w:rFonts w:hint="default" w:ascii="Times New Roman" w:hAnsi="Times New Roman" w:cs="Times New Roman"/>
          <w:color w:val="auto"/>
          <w:highlight w:val="none"/>
        </w:rPr>
        <w:t>5.2.4退役期地下水环境影响分析</w:t>
      </w:r>
      <w:bookmarkEnd w:id="631"/>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本工程退役期，无废水外排，在加强环境管理的情况下，一般不会造成周边地下水环境污染。</w:t>
      </w:r>
    </w:p>
    <w:p>
      <w:pPr>
        <w:pStyle w:val="53"/>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bookmarkStart w:id="632" w:name="_Toc173941909"/>
      <w:r>
        <w:rPr>
          <w:rFonts w:hint="default" w:ascii="Times New Roman" w:hAnsi="Times New Roman" w:cs="Times New Roman"/>
          <w:color w:val="auto"/>
          <w:highlight w:val="none"/>
        </w:rPr>
        <w:t>5.2.5</w:t>
      </w:r>
      <w:bookmarkEnd w:id="632"/>
      <w:r>
        <w:rPr>
          <w:rFonts w:hint="default" w:ascii="Times New Roman" w:hAnsi="Times New Roman" w:eastAsia="宋体" w:cs="Times New Roman"/>
          <w:color w:val="auto"/>
          <w:highlight w:val="none"/>
        </w:rPr>
        <w:t>地下水环境评价结论</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（1）在正常状况下，</w:t>
      </w:r>
      <w:bookmarkStart w:id="633" w:name="_Hlk48692703"/>
      <w:r>
        <w:rPr>
          <w:rFonts w:hint="default" w:ascii="Times New Roman" w:hAnsi="Times New Roman" w:cs="Times New Roman"/>
          <w:color w:val="auto"/>
          <w:highlight w:val="none"/>
        </w:rPr>
        <w:t>本工程各阶段的废水均不外排，各类废水及固废均得到了妥善处置，本工程在设计、施工和运行时，严把质量验收关，杜绝因管道材质、制管、防腐涂层、焊接缺陷及运行失误而造成管线泄漏</w:t>
      </w:r>
      <w:bookmarkEnd w:id="633"/>
      <w:r>
        <w:rPr>
          <w:rFonts w:hint="default" w:ascii="Times New Roman" w:hAnsi="Times New Roman" w:cs="Times New Roman"/>
          <w:color w:val="auto"/>
          <w:highlight w:val="none"/>
        </w:rPr>
        <w:t>。在生产运行过程中，强化监控手段，定期检查检验，检漏控漏，尽量杜绝事故性排放源的存在，本工程对地下水环境的影响较小。</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2）本次地下水评价，设置了项目非正常情况情景进行预测分析，结果显示：若发生非正常状况，污染物一旦发生泄漏，将会对项目附近区域地下水造成一定影响，发生事故后建设单位及时启动应急预案，切断废水下渗污染源，采取补救措施，可将地下水环境影响降到最低，对地下水环境产生的影响较小。</w:t>
      </w:r>
      <w:r>
        <w:rPr>
          <w:rFonts w:hint="default" w:ascii="Times New Roman" w:hAnsi="Times New Roman" w:cs="Times New Roman"/>
          <w:bCs/>
          <w:color w:val="auto"/>
          <w:highlight w:val="none"/>
        </w:rPr>
        <w:t>本工程需采取地下水污染防治措施按照“源头控制、分区防渗、跟踪监测、应急响应”相结合的原则，并定期开展地下水跟踪监测，在严格按照地下水污染防护措施后，本工程对区域地下水环境影响可接受</w:t>
      </w:r>
      <w:r>
        <w:rPr>
          <w:rFonts w:hint="default" w:ascii="Times New Roman" w:hAnsi="Times New Roman" w:cs="Times New Roman"/>
          <w:snapToGrid w:val="0"/>
          <w:color w:val="auto"/>
          <w:highlight w:val="none"/>
        </w:rPr>
        <w:t>。</w:t>
      </w:r>
    </w:p>
    <w:p>
      <w:pPr>
        <w:pStyle w:val="49"/>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bookmarkStart w:id="634" w:name="_Toc173941900"/>
      <w:bookmarkStart w:id="635" w:name="_Toc22213"/>
      <w:bookmarkStart w:id="636" w:name="_Toc173942692"/>
      <w:bookmarkStart w:id="637" w:name="_Toc173941738"/>
      <w:bookmarkStart w:id="638" w:name="_Toc27712"/>
      <w:bookmarkStart w:id="639" w:name="_Toc20222"/>
      <w:r>
        <w:rPr>
          <w:rFonts w:hint="default" w:ascii="Times New Roman" w:hAnsi="Times New Roman" w:cs="Times New Roman"/>
          <w:color w:val="auto"/>
          <w:highlight w:val="none"/>
        </w:rPr>
        <w:t>5.3地表水环境影响</w:t>
      </w:r>
      <w:bookmarkEnd w:id="634"/>
      <w:bookmarkEnd w:id="635"/>
      <w:bookmarkEnd w:id="636"/>
      <w:bookmarkEnd w:id="637"/>
      <w:r>
        <w:rPr>
          <w:rFonts w:hint="default" w:ascii="Times New Roman" w:hAnsi="Times New Roman" w:cs="Times New Roman"/>
          <w:color w:val="auto"/>
          <w:highlight w:val="none"/>
        </w:rPr>
        <w:t>评价</w:t>
      </w:r>
      <w:bookmarkEnd w:id="638"/>
      <w:bookmarkEnd w:id="639"/>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r>
        <w:rPr>
          <w:rFonts w:hint="default" w:ascii="Times New Roman" w:hAnsi="Times New Roman" w:cs="Times New Roman"/>
          <w:color w:val="auto"/>
          <w:highlight w:val="none"/>
        </w:rPr>
        <w:t>按照《环境影响评价技术导则 地表水环境》（HJ2.3-2018）中表1水污染影响型建设项目评价等级判定，判定本工程地表水环境评价等级为三级B。重点论证项目废水综合利用不外排的可行性和可靠性。</w:t>
      </w:r>
    </w:p>
    <w:p>
      <w:pPr>
        <w:pStyle w:val="53"/>
        <w:pageBreakBefore w:val="0"/>
        <w:widowControl/>
        <w:kinsoku/>
        <w:wordWrap/>
        <w:overflowPunct/>
        <w:topLinePunct w:val="0"/>
        <w:autoSpaceDE/>
        <w:autoSpaceDN/>
        <w:bidi w:val="0"/>
        <w:spacing w:line="480" w:lineRule="exact"/>
        <w:textAlignment w:val="auto"/>
        <w:rPr>
          <w:rFonts w:hint="default" w:ascii="Times New Roman" w:hAnsi="Times New Roman" w:cs="Times New Roman"/>
          <w:color w:val="auto"/>
          <w:highlight w:val="none"/>
        </w:rPr>
      </w:pPr>
      <w:bookmarkStart w:id="640" w:name="_Toc173941901"/>
      <w:r>
        <w:rPr>
          <w:rFonts w:hint="default" w:ascii="Times New Roman" w:hAnsi="Times New Roman" w:cs="Times New Roman"/>
          <w:color w:val="auto"/>
          <w:highlight w:val="none"/>
        </w:rPr>
        <w:t>5.3.1施工期地表水环境影响分析</w:t>
      </w:r>
      <w:bookmarkEnd w:id="640"/>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eastAsia="宋体"/>
          <w:color w:val="auto"/>
          <w:highlight w:val="none"/>
        </w:rPr>
        <w:t>本工程周边5km范围内无天然地表水体，且距离</w:t>
      </w:r>
      <w:r>
        <w:rPr>
          <w:rFonts w:hint="eastAsia" w:eastAsia="宋体"/>
          <w:color w:val="auto"/>
          <w:highlight w:val="none"/>
          <w:lang w:val="en-US" w:eastAsia="zh-CN"/>
        </w:rPr>
        <w:t>玛纳斯湖</w:t>
      </w:r>
      <w:r>
        <w:rPr>
          <w:rFonts w:hint="eastAsia" w:eastAsia="宋体"/>
          <w:color w:val="auto"/>
          <w:highlight w:val="none"/>
        </w:rPr>
        <w:t>最近距离约</w:t>
      </w:r>
      <w:r>
        <w:rPr>
          <w:rFonts w:hint="eastAsia" w:eastAsia="宋体"/>
          <w:color w:val="auto"/>
          <w:highlight w:val="none"/>
          <w:lang w:val="en-US" w:eastAsia="zh-CN"/>
        </w:rPr>
        <w:t>31.5</w:t>
      </w:r>
      <w:r>
        <w:rPr>
          <w:rFonts w:hint="eastAsia" w:eastAsia="宋体"/>
          <w:color w:val="auto"/>
          <w:highlight w:val="none"/>
        </w:rPr>
        <w:t>km</w:t>
      </w:r>
      <w:r>
        <w:rPr>
          <w:rFonts w:hint="eastAsia" w:eastAsia="宋体"/>
          <w:color w:val="auto"/>
          <w:highlight w:val="none"/>
          <w:lang w:eastAsia="zh-CN"/>
        </w:rPr>
        <w:t>。</w:t>
      </w:r>
    </w:p>
    <w:p>
      <w:pPr>
        <w:pStyle w:val="57"/>
        <w:pageBreakBefore w:val="0"/>
        <w:widowControl/>
        <w:kinsoku/>
        <w:wordWrap/>
        <w:overflowPunct/>
        <w:topLinePunct w:val="0"/>
        <w:autoSpaceDE/>
        <w:autoSpaceDN/>
        <w:bidi w:val="0"/>
        <w:spacing w:line="480" w:lineRule="exact"/>
        <w:ind w:left="0" w:leftChars="0" w:firstLine="0" w:firstLineChars="0"/>
        <w:textAlignment w:val="auto"/>
        <w:rPr>
          <w:color w:val="auto"/>
          <w:highlight w:val="none"/>
        </w:rPr>
      </w:pPr>
      <w:r>
        <w:rPr>
          <w:rFonts w:hint="default" w:ascii="Times New Roman" w:hAnsi="Times New Roman" w:cs="Times New Roman"/>
          <w:color w:val="auto"/>
          <w:highlight w:val="none"/>
        </w:rPr>
        <w:t>施工期</w:t>
      </w:r>
      <w:r>
        <w:rPr>
          <w:color w:val="auto"/>
          <w:highlight w:val="none"/>
        </w:rPr>
        <w:t>的污染源为</w:t>
      </w:r>
      <w:r>
        <w:rPr>
          <w:rFonts w:hint="eastAsia"/>
          <w:color w:val="auto"/>
          <w:highlight w:val="none"/>
          <w:lang w:val="en-US" w:eastAsia="zh-CN"/>
        </w:rPr>
        <w:t>钻井废水、</w:t>
      </w:r>
      <w:r>
        <w:rPr>
          <w:color w:val="auto"/>
          <w:highlight w:val="none"/>
        </w:rPr>
        <w:t>生活污水</w:t>
      </w:r>
      <w:r>
        <w:rPr>
          <w:rFonts w:hint="eastAsia"/>
          <w:color w:val="auto"/>
          <w:highlight w:val="none"/>
        </w:rPr>
        <w:t>、</w:t>
      </w:r>
      <w:r>
        <w:rPr>
          <w:color w:val="auto"/>
          <w:highlight w:val="none"/>
        </w:rPr>
        <w:t>管道试压废水。</w:t>
      </w:r>
    </w:p>
    <w:p>
      <w:pPr>
        <w:pStyle w:val="86"/>
        <w:pageBreakBefore w:val="0"/>
        <w:kinsoku/>
        <w:wordWrap/>
        <w:overflowPunct/>
        <w:topLinePunct w:val="0"/>
        <w:autoSpaceDE/>
        <w:autoSpaceDN/>
        <w:bidi w:val="0"/>
        <w:spacing w:line="480" w:lineRule="exact"/>
        <w:ind w:firstLine="480" w:firstLineChars="200"/>
        <w:jc w:val="left"/>
        <w:textAlignment w:val="auto"/>
        <w:rPr>
          <w:color w:val="auto"/>
          <w:sz w:val="24"/>
          <w:szCs w:val="24"/>
          <w:highlight w:val="none"/>
        </w:rPr>
      </w:pPr>
      <w:r>
        <w:rPr>
          <w:rFonts w:hint="eastAsia"/>
          <w:color w:val="auto"/>
          <w:sz w:val="24"/>
          <w:szCs w:val="24"/>
          <w:highlight w:val="none"/>
        </w:rPr>
        <w:t>（</w:t>
      </w:r>
      <w:r>
        <w:rPr>
          <w:color w:val="auto"/>
          <w:sz w:val="24"/>
          <w:szCs w:val="24"/>
          <w:highlight w:val="none"/>
        </w:rPr>
        <w:t>1</w:t>
      </w:r>
      <w:r>
        <w:rPr>
          <w:rFonts w:hint="eastAsia"/>
          <w:color w:val="auto"/>
          <w:sz w:val="24"/>
          <w:szCs w:val="24"/>
          <w:highlight w:val="none"/>
        </w:rPr>
        <w:t>）钻井废水</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kern w:val="24"/>
          <w:sz w:val="24"/>
          <w:szCs w:val="24"/>
          <w:highlight w:val="none"/>
        </w:rPr>
        <w:t>钻井施工过程中采用</w:t>
      </w:r>
      <w:r>
        <w:rPr>
          <w:color w:val="auto"/>
          <w:kern w:val="24"/>
          <w:sz w:val="24"/>
          <w:szCs w:val="24"/>
          <w:highlight w:val="none"/>
        </w:rPr>
        <w:t>“</w:t>
      </w:r>
      <w:r>
        <w:rPr>
          <w:rFonts w:hint="eastAsia"/>
          <w:color w:val="auto"/>
          <w:kern w:val="24"/>
          <w:sz w:val="24"/>
          <w:szCs w:val="24"/>
          <w:highlight w:val="none"/>
        </w:rPr>
        <w:t>钻井废弃物不落地达标处理技术</w:t>
      </w:r>
      <w:r>
        <w:rPr>
          <w:color w:val="auto"/>
          <w:kern w:val="24"/>
          <w:sz w:val="24"/>
          <w:szCs w:val="24"/>
          <w:highlight w:val="none"/>
        </w:rPr>
        <w:t>”</w:t>
      </w:r>
      <w:r>
        <w:rPr>
          <w:rFonts w:hint="eastAsia"/>
          <w:color w:val="auto"/>
          <w:kern w:val="24"/>
          <w:sz w:val="24"/>
          <w:szCs w:val="24"/>
          <w:highlight w:val="none"/>
        </w:rPr>
        <w:t>，钻井废水与钻井泥浆、岩屑一同进入不落地处理系统处理，处理后的液相全部回用于配备钻井液，不外排。</w:t>
      </w:r>
      <w:r>
        <w:rPr>
          <w:rFonts w:hint="eastAsia"/>
          <w:color w:val="auto"/>
          <w:sz w:val="24"/>
          <w:szCs w:val="24"/>
          <w:highlight w:val="none"/>
        </w:rPr>
        <w:t>本</w:t>
      </w:r>
      <w:r>
        <w:rPr>
          <w:rFonts w:hint="eastAsia"/>
          <w:color w:val="auto"/>
          <w:sz w:val="24"/>
          <w:szCs w:val="24"/>
          <w:highlight w:val="none"/>
          <w:lang w:val="en-US" w:eastAsia="zh-CN"/>
        </w:rPr>
        <w:t>工程</w:t>
      </w:r>
      <w:r>
        <w:rPr>
          <w:rFonts w:hint="eastAsia"/>
          <w:color w:val="auto"/>
          <w:sz w:val="24"/>
          <w:szCs w:val="24"/>
          <w:highlight w:val="none"/>
        </w:rPr>
        <w:t>钻井采用了套管，采取固井措施，有效防止了钻井液漏失污染地下水；钻井废水由泥浆不落地系统收集，一般情况下不会对</w:t>
      </w:r>
      <w:r>
        <w:rPr>
          <w:rFonts w:hint="eastAsia"/>
          <w:color w:val="auto"/>
          <w:sz w:val="24"/>
          <w:szCs w:val="24"/>
          <w:highlight w:val="none"/>
          <w:lang w:val="en-US" w:eastAsia="zh-CN"/>
        </w:rPr>
        <w:t>地表水</w:t>
      </w:r>
      <w:r>
        <w:rPr>
          <w:rFonts w:hint="eastAsia"/>
          <w:color w:val="auto"/>
          <w:sz w:val="24"/>
          <w:szCs w:val="24"/>
          <w:highlight w:val="none"/>
        </w:rPr>
        <w:t>环境产生影响。</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w:t>
      </w:r>
      <w:r>
        <w:rPr>
          <w:rFonts w:hint="eastAsia"/>
          <w:color w:val="auto"/>
          <w:highlight w:val="none"/>
          <w:lang w:val="en-US" w:eastAsia="zh-CN"/>
        </w:rPr>
        <w:t>2</w:t>
      </w:r>
      <w:r>
        <w:rPr>
          <w:color w:val="auto"/>
          <w:highlight w:val="none"/>
        </w:rPr>
        <w:t>）生活污水</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根据工程分析，本工程施工期生活污水</w:t>
      </w:r>
      <w:r>
        <w:rPr>
          <w:color w:val="auto"/>
          <w:highlight w:val="none"/>
        </w:rPr>
        <w:t>产生总量约为</w:t>
      </w:r>
      <w:r>
        <w:rPr>
          <w:rFonts w:hint="eastAsia"/>
          <w:color w:val="auto"/>
          <w:highlight w:val="none"/>
          <w:lang w:val="en-US" w:eastAsia="zh-CN"/>
        </w:rPr>
        <w:t>2073.6</w:t>
      </w:r>
      <w:r>
        <w:rPr>
          <w:rFonts w:hint="eastAsia"/>
          <w:color w:val="auto"/>
          <w:highlight w:val="none"/>
        </w:rPr>
        <w:t>m³</w:t>
      </w:r>
      <w:r>
        <w:rPr>
          <w:color w:val="auto"/>
          <w:highlight w:val="none"/>
        </w:rPr>
        <w:t>。</w:t>
      </w:r>
      <w:r>
        <w:rPr>
          <w:rFonts w:hint="eastAsia"/>
          <w:color w:val="auto"/>
          <w:highlight w:val="none"/>
        </w:rPr>
        <w:t>生活营地设置防渗生活污水池，定期拉运至乌尔禾区生活污水处理厂处理，粪便排入环保厕所内，收集后运至乌尔禾区生活垃圾填埋场。</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）管道试压废水</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本工程</w:t>
      </w:r>
      <w:r>
        <w:rPr>
          <w:color w:val="auto"/>
          <w:highlight w:val="none"/>
        </w:rPr>
        <w:t>管道分段试压，一般采用无腐蚀性的清洁水。试压水由管道排出由</w:t>
      </w:r>
      <w:r>
        <w:rPr>
          <w:rFonts w:hint="eastAsia"/>
          <w:color w:val="auto"/>
          <w:highlight w:val="none"/>
          <w:lang w:val="en-US" w:eastAsia="zh-CN"/>
        </w:rPr>
        <w:t>专用</w:t>
      </w:r>
      <w:r>
        <w:rPr>
          <w:color w:val="auto"/>
          <w:highlight w:val="none"/>
        </w:rPr>
        <w:t>罐收集后，进入下一段管道循环使用，试压结束沉淀后用于</w:t>
      </w:r>
      <w:r>
        <w:rPr>
          <w:rFonts w:hint="eastAsia"/>
          <w:color w:val="auto"/>
          <w:highlight w:val="none"/>
        </w:rPr>
        <w:t>施工区域</w:t>
      </w:r>
      <w:r>
        <w:rPr>
          <w:color w:val="auto"/>
          <w:highlight w:val="none"/>
        </w:rPr>
        <w:t>洒水降尘</w:t>
      </w:r>
      <w:r>
        <w:rPr>
          <w:rFonts w:hint="eastAsia"/>
          <w:color w:val="auto"/>
          <w:highlight w:val="none"/>
        </w:rPr>
        <w:t>，不外排。</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lang w:eastAsia="zh-CN"/>
        </w:rPr>
      </w:pPr>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Times New Roman"/>
          <w:color w:val="auto"/>
          <w:highlight w:val="none"/>
          <w:lang w:val="en-US" w:eastAsia="zh-CN"/>
        </w:rPr>
        <w:t>压裂返排液</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lang w:val="en-US" w:eastAsia="zh-CN"/>
        </w:rPr>
        <w:t>本工程</w:t>
      </w:r>
      <w:r>
        <w:rPr>
          <w:rFonts w:hint="eastAsia" w:ascii="Times New Roman" w:hAnsi="Times New Roman" w:eastAsia="宋体" w:cs="Times New Roman"/>
          <w:color w:val="auto"/>
          <w:highlight w:val="none"/>
          <w:lang w:val="en-US" w:eastAsia="zh-CN"/>
        </w:rPr>
        <w:t>压裂返排液采用专用废液收集罐收集后及时拉运至风城二号稠油联合站处理，经处理达到《碎屑岩油藏注水水质指标技术要求及分析方法》（SY/T5329-2022）</w:t>
      </w:r>
      <w:r>
        <w:rPr>
          <w:rFonts w:hint="eastAsia" w:cs="Times New Roman"/>
          <w:color w:val="auto"/>
          <w:highlight w:val="none"/>
          <w:lang w:val="en-US" w:eastAsia="zh-CN"/>
        </w:rPr>
        <w:t>、《陆上油气田采出水地下注入环境保护技术规范》（SY/T7784-2024）</w:t>
      </w:r>
      <w:r>
        <w:rPr>
          <w:rFonts w:hint="eastAsia" w:ascii="Times New Roman" w:hAnsi="Times New Roman" w:eastAsia="宋体" w:cs="Times New Roman"/>
          <w:color w:val="auto"/>
          <w:highlight w:val="none"/>
          <w:lang w:val="en-US" w:eastAsia="zh-CN"/>
        </w:rPr>
        <w:t>中的有关标准后回注油藏，不对外排放</w:t>
      </w:r>
      <w:r>
        <w:rPr>
          <w:rFonts w:hint="eastAsia" w:eastAsia="宋体" w:cs="Times New Roman"/>
          <w:color w:val="auto"/>
          <w:highlight w:val="none"/>
          <w:lang w:val="en-US" w:eastAsia="zh-CN"/>
        </w:rPr>
        <w:t>。</w:t>
      </w:r>
    </w:p>
    <w:p>
      <w:pPr>
        <w:pStyle w:val="57"/>
        <w:rPr>
          <w:color w:val="auto"/>
          <w:highlight w:val="none"/>
        </w:rPr>
      </w:pPr>
      <w:r>
        <w:rPr>
          <w:rFonts w:hint="eastAsia"/>
          <w:color w:val="auto"/>
          <w:highlight w:val="none"/>
        </w:rPr>
        <w:t>综上，本工程</w:t>
      </w:r>
      <w:r>
        <w:rPr>
          <w:color w:val="auto"/>
          <w:highlight w:val="none"/>
        </w:rPr>
        <w:t>施工期间废水</w:t>
      </w:r>
      <w:r>
        <w:rPr>
          <w:rFonts w:hint="eastAsia"/>
          <w:color w:val="auto"/>
          <w:highlight w:val="none"/>
        </w:rPr>
        <w:t>全部妥善处理，不外排，正常情况下，项目施工期废水不会对水环境产生明显影响。</w:t>
      </w:r>
    </w:p>
    <w:p>
      <w:pPr>
        <w:pStyle w:val="53"/>
        <w:pageBreakBefore w:val="0"/>
        <w:kinsoku/>
        <w:wordWrap/>
        <w:overflowPunct/>
        <w:topLinePunct w:val="0"/>
        <w:autoSpaceDE/>
        <w:autoSpaceDN/>
        <w:bidi w:val="0"/>
        <w:spacing w:line="480" w:lineRule="exact"/>
        <w:rPr>
          <w:rFonts w:hint="default" w:ascii="Times New Roman" w:hAnsi="Times New Roman" w:cs="Times New Roman"/>
          <w:color w:val="auto"/>
          <w:highlight w:val="none"/>
        </w:rPr>
      </w:pPr>
      <w:bookmarkStart w:id="641" w:name="_Toc173941902"/>
      <w:r>
        <w:rPr>
          <w:rFonts w:hint="default" w:ascii="Times New Roman" w:hAnsi="Times New Roman" w:cs="Times New Roman"/>
          <w:color w:val="auto"/>
          <w:highlight w:val="none"/>
        </w:rPr>
        <w:t>5.3.2运营期地表水环境影响分析</w:t>
      </w:r>
      <w:bookmarkEnd w:id="641"/>
    </w:p>
    <w:p>
      <w:pPr>
        <w:pStyle w:val="57"/>
        <w:pageBreakBefore w:val="0"/>
        <w:kinsoku/>
        <w:wordWrap/>
        <w:overflowPunct/>
        <w:topLinePunct w:val="0"/>
        <w:autoSpaceDE/>
        <w:autoSpaceDN/>
        <w:bidi w:val="0"/>
        <w:spacing w:line="480" w:lineRule="exact"/>
        <w:rPr>
          <w:rFonts w:hint="default" w:ascii="Times New Roman" w:hAnsi="Times New Roman" w:cs="Times New Roman"/>
          <w:color w:val="auto"/>
          <w:highlight w:val="none"/>
        </w:rPr>
      </w:pPr>
      <w:r>
        <w:rPr>
          <w:rFonts w:hint="default" w:ascii="Times New Roman" w:hAnsi="Times New Roman" w:cs="Times New Roman"/>
          <w:color w:val="auto"/>
          <w:highlight w:val="none"/>
        </w:rPr>
        <w:t>根据工程分析，本工程运营期产生的废水主要有采出水、井下作业废水。采出水通过油气集输管道</w:t>
      </w:r>
      <w:r>
        <w:rPr>
          <w:rFonts w:hint="default" w:ascii="Times New Roman" w:hAnsi="Times New Roman" w:cs="Times New Roman"/>
          <w:color w:val="auto"/>
          <w:highlight w:val="none"/>
          <w:lang w:val="en-US" w:eastAsia="zh-CN"/>
        </w:rPr>
        <w:t>输至集中拉油站内拉油罐，拉运至</w:t>
      </w:r>
      <w:r>
        <w:rPr>
          <w:rFonts w:hint="default" w:ascii="Times New Roman" w:hAnsi="Times New Roman" w:cs="Times New Roman"/>
          <w:color w:val="auto"/>
          <w:highlight w:val="none"/>
          <w:lang w:eastAsia="zh-CN"/>
        </w:rPr>
        <w:t>风城二号稠油处理站</w:t>
      </w:r>
      <w:r>
        <w:rPr>
          <w:rFonts w:hint="default" w:ascii="Times New Roman" w:hAnsi="Times New Roman" w:cs="Times New Roman"/>
          <w:color w:val="auto"/>
          <w:highlight w:val="none"/>
        </w:rPr>
        <w:t>处理达标后回注地层；井下作业废水收集后送</w:t>
      </w:r>
      <w:r>
        <w:rPr>
          <w:rFonts w:hint="default" w:ascii="Times New Roman" w:hAnsi="Times New Roman" w:cs="Times New Roman"/>
          <w:color w:val="auto"/>
          <w:highlight w:val="none"/>
          <w:lang w:eastAsia="zh-CN"/>
        </w:rPr>
        <w:t>风城二号稠油联合站</w:t>
      </w:r>
      <w:r>
        <w:rPr>
          <w:rFonts w:hint="default" w:ascii="Times New Roman" w:hAnsi="Times New Roman" w:cs="Times New Roman"/>
          <w:color w:val="auto"/>
          <w:highlight w:val="none"/>
        </w:rPr>
        <w:t>处理，设备擦洗废水主要污染物为SS，可用作场地降尘用水，不会对周边水环境产生影响。</w:t>
      </w:r>
    </w:p>
    <w:p>
      <w:pPr>
        <w:pStyle w:val="57"/>
        <w:pageBreakBefore w:val="0"/>
        <w:kinsoku/>
        <w:wordWrap/>
        <w:overflowPunct/>
        <w:topLinePunct w:val="0"/>
        <w:autoSpaceDE/>
        <w:autoSpaceDN/>
        <w:bidi w:val="0"/>
        <w:spacing w:line="480" w:lineRule="exact"/>
        <w:rPr>
          <w:color w:val="auto"/>
          <w:highlight w:val="none"/>
        </w:rPr>
      </w:pPr>
      <w:bookmarkStart w:id="642" w:name="OLE_LINK86"/>
      <w:r>
        <w:rPr>
          <w:rFonts w:hint="eastAsia"/>
          <w:color w:val="auto"/>
          <w:highlight w:val="none"/>
        </w:rPr>
        <w:t>（1）采出水依托处理环境可行性评价</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根据工程分析，本工程运营期新增采出水最大量为</w:t>
      </w:r>
      <w:r>
        <w:rPr>
          <w:rFonts w:hint="eastAsia"/>
          <w:color w:val="auto"/>
          <w:highlight w:val="none"/>
          <w:lang w:val="en-US" w:eastAsia="zh-CN"/>
        </w:rPr>
        <w:t>118.5t/d（3.91×10</w:t>
      </w:r>
      <w:r>
        <w:rPr>
          <w:rFonts w:hint="eastAsia"/>
          <w:color w:val="auto"/>
          <w:highlight w:val="none"/>
          <w:vertAlign w:val="superscript"/>
          <w:lang w:val="en-US" w:eastAsia="zh-CN"/>
        </w:rPr>
        <w:t>4</w:t>
      </w:r>
      <w:r>
        <w:rPr>
          <w:rFonts w:hint="eastAsia"/>
          <w:color w:val="auto"/>
          <w:highlight w:val="none"/>
          <w:lang w:val="en-US" w:eastAsia="zh-CN"/>
        </w:rPr>
        <w:t>t/a）</w:t>
      </w: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）、《陆上油气田采出水地下注入环境保护技术规范》（SY/T7784-2024）</w:t>
      </w:r>
      <w:r>
        <w:rPr>
          <w:rFonts w:hint="eastAsia"/>
          <w:color w:val="auto"/>
          <w:highlight w:val="none"/>
        </w:rPr>
        <w:t>标准后回注地层，不外排。根据前述依托可行性分析，</w:t>
      </w:r>
      <w:r>
        <w:rPr>
          <w:rFonts w:hint="eastAsia"/>
          <w:color w:val="auto"/>
          <w:highlight w:val="none"/>
          <w:lang w:eastAsia="zh-CN"/>
        </w:rPr>
        <w:t>风城二号稠油处理站</w:t>
      </w:r>
      <w:r>
        <w:rPr>
          <w:rFonts w:hint="eastAsia"/>
          <w:color w:val="auto"/>
          <w:highlight w:val="none"/>
        </w:rPr>
        <w:t>污水处理系统运行正常，且</w:t>
      </w:r>
      <w:r>
        <w:rPr>
          <w:color w:val="auto"/>
          <w:highlight w:val="none"/>
        </w:rPr>
        <w:t>富余</w:t>
      </w:r>
      <w:r>
        <w:rPr>
          <w:rFonts w:hint="eastAsia"/>
          <w:color w:val="auto"/>
          <w:highlight w:val="none"/>
        </w:rPr>
        <w:t>能力可满足本工程采出水处理需求</w:t>
      </w:r>
      <w:r>
        <w:rPr>
          <w:color w:val="auto"/>
          <w:highlight w:val="none"/>
        </w:rPr>
        <w:t>，依托处理设施可行。</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（2）井下作业废水依托处理环境可行性评价</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本工程井下作业废水产生量95.2t/a，</w:t>
      </w:r>
      <w:r>
        <w:rPr>
          <w:rFonts w:hint="eastAsia"/>
          <w:color w:val="auto"/>
          <w:highlight w:val="none"/>
          <w:lang w:eastAsia="zh-CN"/>
        </w:rPr>
        <w:t>风城二号稠油联合站</w:t>
      </w:r>
      <w:r>
        <w:rPr>
          <w:rFonts w:hint="eastAsia"/>
          <w:color w:val="auto"/>
          <w:highlight w:val="none"/>
        </w:rPr>
        <w:t>设计钻试修废液处理规模为</w:t>
      </w:r>
      <w:r>
        <w:rPr>
          <w:rFonts w:hint="eastAsia"/>
          <w:color w:val="auto"/>
          <w:highlight w:val="none"/>
          <w:lang w:val="en-US" w:eastAsia="zh-CN"/>
        </w:rPr>
        <w:t>40000</w:t>
      </w:r>
      <w:r>
        <w:rPr>
          <w:rFonts w:hint="eastAsia"/>
          <w:color w:val="auto"/>
          <w:highlight w:val="none"/>
        </w:rPr>
        <w:t>m</w:t>
      </w:r>
      <w:r>
        <w:rPr>
          <w:rFonts w:hint="eastAsia"/>
          <w:color w:val="auto"/>
          <w:highlight w:val="none"/>
          <w:vertAlign w:val="superscript"/>
        </w:rPr>
        <w:t>3</w:t>
      </w:r>
      <w:r>
        <w:rPr>
          <w:rFonts w:hint="eastAsia"/>
          <w:color w:val="auto"/>
          <w:highlight w:val="none"/>
        </w:rPr>
        <w:t>/a，剩余处理规模为</w:t>
      </w:r>
      <w:r>
        <w:rPr>
          <w:rFonts w:hint="eastAsia"/>
          <w:color w:val="auto"/>
          <w:highlight w:val="none"/>
          <w:lang w:val="en-US" w:eastAsia="zh-CN"/>
        </w:rPr>
        <w:t>5000m³/d</w:t>
      </w:r>
      <w:r>
        <w:rPr>
          <w:rFonts w:hint="eastAsia"/>
          <w:color w:val="auto"/>
          <w:highlight w:val="none"/>
        </w:rPr>
        <w:t>，处理能力满足本项目需求。因此本工程井下作业废水可依托</w:t>
      </w:r>
      <w:r>
        <w:rPr>
          <w:rFonts w:hint="eastAsia"/>
          <w:color w:val="auto"/>
          <w:highlight w:val="none"/>
          <w:lang w:eastAsia="zh-CN"/>
        </w:rPr>
        <w:t>风城二号稠油联合站</w:t>
      </w:r>
      <w:r>
        <w:rPr>
          <w:rFonts w:hint="eastAsia"/>
          <w:color w:val="auto"/>
          <w:highlight w:val="none"/>
        </w:rPr>
        <w:t>进行处理。</w:t>
      </w:r>
      <w:bookmarkEnd w:id="642"/>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综上，本工程运营期产生的各类废水均能妥善处置，不外排，对周围水</w:t>
      </w:r>
      <w:r>
        <w:rPr>
          <w:color w:val="auto"/>
          <w:highlight w:val="none"/>
        </w:rPr>
        <w:t>环境影响较小。</w:t>
      </w:r>
    </w:p>
    <w:p>
      <w:pPr>
        <w:pStyle w:val="53"/>
        <w:pageBreakBefore w:val="0"/>
        <w:kinsoku/>
        <w:wordWrap/>
        <w:overflowPunct/>
        <w:topLinePunct w:val="0"/>
        <w:autoSpaceDE/>
        <w:autoSpaceDN/>
        <w:bidi w:val="0"/>
        <w:spacing w:line="480" w:lineRule="exact"/>
        <w:rPr>
          <w:color w:val="auto"/>
          <w:highlight w:val="none"/>
        </w:rPr>
      </w:pPr>
      <w:bookmarkStart w:id="643" w:name="_Toc173941903"/>
      <w:r>
        <w:rPr>
          <w:color w:val="auto"/>
          <w:highlight w:val="none"/>
        </w:rPr>
        <w:t>5.</w:t>
      </w:r>
      <w:r>
        <w:rPr>
          <w:rFonts w:hint="eastAsia"/>
          <w:color w:val="auto"/>
          <w:highlight w:val="none"/>
        </w:rPr>
        <w:t>3</w:t>
      </w:r>
      <w:r>
        <w:rPr>
          <w:color w:val="auto"/>
          <w:highlight w:val="none"/>
        </w:rPr>
        <w:t>.3</w:t>
      </w:r>
      <w:r>
        <w:rPr>
          <w:rFonts w:hint="eastAsia"/>
          <w:color w:val="auto"/>
          <w:highlight w:val="none"/>
        </w:rPr>
        <w:t>退役期地表水环境影响分析</w:t>
      </w:r>
      <w:bookmarkEnd w:id="643"/>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项目</w:t>
      </w:r>
      <w:r>
        <w:rPr>
          <w:color w:val="auto"/>
          <w:highlight w:val="none"/>
        </w:rPr>
        <w:t>退役期拆除设备</w:t>
      </w:r>
      <w:r>
        <w:rPr>
          <w:rFonts w:hint="eastAsia"/>
          <w:color w:val="auto"/>
          <w:highlight w:val="none"/>
        </w:rPr>
        <w:t>、封井和清理井场时，施工</w:t>
      </w:r>
      <w:r>
        <w:rPr>
          <w:color w:val="auto"/>
          <w:highlight w:val="none"/>
        </w:rPr>
        <w:t>时间较</w:t>
      </w:r>
      <w:r>
        <w:rPr>
          <w:rFonts w:hint="eastAsia"/>
          <w:color w:val="auto"/>
          <w:highlight w:val="none"/>
        </w:rPr>
        <w:t>短</w:t>
      </w:r>
      <w:r>
        <w:rPr>
          <w:color w:val="auto"/>
          <w:highlight w:val="none"/>
        </w:rPr>
        <w:t>，施工人员产生的生活污水量较少，依托</w:t>
      </w:r>
      <w:r>
        <w:rPr>
          <w:rFonts w:hint="eastAsia"/>
          <w:color w:val="auto"/>
          <w:highlight w:val="none"/>
        </w:rPr>
        <w:t>施工区域</w:t>
      </w:r>
      <w:r>
        <w:rPr>
          <w:color w:val="auto"/>
          <w:highlight w:val="none"/>
        </w:rPr>
        <w:t>周边生活设施处理，不外排，对</w:t>
      </w:r>
      <w:r>
        <w:rPr>
          <w:rFonts w:hint="eastAsia"/>
          <w:color w:val="auto"/>
          <w:highlight w:val="none"/>
        </w:rPr>
        <w:t>周围水</w:t>
      </w:r>
      <w:r>
        <w:rPr>
          <w:color w:val="auto"/>
          <w:highlight w:val="none"/>
        </w:rPr>
        <w:t>环境影响较小。</w:t>
      </w:r>
    </w:p>
    <w:p>
      <w:pPr>
        <w:pStyle w:val="53"/>
        <w:pageBreakBefore w:val="0"/>
        <w:kinsoku/>
        <w:wordWrap/>
        <w:overflowPunct/>
        <w:topLinePunct w:val="0"/>
        <w:autoSpaceDE/>
        <w:autoSpaceDN/>
        <w:bidi w:val="0"/>
        <w:spacing w:line="480" w:lineRule="exact"/>
        <w:rPr>
          <w:color w:val="auto"/>
          <w:highlight w:val="none"/>
        </w:rPr>
      </w:pPr>
      <w:r>
        <w:rPr>
          <w:color w:val="auto"/>
          <w:highlight w:val="none"/>
        </w:rPr>
        <w:fldChar w:fldCharType="begin"/>
      </w:r>
      <w:r>
        <w:rPr>
          <w:color w:val="auto"/>
          <w:highlight w:val="none"/>
        </w:rPr>
        <w:instrText xml:space="preserve"> HYPERLINK \l "_Toc9371" </w:instrText>
      </w:r>
      <w:r>
        <w:rPr>
          <w:color w:val="auto"/>
          <w:highlight w:val="none"/>
        </w:rPr>
        <w:fldChar w:fldCharType="separate"/>
      </w:r>
      <w:r>
        <w:rPr>
          <w:rFonts w:hint="eastAsia"/>
          <w:color w:val="auto"/>
          <w:highlight w:val="none"/>
        </w:rPr>
        <w:t>5.3.4地表水环境评价结论</w:t>
      </w:r>
      <w:r>
        <w:rPr>
          <w:rFonts w:hint="eastAsia"/>
          <w:color w:val="auto"/>
          <w:highlight w:val="none"/>
        </w:rPr>
        <w:fldChar w:fldCharType="end"/>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采取上述</w:t>
      </w:r>
      <w:r>
        <w:rPr>
          <w:rFonts w:hint="eastAsia"/>
          <w:color w:val="auto"/>
          <w:highlight w:val="none"/>
          <w:lang w:val="zh-CN"/>
        </w:rPr>
        <w:t>水污染控制</w:t>
      </w:r>
      <w:r>
        <w:rPr>
          <w:rFonts w:hint="eastAsia"/>
          <w:color w:val="auto"/>
          <w:highlight w:val="none"/>
        </w:rPr>
        <w:t>措施后，本工程运营期产生的废水均能妥善处置，不会对周边地表水环境产生影响。水污染控制和水环境影响减缓措施有效，</w:t>
      </w:r>
      <w:r>
        <w:rPr>
          <w:rFonts w:hint="eastAsia" w:hAnsi="宋体" w:cs="宋体"/>
          <w:color w:val="auto"/>
          <w:highlight w:val="none"/>
        </w:rPr>
        <w:t>本工程的实施对地表水环境整体可接受。</w:t>
      </w:r>
    </w:p>
    <w:p>
      <w:pPr>
        <w:pStyle w:val="53"/>
        <w:pageBreakBefore w:val="0"/>
        <w:kinsoku/>
        <w:wordWrap/>
        <w:overflowPunct/>
        <w:topLinePunct w:val="0"/>
        <w:autoSpaceDE/>
        <w:autoSpaceDN/>
        <w:bidi w:val="0"/>
        <w:spacing w:line="480" w:lineRule="exact"/>
        <w:rPr>
          <w:rFonts w:hint="eastAsia"/>
          <w:color w:val="auto"/>
          <w:highlight w:val="none"/>
        </w:rPr>
      </w:pPr>
      <w:r>
        <w:rPr>
          <w:color w:val="auto"/>
          <w:highlight w:val="none"/>
        </w:rPr>
        <w:t>5</w:t>
      </w:r>
      <w:r>
        <w:rPr>
          <w:rFonts w:hint="eastAsia"/>
          <w:color w:val="auto"/>
          <w:highlight w:val="none"/>
        </w:rPr>
        <w:t>.</w:t>
      </w:r>
      <w:r>
        <w:rPr>
          <w:color w:val="auto"/>
          <w:highlight w:val="none"/>
        </w:rPr>
        <w:t>3</w:t>
      </w:r>
      <w:r>
        <w:rPr>
          <w:rFonts w:hint="eastAsia"/>
          <w:color w:val="auto"/>
          <w:highlight w:val="none"/>
        </w:rPr>
        <w:t>.5地表水环境影响评价自查表</w:t>
      </w:r>
      <w:bookmarkStart w:id="644" w:name="_Toc4920"/>
    </w:p>
    <w:p>
      <w:pPr>
        <w:pStyle w:val="54"/>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表5.</w:t>
      </w:r>
      <w:r>
        <w:rPr>
          <w:rFonts w:hint="eastAsia"/>
          <w:color w:val="auto"/>
          <w:highlight w:val="none"/>
          <w:lang w:val="en-US" w:eastAsia="zh-CN"/>
        </w:rPr>
        <w:t>3</w:t>
      </w:r>
      <w:r>
        <w:rPr>
          <w:rFonts w:hint="eastAsia"/>
          <w:color w:val="auto"/>
          <w:highlight w:val="none"/>
        </w:rPr>
        <w:t>-1        地表水环境影响评价自查表</w:t>
      </w:r>
      <w:bookmarkEnd w:id="644"/>
    </w:p>
    <w:tbl>
      <w:tblPr>
        <w:tblStyle w:val="34"/>
        <w:tblW w:w="498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531"/>
        <w:gridCol w:w="977"/>
        <w:gridCol w:w="3592"/>
        <w:gridCol w:w="353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2" w:type="pct"/>
            <w:gridSpan w:val="2"/>
            <w:vAlign w:val="center"/>
          </w:tcPr>
          <w:p>
            <w:pPr>
              <w:pStyle w:val="41"/>
              <w:rPr>
                <w:color w:val="auto"/>
                <w:highlight w:val="none"/>
              </w:rPr>
            </w:pPr>
            <w:r>
              <w:rPr>
                <w:rFonts w:hint="eastAsia"/>
                <w:color w:val="auto"/>
                <w:highlight w:val="none"/>
              </w:rPr>
              <w:t>工作内容</w:t>
            </w:r>
          </w:p>
        </w:tc>
        <w:tc>
          <w:tcPr>
            <w:tcW w:w="4127" w:type="pct"/>
            <w:gridSpan w:val="2"/>
            <w:vAlign w:val="center"/>
          </w:tcPr>
          <w:p>
            <w:pPr>
              <w:pStyle w:val="41"/>
              <w:rPr>
                <w:color w:val="auto"/>
                <w:highlight w:val="none"/>
              </w:rPr>
            </w:pPr>
            <w:r>
              <w:rPr>
                <w:rFonts w:hint="eastAsia"/>
                <w:color w:val="auto"/>
                <w:highlight w:val="none"/>
              </w:rPr>
              <w:t>自查项目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restart"/>
            <w:vAlign w:val="center"/>
          </w:tcPr>
          <w:p>
            <w:pPr>
              <w:pStyle w:val="41"/>
              <w:rPr>
                <w:color w:val="auto"/>
                <w:highlight w:val="none"/>
              </w:rPr>
            </w:pPr>
            <w:r>
              <w:rPr>
                <w:rFonts w:hint="eastAsia"/>
                <w:color w:val="auto"/>
                <w:highlight w:val="none"/>
              </w:rPr>
              <w:t>影响识别</w:t>
            </w:r>
          </w:p>
        </w:tc>
        <w:tc>
          <w:tcPr>
            <w:tcW w:w="564" w:type="pct"/>
            <w:vAlign w:val="center"/>
          </w:tcPr>
          <w:p>
            <w:pPr>
              <w:pStyle w:val="41"/>
              <w:rPr>
                <w:color w:val="auto"/>
                <w:highlight w:val="none"/>
              </w:rPr>
            </w:pPr>
            <w:r>
              <w:rPr>
                <w:rFonts w:hint="eastAsia"/>
                <w:color w:val="auto"/>
                <w:highlight w:val="none"/>
              </w:rPr>
              <w:t>影响类型</w:t>
            </w:r>
          </w:p>
        </w:tc>
        <w:tc>
          <w:tcPr>
            <w:tcW w:w="4127" w:type="pct"/>
            <w:gridSpan w:val="2"/>
            <w:vAlign w:val="center"/>
          </w:tcPr>
          <w:p>
            <w:pPr>
              <w:pStyle w:val="41"/>
              <w:rPr>
                <w:color w:val="auto"/>
                <w:highlight w:val="none"/>
              </w:rPr>
            </w:pPr>
            <w:r>
              <w:rPr>
                <w:rFonts w:hint="eastAsia"/>
                <w:color w:val="auto"/>
                <w:highlight w:val="none"/>
              </w:rPr>
              <w:t>水污染影响型</w:t>
            </w:r>
            <w:r>
              <w:rPr>
                <w:rFonts w:ascii="Segoe UI Symbol" w:hAnsi="Segoe UI Symbol" w:cs="Segoe UI Symbol"/>
                <w:color w:val="auto"/>
                <w:highlight w:val="none"/>
              </w:rPr>
              <w:t>☑</w:t>
            </w:r>
            <w:r>
              <w:rPr>
                <w:rFonts w:hint="eastAsia"/>
                <w:color w:val="auto"/>
                <w:highlight w:val="none"/>
              </w:rPr>
              <w:t>；水文要素影响型□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continue"/>
            <w:vAlign w:val="center"/>
          </w:tcPr>
          <w:p>
            <w:pPr>
              <w:pStyle w:val="41"/>
              <w:rPr>
                <w:color w:val="auto"/>
                <w:highlight w:val="none"/>
              </w:rPr>
            </w:pPr>
          </w:p>
        </w:tc>
        <w:tc>
          <w:tcPr>
            <w:tcW w:w="564" w:type="pct"/>
            <w:vAlign w:val="center"/>
          </w:tcPr>
          <w:p>
            <w:pPr>
              <w:pStyle w:val="41"/>
              <w:rPr>
                <w:color w:val="auto"/>
                <w:highlight w:val="none"/>
              </w:rPr>
            </w:pPr>
            <w:r>
              <w:rPr>
                <w:rFonts w:hint="eastAsia"/>
                <w:color w:val="auto"/>
                <w:highlight w:val="none"/>
              </w:rPr>
              <w:t>水环境保护目标</w:t>
            </w:r>
          </w:p>
        </w:tc>
        <w:tc>
          <w:tcPr>
            <w:tcW w:w="4127" w:type="pct"/>
            <w:gridSpan w:val="2"/>
            <w:vAlign w:val="center"/>
          </w:tcPr>
          <w:p>
            <w:pPr>
              <w:pStyle w:val="41"/>
              <w:rPr>
                <w:color w:val="auto"/>
                <w:highlight w:val="none"/>
              </w:rPr>
            </w:pPr>
            <w:r>
              <w:rPr>
                <w:rFonts w:hint="eastAsia"/>
                <w:color w:val="auto"/>
                <w:highlight w:val="none"/>
              </w:rPr>
              <w:t>饮用水水源保护区□；饮用水取水□；涉水的自然保护区□；重要湿地□</w:t>
            </w:r>
          </w:p>
          <w:p>
            <w:pPr>
              <w:pStyle w:val="41"/>
              <w:rPr>
                <w:color w:val="auto"/>
                <w:highlight w:val="none"/>
              </w:rPr>
            </w:pPr>
            <w:r>
              <w:rPr>
                <w:rFonts w:hint="eastAsia"/>
                <w:color w:val="auto"/>
                <w:highlight w:val="none"/>
              </w:rPr>
              <w:t>重点保护珍稀水生生物的栖息地□；重要水生生物的自然产卵场及索饵场、越冬场和洄游通道、天然渔场等渔业水体□；涉水的风景名胜区□；其他</w:t>
            </w:r>
            <w:r>
              <w:rPr>
                <w:rFonts w:hint="eastAsia"/>
                <w:color w:val="auto"/>
                <w:highlight w:val="none"/>
              </w:rPr>
              <w:sym w:font="Wingdings 2" w:char="0052"/>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continue"/>
            <w:vAlign w:val="center"/>
          </w:tcPr>
          <w:p>
            <w:pPr>
              <w:pStyle w:val="41"/>
              <w:rPr>
                <w:color w:val="auto"/>
                <w:highlight w:val="none"/>
              </w:rPr>
            </w:pPr>
          </w:p>
        </w:tc>
        <w:tc>
          <w:tcPr>
            <w:tcW w:w="564" w:type="pct"/>
            <w:vMerge w:val="restart"/>
            <w:vAlign w:val="center"/>
          </w:tcPr>
          <w:p>
            <w:pPr>
              <w:pStyle w:val="41"/>
              <w:rPr>
                <w:color w:val="auto"/>
                <w:highlight w:val="none"/>
              </w:rPr>
            </w:pPr>
            <w:r>
              <w:rPr>
                <w:rFonts w:hint="eastAsia"/>
                <w:color w:val="auto"/>
                <w:highlight w:val="none"/>
              </w:rPr>
              <w:t>影响途径</w:t>
            </w:r>
          </w:p>
        </w:tc>
        <w:tc>
          <w:tcPr>
            <w:tcW w:w="2079" w:type="pct"/>
            <w:vAlign w:val="center"/>
          </w:tcPr>
          <w:p>
            <w:pPr>
              <w:pStyle w:val="41"/>
              <w:rPr>
                <w:color w:val="auto"/>
                <w:highlight w:val="none"/>
              </w:rPr>
            </w:pPr>
            <w:r>
              <w:rPr>
                <w:rFonts w:hint="eastAsia"/>
                <w:color w:val="auto"/>
                <w:highlight w:val="none"/>
              </w:rPr>
              <w:t>水污染影响型</w:t>
            </w:r>
          </w:p>
        </w:tc>
        <w:tc>
          <w:tcPr>
            <w:tcW w:w="2048" w:type="pct"/>
            <w:vAlign w:val="center"/>
          </w:tcPr>
          <w:p>
            <w:pPr>
              <w:pStyle w:val="41"/>
              <w:rPr>
                <w:color w:val="auto"/>
                <w:highlight w:val="none"/>
              </w:rPr>
            </w:pPr>
            <w:r>
              <w:rPr>
                <w:rFonts w:hint="eastAsia"/>
                <w:color w:val="auto"/>
                <w:highlight w:val="none"/>
              </w:rPr>
              <w:t>水文要素影响型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continue"/>
            <w:vAlign w:val="center"/>
          </w:tcPr>
          <w:p>
            <w:pPr>
              <w:pStyle w:val="41"/>
              <w:rPr>
                <w:color w:val="auto"/>
                <w:highlight w:val="none"/>
              </w:rPr>
            </w:pPr>
          </w:p>
        </w:tc>
        <w:tc>
          <w:tcPr>
            <w:tcW w:w="564" w:type="pct"/>
            <w:vMerge w:val="continue"/>
            <w:vAlign w:val="center"/>
          </w:tcPr>
          <w:p>
            <w:pPr>
              <w:pStyle w:val="41"/>
              <w:rPr>
                <w:color w:val="auto"/>
                <w:highlight w:val="none"/>
              </w:rPr>
            </w:pPr>
          </w:p>
        </w:tc>
        <w:tc>
          <w:tcPr>
            <w:tcW w:w="2079" w:type="pct"/>
            <w:vAlign w:val="center"/>
          </w:tcPr>
          <w:p>
            <w:pPr>
              <w:pStyle w:val="41"/>
              <w:rPr>
                <w:color w:val="auto"/>
                <w:highlight w:val="none"/>
              </w:rPr>
            </w:pPr>
            <w:r>
              <w:rPr>
                <w:rFonts w:hint="eastAsia"/>
                <w:color w:val="auto"/>
                <w:highlight w:val="none"/>
              </w:rPr>
              <w:t>直接排放□；间接排放</w:t>
            </w:r>
            <w:r>
              <w:rPr>
                <w:rFonts w:ascii="Segoe UI Symbol" w:hAnsi="Segoe UI Symbol" w:cs="Segoe UI Symbol"/>
                <w:color w:val="auto"/>
                <w:highlight w:val="none"/>
              </w:rPr>
              <w:t>☑</w:t>
            </w:r>
            <w:r>
              <w:rPr>
                <w:rFonts w:hint="eastAsia" w:ascii="宋体" w:hAnsi="宋体" w:cs="宋体"/>
                <w:color w:val="auto"/>
                <w:highlight w:val="none"/>
              </w:rPr>
              <w:t>；其他□</w:t>
            </w:r>
          </w:p>
        </w:tc>
        <w:tc>
          <w:tcPr>
            <w:tcW w:w="2048" w:type="pct"/>
            <w:vAlign w:val="center"/>
          </w:tcPr>
          <w:p>
            <w:pPr>
              <w:pStyle w:val="41"/>
              <w:rPr>
                <w:color w:val="auto"/>
                <w:highlight w:val="none"/>
              </w:rPr>
            </w:pPr>
            <w:r>
              <w:rPr>
                <w:rFonts w:hint="eastAsia"/>
                <w:color w:val="auto"/>
                <w:highlight w:val="none"/>
              </w:rPr>
              <w:t>水温□；径流□；水域面积□</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07" w:type="pct"/>
            <w:vMerge w:val="continue"/>
            <w:vAlign w:val="center"/>
          </w:tcPr>
          <w:p>
            <w:pPr>
              <w:pStyle w:val="41"/>
              <w:rPr>
                <w:color w:val="auto"/>
                <w:highlight w:val="none"/>
              </w:rPr>
            </w:pPr>
          </w:p>
        </w:tc>
        <w:tc>
          <w:tcPr>
            <w:tcW w:w="564" w:type="pct"/>
            <w:vAlign w:val="center"/>
          </w:tcPr>
          <w:p>
            <w:pPr>
              <w:pStyle w:val="41"/>
              <w:rPr>
                <w:color w:val="auto"/>
                <w:highlight w:val="none"/>
              </w:rPr>
            </w:pPr>
            <w:r>
              <w:rPr>
                <w:rFonts w:hint="eastAsia"/>
                <w:color w:val="auto"/>
                <w:highlight w:val="none"/>
              </w:rPr>
              <w:t>影响因子</w:t>
            </w:r>
          </w:p>
        </w:tc>
        <w:tc>
          <w:tcPr>
            <w:tcW w:w="2079" w:type="pct"/>
            <w:vAlign w:val="center"/>
          </w:tcPr>
          <w:p>
            <w:pPr>
              <w:pStyle w:val="41"/>
              <w:rPr>
                <w:color w:val="auto"/>
                <w:highlight w:val="none"/>
              </w:rPr>
            </w:pPr>
            <w:r>
              <w:rPr>
                <w:rFonts w:hint="eastAsia"/>
                <w:color w:val="auto"/>
                <w:highlight w:val="none"/>
              </w:rPr>
              <w:t>持久性污染物□；有毒有害污染物□；非持久性污染物□；pH值□；热污染□；富营养化□；其他</w:t>
            </w:r>
            <w:r>
              <w:rPr>
                <w:rFonts w:ascii="Segoe UI Symbol" w:hAnsi="Segoe UI Symbol" w:cs="Segoe UI Symbol"/>
                <w:color w:val="auto"/>
                <w:highlight w:val="none"/>
              </w:rPr>
              <w:t>☑</w:t>
            </w:r>
          </w:p>
        </w:tc>
        <w:tc>
          <w:tcPr>
            <w:tcW w:w="2048" w:type="pct"/>
            <w:vAlign w:val="center"/>
          </w:tcPr>
          <w:p>
            <w:pPr>
              <w:pStyle w:val="41"/>
              <w:rPr>
                <w:color w:val="auto"/>
                <w:highlight w:val="none"/>
              </w:rPr>
            </w:pPr>
            <w:r>
              <w:rPr>
                <w:rFonts w:hint="eastAsia"/>
                <w:color w:val="auto"/>
                <w:highlight w:val="none"/>
              </w:rPr>
              <w:t>水温□；水位（水深）□；流速□；流量□；其他□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2" w:type="pct"/>
            <w:gridSpan w:val="2"/>
            <w:vMerge w:val="restart"/>
            <w:vAlign w:val="center"/>
          </w:tcPr>
          <w:p>
            <w:pPr>
              <w:pStyle w:val="41"/>
              <w:rPr>
                <w:color w:val="auto"/>
                <w:highlight w:val="none"/>
              </w:rPr>
            </w:pPr>
            <w:r>
              <w:rPr>
                <w:rFonts w:hint="eastAsia"/>
                <w:color w:val="auto"/>
                <w:highlight w:val="none"/>
              </w:rPr>
              <w:t>评价等级</w:t>
            </w:r>
          </w:p>
        </w:tc>
        <w:tc>
          <w:tcPr>
            <w:tcW w:w="2079" w:type="pct"/>
            <w:vAlign w:val="center"/>
          </w:tcPr>
          <w:p>
            <w:pPr>
              <w:pStyle w:val="41"/>
              <w:rPr>
                <w:color w:val="auto"/>
                <w:highlight w:val="none"/>
              </w:rPr>
            </w:pPr>
            <w:r>
              <w:rPr>
                <w:rFonts w:hint="eastAsia"/>
                <w:color w:val="auto"/>
                <w:highlight w:val="none"/>
              </w:rPr>
              <w:t>水污染影响型</w:t>
            </w:r>
          </w:p>
        </w:tc>
        <w:tc>
          <w:tcPr>
            <w:tcW w:w="2048" w:type="pct"/>
            <w:vAlign w:val="center"/>
          </w:tcPr>
          <w:p>
            <w:pPr>
              <w:pStyle w:val="41"/>
              <w:rPr>
                <w:color w:val="auto"/>
                <w:highlight w:val="none"/>
              </w:rPr>
            </w:pPr>
            <w:r>
              <w:rPr>
                <w:rFonts w:hint="eastAsia"/>
                <w:color w:val="auto"/>
                <w:highlight w:val="none"/>
              </w:rPr>
              <w:t>水文要素影响型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2" w:type="pct"/>
            <w:gridSpan w:val="2"/>
            <w:vMerge w:val="continue"/>
            <w:vAlign w:val="center"/>
          </w:tcPr>
          <w:p>
            <w:pPr>
              <w:pStyle w:val="41"/>
              <w:rPr>
                <w:color w:val="auto"/>
                <w:highlight w:val="none"/>
              </w:rPr>
            </w:pPr>
          </w:p>
        </w:tc>
        <w:tc>
          <w:tcPr>
            <w:tcW w:w="2079" w:type="pct"/>
            <w:vAlign w:val="center"/>
          </w:tcPr>
          <w:p>
            <w:pPr>
              <w:pStyle w:val="41"/>
              <w:rPr>
                <w:color w:val="auto"/>
                <w:highlight w:val="none"/>
              </w:rPr>
            </w:pPr>
            <w:r>
              <w:rPr>
                <w:rFonts w:hint="eastAsia"/>
                <w:color w:val="auto"/>
                <w:highlight w:val="none"/>
              </w:rPr>
              <w:t>一级□；二级□；三级A□；三级B</w:t>
            </w:r>
            <w:r>
              <w:rPr>
                <w:rFonts w:ascii="Segoe UI Symbol" w:hAnsi="Segoe UI Symbol" w:cs="Segoe UI Symbol"/>
                <w:color w:val="auto"/>
                <w:highlight w:val="none"/>
              </w:rPr>
              <w:t>☑</w:t>
            </w:r>
          </w:p>
        </w:tc>
        <w:tc>
          <w:tcPr>
            <w:tcW w:w="2048" w:type="pct"/>
            <w:vAlign w:val="center"/>
          </w:tcPr>
          <w:p>
            <w:pPr>
              <w:pStyle w:val="41"/>
              <w:rPr>
                <w:color w:val="auto"/>
                <w:highlight w:val="none"/>
              </w:rPr>
            </w:pPr>
            <w:r>
              <w:rPr>
                <w:rFonts w:hint="eastAsia"/>
                <w:color w:val="auto"/>
                <w:highlight w:val="none"/>
              </w:rPr>
              <w:t>一级□；二级□；三级□</w:t>
            </w:r>
          </w:p>
        </w:tc>
      </w:tr>
    </w:tbl>
    <w:p>
      <w:pPr>
        <w:pStyle w:val="49"/>
        <w:pageBreakBefore w:val="0"/>
        <w:kinsoku/>
        <w:wordWrap/>
        <w:overflowPunct/>
        <w:topLinePunct w:val="0"/>
        <w:autoSpaceDE/>
        <w:autoSpaceDN/>
        <w:bidi w:val="0"/>
        <w:spacing w:line="480" w:lineRule="exact"/>
        <w:textAlignment w:val="auto"/>
        <w:rPr>
          <w:rFonts w:eastAsia="宋体"/>
          <w:color w:val="auto"/>
          <w:highlight w:val="none"/>
        </w:rPr>
      </w:pPr>
      <w:bookmarkStart w:id="645" w:name="_Toc173942695"/>
      <w:bookmarkStart w:id="646" w:name="_Toc21710"/>
      <w:bookmarkStart w:id="647" w:name="_Toc173941914"/>
      <w:bookmarkStart w:id="648" w:name="_Toc173941741"/>
      <w:bookmarkStart w:id="649" w:name="_Toc4311"/>
      <w:bookmarkStart w:id="650" w:name="_Toc25205"/>
      <w:r>
        <w:rPr>
          <w:rFonts w:hint="eastAsia"/>
          <w:color w:val="auto"/>
          <w:highlight w:val="none"/>
        </w:rPr>
        <w:t>5.4</w:t>
      </w:r>
      <w:r>
        <w:rPr>
          <w:color w:val="auto"/>
          <w:highlight w:val="none"/>
        </w:rPr>
        <w:t>土壤环境影响</w:t>
      </w:r>
      <w:bookmarkEnd w:id="645"/>
      <w:bookmarkEnd w:id="646"/>
      <w:bookmarkEnd w:id="647"/>
      <w:bookmarkEnd w:id="648"/>
      <w:r>
        <w:rPr>
          <w:rFonts w:hint="eastAsia"/>
          <w:color w:val="auto"/>
          <w:highlight w:val="none"/>
        </w:rPr>
        <w:t>评价</w:t>
      </w:r>
      <w:bookmarkEnd w:id="649"/>
      <w:bookmarkEnd w:id="650"/>
    </w:p>
    <w:p>
      <w:pPr>
        <w:pStyle w:val="53"/>
        <w:pageBreakBefore w:val="0"/>
        <w:kinsoku/>
        <w:wordWrap/>
        <w:overflowPunct/>
        <w:topLinePunct w:val="0"/>
        <w:autoSpaceDE/>
        <w:autoSpaceDN/>
        <w:bidi w:val="0"/>
        <w:spacing w:line="480" w:lineRule="exact"/>
        <w:textAlignment w:val="auto"/>
        <w:rPr>
          <w:color w:val="auto"/>
          <w:highlight w:val="none"/>
        </w:rPr>
      </w:pPr>
      <w:bookmarkStart w:id="651" w:name="_Toc173941915"/>
      <w:r>
        <w:rPr>
          <w:rFonts w:hint="eastAsia"/>
          <w:color w:val="auto"/>
          <w:highlight w:val="none"/>
        </w:rPr>
        <w:t>5.4</w:t>
      </w:r>
      <w:r>
        <w:rPr>
          <w:color w:val="auto"/>
          <w:highlight w:val="none"/>
        </w:rPr>
        <w:t>.1施工期土壤环境影响分析</w:t>
      </w:r>
      <w:bookmarkEnd w:id="651"/>
      <w:r>
        <w:rPr>
          <w:color w:val="auto"/>
          <w:highlight w:val="none"/>
        </w:rPr>
        <w:t xml:space="preserve"> </w:t>
      </w:r>
    </w:p>
    <w:p>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ascii="Times New Roman" w:hAnsi="Times New Roman" w:cs="Times New Roman"/>
          <w:color w:val="auto"/>
          <w:spacing w:val="4"/>
          <w:kern w:val="24"/>
          <w:sz w:val="24"/>
          <w:szCs w:val="24"/>
          <w:highlight w:val="none"/>
          <w:shd w:val="clear" w:color="auto" w:fill="auto"/>
        </w:rPr>
        <w:t>施工期对土壤质量的影响主要为人为扰动、车辆行驶和机械施工、各种废弃物污染影响。</w:t>
      </w:r>
    </w:p>
    <w:p>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ascii="Times New Roman" w:hAnsi="Times New Roman" w:cs="Times New Roman"/>
          <w:color w:val="auto"/>
          <w:spacing w:val="4"/>
          <w:kern w:val="24"/>
          <w:sz w:val="24"/>
          <w:szCs w:val="24"/>
          <w:highlight w:val="none"/>
          <w:shd w:val="clear" w:color="auto" w:fill="auto"/>
        </w:rPr>
        <w:t>（1）</w:t>
      </w:r>
      <w:r>
        <w:rPr>
          <w:rFonts w:hint="eastAsia"/>
          <w:color w:val="auto"/>
          <w:sz w:val="24"/>
          <w:szCs w:val="24"/>
          <w:highlight w:val="none"/>
          <w:shd w:val="clear" w:color="auto" w:fill="auto"/>
        </w:rPr>
        <w:t>人为扰动对土壤的影响</w:t>
      </w:r>
    </w:p>
    <w:p>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lang w:eastAsia="zh-CN"/>
        </w:rPr>
        <w:t>油田</w:t>
      </w:r>
      <w:r>
        <w:rPr>
          <w:rFonts w:hint="eastAsia" w:ascii="Times New Roman" w:hAnsi="Times New Roman" w:cs="Times New Roman"/>
          <w:color w:val="auto"/>
          <w:spacing w:val="4"/>
          <w:kern w:val="24"/>
          <w:sz w:val="24"/>
          <w:szCs w:val="24"/>
          <w:highlight w:val="none"/>
          <w:shd w:val="clear" w:color="auto" w:fill="auto"/>
        </w:rPr>
        <w:t>开发过程中，不可避免地要对土壤进行人为扰动，主要是井场</w:t>
      </w:r>
      <w:r>
        <w:rPr>
          <w:rFonts w:hint="eastAsia" w:ascii="Times New Roman" w:hAnsi="Times New Roman" w:cs="Times New Roman"/>
          <w:color w:val="auto"/>
          <w:spacing w:val="4"/>
          <w:kern w:val="24"/>
          <w:sz w:val="24"/>
          <w:szCs w:val="24"/>
          <w:highlight w:val="none"/>
          <w:shd w:val="clear" w:color="auto" w:fill="auto"/>
          <w:lang w:eastAsia="zh-CN"/>
        </w:rPr>
        <w:t>、</w:t>
      </w:r>
      <w:r>
        <w:rPr>
          <w:rFonts w:hint="eastAsia" w:ascii="Times New Roman" w:hAnsi="Times New Roman" w:cs="Times New Roman"/>
          <w:color w:val="auto"/>
          <w:spacing w:val="4"/>
          <w:kern w:val="24"/>
          <w:sz w:val="24"/>
          <w:szCs w:val="24"/>
          <w:highlight w:val="none"/>
          <w:shd w:val="clear" w:color="auto" w:fill="auto"/>
          <w:lang w:val="en-US" w:eastAsia="zh-CN"/>
        </w:rPr>
        <w:t>站场</w:t>
      </w:r>
      <w:r>
        <w:rPr>
          <w:rFonts w:hint="eastAsia" w:ascii="Times New Roman" w:hAnsi="Times New Roman" w:cs="Times New Roman"/>
          <w:color w:val="auto"/>
          <w:spacing w:val="4"/>
          <w:kern w:val="24"/>
          <w:sz w:val="24"/>
          <w:szCs w:val="24"/>
          <w:highlight w:val="none"/>
          <w:shd w:val="clear" w:color="auto" w:fill="auto"/>
        </w:rPr>
        <w:t>建设、管道敷设建设过程中，车辆行驶、机械施工碾压和踩踏破坏土壤结构。</w:t>
      </w:r>
    </w:p>
    <w:p>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rPr>
        <w:t>在施工中，车辆行驶和机械作业时机械设备的碾压、施工人员的踩踏等都会对土壤的紧实度产生影响。机械碾压的结果使土壤紧实度增高，地表水入渗减少，土壤团粒结构遭到破坏，土壤养分流失，不利于植物生长。各种车辆（尤其是重型卡车）在地表上行驶将使经过的土壤变紧实，严重的经过多次碾压后植物很难再生长，甚至退化。</w:t>
      </w:r>
      <w:r>
        <w:rPr>
          <w:rFonts w:hint="eastAsia" w:ascii="Times New Roman" w:hAnsi="Times New Roman" w:cs="Times New Roman"/>
          <w:color w:val="auto"/>
          <w:spacing w:val="4"/>
          <w:kern w:val="24"/>
          <w:sz w:val="24"/>
          <w:szCs w:val="24"/>
          <w:highlight w:val="none"/>
          <w:shd w:val="clear" w:color="auto" w:fill="auto"/>
          <w:lang w:eastAsia="zh-CN"/>
        </w:rPr>
        <w:t>本工程</w:t>
      </w:r>
      <w:r>
        <w:rPr>
          <w:rFonts w:hint="eastAsia" w:ascii="Times New Roman" w:hAnsi="Times New Roman" w:cs="Times New Roman"/>
          <w:color w:val="auto"/>
          <w:spacing w:val="4"/>
          <w:kern w:val="24"/>
          <w:sz w:val="24"/>
          <w:szCs w:val="24"/>
          <w:highlight w:val="none"/>
          <w:shd w:val="clear" w:color="auto" w:fill="auto"/>
        </w:rPr>
        <w:t>评价区域内</w:t>
      </w:r>
      <w:r>
        <w:rPr>
          <w:rFonts w:ascii="Times New Roman" w:hAnsi="Times New Roman" w:cs="Times New Roman"/>
          <w:color w:val="auto"/>
          <w:sz w:val="24"/>
          <w:szCs w:val="24"/>
          <w:highlight w:val="none"/>
          <w:shd w:val="clear" w:color="auto" w:fill="auto"/>
        </w:rPr>
        <w:t>土壤类型主要是</w:t>
      </w:r>
      <w:r>
        <w:rPr>
          <w:rFonts w:hint="eastAsia" w:ascii="Times New Roman" w:hAnsi="Times New Roman" w:cs="Times New Roman"/>
          <w:color w:val="auto"/>
          <w:sz w:val="24"/>
          <w:szCs w:val="24"/>
          <w:highlight w:val="none"/>
          <w:shd w:val="clear" w:color="auto" w:fill="auto"/>
          <w:lang w:val="en-US" w:eastAsia="zh-CN"/>
        </w:rPr>
        <w:t>漠土（灰漠土、灰棕漠土）、草甸土</w:t>
      </w:r>
      <w:r>
        <w:rPr>
          <w:rFonts w:hint="eastAsia" w:ascii="Times New Roman" w:hAnsi="Times New Roman" w:cs="Times New Roman"/>
          <w:color w:val="auto"/>
          <w:sz w:val="24"/>
          <w:szCs w:val="24"/>
          <w:highlight w:val="none"/>
          <w:shd w:val="clear" w:color="auto" w:fill="auto"/>
        </w:rPr>
        <w:t>，</w:t>
      </w:r>
      <w:r>
        <w:rPr>
          <w:rFonts w:hint="eastAsia" w:ascii="Times New Roman" w:hAnsi="Times New Roman" w:cs="Times New Roman"/>
          <w:color w:val="auto"/>
          <w:spacing w:val="4"/>
          <w:kern w:val="24"/>
          <w:sz w:val="24"/>
          <w:szCs w:val="24"/>
          <w:highlight w:val="none"/>
          <w:shd w:val="clear" w:color="auto" w:fill="auto"/>
        </w:rPr>
        <w:t>油气</w:t>
      </w:r>
      <w:r>
        <w:rPr>
          <w:rFonts w:hint="eastAsia"/>
          <w:color w:val="auto"/>
          <w:sz w:val="24"/>
          <w:szCs w:val="24"/>
          <w:highlight w:val="none"/>
          <w:shd w:val="clear" w:color="auto" w:fill="auto"/>
        </w:rPr>
        <w:t>开发</w:t>
      </w:r>
      <w:r>
        <w:rPr>
          <w:color w:val="auto"/>
          <w:sz w:val="24"/>
          <w:szCs w:val="24"/>
          <w:highlight w:val="none"/>
          <w:shd w:val="clear" w:color="auto" w:fill="auto"/>
        </w:rPr>
        <w:t>工程占地</w:t>
      </w:r>
      <w:r>
        <w:rPr>
          <w:rFonts w:hint="eastAsia"/>
          <w:color w:val="auto"/>
          <w:sz w:val="24"/>
          <w:szCs w:val="24"/>
          <w:highlight w:val="none"/>
          <w:shd w:val="clear" w:color="auto" w:fill="auto"/>
        </w:rPr>
        <w:t>开辟了土地利用的途径，</w:t>
      </w:r>
      <w:r>
        <w:rPr>
          <w:rFonts w:hint="eastAsia" w:ascii="Times New Roman" w:hAnsi="Times New Roman" w:cs="Times New Roman"/>
          <w:color w:val="auto"/>
          <w:spacing w:val="4"/>
          <w:kern w:val="24"/>
          <w:sz w:val="24"/>
          <w:szCs w:val="24"/>
          <w:highlight w:val="none"/>
          <w:shd w:val="clear" w:color="auto" w:fill="auto"/>
        </w:rPr>
        <w:t>井场</w:t>
      </w:r>
      <w:r>
        <w:rPr>
          <w:rFonts w:hint="eastAsia" w:ascii="Times New Roman" w:hAnsi="Times New Roman" w:cs="Times New Roman"/>
          <w:color w:val="auto"/>
          <w:spacing w:val="4"/>
          <w:kern w:val="24"/>
          <w:sz w:val="24"/>
          <w:szCs w:val="24"/>
          <w:highlight w:val="none"/>
          <w:shd w:val="clear" w:color="auto" w:fill="auto"/>
          <w:lang w:eastAsia="zh-CN"/>
        </w:rPr>
        <w:t>、</w:t>
      </w:r>
      <w:r>
        <w:rPr>
          <w:rFonts w:hint="eastAsia" w:ascii="Times New Roman" w:hAnsi="Times New Roman" w:cs="Times New Roman"/>
          <w:color w:val="auto"/>
          <w:spacing w:val="4"/>
          <w:kern w:val="24"/>
          <w:sz w:val="24"/>
          <w:szCs w:val="24"/>
          <w:highlight w:val="none"/>
          <w:shd w:val="clear" w:color="auto" w:fill="auto"/>
          <w:lang w:val="en-US" w:eastAsia="zh-CN"/>
        </w:rPr>
        <w:t>站场</w:t>
      </w:r>
      <w:r>
        <w:rPr>
          <w:rFonts w:hint="eastAsia" w:ascii="Times New Roman" w:hAnsi="Times New Roman" w:cs="Times New Roman"/>
          <w:color w:val="auto"/>
          <w:spacing w:val="4"/>
          <w:kern w:val="24"/>
          <w:sz w:val="24"/>
          <w:szCs w:val="24"/>
          <w:highlight w:val="none"/>
          <w:shd w:val="clear" w:color="auto" w:fill="auto"/>
        </w:rPr>
        <w:t>和管道的施工场地、临时生活营地等产生的这种影响非常轻微。</w:t>
      </w:r>
    </w:p>
    <w:p>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rPr>
        <w:t>（</w:t>
      </w:r>
      <w:r>
        <w:rPr>
          <w:rFonts w:hint="eastAsia"/>
          <w:color w:val="auto"/>
          <w:sz w:val="24"/>
          <w:szCs w:val="24"/>
          <w:highlight w:val="none"/>
          <w:shd w:val="clear" w:color="auto" w:fill="auto"/>
          <w:lang w:val="en-US" w:eastAsia="zh-CN"/>
        </w:rPr>
        <w:t>2</w:t>
      </w:r>
      <w:r>
        <w:rPr>
          <w:rFonts w:hint="eastAsia"/>
          <w:color w:val="auto"/>
          <w:sz w:val="24"/>
          <w:szCs w:val="24"/>
          <w:highlight w:val="none"/>
          <w:shd w:val="clear" w:color="auto" w:fill="auto"/>
        </w:rPr>
        <w:t>）钻井作业对土壤环境的影响</w:t>
      </w:r>
    </w:p>
    <w:p>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rFonts w:hint="eastAsia"/>
          <w:color w:val="auto"/>
          <w:sz w:val="24"/>
          <w:szCs w:val="24"/>
          <w:highlight w:val="none"/>
          <w:shd w:val="clear" w:color="auto" w:fill="auto"/>
        </w:rPr>
        <w:t>开发建设期施工占地，将对地表土壤产生破坏性影响，如钻井井场</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lang w:val="en-US" w:eastAsia="zh-CN"/>
        </w:rPr>
        <w:t>站场</w:t>
      </w:r>
      <w:r>
        <w:rPr>
          <w:rFonts w:hint="eastAsia"/>
          <w:color w:val="auto"/>
          <w:sz w:val="24"/>
          <w:szCs w:val="24"/>
          <w:highlight w:val="none"/>
          <w:shd w:val="clear" w:color="auto" w:fill="auto"/>
        </w:rPr>
        <w:t>等占地，以及堆积、挖掘、</w:t>
      </w:r>
      <w:r>
        <w:rPr>
          <w:rFonts w:hint="eastAsia"/>
          <w:color w:val="auto"/>
          <w:sz w:val="24"/>
          <w:szCs w:val="24"/>
          <w:highlight w:val="none"/>
          <w:shd w:val="clear" w:color="auto" w:fill="auto"/>
          <w:lang w:eastAsia="zh-CN"/>
        </w:rPr>
        <w:t>碾压</w:t>
      </w:r>
      <w:r>
        <w:rPr>
          <w:rFonts w:hint="eastAsia"/>
          <w:color w:val="auto"/>
          <w:sz w:val="24"/>
          <w:szCs w:val="24"/>
          <w:highlight w:val="none"/>
          <w:shd w:val="clear" w:color="auto" w:fill="auto"/>
        </w:rPr>
        <w:t>、践踏等均改变原有的土壤结构。</w:t>
      </w:r>
      <w:r>
        <w:rPr>
          <w:rFonts w:hint="eastAsia"/>
          <w:color w:val="auto"/>
          <w:sz w:val="24"/>
          <w:szCs w:val="24"/>
          <w:highlight w:val="none"/>
          <w:shd w:val="clear" w:color="auto" w:fill="auto"/>
          <w:lang w:val="en-US" w:eastAsia="zh-CN"/>
        </w:rPr>
        <w:t>油</w:t>
      </w:r>
      <w:r>
        <w:rPr>
          <w:rFonts w:hint="eastAsia"/>
          <w:color w:val="auto"/>
          <w:sz w:val="24"/>
          <w:szCs w:val="24"/>
          <w:highlight w:val="none"/>
          <w:shd w:val="clear" w:color="auto" w:fill="auto"/>
        </w:rPr>
        <w:t>田开发期间，占地都将改变原有土壤的理化性质和土壤结构，使原有土壤结构和性状难以恢复。但是施工期对土壤的影响程度轻，影响特征是部分可逆，影响时间为短期。</w:t>
      </w:r>
    </w:p>
    <w:p>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rPr>
        <w:t>①钻井作业对土壤环境的影响</w:t>
      </w:r>
    </w:p>
    <w:p>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rFonts w:hint="eastAsia"/>
          <w:color w:val="auto"/>
          <w:sz w:val="24"/>
          <w:szCs w:val="24"/>
          <w:highlight w:val="none"/>
          <w:shd w:val="clear" w:color="auto" w:fill="auto"/>
          <w:lang w:val="en-US" w:eastAsia="zh-CN"/>
        </w:rPr>
        <w:t>部署</w:t>
      </w:r>
      <w:r>
        <w:rPr>
          <w:rFonts w:hint="eastAsia"/>
          <w:color w:val="auto"/>
          <w:sz w:val="24"/>
          <w:szCs w:val="24"/>
          <w:highlight w:val="none"/>
          <w:shd w:val="clear" w:color="auto" w:fill="auto"/>
        </w:rPr>
        <w:t>新钻</w:t>
      </w:r>
      <w:r>
        <w:rPr>
          <w:rFonts w:hint="eastAsia"/>
          <w:color w:val="auto"/>
          <w:sz w:val="24"/>
          <w:szCs w:val="24"/>
          <w:highlight w:val="none"/>
          <w:shd w:val="clear" w:color="auto" w:fill="auto"/>
          <w:lang w:val="en-US" w:eastAsia="zh-CN"/>
        </w:rPr>
        <w:t>7</w:t>
      </w:r>
      <w:r>
        <w:rPr>
          <w:rFonts w:hint="eastAsia"/>
          <w:color w:val="auto"/>
          <w:sz w:val="24"/>
          <w:szCs w:val="24"/>
          <w:highlight w:val="none"/>
          <w:shd w:val="clear" w:color="auto" w:fill="auto"/>
        </w:rPr>
        <w:t>口采油井，钻井作业均采用“泥浆不落地系统”对废弃泥浆和岩屑进行收集处置，对土壤的环境影响轻微。</w:t>
      </w:r>
    </w:p>
    <w:p>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rPr>
        <w:t>②固体废物对土壤的影响</w:t>
      </w:r>
    </w:p>
    <w:p>
      <w:pPr>
        <w:pStyle w:val="107"/>
        <w:pageBreakBefore w:val="0"/>
        <w:kinsoku/>
        <w:wordWrap/>
        <w:overflowPunct/>
        <w:topLinePunct w:val="0"/>
        <w:autoSpaceDE/>
        <w:autoSpaceDN/>
        <w:bidi w:val="0"/>
        <w:spacing w:line="480" w:lineRule="exact"/>
        <w:ind w:firstLine="600" w:firstLineChars="250"/>
        <w:jc w:val="left"/>
        <w:textAlignment w:val="auto"/>
        <w:rPr>
          <w:rFonts w:hint="default" w:ascii="Times New Roman" w:hAnsi="Times New Roman" w:cs="Times New Roman"/>
          <w:color w:val="auto"/>
          <w:sz w:val="24"/>
          <w:szCs w:val="24"/>
          <w:highlight w:val="none"/>
          <w:shd w:val="clear" w:color="auto" w:fill="auto"/>
          <w:lang w:val="en-US" w:eastAsia="zh-CN"/>
        </w:rPr>
      </w:pPr>
      <w:r>
        <w:rPr>
          <w:rFonts w:hint="eastAsia"/>
          <w:color w:val="auto"/>
          <w:sz w:val="24"/>
          <w:szCs w:val="24"/>
          <w:highlight w:val="none"/>
          <w:shd w:val="clear" w:color="auto" w:fill="auto"/>
        </w:rPr>
        <w:t>本次钻井施工作业采用“钻井废弃物不落地达标处理技术”，一开、二开水基钻井泥浆及岩屑经泥浆不落地系统处理后，液相泥浆进罐收集，循环使用，完井后剩余泥浆由钻井液分公司回收；分离后的固相暂存于岩屑储罐，委托第三方处置单位进行处理，处理后经检测满足《油气田钻井固体废物综合利用污染控制要求》（DB65/T3997-2017）中相关标准要求后综合利用；三开油基钻井泥浆及岩屑经泥浆不落地系统处理后，液相泥浆进罐收集，循环使用，完井后剩余泥浆由钻井液分公司回收；分离后的固相暂存于专用油基岩屑储罐，委托有相应危险废物处理资质的单位进行无害化处理。</w:t>
      </w:r>
    </w:p>
    <w:p>
      <w:pPr>
        <w:pStyle w:val="107"/>
        <w:pageBreakBefore w:val="0"/>
        <w:kinsoku/>
        <w:wordWrap/>
        <w:overflowPunct/>
        <w:topLinePunct w:val="0"/>
        <w:autoSpaceDE/>
        <w:autoSpaceDN/>
        <w:bidi w:val="0"/>
        <w:spacing w:line="480" w:lineRule="exact"/>
        <w:ind w:firstLine="600" w:firstLineChars="250"/>
        <w:jc w:val="left"/>
        <w:textAlignment w:val="auto"/>
        <w:rPr>
          <w:rFonts w:hint="eastAsia" w:ascii="Calibri" w:hAnsi="Calibri"/>
          <w:color w:val="auto"/>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3</w:t>
      </w:r>
      <w:r>
        <w:rPr>
          <w:rFonts w:hint="default" w:ascii="Times New Roman" w:hAnsi="Times New Roman" w:cs="Times New Roman"/>
          <w:color w:val="auto"/>
          <w:sz w:val="24"/>
          <w:szCs w:val="24"/>
          <w:highlight w:val="none"/>
          <w:shd w:val="clear" w:color="auto" w:fill="auto"/>
          <w:lang w:val="en-US" w:eastAsia="zh-CN"/>
        </w:rPr>
        <w:t>）</w:t>
      </w:r>
      <w:r>
        <w:rPr>
          <w:rFonts w:hint="eastAsia" w:ascii="Times New Roman" w:hAnsi="Times New Roman" w:cs="Times New Roman"/>
          <w:color w:val="auto"/>
          <w:sz w:val="24"/>
          <w:szCs w:val="24"/>
          <w:highlight w:val="none"/>
          <w:shd w:val="clear" w:color="auto" w:fill="auto"/>
          <w:lang w:val="en-US" w:eastAsia="zh-CN"/>
        </w:rPr>
        <w:t>站场、</w:t>
      </w:r>
      <w:r>
        <w:rPr>
          <w:rFonts w:hint="default" w:ascii="Times New Roman" w:hAnsi="Times New Roman" w:cs="Times New Roman"/>
          <w:color w:val="auto"/>
          <w:sz w:val="24"/>
          <w:szCs w:val="24"/>
          <w:highlight w:val="none"/>
          <w:shd w:val="clear" w:color="auto" w:fill="auto"/>
          <w:lang w:val="en-US" w:eastAsia="zh-CN"/>
        </w:rPr>
        <w:t>井场建</w:t>
      </w:r>
      <w:r>
        <w:rPr>
          <w:rFonts w:hint="eastAsia" w:ascii="Calibri" w:hAnsi="Calibri"/>
          <w:color w:val="auto"/>
          <w:sz w:val="24"/>
          <w:szCs w:val="24"/>
          <w:highlight w:val="none"/>
          <w:shd w:val="clear" w:color="auto" w:fill="auto"/>
          <w:lang w:val="en-US" w:eastAsia="zh-CN"/>
        </w:rPr>
        <w:t>设</w:t>
      </w:r>
    </w:p>
    <w:p>
      <w:pPr>
        <w:pStyle w:val="107"/>
        <w:pageBreakBefore w:val="0"/>
        <w:kinsoku/>
        <w:wordWrap/>
        <w:overflowPunct/>
        <w:topLinePunct w:val="0"/>
        <w:autoSpaceDE/>
        <w:autoSpaceDN/>
        <w:bidi w:val="0"/>
        <w:spacing w:line="480" w:lineRule="exact"/>
        <w:jc w:val="left"/>
        <w:textAlignment w:val="auto"/>
        <w:rPr>
          <w:rFonts w:hint="eastAsia" w:ascii="Calibri" w:hAnsi="Calibri"/>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rFonts w:hint="eastAsia"/>
          <w:color w:val="auto"/>
          <w:sz w:val="24"/>
          <w:szCs w:val="24"/>
          <w:highlight w:val="none"/>
          <w:shd w:val="clear" w:color="auto" w:fill="auto"/>
        </w:rPr>
        <w:t>开发建设期施工占地，将对地表土壤产生破坏性影响，如井场</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lang w:val="en-US" w:eastAsia="zh-CN"/>
        </w:rPr>
        <w:t>站场</w:t>
      </w:r>
      <w:r>
        <w:rPr>
          <w:rFonts w:hint="eastAsia"/>
          <w:color w:val="auto"/>
          <w:sz w:val="24"/>
          <w:szCs w:val="24"/>
          <w:highlight w:val="none"/>
          <w:shd w:val="clear" w:color="auto" w:fill="auto"/>
        </w:rPr>
        <w:t>等占地，以及堆积、挖掘、</w:t>
      </w:r>
      <w:r>
        <w:rPr>
          <w:rFonts w:hint="eastAsia"/>
          <w:color w:val="auto"/>
          <w:sz w:val="24"/>
          <w:szCs w:val="24"/>
          <w:highlight w:val="none"/>
          <w:shd w:val="clear" w:color="auto" w:fill="auto"/>
          <w:lang w:eastAsia="zh-CN"/>
        </w:rPr>
        <w:t>碾压</w:t>
      </w:r>
      <w:r>
        <w:rPr>
          <w:rFonts w:hint="eastAsia"/>
          <w:color w:val="auto"/>
          <w:sz w:val="24"/>
          <w:szCs w:val="24"/>
          <w:highlight w:val="none"/>
          <w:shd w:val="clear" w:color="auto" w:fill="auto"/>
        </w:rPr>
        <w:t>、践踏等均改变原有的土壤结构。</w:t>
      </w:r>
      <w:r>
        <w:rPr>
          <w:rFonts w:hint="eastAsia"/>
          <w:color w:val="auto"/>
          <w:sz w:val="24"/>
          <w:szCs w:val="24"/>
          <w:highlight w:val="none"/>
          <w:shd w:val="clear" w:color="auto" w:fill="auto"/>
          <w:lang w:val="en-US" w:eastAsia="zh-CN"/>
        </w:rPr>
        <w:t>油田</w:t>
      </w:r>
      <w:r>
        <w:rPr>
          <w:rFonts w:hint="eastAsia"/>
          <w:color w:val="auto"/>
          <w:sz w:val="24"/>
          <w:szCs w:val="24"/>
          <w:highlight w:val="none"/>
          <w:shd w:val="clear" w:color="auto" w:fill="auto"/>
          <w:lang w:eastAsia="zh-CN"/>
        </w:rPr>
        <w:t>施工期</w:t>
      </w:r>
      <w:r>
        <w:rPr>
          <w:rFonts w:hint="eastAsia"/>
          <w:color w:val="auto"/>
          <w:sz w:val="24"/>
          <w:szCs w:val="24"/>
          <w:highlight w:val="none"/>
          <w:shd w:val="clear" w:color="auto" w:fill="auto"/>
        </w:rPr>
        <w:t>间，占地都将改变原有土壤的理化性质和土壤结构，使原有土壤结构和性状难以恢复。但是施工期对土壤的影响程度轻，影响特征是部分可逆，影响时间为短期。</w:t>
      </w:r>
    </w:p>
    <w:p>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rPr>
        <w:t>（</w:t>
      </w:r>
      <w:r>
        <w:rPr>
          <w:rFonts w:hint="eastAsia"/>
          <w:color w:val="auto"/>
          <w:sz w:val="24"/>
          <w:szCs w:val="24"/>
          <w:highlight w:val="none"/>
          <w:shd w:val="clear" w:color="auto" w:fill="auto"/>
          <w:lang w:val="en-US" w:eastAsia="zh-CN"/>
        </w:rPr>
        <w:t>4</w:t>
      </w:r>
      <w:r>
        <w:rPr>
          <w:rFonts w:hint="eastAsia"/>
          <w:color w:val="auto"/>
          <w:sz w:val="24"/>
          <w:szCs w:val="24"/>
          <w:highlight w:val="none"/>
          <w:shd w:val="clear" w:color="auto" w:fill="auto"/>
        </w:rPr>
        <w:t>）管线施工对土壤环境的影响</w:t>
      </w:r>
    </w:p>
    <w:p>
      <w:pPr>
        <w:pStyle w:val="107"/>
        <w:pageBreakBefore w:val="0"/>
        <w:kinsoku/>
        <w:wordWrap/>
        <w:overflowPunct/>
        <w:topLinePunct w:val="0"/>
        <w:autoSpaceDE/>
        <w:autoSpaceDN/>
        <w:bidi w:val="0"/>
        <w:spacing w:line="480" w:lineRule="exact"/>
        <w:jc w:val="left"/>
        <w:textAlignment w:val="auto"/>
        <w:rPr>
          <w:rFonts w:hint="eastAsia"/>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rFonts w:hint="eastAsia"/>
          <w:color w:val="auto"/>
          <w:sz w:val="24"/>
          <w:szCs w:val="24"/>
          <w:highlight w:val="none"/>
          <w:shd w:val="clear" w:color="auto" w:fill="auto"/>
        </w:rPr>
        <w:t>管线施工作业带宽</w:t>
      </w:r>
      <w:r>
        <w:rPr>
          <w:color w:val="auto"/>
          <w:sz w:val="24"/>
          <w:szCs w:val="24"/>
          <w:highlight w:val="none"/>
          <w:shd w:val="clear" w:color="auto" w:fill="auto"/>
        </w:rPr>
        <w:t>8</w:t>
      </w:r>
      <w:r>
        <w:rPr>
          <w:rFonts w:hint="eastAsia"/>
          <w:color w:val="auto"/>
          <w:sz w:val="24"/>
          <w:szCs w:val="24"/>
          <w:highlight w:val="none"/>
          <w:shd w:val="clear" w:color="auto" w:fill="auto"/>
        </w:rPr>
        <w:t>m内的土壤均会受到严重扰动和破坏。在施工作业带以外的直接影响区域表现为施工活动中施工机械、车辆碾压、施工人员践踏等对土壤的扰动，改变土壤的紧密度和坚实度，可能造成土壤板结。由于植被被毁，土壤表面压实，土壤板结，通透性差，使土壤水量降低，同时加剧了土壤的蒸发作用，导致盐碱化加重。</w:t>
      </w:r>
    </w:p>
    <w:p>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rPr>
        <w:t>（</w:t>
      </w:r>
      <w:r>
        <w:rPr>
          <w:rFonts w:hint="eastAsia" w:ascii="Times New Roman" w:hAnsi="Times New Roman" w:cs="Times New Roman"/>
          <w:color w:val="auto"/>
          <w:spacing w:val="4"/>
          <w:kern w:val="24"/>
          <w:sz w:val="24"/>
          <w:szCs w:val="24"/>
          <w:highlight w:val="none"/>
          <w:shd w:val="clear" w:color="auto" w:fill="auto"/>
          <w:lang w:val="en-US" w:eastAsia="zh-CN"/>
        </w:rPr>
        <w:t>5</w:t>
      </w:r>
      <w:r>
        <w:rPr>
          <w:rFonts w:hint="eastAsia" w:ascii="Times New Roman" w:hAnsi="Times New Roman" w:cs="Times New Roman"/>
          <w:color w:val="auto"/>
          <w:spacing w:val="4"/>
          <w:kern w:val="24"/>
          <w:sz w:val="24"/>
          <w:szCs w:val="24"/>
          <w:highlight w:val="none"/>
          <w:shd w:val="clear" w:color="auto" w:fill="auto"/>
        </w:rPr>
        <w:t>）水土流失及沙化影响分析</w:t>
      </w:r>
    </w:p>
    <w:p>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lang w:eastAsia="zh-CN"/>
        </w:rPr>
        <w:t>油田</w:t>
      </w:r>
      <w:r>
        <w:rPr>
          <w:rFonts w:hint="eastAsia" w:ascii="Times New Roman" w:hAnsi="Times New Roman" w:cs="Times New Roman"/>
          <w:color w:val="auto"/>
          <w:spacing w:val="4"/>
          <w:kern w:val="24"/>
          <w:sz w:val="24"/>
          <w:szCs w:val="24"/>
          <w:highlight w:val="none"/>
          <w:shd w:val="clear" w:color="auto" w:fill="auto"/>
        </w:rPr>
        <w:t>工程建设对当地水土流失影响的方式包括扰动、损坏、开挖及破坏原地貌、地表土壤结构及植被。工程施工及占地呈线状分布，所造成的水土流失因管线所经过的区域不同而不同。施工期间，开挖管沟、土方排放、机械作业人员活动等都会加剧水土流失。</w:t>
      </w:r>
    </w:p>
    <w:p>
      <w:pPr>
        <w:pageBreakBefore w:val="0"/>
        <w:kinsoku/>
        <w:wordWrap/>
        <w:overflowPunct/>
        <w:topLinePunct w:val="0"/>
        <w:autoSpaceDE/>
        <w:autoSpaceDN/>
        <w:bidi w:val="0"/>
        <w:spacing w:line="480" w:lineRule="exact"/>
        <w:ind w:firstLine="496"/>
        <w:jc w:val="left"/>
        <w:textAlignment w:val="auto"/>
        <w:rPr>
          <w:rFonts w:ascii="Times New Roman" w:hAnsi="Times New Roman" w:cs="Times New Roman"/>
          <w:color w:val="auto"/>
          <w:spacing w:val="4"/>
          <w:kern w:val="24"/>
          <w:sz w:val="24"/>
          <w:szCs w:val="24"/>
          <w:highlight w:val="none"/>
          <w:shd w:val="clear" w:color="auto" w:fill="auto"/>
        </w:rPr>
      </w:pPr>
      <w:r>
        <w:rPr>
          <w:rFonts w:hint="eastAsia" w:ascii="Times New Roman" w:hAnsi="Times New Roman" w:cs="Times New Roman"/>
          <w:color w:val="auto"/>
          <w:spacing w:val="4"/>
          <w:kern w:val="24"/>
          <w:sz w:val="24"/>
          <w:szCs w:val="24"/>
          <w:highlight w:val="none"/>
          <w:shd w:val="clear" w:color="auto" w:fill="auto"/>
        </w:rPr>
        <w:t>施工车辆对地表的大面积碾压，使所经过地段的植被和地表结构遭到不同程度的破坏，使风蚀荒漠化的过程加剧，从而造成水土流失，严重时会导致沙化，这种影响在短时间内不会完全恢复；在地面构筑物建设中，最直接而且易引起水土流失的是施工过程中使影响范围内的地表保护层变得松散，增加风蚀量。</w:t>
      </w:r>
      <w:r>
        <w:rPr>
          <w:rFonts w:hint="eastAsia" w:ascii="Times New Roman" w:hAnsi="Times New Roman" w:cs="Times New Roman"/>
          <w:color w:val="auto"/>
          <w:spacing w:val="4"/>
          <w:kern w:val="24"/>
          <w:sz w:val="24"/>
          <w:szCs w:val="24"/>
          <w:highlight w:val="none"/>
          <w:shd w:val="clear" w:color="auto" w:fill="auto"/>
          <w:lang w:eastAsia="zh-CN"/>
        </w:rPr>
        <w:t>本工程</w:t>
      </w:r>
      <w:r>
        <w:rPr>
          <w:rFonts w:hint="eastAsia" w:ascii="Times New Roman" w:hAnsi="Times New Roman" w:cs="Times New Roman"/>
          <w:color w:val="auto"/>
          <w:spacing w:val="4"/>
          <w:kern w:val="24"/>
          <w:sz w:val="24"/>
          <w:szCs w:val="24"/>
          <w:highlight w:val="none"/>
          <w:shd w:val="clear" w:color="auto" w:fill="auto"/>
        </w:rPr>
        <w:t>地面建设的内容主要包括井场</w:t>
      </w:r>
      <w:r>
        <w:rPr>
          <w:rFonts w:hint="eastAsia" w:ascii="Times New Roman" w:hAnsi="Times New Roman" w:cs="Times New Roman"/>
          <w:color w:val="auto"/>
          <w:spacing w:val="4"/>
          <w:kern w:val="24"/>
          <w:sz w:val="24"/>
          <w:szCs w:val="24"/>
          <w:highlight w:val="none"/>
          <w:shd w:val="clear" w:color="auto" w:fill="auto"/>
          <w:lang w:val="en-US" w:eastAsia="zh-CN"/>
        </w:rPr>
        <w:t>的建设</w:t>
      </w:r>
      <w:r>
        <w:rPr>
          <w:rFonts w:hint="eastAsia" w:ascii="Times New Roman" w:hAnsi="Times New Roman" w:cs="Times New Roman"/>
          <w:color w:val="auto"/>
          <w:spacing w:val="4"/>
          <w:kern w:val="24"/>
          <w:sz w:val="24"/>
          <w:szCs w:val="24"/>
          <w:highlight w:val="none"/>
          <w:shd w:val="clear" w:color="auto" w:fill="auto"/>
        </w:rPr>
        <w:t>、管线的敷设等，但场站硬化措施可有效防止风蚀造成水土流失，从而避免土地沙化。临时占地范围内的土壤地表表层遭到破坏，下层的粉细物质暴露在地层表面，在风力的作用下，风蚀量会明显加大，这种影响在短时间内不会完全恢复。但随着时间的推移，风蚀量会随着地表新保护层的逐渐形成而减弱。</w:t>
      </w:r>
      <w:r>
        <w:rPr>
          <w:rFonts w:hint="eastAsia" w:ascii="Times New Roman" w:hAnsi="Times New Roman" w:cs="Times New Roman"/>
          <w:color w:val="auto"/>
          <w:spacing w:val="4"/>
          <w:kern w:val="24"/>
          <w:sz w:val="24"/>
          <w:szCs w:val="24"/>
          <w:highlight w:val="none"/>
          <w:shd w:val="clear" w:color="auto" w:fill="auto"/>
          <w:lang w:eastAsia="zh-CN"/>
        </w:rPr>
        <w:t>油田</w:t>
      </w:r>
      <w:r>
        <w:rPr>
          <w:rFonts w:hint="eastAsia" w:ascii="Times New Roman" w:hAnsi="Times New Roman" w:cs="Times New Roman"/>
          <w:color w:val="auto"/>
          <w:spacing w:val="4"/>
          <w:kern w:val="24"/>
          <w:sz w:val="24"/>
          <w:szCs w:val="24"/>
          <w:highlight w:val="none"/>
          <w:shd w:val="clear" w:color="auto" w:fill="auto"/>
        </w:rPr>
        <w:t>各种管道的敷设均采用明沟开挖方式，管沟开挖土方在管道一侧临时堆放。施工期内，管沟边堆起一道临时土垄，在大风状态下易发生风力侵蚀，即使在堆土回填后风蚀量会有所减少，但地表仍为疏松地带，需要一个较长的恢复阶段。</w:t>
      </w:r>
    </w:p>
    <w:p>
      <w:pPr>
        <w:pageBreakBefore w:val="0"/>
        <w:widowControl w:val="0"/>
        <w:kinsoku/>
        <w:wordWrap/>
        <w:overflowPunct/>
        <w:topLinePunct w:val="0"/>
        <w:autoSpaceDE/>
        <w:autoSpaceDN/>
        <w:bidi w:val="0"/>
        <w:spacing w:line="480" w:lineRule="exact"/>
        <w:ind w:firstLine="496" w:firstLineChars="200"/>
        <w:jc w:val="left"/>
        <w:textAlignment w:val="auto"/>
        <w:rPr>
          <w:color w:val="auto"/>
          <w:kern w:val="2"/>
          <w:sz w:val="24"/>
          <w:szCs w:val="24"/>
          <w:highlight w:val="none"/>
        </w:rPr>
      </w:pPr>
      <w:r>
        <w:rPr>
          <w:rFonts w:hint="eastAsia" w:ascii="Times New Roman" w:hAnsi="Times New Roman" w:eastAsia="宋体" w:cs="Times New Roman"/>
          <w:color w:val="auto"/>
          <w:spacing w:val="4"/>
          <w:kern w:val="24"/>
          <w:sz w:val="24"/>
          <w:szCs w:val="24"/>
          <w:highlight w:val="none"/>
          <w:shd w:val="clear" w:color="auto" w:fill="auto"/>
          <w:lang w:val="en-US" w:eastAsia="zh-CN" w:bidi="ar-SA"/>
        </w:rPr>
        <w:t>综上所述，施工期对项目区土壤环境影响不大。</w:t>
      </w:r>
      <w:r>
        <w:rPr>
          <w:rFonts w:hint="eastAsia"/>
          <w:color w:val="auto"/>
          <w:kern w:val="2"/>
          <w:sz w:val="24"/>
          <w:szCs w:val="24"/>
          <w:highlight w:val="none"/>
        </w:rPr>
        <w:t xml:space="preserve"> </w:t>
      </w:r>
    </w:p>
    <w:p>
      <w:pPr>
        <w:pStyle w:val="53"/>
        <w:pageBreakBefore w:val="0"/>
        <w:kinsoku/>
        <w:wordWrap/>
        <w:overflowPunct/>
        <w:topLinePunct w:val="0"/>
        <w:autoSpaceDE/>
        <w:autoSpaceDN/>
        <w:bidi w:val="0"/>
        <w:spacing w:line="480" w:lineRule="exact"/>
        <w:textAlignment w:val="auto"/>
        <w:rPr>
          <w:color w:val="auto"/>
          <w:highlight w:val="none"/>
        </w:rPr>
      </w:pPr>
      <w:bookmarkStart w:id="652" w:name="_Toc173941916"/>
      <w:r>
        <w:rPr>
          <w:rFonts w:hint="eastAsia"/>
          <w:color w:val="auto"/>
          <w:highlight w:val="none"/>
        </w:rPr>
        <w:t>5.4</w:t>
      </w:r>
      <w:r>
        <w:rPr>
          <w:color w:val="auto"/>
          <w:highlight w:val="none"/>
        </w:rPr>
        <w:t>.2运营期土壤环境影响分析</w:t>
      </w:r>
      <w:bookmarkEnd w:id="652"/>
    </w:p>
    <w:p>
      <w:pPr>
        <w:pStyle w:val="53"/>
        <w:pageBreakBefore w:val="0"/>
        <w:kinsoku/>
        <w:wordWrap/>
        <w:overflowPunct/>
        <w:topLinePunct w:val="0"/>
        <w:autoSpaceDE/>
        <w:autoSpaceDN/>
        <w:bidi w:val="0"/>
        <w:spacing w:line="480" w:lineRule="exact"/>
        <w:jc w:val="left"/>
        <w:textAlignment w:val="auto"/>
        <w:outlineLvl w:val="3"/>
        <w:rPr>
          <w:rFonts w:hint="eastAsia" w:ascii="Times New Roman" w:hAnsi="Times New Roman" w:eastAsia="宋体" w:cs="Times New Roman"/>
          <w:b/>
          <w:color w:val="auto"/>
          <w:sz w:val="24"/>
          <w:szCs w:val="24"/>
          <w:highlight w:val="none"/>
          <w:shd w:val="clear" w:color="auto" w:fill="auto"/>
        </w:rPr>
      </w:pPr>
      <w:r>
        <w:rPr>
          <w:rFonts w:hint="eastAsia"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4</w:t>
      </w:r>
      <w:r>
        <w:rPr>
          <w:rFonts w:hint="eastAsia" w:ascii="Times New Roman" w:hAnsi="Times New Roman" w:eastAsia="宋体" w:cs="Times New Roman"/>
          <w:b/>
          <w:color w:val="auto"/>
          <w:sz w:val="24"/>
          <w:szCs w:val="24"/>
          <w:highlight w:val="none"/>
          <w:shd w:val="clear" w:color="auto" w:fill="auto"/>
        </w:rPr>
        <w:t>.2.1土壤环境等级划分</w:t>
      </w:r>
    </w:p>
    <w:p>
      <w:pPr>
        <w:pageBreakBefore w:val="0"/>
        <w:kinsoku/>
        <w:wordWrap/>
        <w:overflowPunct/>
        <w:topLinePunct w:val="0"/>
        <w:autoSpaceDE/>
        <w:autoSpaceDN/>
        <w:bidi w:val="0"/>
        <w:spacing w:line="480" w:lineRule="exact"/>
        <w:ind w:firstLine="496"/>
        <w:jc w:val="left"/>
        <w:textAlignment w:val="auto"/>
        <w:rPr>
          <w:rFonts w:hint="default" w:ascii="Times New Roman" w:hAnsi="Times New Roman" w:eastAsia="宋体" w:cs="Times New Roman"/>
          <w:color w:val="auto"/>
          <w:spacing w:val="4"/>
          <w:kern w:val="24"/>
          <w:sz w:val="24"/>
          <w:szCs w:val="24"/>
          <w:highlight w:val="none"/>
          <w:shd w:val="clear" w:color="auto" w:fill="auto"/>
        </w:rPr>
      </w:pPr>
      <w:r>
        <w:rPr>
          <w:rFonts w:hint="default" w:ascii="Times New Roman" w:hAnsi="Times New Roman" w:eastAsia="宋体" w:cs="Times New Roman"/>
          <w:color w:val="auto"/>
          <w:spacing w:val="4"/>
          <w:kern w:val="24"/>
          <w:sz w:val="24"/>
          <w:szCs w:val="24"/>
          <w:highlight w:val="none"/>
          <w:shd w:val="clear" w:color="auto" w:fill="auto"/>
        </w:rPr>
        <w:t>根据《环境影响评价技术导则 土壤环境（试行）》（HJ964-2018），土壤环境影响分为生态影响型和污染影响型，本工程为</w:t>
      </w:r>
      <w:bookmarkStart w:id="653" w:name="OLE_LINK80"/>
      <w:r>
        <w:rPr>
          <w:rFonts w:hint="eastAsia" w:ascii="Times New Roman" w:hAnsi="Times New Roman" w:eastAsia="宋体" w:cs="Times New Roman"/>
          <w:color w:val="auto"/>
          <w:spacing w:val="4"/>
          <w:kern w:val="24"/>
          <w:sz w:val="24"/>
          <w:szCs w:val="24"/>
          <w:highlight w:val="none"/>
          <w:shd w:val="clear" w:color="auto" w:fill="auto"/>
          <w:lang w:val="en-US" w:eastAsia="zh-CN"/>
        </w:rPr>
        <w:t>页岩油</w:t>
      </w:r>
      <w:bookmarkEnd w:id="653"/>
      <w:r>
        <w:rPr>
          <w:rFonts w:hint="default" w:ascii="Times New Roman" w:hAnsi="Times New Roman" w:eastAsia="宋体" w:cs="Times New Roman"/>
          <w:color w:val="auto"/>
          <w:spacing w:val="4"/>
          <w:kern w:val="24"/>
          <w:sz w:val="24"/>
          <w:szCs w:val="24"/>
          <w:highlight w:val="none"/>
          <w:shd w:val="clear" w:color="auto" w:fill="auto"/>
        </w:rPr>
        <w:t>开采项目，本工程井场、站场建设属于Ⅰ类项目，</w:t>
      </w:r>
      <w:r>
        <w:rPr>
          <w:rFonts w:hint="eastAsia" w:ascii="Times New Roman" w:hAnsi="Times New Roman" w:eastAsia="宋体" w:cs="Times New Roman"/>
          <w:color w:val="auto"/>
          <w:spacing w:val="4"/>
          <w:kern w:val="24"/>
          <w:sz w:val="24"/>
          <w:szCs w:val="24"/>
          <w:highlight w:val="none"/>
          <w:shd w:val="clear" w:color="auto" w:fill="auto"/>
          <w:lang w:val="en-US" w:eastAsia="zh-CN"/>
        </w:rPr>
        <w:t>集输</w:t>
      </w:r>
      <w:r>
        <w:rPr>
          <w:rFonts w:hint="default" w:ascii="Times New Roman" w:hAnsi="Times New Roman" w:eastAsia="宋体" w:cs="Times New Roman"/>
          <w:color w:val="auto"/>
          <w:spacing w:val="4"/>
          <w:kern w:val="24"/>
          <w:sz w:val="24"/>
          <w:szCs w:val="24"/>
          <w:highlight w:val="none"/>
          <w:shd w:val="clear" w:color="auto" w:fill="auto"/>
        </w:rPr>
        <w:t>管线建设属于Ⅱ类项目。</w:t>
      </w:r>
    </w:p>
    <w:p>
      <w:pPr>
        <w:pageBreakBefore w:val="0"/>
        <w:kinsoku/>
        <w:wordWrap/>
        <w:overflowPunct/>
        <w:topLinePunct w:val="0"/>
        <w:autoSpaceDE/>
        <w:autoSpaceDN/>
        <w:bidi w:val="0"/>
        <w:spacing w:line="480" w:lineRule="exact"/>
        <w:ind w:firstLine="496"/>
        <w:jc w:val="left"/>
        <w:textAlignment w:val="auto"/>
        <w:rPr>
          <w:rFonts w:hint="default" w:ascii="Times New Roman" w:hAnsi="Times New Roman" w:eastAsia="宋体" w:cs="Times New Roman"/>
          <w:color w:val="auto"/>
          <w:spacing w:val="4"/>
          <w:kern w:val="24"/>
          <w:sz w:val="24"/>
          <w:szCs w:val="24"/>
          <w:highlight w:val="none"/>
          <w:shd w:val="clear" w:color="auto" w:fill="auto"/>
        </w:rPr>
      </w:pPr>
      <w:r>
        <w:rPr>
          <w:rFonts w:hint="default" w:ascii="Times New Roman" w:hAnsi="Times New Roman" w:eastAsia="宋体" w:cs="Times New Roman"/>
          <w:color w:val="auto"/>
          <w:spacing w:val="4"/>
          <w:kern w:val="24"/>
          <w:sz w:val="24"/>
          <w:szCs w:val="24"/>
          <w:highlight w:val="none"/>
          <w:shd w:val="clear" w:color="auto" w:fill="auto"/>
        </w:rPr>
        <w:t>本项目土壤项目类别为Ⅰ类、Ⅱ类，生态影响型环境敏感程度为敏感；项目占地规模为</w:t>
      </w:r>
      <w:r>
        <w:rPr>
          <w:rFonts w:hint="eastAsia" w:ascii="Times New Roman" w:hAnsi="Times New Roman" w:eastAsia="宋体" w:cs="Times New Roman"/>
          <w:color w:val="auto"/>
          <w:spacing w:val="4"/>
          <w:kern w:val="24"/>
          <w:sz w:val="24"/>
          <w:szCs w:val="24"/>
          <w:highlight w:val="none"/>
          <w:shd w:val="clear" w:color="auto" w:fill="auto"/>
          <w:lang w:val="en-US" w:eastAsia="zh-CN"/>
        </w:rPr>
        <w:t>小型</w:t>
      </w:r>
      <w:r>
        <w:rPr>
          <w:rFonts w:hint="default" w:ascii="Times New Roman" w:hAnsi="Times New Roman" w:eastAsia="宋体" w:cs="Times New Roman"/>
          <w:color w:val="auto"/>
          <w:spacing w:val="4"/>
          <w:kern w:val="24"/>
          <w:sz w:val="24"/>
          <w:szCs w:val="24"/>
          <w:highlight w:val="none"/>
          <w:shd w:val="clear" w:color="auto" w:fill="auto"/>
        </w:rPr>
        <w:t>、污染影响型环境敏感程度为</w:t>
      </w:r>
      <w:r>
        <w:rPr>
          <w:rFonts w:hint="default" w:ascii="Times New Roman" w:hAnsi="Times New Roman" w:eastAsia="宋体" w:cs="Times New Roman"/>
          <w:color w:val="auto"/>
          <w:spacing w:val="4"/>
          <w:kern w:val="24"/>
          <w:sz w:val="24"/>
          <w:szCs w:val="24"/>
          <w:highlight w:val="none"/>
          <w:shd w:val="clear" w:color="auto" w:fill="auto"/>
          <w:lang w:val="en-US" w:eastAsia="zh-CN"/>
        </w:rPr>
        <w:t>不敏感</w:t>
      </w:r>
      <w:r>
        <w:rPr>
          <w:rFonts w:hint="default" w:ascii="Times New Roman" w:hAnsi="Times New Roman" w:eastAsia="宋体" w:cs="Times New Roman"/>
          <w:color w:val="auto"/>
          <w:spacing w:val="4"/>
          <w:kern w:val="24"/>
          <w:sz w:val="24"/>
          <w:szCs w:val="24"/>
          <w:highlight w:val="none"/>
          <w:shd w:val="clear" w:color="auto" w:fill="auto"/>
        </w:rPr>
        <w:t>。</w:t>
      </w:r>
    </w:p>
    <w:p>
      <w:pPr>
        <w:pageBreakBefore w:val="0"/>
        <w:kinsoku/>
        <w:wordWrap/>
        <w:overflowPunct/>
        <w:topLinePunct w:val="0"/>
        <w:autoSpaceDE/>
        <w:autoSpaceDN/>
        <w:bidi w:val="0"/>
        <w:spacing w:line="480" w:lineRule="exact"/>
        <w:ind w:firstLine="496"/>
        <w:jc w:val="left"/>
        <w:textAlignment w:val="auto"/>
        <w:rPr>
          <w:rFonts w:hint="default" w:ascii="Times New Roman" w:hAnsi="Times New Roman" w:eastAsia="宋体" w:cs="Times New Roman"/>
          <w:color w:val="auto"/>
          <w:spacing w:val="4"/>
          <w:kern w:val="24"/>
          <w:sz w:val="24"/>
          <w:szCs w:val="24"/>
          <w:highlight w:val="none"/>
          <w:shd w:val="clear" w:color="auto" w:fill="auto"/>
        </w:rPr>
      </w:pPr>
      <w:r>
        <w:rPr>
          <w:rFonts w:hint="default" w:ascii="Times New Roman" w:hAnsi="Times New Roman" w:eastAsia="宋体" w:cs="Times New Roman"/>
          <w:color w:val="auto"/>
          <w:spacing w:val="4"/>
          <w:kern w:val="24"/>
          <w:sz w:val="24"/>
          <w:szCs w:val="24"/>
          <w:highlight w:val="none"/>
          <w:shd w:val="clear" w:color="auto" w:fill="auto"/>
        </w:rPr>
        <w:t>综上，生态影响型土壤环境影响评价工作等级为</w:t>
      </w:r>
      <w:r>
        <w:rPr>
          <w:rFonts w:hint="eastAsia" w:ascii="Times New Roman" w:hAnsi="Times New Roman" w:eastAsia="宋体" w:cs="Times New Roman"/>
          <w:color w:val="auto"/>
          <w:spacing w:val="4"/>
          <w:kern w:val="24"/>
          <w:sz w:val="24"/>
          <w:szCs w:val="24"/>
          <w:highlight w:val="none"/>
          <w:shd w:val="clear" w:color="auto" w:fill="auto"/>
          <w:lang w:val="en-US" w:eastAsia="zh-CN"/>
        </w:rPr>
        <w:t>一</w:t>
      </w:r>
      <w:r>
        <w:rPr>
          <w:rFonts w:hint="default" w:ascii="Times New Roman" w:hAnsi="Times New Roman" w:eastAsia="宋体" w:cs="Times New Roman"/>
          <w:color w:val="auto"/>
          <w:spacing w:val="4"/>
          <w:kern w:val="24"/>
          <w:sz w:val="24"/>
          <w:szCs w:val="24"/>
          <w:highlight w:val="none"/>
          <w:shd w:val="clear" w:color="auto" w:fill="auto"/>
        </w:rPr>
        <w:t>级，污染影响型土壤环境影响评价工作等级为</w:t>
      </w:r>
      <w:r>
        <w:rPr>
          <w:rFonts w:hint="default" w:ascii="Times New Roman" w:hAnsi="Times New Roman" w:eastAsia="宋体" w:cs="Times New Roman"/>
          <w:color w:val="auto"/>
          <w:spacing w:val="4"/>
          <w:kern w:val="24"/>
          <w:sz w:val="24"/>
          <w:szCs w:val="24"/>
          <w:highlight w:val="none"/>
          <w:shd w:val="clear" w:color="auto" w:fill="auto"/>
          <w:lang w:val="en-US" w:eastAsia="zh-CN"/>
        </w:rPr>
        <w:t>二</w:t>
      </w:r>
      <w:r>
        <w:rPr>
          <w:rFonts w:hint="default" w:ascii="Times New Roman" w:hAnsi="Times New Roman" w:eastAsia="宋体" w:cs="Times New Roman"/>
          <w:color w:val="auto"/>
          <w:spacing w:val="4"/>
          <w:kern w:val="24"/>
          <w:sz w:val="24"/>
          <w:szCs w:val="24"/>
          <w:highlight w:val="none"/>
          <w:shd w:val="clear" w:color="auto" w:fill="auto"/>
        </w:rPr>
        <w:t>级。</w:t>
      </w:r>
    </w:p>
    <w:p>
      <w:pPr>
        <w:pStyle w:val="53"/>
        <w:pageBreakBefore w:val="0"/>
        <w:kinsoku/>
        <w:wordWrap/>
        <w:overflowPunct/>
        <w:topLinePunct w:val="0"/>
        <w:autoSpaceDE/>
        <w:autoSpaceDN/>
        <w:bidi w:val="0"/>
        <w:spacing w:line="480" w:lineRule="exact"/>
        <w:jc w:val="left"/>
        <w:textAlignment w:val="auto"/>
        <w:outlineLvl w:val="3"/>
        <w:rPr>
          <w:rFonts w:hint="eastAsia" w:ascii="Times New Roman" w:hAnsi="Times New Roman" w:eastAsia="宋体" w:cs="Times New Roman"/>
          <w:b/>
          <w:color w:val="auto"/>
          <w:sz w:val="24"/>
          <w:szCs w:val="24"/>
          <w:highlight w:val="none"/>
          <w:shd w:val="clear" w:color="auto" w:fill="auto"/>
        </w:rPr>
      </w:pPr>
      <w:r>
        <w:rPr>
          <w:rFonts w:hint="eastAsia"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4</w:t>
      </w:r>
      <w:r>
        <w:rPr>
          <w:rFonts w:hint="eastAsia" w:ascii="Times New Roman" w:hAnsi="Times New Roman" w:eastAsia="宋体" w:cs="Times New Roman"/>
          <w:b/>
          <w:color w:val="auto"/>
          <w:sz w:val="24"/>
          <w:szCs w:val="24"/>
          <w:highlight w:val="none"/>
          <w:shd w:val="clear" w:color="auto" w:fill="auto"/>
        </w:rPr>
        <w:t>.</w:t>
      </w:r>
      <w:r>
        <w:rPr>
          <w:rFonts w:hint="eastAsia" w:ascii="Times New Roman" w:hAnsi="Times New Roman" w:eastAsia="宋体" w:cs="Times New Roman"/>
          <w:b/>
          <w:color w:val="auto"/>
          <w:sz w:val="24"/>
          <w:szCs w:val="24"/>
          <w:highlight w:val="none"/>
          <w:shd w:val="clear" w:color="auto" w:fill="auto"/>
          <w:lang w:val="en-US" w:eastAsia="zh-CN"/>
        </w:rPr>
        <w:t>2</w:t>
      </w:r>
      <w:r>
        <w:rPr>
          <w:rFonts w:hint="eastAsia" w:ascii="Times New Roman" w:hAnsi="Times New Roman" w:eastAsia="宋体" w:cs="Times New Roman"/>
          <w:b/>
          <w:color w:val="auto"/>
          <w:sz w:val="24"/>
          <w:szCs w:val="24"/>
          <w:highlight w:val="none"/>
          <w:shd w:val="clear" w:color="auto" w:fill="auto"/>
        </w:rPr>
        <w:t>.</w:t>
      </w:r>
      <w:r>
        <w:rPr>
          <w:rFonts w:hint="eastAsia" w:ascii="Times New Roman" w:hAnsi="Times New Roman" w:eastAsia="宋体" w:cs="Times New Roman"/>
          <w:b/>
          <w:color w:val="auto"/>
          <w:sz w:val="24"/>
          <w:szCs w:val="24"/>
          <w:highlight w:val="none"/>
          <w:shd w:val="clear" w:color="auto" w:fill="auto"/>
          <w:lang w:val="en-US" w:eastAsia="zh-CN"/>
        </w:rPr>
        <w:t>2</w:t>
      </w:r>
      <w:r>
        <w:rPr>
          <w:rFonts w:hint="eastAsia" w:ascii="Times New Roman" w:hAnsi="Times New Roman" w:eastAsia="宋体" w:cs="Times New Roman"/>
          <w:b/>
          <w:color w:val="auto"/>
          <w:sz w:val="24"/>
          <w:szCs w:val="24"/>
          <w:highlight w:val="none"/>
          <w:shd w:val="clear" w:color="auto" w:fill="auto"/>
        </w:rPr>
        <w:t>土壤污染途径</w:t>
      </w:r>
    </w:p>
    <w:p>
      <w:pPr>
        <w:pStyle w:val="108"/>
        <w:pageBreakBefore w:val="0"/>
        <w:kinsoku/>
        <w:wordWrap/>
        <w:overflowPunct/>
        <w:topLinePunct w:val="0"/>
        <w:autoSpaceDE/>
        <w:autoSpaceDN/>
        <w:bidi w:val="0"/>
        <w:spacing w:line="480" w:lineRule="exact"/>
        <w:jc w:val="left"/>
        <w:textAlignment w:val="auto"/>
        <w:rPr>
          <w:color w:val="auto"/>
          <w:highlight w:val="none"/>
          <w:shd w:val="clear" w:color="auto" w:fill="auto"/>
        </w:rPr>
      </w:pPr>
      <w:r>
        <w:rPr>
          <w:rFonts w:hint="eastAsia"/>
          <w:color w:val="auto"/>
          <w:highlight w:val="none"/>
          <w:shd w:val="clear" w:color="auto" w:fill="auto"/>
          <w:lang w:eastAsia="zh-CN"/>
        </w:rPr>
        <w:t>本工程</w:t>
      </w:r>
      <w:r>
        <w:rPr>
          <w:color w:val="auto"/>
          <w:highlight w:val="none"/>
          <w:shd w:val="clear" w:color="auto" w:fill="auto"/>
        </w:rPr>
        <w:t>为</w:t>
      </w:r>
      <w:r>
        <w:rPr>
          <w:rFonts w:hint="eastAsia" w:ascii="Times New Roman" w:hAnsi="Times New Roman" w:eastAsia="宋体" w:cs="Times New Roman"/>
          <w:color w:val="auto"/>
          <w:spacing w:val="4"/>
          <w:kern w:val="24"/>
          <w:sz w:val="24"/>
          <w:szCs w:val="24"/>
          <w:highlight w:val="none"/>
          <w:shd w:val="clear" w:color="auto" w:fill="auto"/>
          <w:lang w:val="en-US" w:eastAsia="zh-CN"/>
        </w:rPr>
        <w:t>页岩油</w:t>
      </w:r>
      <w:r>
        <w:rPr>
          <w:color w:val="auto"/>
          <w:highlight w:val="none"/>
          <w:shd w:val="clear" w:color="auto" w:fill="auto"/>
        </w:rPr>
        <w:t>开采项目，</w:t>
      </w:r>
      <w:r>
        <w:rPr>
          <w:rFonts w:hint="eastAsia"/>
          <w:color w:val="auto"/>
          <w:highlight w:val="none"/>
          <w:shd w:val="clear" w:color="auto" w:fill="auto"/>
          <w:lang w:val="en-US" w:eastAsia="zh-CN"/>
        </w:rPr>
        <w:t>拟建工程土壤影响类型同时属于污染影响型和生态影响型</w:t>
      </w:r>
      <w:r>
        <w:rPr>
          <w:color w:val="auto"/>
          <w:highlight w:val="none"/>
          <w:shd w:val="clear" w:color="auto" w:fill="auto"/>
        </w:rPr>
        <w:t>。运营期</w:t>
      </w:r>
      <w:r>
        <w:rPr>
          <w:rFonts w:hint="eastAsia"/>
          <w:color w:val="auto"/>
          <w:highlight w:val="none"/>
          <w:shd w:val="clear" w:color="auto" w:fill="auto"/>
          <w:lang w:eastAsia="zh-CN"/>
        </w:rPr>
        <w:t>本工程</w:t>
      </w:r>
      <w:r>
        <w:rPr>
          <w:color w:val="auto"/>
          <w:highlight w:val="none"/>
          <w:shd w:val="clear" w:color="auto" w:fill="auto"/>
        </w:rPr>
        <w:t>采用密闭集输系统进行</w:t>
      </w:r>
      <w:r>
        <w:rPr>
          <w:rFonts w:hint="eastAsia"/>
          <w:color w:val="auto"/>
          <w:highlight w:val="none"/>
          <w:shd w:val="clear" w:color="auto" w:fill="auto"/>
          <w:lang w:val="en-US" w:eastAsia="zh-CN"/>
        </w:rPr>
        <w:t>油气</w:t>
      </w:r>
      <w:r>
        <w:rPr>
          <w:color w:val="auto"/>
          <w:highlight w:val="none"/>
          <w:shd w:val="clear" w:color="auto" w:fill="auto"/>
        </w:rPr>
        <w:t>集输，正常情况下不会对土壤环境造成污染。非正常情况下含油污水泄漏可能会对土壤环境造成污染。结合项目特点，本节主要分析非正常状况下泄漏对土壤环境的污染影响，以及对土壤理化性质的影响和</w:t>
      </w:r>
      <w:r>
        <w:rPr>
          <w:rFonts w:hint="eastAsia"/>
          <w:color w:val="auto"/>
          <w:highlight w:val="none"/>
          <w:shd w:val="clear" w:color="auto" w:fill="auto"/>
          <w:lang w:eastAsia="zh-CN"/>
        </w:rPr>
        <w:t>累积</w:t>
      </w:r>
      <w:r>
        <w:rPr>
          <w:color w:val="auto"/>
          <w:highlight w:val="none"/>
          <w:shd w:val="clear" w:color="auto" w:fill="auto"/>
        </w:rPr>
        <w:t>影响。</w:t>
      </w:r>
    </w:p>
    <w:p>
      <w:pPr>
        <w:pStyle w:val="108"/>
        <w:pageBreakBefore w:val="0"/>
        <w:kinsoku/>
        <w:wordWrap/>
        <w:overflowPunct/>
        <w:topLinePunct w:val="0"/>
        <w:autoSpaceDE/>
        <w:autoSpaceDN/>
        <w:bidi w:val="0"/>
        <w:spacing w:line="480" w:lineRule="exact"/>
        <w:jc w:val="left"/>
        <w:textAlignment w:val="auto"/>
        <w:rPr>
          <w:rFonts w:hint="eastAsia" w:eastAsia="宋体"/>
          <w:color w:val="auto"/>
          <w:highlight w:val="none"/>
          <w:shd w:val="clear" w:color="auto" w:fill="auto"/>
          <w:lang w:eastAsia="zh-CN"/>
        </w:rPr>
      </w:pPr>
      <w:r>
        <w:rPr>
          <w:rFonts w:hint="eastAsia" w:eastAsia="宋体"/>
          <w:color w:val="auto"/>
          <w:highlight w:val="none"/>
          <w:shd w:val="clear" w:color="auto" w:fill="auto"/>
          <w:lang w:eastAsia="zh-CN"/>
        </w:rPr>
        <w:t>油田土壤环境污染的分布为：污染物主要集中在场站永久占地内，各种污染物尤其是石油烃污染物主要集中在土壤表层，迁移深度较浅。</w:t>
      </w:r>
    </w:p>
    <w:p>
      <w:pPr>
        <w:pStyle w:val="108"/>
        <w:pageBreakBefore w:val="0"/>
        <w:kinsoku/>
        <w:wordWrap/>
        <w:overflowPunct/>
        <w:topLinePunct w:val="0"/>
        <w:autoSpaceDE/>
        <w:autoSpaceDN/>
        <w:bidi w:val="0"/>
        <w:spacing w:line="480" w:lineRule="exact"/>
        <w:jc w:val="left"/>
        <w:textAlignment w:val="auto"/>
        <w:rPr>
          <w:color w:val="auto"/>
          <w:highlight w:val="none"/>
        </w:rPr>
      </w:pPr>
      <w:r>
        <w:rPr>
          <w:rFonts w:hint="eastAsia" w:eastAsia="宋体"/>
          <w:color w:val="auto"/>
          <w:highlight w:val="none"/>
          <w:shd w:val="clear" w:color="auto" w:fill="auto"/>
          <w:lang w:eastAsia="zh-CN"/>
        </w:rPr>
        <w:t>事故时排放的含油污水量大且集中，其危害主要表现为降低土壤透气、透水性，改变土壤微生物种群结构，消耗土壤氮素，使植物生长受阻，体内残留量增加，恶化土壤</w:t>
      </w:r>
      <w:r>
        <w:rPr>
          <w:rFonts w:hint="eastAsia"/>
          <w:color w:val="auto"/>
          <w:highlight w:val="none"/>
          <w:shd w:val="clear" w:color="auto" w:fill="auto"/>
          <w:lang w:eastAsia="zh-CN"/>
        </w:rPr>
        <w:t>－</w:t>
      </w:r>
      <w:r>
        <w:rPr>
          <w:rFonts w:hint="eastAsia" w:eastAsia="宋体"/>
          <w:color w:val="auto"/>
          <w:highlight w:val="none"/>
          <w:shd w:val="clear" w:color="auto" w:fill="auto"/>
          <w:lang w:eastAsia="zh-CN"/>
        </w:rPr>
        <w:t>植物及土壤</w:t>
      </w:r>
      <w:r>
        <w:rPr>
          <w:rFonts w:hint="eastAsia"/>
          <w:color w:val="auto"/>
          <w:highlight w:val="none"/>
          <w:shd w:val="clear" w:color="auto" w:fill="auto"/>
          <w:lang w:eastAsia="zh-CN"/>
        </w:rPr>
        <w:t>－</w:t>
      </w:r>
      <w:r>
        <w:rPr>
          <w:rFonts w:hint="eastAsia" w:eastAsia="宋体"/>
          <w:color w:val="auto"/>
          <w:highlight w:val="none"/>
          <w:shd w:val="clear" w:color="auto" w:fill="auto"/>
          <w:lang w:eastAsia="zh-CN"/>
        </w:rPr>
        <w:t>食物链系统的环境质量。因此，油田生产中一定要严防采出液泄漏事故的发生，一旦发生事故，应立即采取事故应急措施，及时对含油污水进行回收，最大限度地恢复地表原貌，为利用土壤的自净作用创造条件，在尽可能短的时间使土壤环境得到恢复。</w:t>
      </w:r>
    </w:p>
    <w:p>
      <w:pPr>
        <w:pStyle w:val="5"/>
        <w:pageBreakBefore w:val="0"/>
        <w:kinsoku/>
        <w:wordWrap/>
        <w:overflowPunct/>
        <w:topLinePunct w:val="0"/>
        <w:autoSpaceDE/>
        <w:autoSpaceDN/>
        <w:bidi w:val="0"/>
        <w:spacing w:line="480" w:lineRule="exact"/>
        <w:textAlignment w:val="auto"/>
        <w:rPr>
          <w:color w:val="auto"/>
          <w:highlight w:val="none"/>
        </w:rPr>
      </w:pPr>
      <w:r>
        <w:rPr>
          <w:color w:val="auto"/>
          <w:highlight w:val="none"/>
        </w:rPr>
        <w:t>5.</w:t>
      </w:r>
      <w:r>
        <w:rPr>
          <w:rFonts w:hint="eastAsia"/>
          <w:color w:val="auto"/>
          <w:highlight w:val="none"/>
        </w:rPr>
        <w:t>4</w:t>
      </w:r>
      <w:r>
        <w:rPr>
          <w:color w:val="auto"/>
          <w:highlight w:val="none"/>
        </w:rPr>
        <w:t>.</w:t>
      </w:r>
      <w:r>
        <w:rPr>
          <w:rFonts w:hint="eastAsia"/>
          <w:color w:val="auto"/>
          <w:highlight w:val="none"/>
        </w:rPr>
        <w:t>2</w:t>
      </w:r>
      <w:r>
        <w:rPr>
          <w:color w:val="auto"/>
          <w:highlight w:val="none"/>
        </w:rPr>
        <w:t>.1正常工况下土壤环境影响分析</w:t>
      </w:r>
    </w:p>
    <w:p>
      <w:pPr>
        <w:pStyle w:val="57"/>
        <w:pageBreakBefore w:val="0"/>
        <w:kinsoku/>
        <w:wordWrap/>
        <w:overflowPunct/>
        <w:topLinePunct w:val="0"/>
        <w:autoSpaceDE/>
        <w:autoSpaceDN/>
        <w:bidi w:val="0"/>
        <w:spacing w:line="480" w:lineRule="exact"/>
        <w:ind w:firstLine="496"/>
        <w:textAlignment w:val="auto"/>
        <w:rPr>
          <w:color w:val="auto"/>
          <w:highlight w:val="none"/>
        </w:rPr>
      </w:pPr>
      <w:r>
        <w:rPr>
          <w:color w:val="auto"/>
          <w:spacing w:val="4"/>
          <w:kern w:val="24"/>
          <w:highlight w:val="none"/>
        </w:rPr>
        <w:t>运营期正常工况下</w:t>
      </w:r>
      <w:r>
        <w:rPr>
          <w:color w:val="auto"/>
          <w:highlight w:val="none"/>
        </w:rPr>
        <w:t>生产过程中各类物料配置过程中均为全密闭管路连接，不会出现溢出和</w:t>
      </w:r>
      <w:r>
        <w:rPr>
          <w:rFonts w:hint="eastAsia"/>
          <w:color w:val="auto"/>
          <w:highlight w:val="none"/>
          <w:lang w:eastAsia="zh-CN"/>
        </w:rPr>
        <w:t>泄漏</w:t>
      </w:r>
      <w:r>
        <w:rPr>
          <w:color w:val="auto"/>
          <w:highlight w:val="none"/>
        </w:rPr>
        <w:t>情况，实现可视可控，且在管线上做好标识，不会对土壤环境产生影响。</w:t>
      </w:r>
    </w:p>
    <w:p>
      <w:pPr>
        <w:pStyle w:val="5"/>
        <w:pageBreakBefore w:val="0"/>
        <w:kinsoku/>
        <w:wordWrap/>
        <w:overflowPunct/>
        <w:topLinePunct w:val="0"/>
        <w:autoSpaceDE/>
        <w:autoSpaceDN/>
        <w:bidi w:val="0"/>
        <w:spacing w:line="480" w:lineRule="exact"/>
        <w:jc w:val="left"/>
        <w:textAlignment w:val="auto"/>
        <w:rPr>
          <w:color w:val="auto"/>
          <w:highlight w:val="none"/>
        </w:rPr>
      </w:pPr>
      <w:r>
        <w:rPr>
          <w:color w:val="auto"/>
          <w:highlight w:val="none"/>
        </w:rPr>
        <w:t>5.</w:t>
      </w:r>
      <w:r>
        <w:rPr>
          <w:rFonts w:hint="eastAsia"/>
          <w:color w:val="auto"/>
          <w:highlight w:val="none"/>
        </w:rPr>
        <w:t>4.2</w:t>
      </w:r>
      <w:r>
        <w:rPr>
          <w:color w:val="auto"/>
          <w:highlight w:val="none"/>
        </w:rPr>
        <w:t>.2非正常工况下土壤环境影响分析</w:t>
      </w:r>
    </w:p>
    <w:p>
      <w:pPr>
        <w:pStyle w:val="57"/>
        <w:pageBreakBefore w:val="0"/>
        <w:kinsoku/>
        <w:wordWrap/>
        <w:overflowPunct/>
        <w:topLinePunct w:val="0"/>
        <w:autoSpaceDE/>
        <w:autoSpaceDN/>
        <w:bidi w:val="0"/>
        <w:spacing w:line="480" w:lineRule="exact"/>
        <w:jc w:val="left"/>
        <w:textAlignment w:val="auto"/>
        <w:rPr>
          <w:color w:val="auto"/>
          <w:highlight w:val="none"/>
        </w:rPr>
      </w:pPr>
      <w:r>
        <w:rPr>
          <w:rFonts w:hint="eastAsia"/>
          <w:color w:val="auto"/>
          <w:highlight w:val="none"/>
        </w:rPr>
        <w:t>拟建工程所处区域土壤属于碱化</w:t>
      </w:r>
      <w:r>
        <w:rPr>
          <w:rFonts w:hint="eastAsia"/>
          <w:color w:val="auto"/>
          <w:highlight w:val="none"/>
          <w:lang w:eastAsia="zh-CN"/>
        </w:rPr>
        <w:t>、</w:t>
      </w:r>
      <w:r>
        <w:rPr>
          <w:rFonts w:hint="eastAsia"/>
          <w:color w:val="auto"/>
          <w:highlight w:val="none"/>
        </w:rPr>
        <w:t>盐化的区域，拟建工程土壤影响类型同时属于污染影响型和生态影响型</w:t>
      </w:r>
    </w:p>
    <w:p>
      <w:pPr>
        <w:pStyle w:val="57"/>
        <w:pageBreakBefore w:val="0"/>
        <w:kinsoku/>
        <w:wordWrap/>
        <w:overflowPunct/>
        <w:topLinePunct w:val="0"/>
        <w:autoSpaceDE/>
        <w:autoSpaceDN/>
        <w:bidi w:val="0"/>
        <w:spacing w:line="480" w:lineRule="exact"/>
        <w:jc w:val="left"/>
        <w:textAlignment w:val="auto"/>
        <w:rPr>
          <w:color w:val="auto"/>
          <w:highlight w:val="none"/>
        </w:rPr>
      </w:pPr>
      <w:r>
        <w:rPr>
          <w:color w:val="auto"/>
          <w:highlight w:val="none"/>
        </w:rPr>
        <w:t>（1）生态影响型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考虑事故状态下，</w:t>
      </w:r>
      <w:r>
        <w:rPr>
          <w:rFonts w:hint="eastAsia" w:ascii="Times New Roman" w:hAnsi="Times New Roman" w:eastAsia="宋体" w:cs="Times New Roman"/>
          <w:color w:val="auto"/>
          <w:spacing w:val="0"/>
          <w:kern w:val="24"/>
          <w:sz w:val="24"/>
          <w:szCs w:val="22"/>
          <w:highlight w:val="none"/>
          <w:shd w:val="clear" w:color="auto" w:fill="auto"/>
          <w:lang w:val="en-US" w:eastAsia="zh-CN" w:bidi="ar-SA"/>
        </w:rPr>
        <w:t>计量站</w:t>
      </w:r>
      <w:r>
        <w:rPr>
          <w:rFonts w:hint="default" w:ascii="Times New Roman" w:hAnsi="Times New Roman" w:eastAsia="宋体" w:cs="Times New Roman"/>
          <w:snapToGrid w:val="0"/>
          <w:color w:val="auto"/>
          <w:spacing w:val="0"/>
          <w:kern w:val="2"/>
          <w:sz w:val="24"/>
          <w:highlight w:val="none"/>
          <w:shd w:val="clear" w:color="auto" w:fill="auto"/>
          <w:lang w:val="en-US" w:eastAsia="zh-CN" w:bidi="ar-SA"/>
        </w:rPr>
        <w:t>与</w:t>
      </w:r>
      <w:r>
        <w:rPr>
          <w:rFonts w:hint="eastAsia" w:ascii="Times New Roman" w:hAnsi="Times New Roman" w:eastAsia="宋体" w:cs="Times New Roman"/>
          <w:snapToGrid w:val="0"/>
          <w:color w:val="auto"/>
          <w:spacing w:val="0"/>
          <w:kern w:val="2"/>
          <w:sz w:val="24"/>
          <w:highlight w:val="none"/>
          <w:shd w:val="clear" w:color="auto" w:fill="auto"/>
          <w:lang w:val="en-US" w:eastAsia="zh-CN" w:bidi="ar-SA"/>
        </w:rPr>
        <w:t>集中拉油站</w:t>
      </w: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集输管道连接处破裂后，</w:t>
      </w:r>
      <w:r>
        <w:rPr>
          <w:rFonts w:hint="default" w:ascii="Times New Roman" w:hAnsi="Times New Roman" w:cs="Times New Roman"/>
          <w:color w:val="auto"/>
          <w:spacing w:val="0"/>
          <w:kern w:val="24"/>
          <w:sz w:val="24"/>
          <w:szCs w:val="22"/>
          <w:highlight w:val="none"/>
          <w:shd w:val="clear" w:color="auto" w:fill="auto"/>
          <w:lang w:val="en-US" w:eastAsia="zh-CN" w:bidi="ar-SA"/>
        </w:rPr>
        <w:t>采出液</w:t>
      </w: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进入表层土壤</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中，集输</w:t>
      </w:r>
      <w:r>
        <w:rPr>
          <w:rFonts w:hint="eastAsia" w:ascii="Times New Roman" w:hAnsi="Times New Roman" w:eastAsia="宋体" w:cs="Times New Roman"/>
          <w:color w:val="auto"/>
          <w:spacing w:val="0"/>
          <w:kern w:val="24"/>
          <w:sz w:val="24"/>
          <w:szCs w:val="24"/>
          <w:highlight w:val="none"/>
          <w:shd w:val="clear" w:color="auto" w:fill="auto"/>
          <w:lang w:val="en-US" w:eastAsia="zh-CN" w:bidi="ar-SA"/>
        </w:rPr>
        <w:t>支线</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管道在</w:t>
      </w:r>
      <w:r>
        <w:rPr>
          <w:rFonts w:hint="eastAsia" w:ascii="Times New Roman" w:hAnsi="Times New Roman" w:eastAsia="宋体" w:cs="Times New Roman"/>
          <w:color w:val="auto"/>
          <w:spacing w:val="0"/>
          <w:kern w:val="24"/>
          <w:sz w:val="24"/>
          <w:szCs w:val="24"/>
          <w:highlight w:val="none"/>
          <w:shd w:val="clear" w:color="auto" w:fill="auto"/>
          <w:lang w:val="en-US" w:eastAsia="zh-CN" w:bidi="ar-SA"/>
        </w:rPr>
        <w:t>计量站</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设置有压力和远传信号，当发生管道破裂时，可远程关闭</w:t>
      </w:r>
      <w:r>
        <w:rPr>
          <w:rFonts w:hint="eastAsia" w:ascii="Times New Roman" w:hAnsi="Times New Roman" w:eastAsia="宋体" w:cs="Times New Roman"/>
          <w:color w:val="auto"/>
          <w:spacing w:val="0"/>
          <w:kern w:val="24"/>
          <w:sz w:val="24"/>
          <w:szCs w:val="24"/>
          <w:highlight w:val="none"/>
          <w:shd w:val="clear" w:color="auto" w:fill="auto"/>
          <w:lang w:val="en-US" w:eastAsia="zh-CN" w:bidi="ar-SA"/>
        </w:rPr>
        <w:t>站场阀门</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，并在1h内排查到泄漏点并进行紧急封堵。初步估算，发生泄漏到封堵，预计从集输</w:t>
      </w:r>
      <w:r>
        <w:rPr>
          <w:rFonts w:hint="eastAsia" w:ascii="Times New Roman" w:hAnsi="Times New Roman" w:cs="Times New Roman"/>
          <w:color w:val="auto"/>
          <w:spacing w:val="0"/>
          <w:kern w:val="24"/>
          <w:sz w:val="24"/>
          <w:szCs w:val="24"/>
          <w:highlight w:val="none"/>
          <w:shd w:val="clear" w:color="auto" w:fill="auto"/>
          <w:lang w:val="en-US" w:eastAsia="zh-CN" w:bidi="ar-SA"/>
        </w:rPr>
        <w:t>干</w:t>
      </w:r>
      <w:r>
        <w:rPr>
          <w:rFonts w:hint="default" w:ascii="Times New Roman" w:hAnsi="Times New Roman" w:cs="Times New Roman"/>
          <w:color w:val="auto"/>
          <w:spacing w:val="0"/>
          <w:kern w:val="24"/>
          <w:sz w:val="24"/>
          <w:szCs w:val="24"/>
          <w:highlight w:val="none"/>
          <w:shd w:val="clear" w:color="auto" w:fill="auto"/>
          <w:lang w:val="en-US" w:eastAsia="zh-CN" w:bidi="ar-SA"/>
        </w:rPr>
        <w:t>线</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中泄漏的</w:t>
      </w:r>
      <w:r>
        <w:rPr>
          <w:rFonts w:hint="default" w:ascii="Times New Roman" w:hAnsi="Times New Roman" w:cs="Times New Roman"/>
          <w:color w:val="auto"/>
          <w:spacing w:val="0"/>
          <w:kern w:val="24"/>
          <w:sz w:val="24"/>
          <w:szCs w:val="24"/>
          <w:highlight w:val="none"/>
          <w:shd w:val="clear" w:color="auto" w:fill="auto"/>
          <w:lang w:val="en-US" w:eastAsia="zh-CN" w:bidi="ar-SA"/>
        </w:rPr>
        <w:t>采出水</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量为</w:t>
      </w:r>
      <w:r>
        <w:rPr>
          <w:rFonts w:hint="eastAsia" w:ascii="Times New Roman" w:hAnsi="Times New Roman" w:cs="Times New Roman"/>
          <w:color w:val="auto"/>
          <w:spacing w:val="0"/>
          <w:kern w:val="24"/>
          <w:sz w:val="24"/>
          <w:szCs w:val="24"/>
          <w:highlight w:val="none"/>
          <w:shd w:val="clear" w:color="auto" w:fill="auto"/>
          <w:lang w:val="en-US" w:eastAsia="zh-CN" w:bidi="ar-SA"/>
        </w:rPr>
        <w:t>3.5</w:t>
      </w:r>
      <w:r>
        <w:rPr>
          <w:rFonts w:hint="default" w:ascii="Times New Roman" w:hAnsi="Times New Roman" w:eastAsia="宋体" w:cs="Times New Roman"/>
          <w:color w:val="auto"/>
          <w:sz w:val="24"/>
          <w:szCs w:val="24"/>
          <w:highlight w:val="none"/>
          <w:shd w:val="clear" w:color="auto" w:fill="auto"/>
        </w:rPr>
        <w:t>m</w:t>
      </w:r>
      <w:r>
        <w:rPr>
          <w:rFonts w:hint="default" w:ascii="Times New Roman" w:hAnsi="Times New Roman" w:eastAsia="宋体" w:cs="Times New Roman"/>
          <w:color w:val="auto"/>
          <w:sz w:val="24"/>
          <w:szCs w:val="24"/>
          <w:highlight w:val="none"/>
          <w:shd w:val="clear" w:color="auto" w:fill="auto"/>
          <w:vertAlign w:val="superscript"/>
        </w:rPr>
        <w:t>3</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r>
        <w:rPr>
          <w:rFonts w:hint="default" w:ascii="Times New Roman" w:hAnsi="Times New Roman" w:cs="Times New Roman"/>
          <w:color w:val="auto"/>
          <w:spacing w:val="0"/>
          <w:kern w:val="0"/>
          <w:sz w:val="24"/>
          <w:szCs w:val="24"/>
          <w:highlight w:val="none"/>
          <w:shd w:val="clear" w:color="auto" w:fill="auto"/>
          <w:lang w:val="en-US" w:eastAsia="zh-CN" w:bidi="ar"/>
        </w:rPr>
        <w:t>采出水中矿化度</w:t>
      </w:r>
      <w:r>
        <w:rPr>
          <w:rFonts w:hint="default" w:ascii="Times New Roman" w:hAnsi="Times New Roman" w:cs="Times New Roman"/>
          <w:color w:val="auto"/>
          <w:spacing w:val="0"/>
          <w:kern w:val="24"/>
          <w:sz w:val="24"/>
          <w:szCs w:val="24"/>
          <w:highlight w:val="none"/>
          <w:shd w:val="clear" w:color="auto" w:fill="auto"/>
          <w:lang w:val="en-US" w:eastAsia="zh-CN" w:bidi="ar-SA"/>
        </w:rPr>
        <w:t>为</w:t>
      </w:r>
      <w:r>
        <w:rPr>
          <w:rFonts w:hint="eastAsia" w:ascii="Times New Roman" w:hAnsi="Times New Roman"/>
          <w:color w:val="auto"/>
          <w:sz w:val="24"/>
          <w:highlight w:val="none"/>
          <w:shd w:val="clear" w:color="auto" w:fill="auto"/>
          <w:lang w:val="en-US" w:eastAsia="zh-CN"/>
        </w:rPr>
        <w:t>8306.0</w:t>
      </w:r>
      <w:r>
        <w:rPr>
          <w:rFonts w:hint="eastAsia" w:ascii="Times New Roman" w:hAnsi="Times New Roman"/>
          <w:color w:val="auto"/>
          <w:sz w:val="24"/>
          <w:highlight w:val="none"/>
          <w:shd w:val="clear" w:color="auto" w:fill="auto"/>
        </w:rPr>
        <w:t>mg/L</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，则估算进入土壤中的盐分含量为：</w:t>
      </w:r>
      <w:r>
        <w:rPr>
          <w:rFonts w:hint="eastAsia" w:ascii="Times New Roman" w:hAnsi="Times New Roman" w:eastAsia="宋体" w:cs="Times New Roman"/>
          <w:color w:val="auto"/>
          <w:spacing w:val="0"/>
          <w:kern w:val="24"/>
          <w:sz w:val="24"/>
          <w:szCs w:val="24"/>
          <w:highlight w:val="none"/>
          <w:shd w:val="clear" w:color="auto" w:fill="auto"/>
          <w:lang w:val="en-US" w:eastAsia="zh-CN" w:bidi="ar-SA"/>
        </w:rPr>
        <w:t>3.5</w:t>
      </w:r>
      <w:r>
        <w:rPr>
          <w:rFonts w:hint="default" w:ascii="Times New Roman" w:hAnsi="Times New Roman" w:cs="Times New Roman"/>
          <w:color w:val="auto"/>
          <w:spacing w:val="0"/>
          <w:sz w:val="24"/>
          <w:szCs w:val="24"/>
          <w:highlight w:val="none"/>
          <w:shd w:val="clear" w:color="auto" w:fill="auto"/>
        </w:rPr>
        <w:t>×</w:t>
      </w:r>
      <w:r>
        <w:rPr>
          <w:rFonts w:hint="eastAsia" w:ascii="Times New Roman" w:hAnsi="Times New Roman" w:eastAsia="宋体" w:cs="Times New Roman"/>
          <w:color w:val="auto"/>
          <w:spacing w:val="-1"/>
          <w:sz w:val="24"/>
          <w:szCs w:val="24"/>
          <w:highlight w:val="none"/>
          <w:shd w:val="clear" w:color="auto" w:fill="auto"/>
          <w:lang w:val="en-US" w:eastAsia="zh-CN"/>
        </w:rPr>
        <w:t>8306.0</w:t>
      </w:r>
      <w:r>
        <w:rPr>
          <w:rFonts w:hint="default" w:ascii="Times New Roman" w:hAnsi="Times New Roman" w:cs="Times New Roman"/>
          <w:color w:val="auto"/>
          <w:spacing w:val="0"/>
          <w:sz w:val="24"/>
          <w:szCs w:val="24"/>
          <w:highlight w:val="none"/>
          <w:shd w:val="clear" w:color="auto" w:fill="auto"/>
        </w:rPr>
        <w:t>=</w:t>
      </w:r>
      <w:r>
        <w:rPr>
          <w:rFonts w:hint="eastAsia" w:ascii="Times New Roman" w:hAnsi="Times New Roman" w:cs="Times New Roman"/>
          <w:color w:val="auto"/>
          <w:spacing w:val="0"/>
          <w:sz w:val="24"/>
          <w:szCs w:val="24"/>
          <w:highlight w:val="none"/>
          <w:shd w:val="clear" w:color="auto" w:fill="auto"/>
          <w:lang w:val="en-US" w:eastAsia="zh-CN"/>
        </w:rPr>
        <w:t>29072.8</w:t>
      </w:r>
      <w:r>
        <w:rPr>
          <w:rFonts w:hint="default" w:ascii="Times New Roman" w:hAnsi="Times New Roman" w:cs="Times New Roman"/>
          <w:color w:val="auto"/>
          <w:spacing w:val="0"/>
          <w:sz w:val="24"/>
          <w:szCs w:val="24"/>
          <w:highlight w:val="none"/>
          <w:shd w:val="clear" w:color="auto" w:fill="auto"/>
        </w:rPr>
        <w:t>g</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本次预测采用HJ964-2018附录E.1.3中预测方法，预测公式如下：</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cs="Times New Roman"/>
          <w:color w:val="auto"/>
          <w:spacing w:val="0"/>
          <w:kern w:val="24"/>
          <w:sz w:val="24"/>
          <w:szCs w:val="24"/>
          <w:highlight w:val="none"/>
          <w:shd w:val="clear" w:color="auto" w:fill="auto"/>
          <w:lang w:val="en-US" w:eastAsia="zh-CN" w:bidi="ar-SA"/>
        </w:rPr>
        <w:t>1）</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单位质量土壤中某种物质的增量</w:t>
      </w:r>
    </w:p>
    <w:p>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center"/>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drawing>
          <wp:inline distT="0" distB="0" distL="114300" distR="114300">
            <wp:extent cx="2809875" cy="304800"/>
            <wp:effectExtent l="0" t="0" r="9525"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28"/>
                    <a:stretch>
                      <a:fillRect/>
                    </a:stretch>
                  </pic:blipFill>
                  <pic:spPr>
                    <a:xfrm>
                      <a:off x="0" y="0"/>
                      <a:ext cx="2809875" cy="30480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式中：△S-单位质量表层土壤中某种物质的增量，g/kg；</w:t>
      </w:r>
    </w:p>
    <w:p>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Is-预测评价范围内单位年份表层土壤中某种物质的输入量，g；</w:t>
      </w:r>
    </w:p>
    <w:p>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Ls-预测评价范围内单位年份表层土壤中某种物质经淋溶排出的量，g；</w:t>
      </w:r>
    </w:p>
    <w:p>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2"/>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2"/>
          <w:highlight w:val="none"/>
          <w:shd w:val="clear" w:color="auto" w:fill="auto"/>
          <w:lang w:val="en-US" w:eastAsia="zh-CN" w:bidi="ar-SA"/>
        </w:rPr>
        <w:t>Rs-预测评价范围内单位年份表层土壤中某种物质经径流排出的量，g；</w:t>
      </w:r>
    </w:p>
    <w:p>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ρb</w:t>
      </w:r>
      <w:r>
        <w:rPr>
          <w:rFonts w:hint="eastAsia" w:cs="Times New Roman"/>
          <w:color w:val="auto"/>
          <w:spacing w:val="0"/>
          <w:kern w:val="24"/>
          <w:sz w:val="24"/>
          <w:szCs w:val="24"/>
          <w:highlight w:val="none"/>
          <w:shd w:val="clear" w:color="auto" w:fill="auto"/>
          <w:lang w:val="en-US" w:eastAsia="zh-CN" w:bidi="ar-SA"/>
        </w:rPr>
        <w:t>－</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表层土壤容重，kg/</w:t>
      </w:r>
      <w:r>
        <w:rPr>
          <w:rFonts w:hint="default" w:ascii="Times New Roman" w:hAnsi="Times New Roman" w:cs="Times New Roman"/>
          <w:color w:val="auto"/>
          <w:spacing w:val="0"/>
          <w:kern w:val="24"/>
          <w:sz w:val="24"/>
          <w:szCs w:val="24"/>
          <w:highlight w:val="none"/>
          <w:shd w:val="clear" w:color="auto" w:fill="auto"/>
          <w:lang w:val="en-US" w:eastAsia="zh-CN" w:bidi="ar-SA"/>
        </w:rPr>
        <w:t>m</w:t>
      </w:r>
      <w:r>
        <w:rPr>
          <w:rFonts w:hint="default" w:ascii="Times New Roman" w:hAnsi="Times New Roman" w:cs="Times New Roman"/>
          <w:color w:val="auto"/>
          <w:spacing w:val="0"/>
          <w:kern w:val="24"/>
          <w:sz w:val="24"/>
          <w:szCs w:val="24"/>
          <w:highlight w:val="none"/>
          <w:shd w:val="clear" w:color="auto" w:fill="auto"/>
          <w:vertAlign w:val="superscript"/>
          <w:lang w:val="en-US" w:eastAsia="zh-CN" w:bidi="ar-SA"/>
        </w:rPr>
        <w:t>3</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A</w:t>
      </w:r>
      <w:r>
        <w:rPr>
          <w:rFonts w:hint="eastAsia" w:cs="Times New Roman"/>
          <w:color w:val="auto"/>
          <w:spacing w:val="0"/>
          <w:kern w:val="24"/>
          <w:sz w:val="24"/>
          <w:szCs w:val="24"/>
          <w:highlight w:val="none"/>
          <w:shd w:val="clear" w:color="auto" w:fill="auto"/>
          <w:lang w:val="en-US" w:eastAsia="zh-CN" w:bidi="ar-SA"/>
        </w:rPr>
        <w:t>－</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预测评价范围，m</w:t>
      </w:r>
      <w:r>
        <w:rPr>
          <w:rFonts w:hint="default" w:ascii="Times New Roman" w:hAnsi="Times New Roman" w:eastAsia="宋体" w:cs="Times New Roman"/>
          <w:color w:val="auto"/>
          <w:spacing w:val="0"/>
          <w:kern w:val="24"/>
          <w:sz w:val="24"/>
          <w:szCs w:val="24"/>
          <w:highlight w:val="none"/>
          <w:shd w:val="clear" w:color="auto" w:fill="auto"/>
          <w:vertAlign w:val="superscript"/>
          <w:lang w:val="en-US" w:eastAsia="zh-CN" w:bidi="ar-SA"/>
        </w:rPr>
        <w:t>2</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p>
    <w:p>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D</w:t>
      </w:r>
      <w:r>
        <w:rPr>
          <w:rFonts w:hint="eastAsia" w:cs="Times New Roman"/>
          <w:color w:val="auto"/>
          <w:spacing w:val="0"/>
          <w:kern w:val="24"/>
          <w:sz w:val="24"/>
          <w:szCs w:val="24"/>
          <w:highlight w:val="none"/>
          <w:shd w:val="clear" w:color="auto" w:fill="auto"/>
          <w:lang w:val="en-US" w:eastAsia="zh-CN" w:bidi="ar-SA"/>
        </w:rPr>
        <w:t>－</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表层土壤深度，一般取0.2m，可根据实际情况适当调整；</w:t>
      </w:r>
    </w:p>
    <w:p>
      <w:pPr>
        <w:keepNext w:val="0"/>
        <w:keepLines w:val="0"/>
        <w:pageBreakBefore w:val="0"/>
        <w:widowControl w:val="0"/>
        <w:kinsoku/>
        <w:wordWrap/>
        <w:overflowPunct/>
        <w:topLinePunct w:val="0"/>
        <w:autoSpaceDE/>
        <w:autoSpaceDN/>
        <w:bidi w:val="0"/>
        <w:adjustRightInd/>
        <w:snapToGrid/>
        <w:spacing w:after="0" w:line="360" w:lineRule="auto"/>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n</w:t>
      </w:r>
      <w:r>
        <w:rPr>
          <w:rFonts w:hint="eastAsia" w:cs="Times New Roman"/>
          <w:color w:val="auto"/>
          <w:spacing w:val="0"/>
          <w:kern w:val="24"/>
          <w:sz w:val="24"/>
          <w:szCs w:val="24"/>
          <w:highlight w:val="none"/>
          <w:shd w:val="clear" w:color="auto" w:fill="auto"/>
          <w:lang w:val="en-US" w:eastAsia="zh-CN" w:bidi="ar-SA"/>
        </w:rPr>
        <w:t>－</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持续年份，a。</w:t>
      </w:r>
    </w:p>
    <w:p>
      <w:pPr>
        <w:keepNext w:val="0"/>
        <w:keepLines w:val="0"/>
        <w:pageBreakBefore w:val="0"/>
        <w:widowControl w:val="0"/>
        <w:kinsoku/>
        <w:wordWrap/>
        <w:overflowPunct/>
        <w:topLinePunct w:val="0"/>
        <w:autoSpaceDE/>
        <w:autoSpaceDN/>
        <w:bidi w:val="0"/>
        <w:adjustRightInd/>
        <w:snapToGrid/>
        <w:spacing w:after="0" w:line="360" w:lineRule="auto"/>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cs="Times New Roman"/>
          <w:color w:val="auto"/>
          <w:spacing w:val="0"/>
          <w:kern w:val="24"/>
          <w:sz w:val="24"/>
          <w:szCs w:val="24"/>
          <w:highlight w:val="none"/>
          <w:shd w:val="clear" w:color="auto" w:fill="auto"/>
          <w:lang w:val="en-US" w:eastAsia="zh-CN" w:bidi="ar-SA"/>
        </w:rPr>
        <w:t>2）</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单位质量土壤中某种物质的预测值</w:t>
      </w:r>
    </w:p>
    <w:p>
      <w:pPr>
        <w:keepNext w:val="0"/>
        <w:keepLines w:val="0"/>
        <w:pageBreakBefore w:val="0"/>
        <w:widowControl w:val="0"/>
        <w:kinsoku/>
        <w:wordWrap/>
        <w:overflowPunct/>
        <w:topLinePunct w:val="0"/>
        <w:autoSpaceDE/>
        <w:autoSpaceDN/>
        <w:bidi w:val="0"/>
        <w:adjustRightInd/>
        <w:snapToGrid/>
        <w:spacing w:after="0" w:line="360" w:lineRule="auto"/>
        <w:ind w:firstLine="0" w:firstLineChars="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S=Sb+△S</w:t>
      </w:r>
    </w:p>
    <w:p>
      <w:pPr>
        <w:keepNext w:val="0"/>
        <w:keepLines w:val="0"/>
        <w:pageBreakBefore w:val="0"/>
        <w:widowControl w:val="0"/>
        <w:kinsoku/>
        <w:wordWrap/>
        <w:overflowPunct/>
        <w:topLinePunct w:val="0"/>
        <w:autoSpaceDE/>
        <w:autoSpaceDN/>
        <w:bidi w:val="0"/>
        <w:adjustRightInd/>
        <w:snapToGrid/>
        <w:spacing w:after="0" w:line="480" w:lineRule="exact"/>
        <w:ind w:firstLine="960" w:firstLineChars="4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S-单位质量土壤中某种物质的预测值，g/kg；</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 xml:space="preserve">    Sb-单位质量土壤中某种物质的现状值，g/kg。</w:t>
      </w:r>
    </w:p>
    <w:p>
      <w:pPr>
        <w:keepNext w:val="0"/>
        <w:keepLines w:val="0"/>
        <w:pageBreakBefore w:val="0"/>
        <w:widowControl w:val="0"/>
        <w:kinsoku/>
        <w:wordWrap/>
        <w:overflowPunct/>
        <w:topLinePunct w:val="0"/>
        <w:autoSpaceDE/>
        <w:autoSpaceDN/>
        <w:bidi w:val="0"/>
        <w:adjustRightInd/>
        <w:snapToGrid/>
        <w:spacing w:after="0" w:line="480" w:lineRule="exact"/>
        <w:ind w:firstLine="480" w:firstLineChars="200"/>
        <w:jc w:val="left"/>
        <w:textAlignment w:val="auto"/>
        <w:rPr>
          <w:rFonts w:hint="default" w:ascii="Times New Roman" w:hAnsi="Times New Roman" w:eastAsia="宋体" w:cs="Times New Roman"/>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项目所处区域气候干燥，年降雨量较小，项目考虑最不利情况，Ls和Rs取值均为0，预测评价范围为以泄漏点为中心20m×20m范围，表层土壤容重根据区域土壤理化特性调查取值为1.</w:t>
      </w:r>
      <w:r>
        <w:rPr>
          <w:rFonts w:hint="eastAsia" w:cs="Times New Roman"/>
          <w:color w:val="auto"/>
          <w:spacing w:val="0"/>
          <w:kern w:val="24"/>
          <w:sz w:val="24"/>
          <w:szCs w:val="24"/>
          <w:highlight w:val="none"/>
          <w:shd w:val="clear" w:color="auto" w:fill="auto"/>
          <w:lang w:val="en-US" w:eastAsia="zh-CN" w:bidi="ar-SA"/>
        </w:rPr>
        <w:t>39</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×10</w:t>
      </w:r>
      <w:r>
        <w:rPr>
          <w:rFonts w:hint="default" w:ascii="Times New Roman" w:hAnsi="Times New Roman" w:eastAsia="宋体" w:cs="Times New Roman"/>
          <w:color w:val="auto"/>
          <w:spacing w:val="0"/>
          <w:kern w:val="24"/>
          <w:sz w:val="24"/>
          <w:szCs w:val="24"/>
          <w:highlight w:val="none"/>
          <w:shd w:val="clear" w:color="auto" w:fill="auto"/>
          <w:vertAlign w:val="superscript"/>
          <w:lang w:val="en-US" w:eastAsia="zh-CN" w:bidi="ar-SA"/>
        </w:rPr>
        <w:t>3</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kg/</w:t>
      </w:r>
      <w:r>
        <w:rPr>
          <w:rFonts w:hint="default" w:ascii="Times New Roman" w:hAnsi="Times New Roman" w:cs="Times New Roman"/>
          <w:color w:val="auto"/>
          <w:spacing w:val="0"/>
          <w:kern w:val="24"/>
          <w:sz w:val="24"/>
          <w:szCs w:val="24"/>
          <w:highlight w:val="none"/>
          <w:shd w:val="clear" w:color="auto" w:fill="auto"/>
          <w:lang w:val="en-US" w:eastAsia="zh-CN" w:bidi="ar-SA"/>
        </w:rPr>
        <w:t>m</w:t>
      </w:r>
      <w:r>
        <w:rPr>
          <w:rFonts w:hint="default" w:ascii="Times New Roman" w:hAnsi="Times New Roman" w:cs="Times New Roman"/>
          <w:color w:val="auto"/>
          <w:spacing w:val="0"/>
          <w:kern w:val="24"/>
          <w:sz w:val="24"/>
          <w:szCs w:val="24"/>
          <w:highlight w:val="none"/>
          <w:shd w:val="clear" w:color="auto" w:fill="auto"/>
          <w:vertAlign w:val="superscript"/>
          <w:lang w:val="en-US" w:eastAsia="zh-CN" w:bidi="ar-SA"/>
        </w:rPr>
        <w:t>3</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，根据区域土壤盐分监测结果，单位质量土壤中盐分含量的现状值为</w:t>
      </w:r>
      <w:r>
        <w:rPr>
          <w:rFonts w:hint="eastAsia" w:ascii="Times New Roman" w:hAnsi="Times New Roman" w:eastAsia="宋体" w:cs="Times New Roman"/>
          <w:color w:val="auto"/>
          <w:kern w:val="10"/>
          <w:sz w:val="24"/>
          <w:szCs w:val="24"/>
          <w:highlight w:val="none"/>
          <w:shd w:val="clear" w:color="auto" w:fill="auto"/>
          <w:lang w:val="en-US" w:eastAsia="zh-CN"/>
        </w:rPr>
        <w:t>0.3g/kg~31.4g/kg</w:t>
      </w:r>
      <w:r>
        <w:rPr>
          <w:rFonts w:hint="default" w:ascii="Times New Roman" w:hAnsi="Times New Roman" w:eastAsia="宋体" w:cs="Times New Roman"/>
          <w:color w:val="auto"/>
          <w:spacing w:val="0"/>
          <w:kern w:val="24"/>
          <w:sz w:val="24"/>
          <w:szCs w:val="24"/>
          <w:highlight w:val="none"/>
          <w:shd w:val="clear" w:color="auto" w:fill="auto"/>
          <w:lang w:val="en-US" w:eastAsia="zh-CN" w:bidi="ar-SA"/>
        </w:rPr>
        <w:t>。</w:t>
      </w:r>
      <w:r>
        <w:rPr>
          <w:rFonts w:hint="default" w:ascii="Times New Roman" w:hAnsi="Times New Roman" w:cs="Times New Roman"/>
          <w:color w:val="auto"/>
          <w:sz w:val="24"/>
          <w:szCs w:val="24"/>
          <w:highlight w:val="none"/>
          <w:shd w:val="clear" w:color="auto" w:fill="auto"/>
        </w:rPr>
        <w:t>预测年份为0.027a</w:t>
      </w:r>
      <w:r>
        <w:rPr>
          <w:rFonts w:hint="eastAsia"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10天</w:t>
      </w:r>
      <w:r>
        <w:rPr>
          <w:rFonts w:hint="eastAsia"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after="0" w:line="480" w:lineRule="exact"/>
        <w:ind w:firstLine="482" w:firstLineChars="200"/>
        <w:jc w:val="left"/>
        <w:textAlignment w:val="auto"/>
        <w:rPr>
          <w:rFonts w:hint="default" w:ascii="Times New Roman" w:hAnsi="Times New Roman" w:eastAsia="宋体" w:cs="Times New Roman"/>
          <w:b/>
          <w:bCs/>
          <w:color w:val="auto"/>
          <w:spacing w:val="0"/>
          <w:kern w:val="24"/>
          <w:sz w:val="24"/>
          <w:szCs w:val="24"/>
          <w:highlight w:val="none"/>
          <w:shd w:val="clear" w:color="auto" w:fill="auto"/>
          <w:lang w:val="en-US" w:eastAsia="zh-CN" w:bidi="ar-SA"/>
        </w:rPr>
      </w:pPr>
      <w:r>
        <w:rPr>
          <w:rFonts w:hint="default" w:ascii="Times New Roman" w:hAnsi="Times New Roman" w:eastAsia="宋体" w:cs="Times New Roman"/>
          <w:b/>
          <w:bCs/>
          <w:color w:val="auto"/>
          <w:spacing w:val="0"/>
          <w:kern w:val="24"/>
          <w:sz w:val="24"/>
          <w:szCs w:val="24"/>
          <w:highlight w:val="none"/>
          <w:shd w:val="clear" w:color="auto" w:fill="auto"/>
          <w:lang w:val="en-US" w:eastAsia="zh-CN" w:bidi="ar-SA"/>
        </w:rPr>
        <w:t>根据上述计算结果，</w:t>
      </w:r>
      <w:r>
        <w:rPr>
          <w:rFonts w:hint="default" w:ascii="Times New Roman" w:hAnsi="Times New Roman" w:cs="Times New Roman"/>
          <w:b/>
          <w:bCs/>
          <w:color w:val="auto"/>
          <w:spacing w:val="0"/>
          <w:kern w:val="24"/>
          <w:sz w:val="24"/>
          <w:szCs w:val="24"/>
          <w:highlight w:val="none"/>
          <w:shd w:val="clear" w:color="auto" w:fill="auto"/>
          <w:lang w:val="en-US" w:eastAsia="zh-CN" w:bidi="ar-SA"/>
        </w:rPr>
        <w:t>在10天内，单位质量土壤中盐分含量的增量为0.</w:t>
      </w:r>
      <w:r>
        <w:rPr>
          <w:rFonts w:hint="eastAsia" w:ascii="Times New Roman" w:hAnsi="Times New Roman" w:cs="Times New Roman"/>
          <w:b/>
          <w:bCs/>
          <w:color w:val="auto"/>
          <w:spacing w:val="0"/>
          <w:kern w:val="24"/>
          <w:sz w:val="24"/>
          <w:szCs w:val="24"/>
          <w:highlight w:val="none"/>
          <w:shd w:val="clear" w:color="auto" w:fill="auto"/>
          <w:lang w:val="en-US" w:eastAsia="zh-CN" w:bidi="ar-SA"/>
        </w:rPr>
        <w:t>0</w:t>
      </w:r>
      <w:r>
        <w:rPr>
          <w:rFonts w:hint="eastAsia" w:cs="Times New Roman"/>
          <w:b/>
          <w:bCs/>
          <w:color w:val="auto"/>
          <w:spacing w:val="0"/>
          <w:kern w:val="24"/>
          <w:sz w:val="24"/>
          <w:szCs w:val="24"/>
          <w:highlight w:val="none"/>
          <w:shd w:val="clear" w:color="auto" w:fill="auto"/>
          <w:lang w:val="en-US" w:eastAsia="zh-CN" w:bidi="ar-SA"/>
        </w:rPr>
        <w:t>006</w:t>
      </w:r>
      <w:r>
        <w:rPr>
          <w:rFonts w:hint="default" w:ascii="Times New Roman" w:hAnsi="Times New Roman" w:cs="Times New Roman"/>
          <w:b/>
          <w:bCs/>
          <w:color w:val="auto"/>
          <w:spacing w:val="0"/>
          <w:kern w:val="24"/>
          <w:sz w:val="24"/>
          <w:szCs w:val="24"/>
          <w:highlight w:val="none"/>
          <w:shd w:val="clear" w:color="auto" w:fill="auto"/>
          <w:lang w:val="en-US" w:eastAsia="zh-CN" w:bidi="ar-SA"/>
        </w:rPr>
        <w:t>g/kg</w:t>
      </w:r>
      <w:r>
        <w:rPr>
          <w:rFonts w:hint="default" w:ascii="Times New Roman" w:hAnsi="Times New Roman" w:eastAsia="宋体" w:cs="Times New Roman"/>
          <w:b/>
          <w:bCs/>
          <w:color w:val="auto"/>
          <w:spacing w:val="0"/>
          <w:kern w:val="24"/>
          <w:sz w:val="24"/>
          <w:szCs w:val="24"/>
          <w:highlight w:val="none"/>
          <w:shd w:val="clear" w:color="auto" w:fill="auto"/>
          <w:lang w:val="en-US" w:eastAsia="zh-CN" w:bidi="ar-SA"/>
        </w:rPr>
        <w:t>，叠加现状值后的预测值为</w:t>
      </w:r>
      <w:r>
        <w:rPr>
          <w:rFonts w:hint="eastAsia" w:cs="Times New Roman"/>
          <w:b/>
          <w:bCs/>
          <w:color w:val="auto"/>
          <w:spacing w:val="0"/>
          <w:kern w:val="24"/>
          <w:sz w:val="24"/>
          <w:szCs w:val="24"/>
          <w:highlight w:val="none"/>
          <w:shd w:val="clear" w:color="auto" w:fill="auto"/>
          <w:lang w:val="en-US" w:eastAsia="zh-CN" w:bidi="ar-SA"/>
        </w:rPr>
        <w:t>0.3006</w:t>
      </w:r>
      <w:r>
        <w:rPr>
          <w:rFonts w:hint="eastAsia" w:ascii="Times New Roman" w:hAnsi="Times New Roman" w:cs="Times New Roman"/>
          <w:b/>
          <w:bCs/>
          <w:color w:val="auto"/>
          <w:spacing w:val="0"/>
          <w:kern w:val="24"/>
          <w:sz w:val="24"/>
          <w:szCs w:val="24"/>
          <w:highlight w:val="none"/>
          <w:shd w:val="clear" w:color="auto" w:fill="auto"/>
          <w:lang w:val="en-US" w:eastAsia="zh-CN" w:bidi="ar-SA"/>
        </w:rPr>
        <w:t>～</w:t>
      </w:r>
      <w:r>
        <w:rPr>
          <w:rFonts w:hint="eastAsia" w:cs="Times New Roman"/>
          <w:b/>
          <w:bCs/>
          <w:color w:val="auto"/>
          <w:spacing w:val="0"/>
          <w:kern w:val="24"/>
          <w:sz w:val="24"/>
          <w:szCs w:val="24"/>
          <w:highlight w:val="none"/>
          <w:shd w:val="clear" w:color="auto" w:fill="auto"/>
          <w:lang w:val="en-US" w:eastAsia="zh-CN" w:bidi="ar-SA"/>
        </w:rPr>
        <w:t>31.4006</w:t>
      </w:r>
      <w:r>
        <w:rPr>
          <w:rFonts w:hint="default" w:ascii="Times New Roman" w:hAnsi="Times New Roman" w:eastAsia="宋体" w:cs="Times New Roman"/>
          <w:b/>
          <w:bCs/>
          <w:color w:val="auto"/>
          <w:spacing w:val="0"/>
          <w:kern w:val="24"/>
          <w:sz w:val="24"/>
          <w:szCs w:val="24"/>
          <w:highlight w:val="none"/>
          <w:shd w:val="clear" w:color="auto" w:fill="auto"/>
          <w:lang w:val="en-US" w:eastAsia="zh-CN" w:bidi="ar-SA"/>
        </w:rPr>
        <w:t>g/kg。</w:t>
      </w:r>
    </w:p>
    <w:p>
      <w:pPr>
        <w:pStyle w:val="57"/>
        <w:keepNext w:val="0"/>
        <w:keepLines w:val="0"/>
        <w:pageBreakBefore w:val="0"/>
        <w:kinsoku/>
        <w:wordWrap/>
        <w:overflowPunct/>
        <w:topLinePunct w:val="0"/>
        <w:autoSpaceDE/>
        <w:autoSpaceDN/>
        <w:bidi w:val="0"/>
        <w:adjustRightInd/>
        <w:snapToGrid/>
        <w:spacing w:line="480" w:lineRule="exact"/>
        <w:textAlignment w:val="auto"/>
        <w:rPr>
          <w:color w:val="auto"/>
          <w:spacing w:val="5"/>
          <w:sz w:val="24"/>
          <w:szCs w:val="24"/>
          <w:highlight w:val="none"/>
        </w:rPr>
      </w:pPr>
      <w:r>
        <w:rPr>
          <w:rFonts w:hint="eastAsia"/>
          <w:color w:val="auto"/>
          <w:sz w:val="24"/>
          <w:szCs w:val="24"/>
          <w:highlight w:val="none"/>
        </w:rPr>
        <w:t>从预测结果可知，发生泄漏后，导致泄漏点周边区域土壤中盐分含量有所升高，但在发生泄漏后，油田公司会按照要求将泄漏点周围区域土壤进行清理，且随着雨水淋溶，区域土壤中增加的盐分含量将逐渐降低直至恢复至平均水平。</w:t>
      </w:r>
    </w:p>
    <w:p>
      <w:pPr>
        <w:pStyle w:val="57"/>
        <w:keepNext w:val="0"/>
        <w:keepLines w:val="0"/>
        <w:pageBreakBefore w:val="0"/>
        <w:kinsoku/>
        <w:wordWrap/>
        <w:overflowPunct/>
        <w:topLinePunct w:val="0"/>
        <w:autoSpaceDE/>
        <w:autoSpaceDN/>
        <w:bidi w:val="0"/>
        <w:adjustRightInd/>
        <w:snapToGrid/>
        <w:spacing w:line="480" w:lineRule="exact"/>
        <w:ind w:firstLine="496"/>
        <w:textAlignment w:val="auto"/>
        <w:rPr>
          <w:color w:val="auto"/>
          <w:spacing w:val="4"/>
          <w:kern w:val="24"/>
          <w:highlight w:val="none"/>
        </w:rPr>
      </w:pPr>
      <w:r>
        <w:rPr>
          <w:rFonts w:hint="eastAsia"/>
          <w:color w:val="auto"/>
          <w:spacing w:val="4"/>
          <w:kern w:val="24"/>
          <w:highlight w:val="none"/>
        </w:rPr>
        <w:t>（2）污染影响型</w:t>
      </w:r>
    </w:p>
    <w:p>
      <w:pPr>
        <w:pStyle w:val="57"/>
        <w:keepNext w:val="0"/>
        <w:keepLines w:val="0"/>
        <w:pageBreakBefore w:val="0"/>
        <w:kinsoku/>
        <w:wordWrap/>
        <w:overflowPunct/>
        <w:topLinePunct w:val="0"/>
        <w:autoSpaceDE/>
        <w:autoSpaceDN/>
        <w:bidi w:val="0"/>
        <w:adjustRightInd/>
        <w:snapToGrid/>
        <w:spacing w:line="480" w:lineRule="exact"/>
        <w:ind w:firstLine="496"/>
        <w:textAlignment w:val="auto"/>
        <w:rPr>
          <w:color w:val="auto"/>
          <w:spacing w:val="4"/>
          <w:kern w:val="24"/>
          <w:highlight w:val="none"/>
        </w:rPr>
      </w:pPr>
      <w:r>
        <w:rPr>
          <w:rFonts w:hint="eastAsia"/>
          <w:color w:val="auto"/>
          <w:spacing w:val="4"/>
          <w:kern w:val="24"/>
          <w:highlight w:val="none"/>
        </w:rPr>
        <w:t>本工程实施后，由于严格按照要求采取防渗措施，在正常工况下不会发生油品渗漏进入土壤。因此，垂直入渗造成土壤污染主要为非正常泄漏工况，根据企业的实际情况分析，如果是</w:t>
      </w:r>
      <w:bookmarkStart w:id="654" w:name="OLE_LINK81"/>
      <w:r>
        <w:rPr>
          <w:rFonts w:hint="eastAsia"/>
          <w:color w:val="auto"/>
          <w:spacing w:val="4"/>
          <w:kern w:val="24"/>
          <w:highlight w:val="none"/>
          <w:lang w:val="en-US" w:eastAsia="zh-CN"/>
        </w:rPr>
        <w:t>集输管线、拉油罐</w:t>
      </w:r>
      <w:bookmarkEnd w:id="654"/>
      <w:r>
        <w:rPr>
          <w:rFonts w:hint="eastAsia"/>
          <w:color w:val="auto"/>
          <w:spacing w:val="4"/>
          <w:kern w:val="24"/>
          <w:highlight w:val="none"/>
        </w:rPr>
        <w:t>出现破损泄漏，建设单位将及时采取措施，不可能任由采出水漫流渗漏，任其渗入土壤。</w:t>
      </w:r>
    </w:p>
    <w:p>
      <w:pPr>
        <w:pStyle w:val="57"/>
        <w:keepNext w:val="0"/>
        <w:keepLines w:val="0"/>
        <w:pageBreakBefore w:val="0"/>
        <w:kinsoku/>
        <w:wordWrap/>
        <w:overflowPunct/>
        <w:topLinePunct w:val="0"/>
        <w:autoSpaceDE/>
        <w:autoSpaceDN/>
        <w:bidi w:val="0"/>
        <w:adjustRightInd/>
        <w:snapToGrid/>
        <w:spacing w:line="480" w:lineRule="exact"/>
        <w:ind w:firstLine="496"/>
        <w:textAlignment w:val="auto"/>
        <w:rPr>
          <w:color w:val="auto"/>
          <w:spacing w:val="4"/>
          <w:kern w:val="24"/>
          <w:highlight w:val="none"/>
        </w:rPr>
      </w:pPr>
      <w:r>
        <w:rPr>
          <w:rFonts w:hint="eastAsia"/>
          <w:color w:val="auto"/>
          <w:spacing w:val="4"/>
          <w:kern w:val="24"/>
          <w:highlight w:val="none"/>
        </w:rPr>
        <w:t>综合考虑拟建工程物料特性及土壤特征，本次评价为事故状况下，集输管线、拉油罐出现破损采出水中的石油烃</w:t>
      </w:r>
      <w:r>
        <w:rPr>
          <w:rFonts w:hint="eastAsia"/>
          <w:color w:val="auto"/>
          <w:spacing w:val="4"/>
          <w:kern w:val="24"/>
          <w:highlight w:val="none"/>
          <w:lang w:eastAsia="zh-CN"/>
        </w:rPr>
        <w:t>泄漏</w:t>
      </w:r>
      <w:r>
        <w:rPr>
          <w:rFonts w:hint="eastAsia"/>
          <w:color w:val="auto"/>
          <w:spacing w:val="4"/>
          <w:kern w:val="24"/>
          <w:highlight w:val="none"/>
        </w:rPr>
        <w:t>对土壤垂直下渗的污染。</w:t>
      </w:r>
    </w:p>
    <w:p>
      <w:pPr>
        <w:pStyle w:val="57"/>
        <w:keepNext w:val="0"/>
        <w:keepLines w:val="0"/>
        <w:pageBreakBefore w:val="0"/>
        <w:kinsoku/>
        <w:wordWrap/>
        <w:overflowPunct/>
        <w:topLinePunct w:val="0"/>
        <w:autoSpaceDE/>
        <w:autoSpaceDN/>
        <w:bidi w:val="0"/>
        <w:adjustRightInd/>
        <w:snapToGrid/>
        <w:spacing w:line="480" w:lineRule="exact"/>
        <w:ind w:firstLine="496"/>
        <w:rPr>
          <w:color w:val="auto"/>
          <w:spacing w:val="4"/>
          <w:kern w:val="24"/>
          <w:highlight w:val="none"/>
        </w:rPr>
      </w:pPr>
      <w:r>
        <w:rPr>
          <w:rFonts w:hint="eastAsia"/>
          <w:color w:val="auto"/>
          <w:spacing w:val="4"/>
          <w:kern w:val="24"/>
          <w:highlight w:val="none"/>
        </w:rPr>
        <w:t>根据相关资料可知，为了说明油类物质污染土壤的可能性与程度，类比同类项目在站场边缘选择存在地表积油的位置进行的土壤剖面的采样监测，其结果详见表5.4-1。</w:t>
      </w:r>
    </w:p>
    <w:p>
      <w:pPr>
        <w:pStyle w:val="54"/>
        <w:keepNext w:val="0"/>
        <w:keepLines w:val="0"/>
        <w:pageBreakBefore w:val="0"/>
        <w:kinsoku/>
        <w:wordWrap/>
        <w:overflowPunct/>
        <w:topLinePunct w:val="0"/>
        <w:autoSpaceDE/>
        <w:autoSpaceDN/>
        <w:bidi w:val="0"/>
        <w:adjustRightInd/>
        <w:snapToGrid/>
        <w:spacing w:line="480" w:lineRule="exact"/>
        <w:ind w:firstLine="482"/>
        <w:rPr>
          <w:color w:val="auto"/>
          <w:highlight w:val="none"/>
        </w:rPr>
      </w:pPr>
      <w:r>
        <w:rPr>
          <w:rFonts w:hint="eastAsia"/>
          <w:color w:val="auto"/>
          <w:highlight w:val="none"/>
        </w:rPr>
        <w:t>表5.4-1        油类物质在土层中的纵向分布情况</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471"/>
        <w:gridCol w:w="3562"/>
        <w:gridCol w:w="364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序号</w:t>
            </w:r>
          </w:p>
        </w:tc>
        <w:tc>
          <w:tcPr>
            <w:tcW w:w="3763"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采样深度（cm）</w:t>
            </w:r>
          </w:p>
        </w:tc>
        <w:tc>
          <w:tcPr>
            <w:tcW w:w="3846"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石油类含量mg/kg</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1</w:t>
            </w:r>
          </w:p>
        </w:tc>
        <w:tc>
          <w:tcPr>
            <w:tcW w:w="3763"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0</w:t>
            </w:r>
            <w:r>
              <w:rPr>
                <w:rFonts w:hint="eastAsia"/>
                <w:color w:val="auto"/>
                <w:highlight w:val="none"/>
                <w:lang w:eastAsia="zh-CN"/>
              </w:rPr>
              <w:t>~</w:t>
            </w:r>
            <w:r>
              <w:rPr>
                <w:rFonts w:hint="eastAsia"/>
                <w:color w:val="auto"/>
                <w:highlight w:val="none"/>
              </w:rPr>
              <w:t>20</w:t>
            </w:r>
          </w:p>
        </w:tc>
        <w:tc>
          <w:tcPr>
            <w:tcW w:w="3846"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5630.140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2</w:t>
            </w:r>
          </w:p>
        </w:tc>
        <w:tc>
          <w:tcPr>
            <w:tcW w:w="3763"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20</w:t>
            </w:r>
            <w:r>
              <w:rPr>
                <w:rFonts w:hint="eastAsia"/>
                <w:color w:val="auto"/>
                <w:highlight w:val="none"/>
                <w:lang w:eastAsia="zh-CN"/>
              </w:rPr>
              <w:t>~</w:t>
            </w:r>
            <w:r>
              <w:rPr>
                <w:rFonts w:hint="eastAsia"/>
                <w:color w:val="auto"/>
                <w:highlight w:val="none"/>
              </w:rPr>
              <w:t>40</w:t>
            </w:r>
          </w:p>
        </w:tc>
        <w:tc>
          <w:tcPr>
            <w:tcW w:w="3846"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253.016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3</w:t>
            </w:r>
          </w:p>
        </w:tc>
        <w:tc>
          <w:tcPr>
            <w:tcW w:w="3763"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40</w:t>
            </w:r>
            <w:r>
              <w:rPr>
                <w:rFonts w:hint="eastAsia"/>
                <w:color w:val="auto"/>
                <w:highlight w:val="none"/>
                <w:lang w:eastAsia="zh-CN"/>
              </w:rPr>
              <w:t>~</w:t>
            </w:r>
            <w:r>
              <w:rPr>
                <w:rFonts w:hint="eastAsia"/>
                <w:color w:val="auto"/>
                <w:highlight w:val="none"/>
              </w:rPr>
              <w:t>60</w:t>
            </w:r>
          </w:p>
        </w:tc>
        <w:tc>
          <w:tcPr>
            <w:tcW w:w="3846"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68.451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4</w:t>
            </w:r>
          </w:p>
        </w:tc>
        <w:tc>
          <w:tcPr>
            <w:tcW w:w="3763"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60</w:t>
            </w:r>
            <w:r>
              <w:rPr>
                <w:rFonts w:hint="eastAsia"/>
                <w:color w:val="auto"/>
                <w:highlight w:val="none"/>
                <w:lang w:eastAsia="zh-CN"/>
              </w:rPr>
              <w:t>~</w:t>
            </w:r>
            <w:r>
              <w:rPr>
                <w:rFonts w:hint="eastAsia"/>
                <w:color w:val="auto"/>
                <w:highlight w:val="none"/>
              </w:rPr>
              <w:t>80</w:t>
            </w:r>
          </w:p>
        </w:tc>
        <w:tc>
          <w:tcPr>
            <w:tcW w:w="3846"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57.220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40" w:hRule="atLeast"/>
          <w:jc w:val="center"/>
        </w:trPr>
        <w:tc>
          <w:tcPr>
            <w:tcW w:w="1551"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5</w:t>
            </w:r>
          </w:p>
        </w:tc>
        <w:tc>
          <w:tcPr>
            <w:tcW w:w="3763"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80</w:t>
            </w:r>
            <w:r>
              <w:rPr>
                <w:rFonts w:hint="eastAsia"/>
                <w:color w:val="auto"/>
                <w:highlight w:val="none"/>
                <w:lang w:eastAsia="zh-CN"/>
              </w:rPr>
              <w:t>~</w:t>
            </w:r>
            <w:r>
              <w:rPr>
                <w:rFonts w:hint="eastAsia"/>
                <w:color w:val="auto"/>
                <w:highlight w:val="none"/>
              </w:rPr>
              <w:t>100</w:t>
            </w:r>
          </w:p>
        </w:tc>
        <w:tc>
          <w:tcPr>
            <w:tcW w:w="3846" w:type="dxa"/>
            <w:tcBorders>
              <w:tl2br w:val="nil"/>
              <w:tr2bl w:val="nil"/>
            </w:tcBorders>
            <w:tcMar>
              <w:left w:w="28" w:type="dxa"/>
              <w:right w:w="28" w:type="dxa"/>
            </w:tcMar>
            <w:vAlign w:val="center"/>
          </w:tcPr>
          <w:p>
            <w:pPr>
              <w:pStyle w:val="41"/>
              <w:bidi w:val="0"/>
              <w:rPr>
                <w:color w:val="auto"/>
                <w:highlight w:val="none"/>
              </w:rPr>
            </w:pPr>
            <w:r>
              <w:rPr>
                <w:rFonts w:hint="eastAsia"/>
                <w:color w:val="auto"/>
                <w:highlight w:val="none"/>
              </w:rPr>
              <w:t>48.614</w:t>
            </w:r>
          </w:p>
        </w:tc>
      </w:tr>
    </w:tbl>
    <w:p>
      <w:pPr>
        <w:jc w:val="both"/>
        <w:rPr>
          <w:rFonts w:ascii="楷体_GB2312" w:hAnsi="仿宋" w:eastAsia="楷体_GB2312" w:cs="仿宋"/>
          <w:color w:val="auto"/>
          <w:highlight w:val="none"/>
        </w:rPr>
      </w:pPr>
      <w:r>
        <w:rPr>
          <w:rFonts w:hint="eastAsia" w:ascii="楷体_GB2312" w:hAnsi="仿宋" w:eastAsia="楷体_GB2312" w:cs="仿宋"/>
          <w:color w:val="auto"/>
          <w:highlight w:val="none"/>
        </w:rPr>
        <w:t>注：《土壤环境质量 建设用地土壤污染风险管控标准（试行）》（GB36600-2018）中第二类用地土壤污染风险筛选值石油烃标准为4500mg/kg。</w:t>
      </w:r>
    </w:p>
    <w:p>
      <w:pPr>
        <w:pStyle w:val="57"/>
        <w:ind w:firstLine="496"/>
        <w:rPr>
          <w:color w:val="auto"/>
          <w:spacing w:val="4"/>
          <w:kern w:val="24"/>
          <w:highlight w:val="none"/>
        </w:rPr>
      </w:pPr>
      <w:r>
        <w:rPr>
          <w:rFonts w:hint="eastAsia"/>
          <w:color w:val="auto"/>
          <w:spacing w:val="4"/>
          <w:kern w:val="24"/>
          <w:highlight w:val="none"/>
        </w:rPr>
        <w:t>表5.4-1中的监测结果表明，非正常状况下石油类污染物主要积聚在土壤表层40cm以内，其污染也主要限于地表，一般很难渗入到2m以下，且站场已建设RTU采集系统，发生泄漏会在短时间内发现，泄漏油类物质能够及时地清理，将含油污泥污染土壤集中收集，送有危险废物处置资质单位处理。因此，本项目实施后对周边土壤环境影响可接受。</w:t>
      </w:r>
    </w:p>
    <w:p>
      <w:pPr>
        <w:pStyle w:val="57"/>
        <w:pageBreakBefore w:val="0"/>
        <w:kinsoku/>
        <w:wordWrap/>
        <w:overflowPunct/>
        <w:topLinePunct w:val="0"/>
        <w:autoSpaceDE/>
        <w:autoSpaceDN/>
        <w:bidi w:val="0"/>
        <w:spacing w:line="480" w:lineRule="exact"/>
        <w:ind w:firstLine="496"/>
        <w:rPr>
          <w:color w:val="auto"/>
          <w:spacing w:val="4"/>
          <w:kern w:val="24"/>
          <w:highlight w:val="none"/>
        </w:rPr>
      </w:pPr>
      <w:r>
        <w:rPr>
          <w:rFonts w:hint="eastAsia"/>
          <w:color w:val="auto"/>
          <w:spacing w:val="4"/>
          <w:kern w:val="24"/>
          <w:highlight w:val="none"/>
        </w:rPr>
        <w:t>运营期须定期检查管道</w:t>
      </w:r>
      <w:r>
        <w:rPr>
          <w:rFonts w:hint="eastAsia"/>
          <w:color w:val="auto"/>
          <w:spacing w:val="4"/>
          <w:kern w:val="24"/>
          <w:highlight w:val="none"/>
          <w:lang w:eastAsia="zh-CN"/>
        </w:rPr>
        <w:t>、</w:t>
      </w:r>
      <w:r>
        <w:rPr>
          <w:rFonts w:hint="eastAsia"/>
          <w:color w:val="auto"/>
          <w:spacing w:val="4"/>
          <w:kern w:val="24"/>
          <w:highlight w:val="none"/>
          <w:lang w:val="en-US" w:eastAsia="zh-CN"/>
        </w:rPr>
        <w:t>储罐</w:t>
      </w:r>
      <w:r>
        <w:rPr>
          <w:rFonts w:hint="eastAsia"/>
          <w:color w:val="auto"/>
          <w:spacing w:val="4"/>
          <w:kern w:val="24"/>
          <w:highlight w:val="none"/>
        </w:rPr>
        <w:t>的破损或破裂情况，若发现有破损或破裂部位须及时进行修补。故在运营期间，需加强管理和监督检查，杜绝非正常情况的发生，避免污染物进入土壤及地下水含水层中。在工程做好防渗、定期监测、严格执行本次环评提出的污染防治措施的前提下本工程对土壤环境影响可接受。</w:t>
      </w:r>
    </w:p>
    <w:p>
      <w:pPr>
        <w:pStyle w:val="53"/>
        <w:pageBreakBefore w:val="0"/>
        <w:kinsoku/>
        <w:wordWrap/>
        <w:overflowPunct/>
        <w:topLinePunct w:val="0"/>
        <w:autoSpaceDE/>
        <w:autoSpaceDN/>
        <w:bidi w:val="0"/>
        <w:spacing w:line="480" w:lineRule="exact"/>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"_Toc12693" </w:instrText>
      </w:r>
      <w:r>
        <w:rPr>
          <w:color w:val="auto"/>
          <w:highlight w:val="none"/>
        </w:rPr>
        <w:fldChar w:fldCharType="separate"/>
      </w:r>
      <w:r>
        <w:rPr>
          <w:rFonts w:hint="eastAsia" w:ascii="Times New Roman" w:hAnsi="Times New Roman" w:eastAsia="宋体"/>
          <w:color w:val="auto"/>
          <w:highlight w:val="none"/>
        </w:rPr>
        <w:t>5.4.</w:t>
      </w:r>
      <w:r>
        <w:rPr>
          <w:rFonts w:ascii="Times New Roman" w:hAnsi="Times New Roman" w:eastAsia="宋体"/>
          <w:color w:val="auto"/>
          <w:highlight w:val="none"/>
        </w:rPr>
        <w:t>3退役期</w:t>
      </w:r>
      <w:r>
        <w:rPr>
          <w:rFonts w:hint="eastAsia" w:ascii="Times New Roman" w:hAnsi="Times New Roman" w:eastAsia="宋体"/>
          <w:color w:val="auto"/>
          <w:highlight w:val="none"/>
        </w:rPr>
        <w:t>土壤环境影响分析</w:t>
      </w:r>
      <w:r>
        <w:rPr>
          <w:rFonts w:hint="eastAsia" w:ascii="Times New Roman" w:hAnsi="Times New Roman" w:eastAsia="宋体"/>
          <w:color w:val="auto"/>
          <w:highlight w:val="none"/>
        </w:rPr>
        <w:fldChar w:fldCharType="end"/>
      </w:r>
    </w:p>
    <w:p>
      <w:pPr>
        <w:pStyle w:val="57"/>
        <w:pageBreakBefore w:val="0"/>
        <w:kinsoku/>
        <w:wordWrap/>
        <w:overflowPunct/>
        <w:topLinePunct w:val="0"/>
        <w:autoSpaceDE/>
        <w:autoSpaceDN/>
        <w:bidi w:val="0"/>
        <w:spacing w:line="480" w:lineRule="exact"/>
        <w:ind w:firstLine="500"/>
        <w:rPr>
          <w:color w:val="auto"/>
          <w:highlight w:val="none"/>
        </w:rPr>
      </w:pPr>
      <w:r>
        <w:rPr>
          <w:color w:val="auto"/>
          <w:spacing w:val="5"/>
          <w:szCs w:val="24"/>
          <w:highlight w:val="none"/>
        </w:rPr>
        <w:t>退役期拆除设备时所用的时间较少，</w:t>
      </w:r>
      <w:r>
        <w:rPr>
          <w:rFonts w:hint="eastAsia"/>
          <w:color w:val="auto"/>
          <w:spacing w:val="5"/>
          <w:szCs w:val="24"/>
          <w:highlight w:val="none"/>
        </w:rPr>
        <w:t>在生活污水、固体废物均妥善处置的情况下，对土壤环境影响很小。</w:t>
      </w:r>
    </w:p>
    <w:p>
      <w:pPr>
        <w:pStyle w:val="53"/>
        <w:pageBreakBefore w:val="0"/>
        <w:kinsoku/>
        <w:wordWrap/>
        <w:overflowPunct/>
        <w:topLinePunct w:val="0"/>
        <w:autoSpaceDE/>
        <w:autoSpaceDN/>
        <w:bidi w:val="0"/>
        <w:spacing w:line="480" w:lineRule="exact"/>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"_Toc27272" </w:instrText>
      </w:r>
      <w:r>
        <w:rPr>
          <w:color w:val="auto"/>
          <w:highlight w:val="none"/>
        </w:rPr>
        <w:fldChar w:fldCharType="separate"/>
      </w:r>
      <w:r>
        <w:rPr>
          <w:rFonts w:hint="eastAsia" w:ascii="Times New Roman" w:hAnsi="Times New Roman" w:eastAsia="宋体"/>
          <w:color w:val="auto"/>
          <w:highlight w:val="none"/>
        </w:rPr>
        <w:t>5.4.4土壤环境影响评价结论</w:t>
      </w:r>
      <w:r>
        <w:rPr>
          <w:rFonts w:hint="eastAsia" w:ascii="Times New Roman" w:hAnsi="Times New Roman" w:eastAsia="宋体"/>
          <w:color w:val="auto"/>
          <w:highlight w:val="none"/>
        </w:rPr>
        <w:fldChar w:fldCharType="end"/>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综上，本工程正常工况下无废水及固废等污染物外排，不会造成土壤环境污染。如果发生装置</w:t>
      </w:r>
      <w:r>
        <w:rPr>
          <w:rFonts w:hint="eastAsia"/>
          <w:color w:val="auto"/>
          <w:highlight w:val="none"/>
          <w:lang w:eastAsia="zh-CN"/>
        </w:rPr>
        <w:t>、</w:t>
      </w:r>
      <w:r>
        <w:rPr>
          <w:rFonts w:hint="eastAsia"/>
          <w:color w:val="auto"/>
          <w:highlight w:val="none"/>
          <w:lang w:val="en-US" w:eastAsia="zh-CN"/>
        </w:rPr>
        <w:t>储罐</w:t>
      </w:r>
      <w:r>
        <w:rPr>
          <w:color w:val="auto"/>
          <w:highlight w:val="none"/>
        </w:rPr>
        <w:t>、管线泄漏等事故，泄漏的原油会对土壤环境产生一定的影响，泄漏的</w:t>
      </w:r>
      <w:r>
        <w:rPr>
          <w:rFonts w:hint="eastAsia"/>
          <w:color w:val="auto"/>
          <w:highlight w:val="none"/>
        </w:rPr>
        <w:t>油类物质</w:t>
      </w:r>
      <w:r>
        <w:rPr>
          <w:color w:val="auto"/>
          <w:highlight w:val="none"/>
        </w:rPr>
        <w:t>覆盖于地表可使土壤透气性下降、土壤理化性状发生变化。泄漏的油品如果进入土壤，从而使土壤质地、结构发生改变，</w:t>
      </w:r>
      <w:r>
        <w:rPr>
          <w:rFonts w:hint="eastAsia"/>
          <w:color w:val="auto"/>
          <w:highlight w:val="none"/>
          <w:lang w:eastAsia="zh-CN"/>
        </w:rPr>
        <w:t>影响</w:t>
      </w:r>
      <w:r>
        <w:rPr>
          <w:color w:val="auto"/>
          <w:highlight w:val="none"/>
        </w:rPr>
        <w:t>土地功能，进而影响地表植被的生长。根据环境风险分析可知，本工程风险潜势很低，发生泄漏事故的可能性很小，在做好源头控制、过程防控等措施的前提下，可避免工程实施对土壤环境产生污染影响。</w:t>
      </w:r>
    </w:p>
    <w:p>
      <w:pPr>
        <w:pStyle w:val="53"/>
        <w:pageBreakBefore w:val="0"/>
        <w:kinsoku/>
        <w:wordWrap/>
        <w:overflowPunct/>
        <w:topLinePunct w:val="0"/>
        <w:autoSpaceDE/>
        <w:autoSpaceDN/>
        <w:bidi w:val="0"/>
        <w:spacing w:line="480" w:lineRule="exact"/>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"_Toc24924" </w:instrText>
      </w:r>
      <w:r>
        <w:rPr>
          <w:color w:val="auto"/>
          <w:highlight w:val="none"/>
        </w:rPr>
        <w:fldChar w:fldCharType="separate"/>
      </w:r>
      <w:r>
        <w:rPr>
          <w:rFonts w:hint="eastAsia" w:ascii="Times New Roman" w:hAnsi="Times New Roman" w:eastAsia="宋体"/>
          <w:color w:val="auto"/>
          <w:highlight w:val="none"/>
        </w:rPr>
        <w:t>5.4.5土壤环境影响自查表</w:t>
      </w:r>
      <w:r>
        <w:rPr>
          <w:rFonts w:hint="eastAsia" w:ascii="Times New Roman" w:hAnsi="Times New Roman" w:eastAsia="宋体"/>
          <w:color w:val="auto"/>
          <w:highlight w:val="none"/>
        </w:rPr>
        <w:fldChar w:fldCharType="end"/>
      </w:r>
    </w:p>
    <w:p>
      <w:pPr>
        <w:pStyle w:val="57"/>
        <w:pageBreakBefore w:val="0"/>
        <w:kinsoku/>
        <w:wordWrap/>
        <w:overflowPunct/>
        <w:topLinePunct w:val="0"/>
        <w:autoSpaceDE/>
        <w:autoSpaceDN/>
        <w:bidi w:val="0"/>
        <w:spacing w:line="480" w:lineRule="exact"/>
        <w:rPr>
          <w:color w:val="auto"/>
          <w:spacing w:val="4"/>
          <w:kern w:val="24"/>
          <w:highlight w:val="none"/>
        </w:rPr>
      </w:pPr>
      <w:r>
        <w:rPr>
          <w:rFonts w:hint="eastAsia"/>
          <w:color w:val="auto"/>
          <w:highlight w:val="none"/>
        </w:rPr>
        <w:t>本工程</w:t>
      </w:r>
      <w:r>
        <w:rPr>
          <w:color w:val="auto"/>
          <w:highlight w:val="none"/>
        </w:rPr>
        <w:t>土壤环境影响评价自查表，见表5.</w:t>
      </w:r>
      <w:r>
        <w:rPr>
          <w:rFonts w:hint="eastAsia"/>
          <w:color w:val="auto"/>
          <w:highlight w:val="none"/>
        </w:rPr>
        <w:t>4-2</w:t>
      </w:r>
      <w:r>
        <w:rPr>
          <w:color w:val="auto"/>
          <w:spacing w:val="4"/>
          <w:kern w:val="24"/>
          <w:highlight w:val="none"/>
        </w:rPr>
        <w:t>。</w:t>
      </w:r>
    </w:p>
    <w:p>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表5.</w:t>
      </w:r>
      <w:r>
        <w:rPr>
          <w:rFonts w:hint="eastAsia"/>
          <w:color w:val="auto"/>
          <w:highlight w:val="none"/>
        </w:rPr>
        <w:t>4-2</w:t>
      </w:r>
      <w:r>
        <w:rPr>
          <w:color w:val="auto"/>
          <w:highlight w:val="none"/>
        </w:rPr>
        <w:t>土壤环境影响评价自查表</w:t>
      </w:r>
    </w:p>
    <w:tbl>
      <w:tblPr>
        <w:tblStyle w:val="34"/>
        <w:tblW w:w="876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96"/>
        <w:gridCol w:w="1582"/>
        <w:gridCol w:w="655"/>
        <w:gridCol w:w="365"/>
        <w:gridCol w:w="430"/>
        <w:gridCol w:w="612"/>
        <w:gridCol w:w="756"/>
        <w:gridCol w:w="144"/>
        <w:gridCol w:w="863"/>
        <w:gridCol w:w="361"/>
        <w:gridCol w:w="451"/>
        <w:gridCol w:w="768"/>
        <w:gridCol w:w="13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1978" w:type="dxa"/>
            <w:gridSpan w:val="2"/>
            <w:tcBorders>
              <w:tl2br w:val="nil"/>
              <w:tr2bl w:val="nil"/>
            </w:tcBorders>
            <w:vAlign w:val="center"/>
          </w:tcPr>
          <w:p>
            <w:pPr>
              <w:pStyle w:val="41"/>
              <w:rPr>
                <w:color w:val="auto"/>
                <w:highlight w:val="none"/>
              </w:rPr>
            </w:pPr>
            <w:r>
              <w:rPr>
                <w:color w:val="auto"/>
                <w:highlight w:val="none"/>
              </w:rPr>
              <w:t>工作内容</w:t>
            </w:r>
          </w:p>
        </w:tc>
        <w:tc>
          <w:tcPr>
            <w:tcW w:w="5405" w:type="dxa"/>
            <w:gridSpan w:val="10"/>
            <w:tcBorders>
              <w:tl2br w:val="nil"/>
              <w:tr2bl w:val="nil"/>
            </w:tcBorders>
            <w:vAlign w:val="center"/>
          </w:tcPr>
          <w:p>
            <w:pPr>
              <w:pStyle w:val="41"/>
              <w:rPr>
                <w:color w:val="auto"/>
                <w:highlight w:val="none"/>
              </w:rPr>
            </w:pPr>
            <w:r>
              <w:rPr>
                <w:color w:val="auto"/>
                <w:highlight w:val="none"/>
              </w:rPr>
              <w:t>完成情况</w:t>
            </w:r>
          </w:p>
        </w:tc>
        <w:tc>
          <w:tcPr>
            <w:tcW w:w="1381" w:type="dxa"/>
            <w:tcBorders>
              <w:tl2br w:val="nil"/>
              <w:tr2bl w:val="nil"/>
            </w:tcBorders>
            <w:vAlign w:val="center"/>
          </w:tcPr>
          <w:p>
            <w:pPr>
              <w:pStyle w:val="41"/>
              <w:rPr>
                <w:color w:val="auto"/>
                <w:highlight w:val="none"/>
              </w:rPr>
            </w:pPr>
            <w:r>
              <w:rPr>
                <w:color w:val="auto"/>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vAlign w:val="center"/>
          </w:tcPr>
          <w:p>
            <w:pPr>
              <w:pStyle w:val="41"/>
              <w:rPr>
                <w:color w:val="auto"/>
                <w:highlight w:val="none"/>
              </w:rPr>
            </w:pPr>
            <w:r>
              <w:rPr>
                <w:color w:val="auto"/>
                <w:highlight w:val="none"/>
              </w:rPr>
              <w:t>影</w:t>
            </w:r>
            <w:r>
              <w:rPr>
                <w:rFonts w:hint="eastAsia"/>
                <w:color w:val="auto"/>
                <w:highlight w:val="none"/>
              </w:rPr>
              <w:t>影</w:t>
            </w:r>
            <w:r>
              <w:rPr>
                <w:color w:val="auto"/>
                <w:highlight w:val="none"/>
              </w:rPr>
              <w:t>响识别</w:t>
            </w:r>
          </w:p>
        </w:tc>
        <w:tc>
          <w:tcPr>
            <w:tcW w:w="1582" w:type="dxa"/>
            <w:tcBorders>
              <w:tl2br w:val="nil"/>
              <w:tr2bl w:val="nil"/>
            </w:tcBorders>
            <w:vAlign w:val="center"/>
          </w:tcPr>
          <w:p>
            <w:pPr>
              <w:pStyle w:val="41"/>
              <w:rPr>
                <w:color w:val="auto"/>
                <w:highlight w:val="none"/>
              </w:rPr>
            </w:pPr>
            <w:r>
              <w:rPr>
                <w:color w:val="auto"/>
                <w:highlight w:val="none"/>
              </w:rPr>
              <w:t>影响类型</w:t>
            </w:r>
          </w:p>
        </w:tc>
        <w:tc>
          <w:tcPr>
            <w:tcW w:w="5405" w:type="dxa"/>
            <w:gridSpan w:val="10"/>
            <w:tcBorders>
              <w:tl2br w:val="nil"/>
              <w:tr2bl w:val="nil"/>
            </w:tcBorders>
            <w:vAlign w:val="center"/>
          </w:tcPr>
          <w:p>
            <w:pPr>
              <w:pStyle w:val="41"/>
              <w:rPr>
                <w:color w:val="auto"/>
                <w:highlight w:val="none"/>
              </w:rPr>
            </w:pPr>
            <w:r>
              <w:rPr>
                <w:color w:val="auto"/>
                <w:highlight w:val="none"/>
              </w:rPr>
              <w:t>污染影响型</w:t>
            </w:r>
            <w:r>
              <w:rPr>
                <w:rFonts w:hint="eastAsia"/>
                <w:color w:val="auto"/>
                <w:highlight w:val="none"/>
              </w:rPr>
              <w:t>□</w:t>
            </w:r>
            <w:r>
              <w:rPr>
                <w:color w:val="auto"/>
                <w:highlight w:val="none"/>
              </w:rPr>
              <w:t>；生态影响型□；两种兼有</w:t>
            </w:r>
            <w:r>
              <w:rPr>
                <w:rFonts w:ascii="Segoe UI Symbol" w:hAnsi="Segoe UI Symbol" w:cs="Segoe UI Symbol"/>
                <w:color w:val="auto"/>
                <w:highlight w:val="none"/>
              </w:rPr>
              <w:t>☑</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土地利用类型</w:t>
            </w:r>
          </w:p>
        </w:tc>
        <w:tc>
          <w:tcPr>
            <w:tcW w:w="5405" w:type="dxa"/>
            <w:gridSpan w:val="10"/>
            <w:tcBorders>
              <w:tl2br w:val="nil"/>
              <w:tr2bl w:val="nil"/>
            </w:tcBorders>
            <w:vAlign w:val="center"/>
          </w:tcPr>
          <w:p>
            <w:pPr>
              <w:pStyle w:val="41"/>
              <w:rPr>
                <w:color w:val="auto"/>
                <w:highlight w:val="none"/>
              </w:rPr>
            </w:pPr>
            <w:r>
              <w:rPr>
                <w:color w:val="auto"/>
                <w:highlight w:val="none"/>
              </w:rPr>
              <w:t>建设用地</w:t>
            </w:r>
            <w:r>
              <w:rPr>
                <w:rFonts w:hint="eastAsia"/>
                <w:color w:val="auto"/>
                <w:highlight w:val="none"/>
              </w:rPr>
              <w:t>☑</w:t>
            </w:r>
            <w:r>
              <w:rPr>
                <w:color w:val="auto"/>
                <w:highlight w:val="none"/>
              </w:rPr>
              <w:t>；农用地</w:t>
            </w:r>
            <w:r>
              <w:rPr>
                <w:rFonts w:hint="eastAsia"/>
                <w:color w:val="auto"/>
                <w:highlight w:val="none"/>
              </w:rPr>
              <w:t>☑</w:t>
            </w:r>
            <w:r>
              <w:rPr>
                <w:color w:val="auto"/>
                <w:highlight w:val="none"/>
              </w:rPr>
              <w:t>；未利用地</w:t>
            </w:r>
            <w:r>
              <w:rPr>
                <w:rFonts w:hint="eastAsia" w:ascii="Segoe UI Symbol" w:hAnsi="Segoe UI Symbol" w:cs="Segoe UI Symbol"/>
                <w:color w:val="auto"/>
                <w:highlight w:val="none"/>
              </w:rPr>
              <w:t>☑</w:t>
            </w:r>
          </w:p>
        </w:tc>
        <w:tc>
          <w:tcPr>
            <w:tcW w:w="1381" w:type="dxa"/>
            <w:tcBorders>
              <w:tl2br w:val="nil"/>
              <w:tr2bl w:val="nil"/>
            </w:tcBorders>
            <w:vAlign w:val="center"/>
          </w:tcPr>
          <w:p>
            <w:pPr>
              <w:pStyle w:val="41"/>
              <w:rPr>
                <w:color w:val="auto"/>
                <w:highlight w:val="none"/>
              </w:rPr>
            </w:pPr>
            <w:r>
              <w:rPr>
                <w:color w:val="auto"/>
                <w:highlight w:val="none"/>
              </w:rPr>
              <w:t>土地利用类型图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占地规模</w:t>
            </w:r>
          </w:p>
        </w:tc>
        <w:tc>
          <w:tcPr>
            <w:tcW w:w="5405" w:type="dxa"/>
            <w:gridSpan w:val="10"/>
            <w:tcBorders>
              <w:tl2br w:val="nil"/>
              <w:tr2bl w:val="nil"/>
            </w:tcBorders>
            <w:vAlign w:val="center"/>
          </w:tcPr>
          <w:p>
            <w:pPr>
              <w:pStyle w:val="41"/>
              <w:rPr>
                <w:color w:val="auto"/>
                <w:highlight w:val="none"/>
              </w:rPr>
            </w:pPr>
            <w:r>
              <w:rPr>
                <w:color w:val="auto"/>
                <w:highlight w:val="none"/>
              </w:rPr>
              <w:t>（</w:t>
            </w:r>
            <w:r>
              <w:rPr>
                <w:rFonts w:hint="eastAsia"/>
                <w:color w:val="auto"/>
                <w:highlight w:val="none"/>
                <w:lang w:val="en-US" w:eastAsia="zh-CN"/>
              </w:rPr>
              <w:t>0.03176</w:t>
            </w:r>
            <w:r>
              <w:rPr>
                <w:color w:val="auto"/>
                <w:highlight w:val="none"/>
              </w:rPr>
              <w:t>）km</w:t>
            </w:r>
            <w:r>
              <w:rPr>
                <w:color w:val="auto"/>
                <w:highlight w:val="none"/>
                <w:vertAlign w:val="superscript"/>
              </w:rPr>
              <w:t>2</w:t>
            </w:r>
          </w:p>
        </w:tc>
        <w:tc>
          <w:tcPr>
            <w:tcW w:w="1381" w:type="dxa"/>
            <w:tcBorders>
              <w:tl2br w:val="nil"/>
              <w:tr2bl w:val="nil"/>
            </w:tcBorders>
            <w:vAlign w:val="center"/>
          </w:tcPr>
          <w:p>
            <w:pPr>
              <w:pStyle w:val="41"/>
              <w:rPr>
                <w:color w:val="auto"/>
                <w:highlight w:val="none"/>
              </w:rPr>
            </w:pPr>
            <w:r>
              <w:rPr>
                <w:color w:val="auto"/>
                <w:highlight w:val="none"/>
              </w:rPr>
              <w:t>永久占地</w:t>
            </w:r>
            <w:r>
              <w:rPr>
                <w:rFonts w:hint="eastAsia"/>
                <w:color w:val="auto"/>
                <w:highlight w:val="none"/>
              </w:rPr>
              <w:t>/小型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敏感目标信息</w:t>
            </w:r>
          </w:p>
        </w:tc>
        <w:tc>
          <w:tcPr>
            <w:tcW w:w="5405" w:type="dxa"/>
            <w:gridSpan w:val="10"/>
            <w:tcBorders>
              <w:tl2br w:val="nil"/>
              <w:tr2bl w:val="nil"/>
            </w:tcBorders>
            <w:vAlign w:val="center"/>
          </w:tcPr>
          <w:p>
            <w:pPr>
              <w:pStyle w:val="41"/>
              <w:rPr>
                <w:color w:val="auto"/>
                <w:highlight w:val="none"/>
              </w:rPr>
            </w:pPr>
            <w:r>
              <w:rPr>
                <w:rFonts w:hint="default" w:ascii="Times New Roman" w:hAnsi="Times New Roman" w:cs="Times New Roman"/>
                <w:color w:val="auto"/>
                <w:sz w:val="21"/>
                <w:szCs w:val="21"/>
                <w:highlight w:val="none"/>
                <w:shd w:val="clear" w:color="auto" w:fill="auto"/>
              </w:rPr>
              <w:t>敏感目标（</w:t>
            </w:r>
            <w:r>
              <w:rPr>
                <w:rFonts w:hint="default" w:ascii="Times New Roman" w:hAnsi="Times New Roman" w:cs="Times New Roman"/>
                <w:color w:val="auto"/>
                <w:sz w:val="21"/>
                <w:szCs w:val="21"/>
                <w:highlight w:val="none"/>
                <w:shd w:val="clear" w:color="auto" w:fill="auto"/>
                <w:lang w:val="en-US" w:eastAsia="zh-CN"/>
              </w:rPr>
              <w:t>无</w:t>
            </w:r>
            <w:r>
              <w:rPr>
                <w:rFonts w:hint="default" w:ascii="Times New Roman" w:hAnsi="Times New Roman" w:cs="Times New Roman"/>
                <w:color w:val="auto"/>
                <w:sz w:val="21"/>
                <w:szCs w:val="21"/>
                <w:highlight w:val="none"/>
                <w:shd w:val="clear" w:color="auto" w:fill="auto"/>
              </w:rPr>
              <w:t>）、方位（/）、距离（/）</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影响途径</w:t>
            </w:r>
          </w:p>
        </w:tc>
        <w:tc>
          <w:tcPr>
            <w:tcW w:w="5405" w:type="dxa"/>
            <w:gridSpan w:val="10"/>
            <w:tcBorders>
              <w:tl2br w:val="nil"/>
              <w:tr2bl w:val="nil"/>
            </w:tcBorders>
            <w:vAlign w:val="center"/>
          </w:tcPr>
          <w:p>
            <w:pPr>
              <w:pStyle w:val="41"/>
              <w:rPr>
                <w:color w:val="auto"/>
                <w:highlight w:val="none"/>
              </w:rPr>
            </w:pPr>
            <w:r>
              <w:rPr>
                <w:color w:val="auto"/>
                <w:highlight w:val="none"/>
              </w:rPr>
              <w:t>大气沉降</w:t>
            </w:r>
            <w:r>
              <w:rPr>
                <w:rFonts w:hint="eastAsia"/>
                <w:color w:val="auto"/>
                <w:highlight w:val="none"/>
              </w:rPr>
              <w:t>□</w:t>
            </w:r>
            <w:r>
              <w:rPr>
                <w:color w:val="auto"/>
                <w:highlight w:val="none"/>
              </w:rPr>
              <w:t>；地面漫流</w:t>
            </w:r>
            <w:r>
              <w:rPr>
                <w:rFonts w:hint="eastAsia" w:ascii="Segoe UI Symbol" w:hAnsi="Segoe UI Symbol" w:cs="Segoe UI Symbol"/>
                <w:color w:val="auto"/>
                <w:highlight w:val="none"/>
              </w:rPr>
              <w:t>□</w:t>
            </w:r>
            <w:r>
              <w:rPr>
                <w:color w:val="auto"/>
                <w:highlight w:val="none"/>
              </w:rPr>
              <w:t>；垂直入渗</w:t>
            </w:r>
            <w:r>
              <w:rPr>
                <w:rFonts w:ascii="Segoe UI Symbol" w:hAnsi="Segoe UI Symbol" w:cs="Segoe UI Symbol"/>
                <w:color w:val="auto"/>
                <w:highlight w:val="none"/>
              </w:rPr>
              <w:t>☑</w:t>
            </w:r>
            <w:r>
              <w:rPr>
                <w:color w:val="auto"/>
                <w:highlight w:val="none"/>
              </w:rPr>
              <w:t>；地下水位</w:t>
            </w:r>
            <w:r>
              <w:rPr>
                <w:rFonts w:hint="eastAsia"/>
                <w:color w:val="auto"/>
                <w:highlight w:val="none"/>
              </w:rPr>
              <w:t>□</w:t>
            </w:r>
            <w:r>
              <w:rPr>
                <w:color w:val="auto"/>
                <w:highlight w:val="none"/>
              </w:rPr>
              <w:t>；其他（</w:t>
            </w:r>
            <w:r>
              <w:rPr>
                <w:rFonts w:hint="eastAsia"/>
                <w:color w:val="auto"/>
                <w:highlight w:val="none"/>
              </w:rPr>
              <w:t>生态影响</w:t>
            </w:r>
            <w:r>
              <w:rPr>
                <w:color w:val="auto"/>
                <w:highlight w:val="none"/>
              </w:rPr>
              <w:t>）</w:t>
            </w:r>
            <w:r>
              <w:rPr>
                <w:rFonts w:hint="default" w:ascii="Times New Roman" w:hAnsi="Times New Roman" w:eastAsia="宋体" w:cs="Times New Roman"/>
                <w:color w:val="auto"/>
                <w:sz w:val="21"/>
                <w:szCs w:val="21"/>
                <w:highlight w:val="none"/>
                <w:shd w:val="clear" w:color="auto" w:fill="auto"/>
                <w:lang w:eastAsia="zh-CN"/>
              </w:rPr>
              <w:t>☑</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全部污染物</w:t>
            </w:r>
          </w:p>
        </w:tc>
        <w:tc>
          <w:tcPr>
            <w:tcW w:w="5405" w:type="dxa"/>
            <w:gridSpan w:val="10"/>
            <w:tcBorders>
              <w:tl2br w:val="nil"/>
              <w:tr2bl w:val="nil"/>
            </w:tcBorders>
            <w:vAlign w:val="center"/>
          </w:tcPr>
          <w:p>
            <w:pPr>
              <w:pStyle w:val="41"/>
              <w:rPr>
                <w:color w:val="auto"/>
                <w:highlight w:val="none"/>
              </w:rPr>
            </w:pPr>
            <w:r>
              <w:rPr>
                <w:color w:val="auto"/>
                <w:highlight w:val="none"/>
              </w:rPr>
              <w:t>盐分、石油烃</w:t>
            </w:r>
            <w:r>
              <w:rPr>
                <w:rFonts w:hint="eastAsia"/>
                <w:color w:val="auto"/>
                <w:highlight w:val="none"/>
              </w:rPr>
              <w:t>（</w:t>
            </w:r>
            <w:r>
              <w:rPr>
                <w:color w:val="auto"/>
                <w:highlight w:val="none"/>
              </w:rPr>
              <w:t>C</w:t>
            </w:r>
            <w:r>
              <w:rPr>
                <w:color w:val="auto"/>
                <w:highlight w:val="none"/>
                <w:vertAlign w:val="subscript"/>
              </w:rPr>
              <w:t>10</w:t>
            </w:r>
            <w:r>
              <w:rPr>
                <w:color w:val="auto"/>
                <w:highlight w:val="none"/>
              </w:rPr>
              <w:t>-C</w:t>
            </w:r>
            <w:r>
              <w:rPr>
                <w:color w:val="auto"/>
                <w:highlight w:val="none"/>
                <w:vertAlign w:val="subscript"/>
              </w:rPr>
              <w:t>40</w:t>
            </w:r>
            <w:r>
              <w:rPr>
                <w:rFonts w:hint="eastAsia"/>
                <w:color w:val="auto"/>
                <w:highlight w:val="none"/>
              </w:rPr>
              <w:t>）</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特征因子</w:t>
            </w:r>
          </w:p>
        </w:tc>
        <w:tc>
          <w:tcPr>
            <w:tcW w:w="5405" w:type="dxa"/>
            <w:gridSpan w:val="10"/>
            <w:tcBorders>
              <w:tl2br w:val="nil"/>
              <w:tr2bl w:val="nil"/>
            </w:tcBorders>
            <w:vAlign w:val="center"/>
          </w:tcPr>
          <w:p>
            <w:pPr>
              <w:pStyle w:val="41"/>
              <w:rPr>
                <w:color w:val="auto"/>
                <w:highlight w:val="none"/>
              </w:rPr>
            </w:pPr>
            <w:r>
              <w:rPr>
                <w:color w:val="auto"/>
                <w:highlight w:val="none"/>
              </w:rPr>
              <w:t>盐分、石油烃</w:t>
            </w:r>
            <w:r>
              <w:rPr>
                <w:rFonts w:hint="eastAsia"/>
                <w:color w:val="auto"/>
                <w:highlight w:val="none"/>
              </w:rPr>
              <w:t>（</w:t>
            </w:r>
            <w:r>
              <w:rPr>
                <w:color w:val="auto"/>
                <w:highlight w:val="none"/>
              </w:rPr>
              <w:t>C</w:t>
            </w:r>
            <w:r>
              <w:rPr>
                <w:color w:val="auto"/>
                <w:highlight w:val="none"/>
                <w:vertAlign w:val="subscript"/>
              </w:rPr>
              <w:t>10</w:t>
            </w:r>
            <w:r>
              <w:rPr>
                <w:color w:val="auto"/>
                <w:highlight w:val="none"/>
              </w:rPr>
              <w:t>-C</w:t>
            </w:r>
            <w:r>
              <w:rPr>
                <w:color w:val="auto"/>
                <w:highlight w:val="none"/>
                <w:vertAlign w:val="subscript"/>
              </w:rPr>
              <w:t>40</w:t>
            </w:r>
            <w:r>
              <w:rPr>
                <w:rFonts w:hint="eastAsia"/>
                <w:color w:val="auto"/>
                <w:highlight w:val="none"/>
              </w:rPr>
              <w:t>）</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restart"/>
            <w:tcBorders>
              <w:tl2br w:val="nil"/>
              <w:tr2bl w:val="nil"/>
            </w:tcBorders>
            <w:vAlign w:val="center"/>
          </w:tcPr>
          <w:p>
            <w:pPr>
              <w:pStyle w:val="41"/>
              <w:rPr>
                <w:color w:val="auto"/>
                <w:highlight w:val="none"/>
              </w:rPr>
            </w:pPr>
            <w:r>
              <w:rPr>
                <w:color w:val="auto"/>
                <w:highlight w:val="none"/>
              </w:rPr>
              <w:t>所属土壤环境影响评价项目类别</w:t>
            </w:r>
          </w:p>
        </w:tc>
        <w:tc>
          <w:tcPr>
            <w:tcW w:w="5405" w:type="dxa"/>
            <w:gridSpan w:val="10"/>
            <w:tcBorders>
              <w:tl2br w:val="nil"/>
              <w:tr2bl w:val="nil"/>
            </w:tcBorders>
            <w:vAlign w:val="center"/>
          </w:tcPr>
          <w:p>
            <w:pPr>
              <w:pStyle w:val="41"/>
              <w:rPr>
                <w:color w:val="auto"/>
                <w:highlight w:val="none"/>
              </w:rPr>
            </w:pPr>
            <w:r>
              <w:rPr>
                <w:rFonts w:hint="eastAsia"/>
                <w:color w:val="auto"/>
                <w:highlight w:val="none"/>
              </w:rPr>
              <w:t>Ⅰ</w:t>
            </w:r>
            <w:r>
              <w:rPr>
                <w:color w:val="auto"/>
                <w:highlight w:val="none"/>
              </w:rPr>
              <w:t>类</w:t>
            </w:r>
            <w:r>
              <w:rPr>
                <w:rFonts w:hint="eastAsia" w:ascii="Segoe UI Symbol" w:hAnsi="Segoe UI Symbol" w:cs="Segoe UI Symbol"/>
                <w:color w:val="auto"/>
                <w:highlight w:val="none"/>
                <w:lang w:eastAsia="zh-CN"/>
              </w:rPr>
              <w:t>☑</w:t>
            </w:r>
            <w:r>
              <w:rPr>
                <w:color w:val="auto"/>
                <w:highlight w:val="none"/>
              </w:rPr>
              <w:t>；</w:t>
            </w:r>
            <w:r>
              <w:rPr>
                <w:rFonts w:hint="eastAsia"/>
                <w:color w:val="auto"/>
                <w:highlight w:val="none"/>
              </w:rPr>
              <w:t>Ⅱ</w:t>
            </w:r>
            <w:r>
              <w:rPr>
                <w:color w:val="auto"/>
                <w:highlight w:val="none"/>
              </w:rPr>
              <w:t>类</w:t>
            </w:r>
            <w:r>
              <w:rPr>
                <w:rFonts w:hint="eastAsia"/>
                <w:color w:val="auto"/>
                <w:highlight w:val="none"/>
                <w:lang w:eastAsia="zh-CN"/>
              </w:rPr>
              <w:t>□</w:t>
            </w:r>
            <w:r>
              <w:rPr>
                <w:color w:val="auto"/>
                <w:highlight w:val="none"/>
              </w:rPr>
              <w:t>；</w:t>
            </w:r>
            <w:r>
              <w:rPr>
                <w:rFonts w:hint="eastAsia"/>
                <w:color w:val="auto"/>
                <w:highlight w:val="none"/>
              </w:rPr>
              <w:t>Ⅲ</w:t>
            </w:r>
            <w:r>
              <w:rPr>
                <w:color w:val="auto"/>
                <w:highlight w:val="none"/>
              </w:rPr>
              <w:t>类</w:t>
            </w:r>
            <w:r>
              <w:rPr>
                <w:rFonts w:hint="eastAsia"/>
                <w:color w:val="auto"/>
                <w:highlight w:val="none"/>
              </w:rPr>
              <w:t>□</w:t>
            </w:r>
            <w:r>
              <w:rPr>
                <w:color w:val="auto"/>
                <w:highlight w:val="none"/>
              </w:rPr>
              <w:t>；</w:t>
            </w:r>
            <w:r>
              <w:rPr>
                <w:rFonts w:hint="eastAsia"/>
                <w:color w:val="auto"/>
                <w:highlight w:val="none"/>
              </w:rPr>
              <w:t>Ⅳ</w:t>
            </w:r>
            <w:r>
              <w:rPr>
                <w:color w:val="auto"/>
                <w:highlight w:val="none"/>
              </w:rPr>
              <w:t>类</w:t>
            </w:r>
            <w:r>
              <w:rPr>
                <w:rFonts w:hint="eastAsia"/>
                <w:color w:val="auto"/>
                <w:highlight w:val="none"/>
              </w:rPr>
              <w:t>□</w:t>
            </w:r>
          </w:p>
        </w:tc>
        <w:tc>
          <w:tcPr>
            <w:tcW w:w="1381" w:type="dxa"/>
            <w:tcBorders>
              <w:tl2br w:val="nil"/>
              <w:tr2bl w:val="nil"/>
            </w:tcBorders>
            <w:vAlign w:val="center"/>
          </w:tcPr>
          <w:p>
            <w:pPr>
              <w:pStyle w:val="41"/>
              <w:rPr>
                <w:color w:val="auto"/>
                <w:highlight w:val="none"/>
              </w:rPr>
            </w:pPr>
            <w:r>
              <w:rPr>
                <w:rFonts w:hint="eastAsia"/>
                <w:color w:val="auto"/>
                <w:highlight w:val="none"/>
              </w:rPr>
              <w:t>井场、站场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continue"/>
            <w:tcBorders>
              <w:tl2br w:val="nil"/>
              <w:tr2bl w:val="nil"/>
            </w:tcBorders>
            <w:vAlign w:val="center"/>
          </w:tcPr>
          <w:p>
            <w:pPr>
              <w:pStyle w:val="41"/>
              <w:rPr>
                <w:color w:val="auto"/>
                <w:highlight w:val="none"/>
              </w:rPr>
            </w:pPr>
          </w:p>
        </w:tc>
        <w:tc>
          <w:tcPr>
            <w:tcW w:w="5405" w:type="dxa"/>
            <w:gridSpan w:val="10"/>
            <w:tcBorders>
              <w:tl2br w:val="nil"/>
              <w:tr2bl w:val="nil"/>
            </w:tcBorders>
            <w:vAlign w:val="center"/>
          </w:tcPr>
          <w:p>
            <w:pPr>
              <w:pStyle w:val="41"/>
              <w:rPr>
                <w:color w:val="auto"/>
                <w:highlight w:val="none"/>
              </w:rPr>
            </w:pPr>
            <w:r>
              <w:rPr>
                <w:rFonts w:hint="eastAsia"/>
                <w:color w:val="auto"/>
                <w:highlight w:val="none"/>
              </w:rPr>
              <w:t>Ⅰ类</w:t>
            </w:r>
            <w:r>
              <w:rPr>
                <w:rFonts w:hint="eastAsia"/>
                <w:color w:val="auto"/>
                <w:highlight w:val="none"/>
                <w:lang w:eastAsia="zh-CN"/>
              </w:rPr>
              <w:t>☑</w:t>
            </w:r>
            <w:r>
              <w:rPr>
                <w:rFonts w:hint="eastAsia"/>
                <w:color w:val="auto"/>
                <w:highlight w:val="none"/>
              </w:rPr>
              <w:t>；Ⅱ类</w:t>
            </w:r>
            <w:r>
              <w:rPr>
                <w:rFonts w:hint="eastAsia" w:ascii="Segoe UI Symbol" w:hAnsi="Segoe UI Symbol" w:cs="Segoe UI Symbol"/>
                <w:color w:val="auto"/>
                <w:highlight w:val="none"/>
              </w:rPr>
              <w:t>□</w:t>
            </w:r>
            <w:r>
              <w:rPr>
                <w:rFonts w:hint="eastAsia"/>
                <w:color w:val="auto"/>
                <w:highlight w:val="none"/>
              </w:rPr>
              <w:t>；Ⅲ类</w:t>
            </w:r>
            <w:r>
              <w:rPr>
                <w:rFonts w:hint="eastAsia"/>
                <w:color w:val="auto"/>
                <w:highlight w:val="none"/>
                <w:lang w:eastAsia="zh-CN"/>
              </w:rPr>
              <w:t>□</w:t>
            </w:r>
            <w:r>
              <w:rPr>
                <w:rFonts w:hint="eastAsia"/>
                <w:color w:val="auto"/>
                <w:highlight w:val="none"/>
              </w:rPr>
              <w:t>；Ⅳ类□</w:t>
            </w:r>
          </w:p>
        </w:tc>
        <w:tc>
          <w:tcPr>
            <w:tcW w:w="1381" w:type="dxa"/>
            <w:tcBorders>
              <w:tl2br w:val="nil"/>
              <w:tr2bl w:val="nil"/>
            </w:tcBorders>
            <w:vAlign w:val="center"/>
          </w:tcPr>
          <w:p>
            <w:pPr>
              <w:pStyle w:val="41"/>
              <w:rPr>
                <w:color w:val="auto"/>
                <w:highlight w:val="none"/>
              </w:rPr>
            </w:pPr>
            <w:r>
              <w:rPr>
                <w:rFonts w:hint="eastAsia"/>
                <w:color w:val="auto"/>
                <w:highlight w:val="none"/>
                <w:lang w:val="en-US" w:eastAsia="zh-CN"/>
              </w:rPr>
              <w:t>集输</w:t>
            </w:r>
            <w:r>
              <w:rPr>
                <w:rFonts w:hint="eastAsia"/>
                <w:color w:val="auto"/>
                <w:highlight w:val="none"/>
              </w:rPr>
              <w:t>管线</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restart"/>
            <w:tcBorders>
              <w:tl2br w:val="nil"/>
              <w:tr2bl w:val="nil"/>
            </w:tcBorders>
            <w:vAlign w:val="center"/>
          </w:tcPr>
          <w:p>
            <w:pPr>
              <w:pStyle w:val="41"/>
              <w:rPr>
                <w:color w:val="auto"/>
                <w:highlight w:val="none"/>
              </w:rPr>
            </w:pPr>
            <w:r>
              <w:rPr>
                <w:color w:val="auto"/>
                <w:highlight w:val="none"/>
              </w:rPr>
              <w:t>敏感程度</w:t>
            </w:r>
          </w:p>
        </w:tc>
        <w:tc>
          <w:tcPr>
            <w:tcW w:w="5405" w:type="dxa"/>
            <w:gridSpan w:val="10"/>
            <w:tcBorders>
              <w:tl2br w:val="nil"/>
              <w:tr2bl w:val="nil"/>
            </w:tcBorders>
            <w:vAlign w:val="center"/>
          </w:tcPr>
          <w:p>
            <w:pPr>
              <w:pStyle w:val="41"/>
              <w:rPr>
                <w:rFonts w:hint="eastAsia" w:eastAsia="宋体"/>
                <w:color w:val="auto"/>
                <w:highlight w:val="none"/>
                <w:lang w:eastAsia="zh-CN"/>
              </w:rPr>
            </w:pPr>
            <w:r>
              <w:rPr>
                <w:color w:val="auto"/>
                <w:highlight w:val="none"/>
              </w:rPr>
              <w:t>敏感</w:t>
            </w:r>
            <w:r>
              <w:rPr>
                <w:rFonts w:hint="eastAsia" w:ascii="Segoe UI Symbol" w:hAnsi="Segoe UI Symbol" w:cs="Segoe UI Symbol"/>
                <w:color w:val="auto"/>
                <w:highlight w:val="none"/>
                <w:lang w:eastAsia="zh-CN"/>
              </w:rPr>
              <w:t>□</w:t>
            </w:r>
            <w:r>
              <w:rPr>
                <w:color w:val="auto"/>
                <w:highlight w:val="none"/>
              </w:rPr>
              <w:t>；较敏感</w:t>
            </w:r>
            <w:r>
              <w:rPr>
                <w:rFonts w:hint="eastAsia"/>
                <w:color w:val="auto"/>
                <w:highlight w:val="none"/>
              </w:rPr>
              <w:t>□</w:t>
            </w:r>
            <w:r>
              <w:rPr>
                <w:color w:val="auto"/>
                <w:highlight w:val="none"/>
              </w:rPr>
              <w:t>；不敏感</w:t>
            </w:r>
            <w:r>
              <w:rPr>
                <w:rFonts w:hint="eastAsia"/>
                <w:color w:val="auto"/>
                <w:highlight w:val="none"/>
                <w:lang w:eastAsia="zh-CN"/>
              </w:rPr>
              <w:t>☑</w:t>
            </w:r>
          </w:p>
        </w:tc>
        <w:tc>
          <w:tcPr>
            <w:tcW w:w="1381" w:type="dxa"/>
            <w:tcBorders>
              <w:tl2br w:val="nil"/>
              <w:tr2bl w:val="nil"/>
            </w:tcBorders>
            <w:vAlign w:val="center"/>
          </w:tcPr>
          <w:p>
            <w:pPr>
              <w:pStyle w:val="41"/>
              <w:rPr>
                <w:color w:val="auto"/>
                <w:highlight w:val="none"/>
              </w:rPr>
            </w:pPr>
            <w:r>
              <w:rPr>
                <w:rFonts w:hint="eastAsia"/>
                <w:color w:val="auto"/>
                <w:highlight w:val="none"/>
              </w:rPr>
              <w:t>污染</w:t>
            </w:r>
            <w:r>
              <w:rPr>
                <w:color w:val="auto"/>
                <w:highlight w:val="none"/>
              </w:rPr>
              <w:t>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continue"/>
            <w:tcBorders>
              <w:tl2br w:val="nil"/>
              <w:tr2bl w:val="nil"/>
            </w:tcBorders>
            <w:vAlign w:val="center"/>
          </w:tcPr>
          <w:p>
            <w:pPr>
              <w:pStyle w:val="41"/>
              <w:rPr>
                <w:color w:val="auto"/>
                <w:highlight w:val="none"/>
              </w:rPr>
            </w:pPr>
          </w:p>
        </w:tc>
        <w:tc>
          <w:tcPr>
            <w:tcW w:w="5405" w:type="dxa"/>
            <w:gridSpan w:val="10"/>
            <w:tcBorders>
              <w:tl2br w:val="nil"/>
              <w:tr2bl w:val="nil"/>
            </w:tcBorders>
            <w:vAlign w:val="center"/>
          </w:tcPr>
          <w:p>
            <w:pPr>
              <w:pStyle w:val="41"/>
              <w:rPr>
                <w:color w:val="auto"/>
                <w:highlight w:val="none"/>
              </w:rPr>
            </w:pPr>
            <w:r>
              <w:rPr>
                <w:color w:val="auto"/>
                <w:highlight w:val="none"/>
              </w:rPr>
              <w:t>敏感</w:t>
            </w:r>
            <w:r>
              <w:rPr>
                <w:rFonts w:ascii="Segoe UI Symbol" w:hAnsi="Segoe UI Symbol" w:cs="Segoe UI Symbol"/>
                <w:color w:val="auto"/>
                <w:highlight w:val="none"/>
              </w:rPr>
              <w:t>☑</w:t>
            </w:r>
            <w:r>
              <w:rPr>
                <w:color w:val="auto"/>
                <w:highlight w:val="none"/>
              </w:rPr>
              <w:t>；较敏感</w:t>
            </w:r>
            <w:r>
              <w:rPr>
                <w:rFonts w:hint="eastAsia"/>
                <w:color w:val="auto"/>
                <w:highlight w:val="none"/>
              </w:rPr>
              <w:t>□</w:t>
            </w:r>
            <w:r>
              <w:rPr>
                <w:color w:val="auto"/>
                <w:highlight w:val="none"/>
              </w:rPr>
              <w:t>；不敏感</w:t>
            </w:r>
            <w:r>
              <w:rPr>
                <w:rFonts w:hint="eastAsia"/>
                <w:color w:val="auto"/>
                <w:highlight w:val="none"/>
              </w:rPr>
              <w:t>□</w:t>
            </w:r>
          </w:p>
        </w:tc>
        <w:tc>
          <w:tcPr>
            <w:tcW w:w="1381" w:type="dxa"/>
            <w:tcBorders>
              <w:tl2br w:val="nil"/>
              <w:tr2bl w:val="nil"/>
            </w:tcBorders>
            <w:vAlign w:val="center"/>
          </w:tcPr>
          <w:p>
            <w:pPr>
              <w:pStyle w:val="41"/>
              <w:rPr>
                <w:color w:val="auto"/>
                <w:highlight w:val="none"/>
              </w:rPr>
            </w:pPr>
            <w:r>
              <w:rPr>
                <w:color w:val="auto"/>
                <w:highlight w:val="none"/>
              </w:rPr>
              <w:t>生态影响型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gridSpan w:val="2"/>
            <w:vMerge w:val="restart"/>
            <w:tcBorders>
              <w:tl2br w:val="nil"/>
              <w:tr2bl w:val="nil"/>
            </w:tcBorders>
            <w:vAlign w:val="center"/>
          </w:tcPr>
          <w:p>
            <w:pPr>
              <w:pStyle w:val="41"/>
              <w:rPr>
                <w:color w:val="auto"/>
                <w:highlight w:val="none"/>
              </w:rPr>
            </w:pPr>
            <w:r>
              <w:rPr>
                <w:color w:val="auto"/>
                <w:highlight w:val="none"/>
              </w:rPr>
              <w:t>评价工作等级</w:t>
            </w:r>
          </w:p>
        </w:tc>
        <w:tc>
          <w:tcPr>
            <w:tcW w:w="5405" w:type="dxa"/>
            <w:gridSpan w:val="10"/>
            <w:tcBorders>
              <w:tl2br w:val="nil"/>
              <w:tr2bl w:val="nil"/>
            </w:tcBorders>
            <w:vAlign w:val="center"/>
          </w:tcPr>
          <w:p>
            <w:pPr>
              <w:pStyle w:val="41"/>
              <w:rPr>
                <w:color w:val="auto"/>
                <w:highlight w:val="none"/>
              </w:rPr>
            </w:pPr>
            <w:r>
              <w:rPr>
                <w:color w:val="auto"/>
                <w:highlight w:val="none"/>
              </w:rPr>
              <w:t>一级</w:t>
            </w:r>
            <w:r>
              <w:rPr>
                <w:rFonts w:hint="eastAsia" w:ascii="Segoe UI Symbol" w:hAnsi="Segoe UI Symbol" w:cs="Segoe UI Symbol"/>
                <w:color w:val="auto"/>
                <w:highlight w:val="none"/>
              </w:rPr>
              <w:t>□</w:t>
            </w:r>
            <w:r>
              <w:rPr>
                <w:color w:val="auto"/>
                <w:highlight w:val="none"/>
              </w:rPr>
              <w:t>；二级</w:t>
            </w:r>
            <w:r>
              <w:rPr>
                <w:rFonts w:hint="eastAsia"/>
                <w:color w:val="auto"/>
                <w:highlight w:val="none"/>
              </w:rPr>
              <w:t>☑</w:t>
            </w:r>
            <w:r>
              <w:rPr>
                <w:color w:val="auto"/>
                <w:highlight w:val="none"/>
              </w:rPr>
              <w:t>；三级</w:t>
            </w:r>
            <w:r>
              <w:rPr>
                <w:rFonts w:hint="eastAsia"/>
                <w:color w:val="auto"/>
                <w:highlight w:val="none"/>
              </w:rPr>
              <w:t>□</w:t>
            </w:r>
          </w:p>
        </w:tc>
        <w:tc>
          <w:tcPr>
            <w:tcW w:w="1381" w:type="dxa"/>
            <w:tcBorders>
              <w:tl2br w:val="nil"/>
              <w:tr2bl w:val="nil"/>
            </w:tcBorders>
            <w:vAlign w:val="center"/>
          </w:tcPr>
          <w:p>
            <w:pPr>
              <w:pStyle w:val="41"/>
              <w:rPr>
                <w:color w:val="auto"/>
                <w:highlight w:val="none"/>
              </w:rPr>
            </w:pPr>
            <w:r>
              <w:rPr>
                <w:rFonts w:hint="eastAsia"/>
                <w:color w:val="auto"/>
                <w:highlight w:val="none"/>
              </w:rPr>
              <w:t>污染</w:t>
            </w:r>
            <w:r>
              <w:rPr>
                <w:color w:val="auto"/>
                <w:highlight w:val="none"/>
              </w:rPr>
              <w:t>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gridSpan w:val="2"/>
            <w:vMerge w:val="continue"/>
            <w:tcBorders>
              <w:tl2br w:val="nil"/>
              <w:tr2bl w:val="nil"/>
            </w:tcBorders>
            <w:vAlign w:val="center"/>
          </w:tcPr>
          <w:p>
            <w:pPr>
              <w:pStyle w:val="41"/>
              <w:rPr>
                <w:color w:val="auto"/>
                <w:highlight w:val="none"/>
              </w:rPr>
            </w:pPr>
          </w:p>
        </w:tc>
        <w:tc>
          <w:tcPr>
            <w:tcW w:w="5405" w:type="dxa"/>
            <w:gridSpan w:val="10"/>
            <w:tcBorders>
              <w:tl2br w:val="nil"/>
              <w:tr2bl w:val="nil"/>
            </w:tcBorders>
            <w:vAlign w:val="center"/>
          </w:tcPr>
          <w:p>
            <w:pPr>
              <w:pStyle w:val="41"/>
              <w:rPr>
                <w:color w:val="auto"/>
                <w:highlight w:val="none"/>
              </w:rPr>
            </w:pPr>
            <w:r>
              <w:rPr>
                <w:color w:val="auto"/>
                <w:highlight w:val="none"/>
              </w:rPr>
              <w:t>一级</w:t>
            </w:r>
            <w:r>
              <w:rPr>
                <w:rFonts w:hint="eastAsia" w:ascii="Segoe UI Symbol" w:hAnsi="Segoe UI Symbol" w:cs="Segoe UI Symbol"/>
                <w:color w:val="auto"/>
                <w:highlight w:val="none"/>
                <w:lang w:eastAsia="zh-CN"/>
              </w:rPr>
              <w:t>☑</w:t>
            </w:r>
            <w:r>
              <w:rPr>
                <w:color w:val="auto"/>
                <w:highlight w:val="none"/>
              </w:rPr>
              <w:t>；二级</w:t>
            </w:r>
            <w:r>
              <w:rPr>
                <w:rFonts w:hint="eastAsia"/>
                <w:color w:val="auto"/>
                <w:highlight w:val="none"/>
                <w:lang w:eastAsia="zh-CN"/>
              </w:rPr>
              <w:t>□</w:t>
            </w:r>
            <w:r>
              <w:rPr>
                <w:color w:val="auto"/>
                <w:highlight w:val="none"/>
              </w:rPr>
              <w:t>；三级</w:t>
            </w:r>
            <w:r>
              <w:rPr>
                <w:rFonts w:hint="eastAsia"/>
                <w:color w:val="auto"/>
                <w:highlight w:val="none"/>
              </w:rPr>
              <w:t>□</w:t>
            </w:r>
          </w:p>
        </w:tc>
        <w:tc>
          <w:tcPr>
            <w:tcW w:w="1381" w:type="dxa"/>
            <w:tcBorders>
              <w:tl2br w:val="nil"/>
              <w:tr2bl w:val="nil"/>
            </w:tcBorders>
            <w:vAlign w:val="center"/>
          </w:tcPr>
          <w:p>
            <w:pPr>
              <w:pStyle w:val="41"/>
              <w:rPr>
                <w:color w:val="auto"/>
                <w:highlight w:val="none"/>
              </w:rPr>
            </w:pPr>
            <w:r>
              <w:rPr>
                <w:color w:val="auto"/>
                <w:highlight w:val="none"/>
              </w:rPr>
              <w:t>生态影响型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vAlign w:val="center"/>
          </w:tcPr>
          <w:p>
            <w:pPr>
              <w:pStyle w:val="41"/>
              <w:rPr>
                <w:color w:val="auto"/>
                <w:highlight w:val="none"/>
              </w:rPr>
            </w:pPr>
            <w:r>
              <w:rPr>
                <w:color w:val="auto"/>
                <w:highlight w:val="none"/>
              </w:rPr>
              <w:t>现</w:t>
            </w:r>
            <w:r>
              <w:rPr>
                <w:rFonts w:hint="eastAsia"/>
                <w:color w:val="auto"/>
                <w:highlight w:val="none"/>
                <w:lang w:eastAsia="zh-CN"/>
              </w:rPr>
              <w:t>状</w:t>
            </w:r>
            <w:r>
              <w:rPr>
                <w:color w:val="auto"/>
                <w:highlight w:val="none"/>
              </w:rPr>
              <w:t>调查内容</w:t>
            </w:r>
          </w:p>
        </w:tc>
        <w:tc>
          <w:tcPr>
            <w:tcW w:w="1582" w:type="dxa"/>
            <w:tcBorders>
              <w:tl2br w:val="nil"/>
              <w:tr2bl w:val="nil"/>
            </w:tcBorders>
            <w:vAlign w:val="center"/>
          </w:tcPr>
          <w:p>
            <w:pPr>
              <w:pStyle w:val="41"/>
              <w:rPr>
                <w:color w:val="auto"/>
                <w:highlight w:val="none"/>
              </w:rPr>
            </w:pPr>
            <w:r>
              <w:rPr>
                <w:color w:val="auto"/>
                <w:highlight w:val="none"/>
              </w:rPr>
              <w:t>资料收集</w:t>
            </w:r>
          </w:p>
        </w:tc>
        <w:tc>
          <w:tcPr>
            <w:tcW w:w="5405" w:type="dxa"/>
            <w:gridSpan w:val="10"/>
            <w:tcBorders>
              <w:tl2br w:val="nil"/>
              <w:tr2bl w:val="nil"/>
            </w:tcBorders>
            <w:vAlign w:val="center"/>
          </w:tcPr>
          <w:p>
            <w:pPr>
              <w:pStyle w:val="41"/>
              <w:rPr>
                <w:color w:val="auto"/>
                <w:highlight w:val="none"/>
              </w:rPr>
            </w:pPr>
            <w:r>
              <w:rPr>
                <w:color w:val="auto"/>
                <w:highlight w:val="none"/>
              </w:rPr>
              <w:t>a）</w:t>
            </w:r>
            <w:r>
              <w:rPr>
                <w:rFonts w:ascii="Segoe UI Symbol" w:hAnsi="Segoe UI Symbol" w:cs="Segoe UI Symbol"/>
                <w:color w:val="auto"/>
                <w:highlight w:val="none"/>
              </w:rPr>
              <w:t>☑</w:t>
            </w:r>
            <w:r>
              <w:rPr>
                <w:color w:val="auto"/>
                <w:highlight w:val="none"/>
              </w:rPr>
              <w:t>；b）</w:t>
            </w:r>
            <w:r>
              <w:rPr>
                <w:rFonts w:ascii="Segoe UI Symbol" w:hAnsi="Segoe UI Symbol" w:cs="Segoe UI Symbol"/>
                <w:color w:val="auto"/>
                <w:highlight w:val="none"/>
              </w:rPr>
              <w:t>☑</w:t>
            </w:r>
            <w:r>
              <w:rPr>
                <w:color w:val="auto"/>
                <w:highlight w:val="none"/>
              </w:rPr>
              <w:t>；c）</w:t>
            </w:r>
            <w:r>
              <w:rPr>
                <w:rFonts w:ascii="Segoe UI Symbol" w:hAnsi="Segoe UI Symbol" w:cs="Segoe UI Symbol"/>
                <w:color w:val="auto"/>
                <w:highlight w:val="none"/>
              </w:rPr>
              <w:t>☑</w:t>
            </w:r>
            <w:r>
              <w:rPr>
                <w:color w:val="auto"/>
                <w:highlight w:val="none"/>
              </w:rPr>
              <w:t>；d）</w:t>
            </w:r>
            <w:r>
              <w:rPr>
                <w:rFonts w:ascii="Segoe UI Symbol" w:hAnsi="Segoe UI Symbol" w:cs="Segoe UI Symbol"/>
                <w:color w:val="auto"/>
                <w:highlight w:val="none"/>
              </w:rPr>
              <w:t>☑</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理化特性</w:t>
            </w:r>
          </w:p>
        </w:tc>
        <w:tc>
          <w:tcPr>
            <w:tcW w:w="5405" w:type="dxa"/>
            <w:gridSpan w:val="10"/>
            <w:tcBorders>
              <w:tl2br w:val="nil"/>
              <w:tr2bl w:val="nil"/>
            </w:tcBorders>
            <w:vAlign w:val="center"/>
          </w:tcPr>
          <w:p>
            <w:pPr>
              <w:pStyle w:val="41"/>
              <w:rPr>
                <w:color w:val="auto"/>
                <w:highlight w:val="none"/>
              </w:rPr>
            </w:pPr>
            <w:r>
              <w:rPr>
                <w:rFonts w:hint="eastAsia"/>
                <w:color w:val="auto"/>
                <w:highlight w:val="none"/>
              </w:rPr>
              <w:t>见表4.5-1</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restart"/>
            <w:tcBorders>
              <w:tl2br w:val="nil"/>
              <w:tr2bl w:val="nil"/>
            </w:tcBorders>
            <w:vAlign w:val="center"/>
          </w:tcPr>
          <w:p>
            <w:pPr>
              <w:pStyle w:val="41"/>
              <w:rPr>
                <w:color w:val="auto"/>
                <w:highlight w:val="none"/>
              </w:rPr>
            </w:pPr>
            <w:r>
              <w:rPr>
                <w:color w:val="auto"/>
                <w:highlight w:val="none"/>
              </w:rPr>
              <w:t>现状监测点位</w:t>
            </w:r>
          </w:p>
        </w:tc>
        <w:tc>
          <w:tcPr>
            <w:tcW w:w="1450" w:type="dxa"/>
            <w:gridSpan w:val="3"/>
            <w:tcBorders>
              <w:tl2br w:val="nil"/>
              <w:tr2bl w:val="nil"/>
            </w:tcBorders>
            <w:vAlign w:val="center"/>
          </w:tcPr>
          <w:p>
            <w:pPr>
              <w:pStyle w:val="41"/>
              <w:rPr>
                <w:color w:val="auto"/>
                <w:highlight w:val="none"/>
              </w:rPr>
            </w:pPr>
          </w:p>
        </w:tc>
        <w:tc>
          <w:tcPr>
            <w:tcW w:w="1368" w:type="dxa"/>
            <w:gridSpan w:val="2"/>
            <w:tcBorders>
              <w:tl2br w:val="nil"/>
              <w:tr2bl w:val="nil"/>
            </w:tcBorders>
            <w:vAlign w:val="center"/>
          </w:tcPr>
          <w:p>
            <w:pPr>
              <w:pStyle w:val="41"/>
              <w:rPr>
                <w:color w:val="auto"/>
                <w:highlight w:val="none"/>
              </w:rPr>
            </w:pPr>
            <w:r>
              <w:rPr>
                <w:color w:val="auto"/>
                <w:highlight w:val="none"/>
              </w:rPr>
              <w:t>占地范围内</w:t>
            </w:r>
          </w:p>
        </w:tc>
        <w:tc>
          <w:tcPr>
            <w:tcW w:w="1368" w:type="dxa"/>
            <w:gridSpan w:val="3"/>
            <w:tcBorders>
              <w:tl2br w:val="nil"/>
              <w:tr2bl w:val="nil"/>
            </w:tcBorders>
            <w:vAlign w:val="center"/>
          </w:tcPr>
          <w:p>
            <w:pPr>
              <w:pStyle w:val="41"/>
              <w:rPr>
                <w:color w:val="auto"/>
                <w:highlight w:val="none"/>
              </w:rPr>
            </w:pPr>
            <w:r>
              <w:rPr>
                <w:color w:val="auto"/>
                <w:highlight w:val="none"/>
              </w:rPr>
              <w:t>占地范围外</w:t>
            </w:r>
          </w:p>
        </w:tc>
        <w:tc>
          <w:tcPr>
            <w:tcW w:w="1219" w:type="dxa"/>
            <w:gridSpan w:val="2"/>
            <w:tcBorders>
              <w:tl2br w:val="nil"/>
              <w:tr2bl w:val="nil"/>
            </w:tcBorders>
            <w:vAlign w:val="center"/>
          </w:tcPr>
          <w:p>
            <w:pPr>
              <w:pStyle w:val="41"/>
              <w:rPr>
                <w:color w:val="auto"/>
                <w:highlight w:val="none"/>
              </w:rPr>
            </w:pPr>
            <w:r>
              <w:rPr>
                <w:color w:val="auto"/>
                <w:highlight w:val="none"/>
              </w:rPr>
              <w:t>深度</w:t>
            </w:r>
          </w:p>
        </w:tc>
        <w:tc>
          <w:tcPr>
            <w:tcW w:w="1381" w:type="dxa"/>
            <w:vMerge w:val="restart"/>
            <w:tcBorders>
              <w:tl2br w:val="nil"/>
              <w:tr2bl w:val="nil"/>
            </w:tcBorders>
            <w:vAlign w:val="center"/>
          </w:tcPr>
          <w:p>
            <w:pPr>
              <w:pStyle w:val="41"/>
              <w:rPr>
                <w:color w:val="auto"/>
                <w:highlight w:val="none"/>
              </w:rPr>
            </w:pPr>
            <w:r>
              <w:rPr>
                <w:rFonts w:hint="eastAsia"/>
                <w:color w:val="auto"/>
                <w:highlight w:val="none"/>
              </w:rPr>
              <w:t>见监测</w:t>
            </w:r>
            <w:r>
              <w:rPr>
                <w:color w:val="auto"/>
                <w:highlight w:val="none"/>
              </w:rPr>
              <w:t>点位布置图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continue"/>
            <w:tcBorders>
              <w:tl2br w:val="nil"/>
              <w:tr2bl w:val="nil"/>
            </w:tcBorders>
            <w:vAlign w:val="center"/>
          </w:tcPr>
          <w:p>
            <w:pPr>
              <w:pStyle w:val="41"/>
              <w:rPr>
                <w:color w:val="auto"/>
                <w:highlight w:val="none"/>
              </w:rPr>
            </w:pPr>
          </w:p>
        </w:tc>
        <w:tc>
          <w:tcPr>
            <w:tcW w:w="1450" w:type="dxa"/>
            <w:gridSpan w:val="3"/>
            <w:tcBorders>
              <w:tl2br w:val="nil"/>
              <w:tr2bl w:val="nil"/>
            </w:tcBorders>
            <w:vAlign w:val="center"/>
          </w:tcPr>
          <w:p>
            <w:pPr>
              <w:pStyle w:val="41"/>
              <w:rPr>
                <w:color w:val="auto"/>
                <w:highlight w:val="none"/>
              </w:rPr>
            </w:pPr>
            <w:r>
              <w:rPr>
                <w:color w:val="auto"/>
                <w:highlight w:val="none"/>
              </w:rPr>
              <w:t>表层样点数</w:t>
            </w:r>
          </w:p>
        </w:tc>
        <w:tc>
          <w:tcPr>
            <w:tcW w:w="1368" w:type="dxa"/>
            <w:gridSpan w:val="2"/>
            <w:tcBorders>
              <w:tl2br w:val="nil"/>
              <w:tr2bl w:val="nil"/>
            </w:tcBorders>
            <w:vAlign w:val="center"/>
          </w:tcPr>
          <w:p>
            <w:pPr>
              <w:pStyle w:val="41"/>
              <w:rPr>
                <w:rFonts w:hint="eastAsia" w:eastAsia="宋体"/>
                <w:color w:val="auto"/>
                <w:highlight w:val="none"/>
                <w:lang w:eastAsia="zh-CN"/>
              </w:rPr>
            </w:pPr>
            <w:r>
              <w:rPr>
                <w:rFonts w:hint="eastAsia"/>
                <w:color w:val="auto"/>
                <w:highlight w:val="none"/>
                <w:lang w:val="en-US" w:eastAsia="zh-CN"/>
              </w:rPr>
              <w:t>6</w:t>
            </w:r>
          </w:p>
        </w:tc>
        <w:tc>
          <w:tcPr>
            <w:tcW w:w="1368" w:type="dxa"/>
            <w:gridSpan w:val="3"/>
            <w:tcBorders>
              <w:tl2br w:val="nil"/>
              <w:tr2bl w:val="nil"/>
            </w:tcBorders>
            <w:vAlign w:val="center"/>
          </w:tcPr>
          <w:p>
            <w:pPr>
              <w:pStyle w:val="41"/>
              <w:rPr>
                <w:rFonts w:hint="eastAsia" w:eastAsia="宋体"/>
                <w:color w:val="auto"/>
                <w:highlight w:val="none"/>
                <w:lang w:eastAsia="zh-CN"/>
              </w:rPr>
            </w:pPr>
            <w:r>
              <w:rPr>
                <w:rFonts w:hint="eastAsia"/>
                <w:color w:val="auto"/>
                <w:highlight w:val="none"/>
                <w:lang w:val="en-US" w:eastAsia="zh-CN"/>
              </w:rPr>
              <w:t>7</w:t>
            </w:r>
          </w:p>
        </w:tc>
        <w:tc>
          <w:tcPr>
            <w:tcW w:w="1219" w:type="dxa"/>
            <w:gridSpan w:val="2"/>
            <w:tcBorders>
              <w:tl2br w:val="nil"/>
              <w:tr2bl w:val="nil"/>
            </w:tcBorders>
            <w:vAlign w:val="center"/>
          </w:tcPr>
          <w:p>
            <w:pPr>
              <w:pStyle w:val="41"/>
              <w:rPr>
                <w:color w:val="auto"/>
                <w:highlight w:val="none"/>
              </w:rPr>
            </w:pPr>
            <w:r>
              <w:rPr>
                <w:color w:val="auto"/>
                <w:highlight w:val="none"/>
              </w:rPr>
              <w:t>0~0.</w:t>
            </w:r>
            <w:r>
              <w:rPr>
                <w:rFonts w:hint="eastAsia"/>
                <w:color w:val="auto"/>
                <w:highlight w:val="none"/>
              </w:rPr>
              <w:t>2</w:t>
            </w:r>
            <w:r>
              <w:rPr>
                <w:color w:val="auto"/>
                <w:highlight w:val="none"/>
              </w:rPr>
              <w:t>m</w:t>
            </w:r>
          </w:p>
        </w:tc>
        <w:tc>
          <w:tcPr>
            <w:tcW w:w="1381" w:type="dxa"/>
            <w:vMerge w:val="continue"/>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continue"/>
            <w:tcBorders>
              <w:tl2br w:val="nil"/>
              <w:tr2bl w:val="nil"/>
            </w:tcBorders>
            <w:vAlign w:val="center"/>
          </w:tcPr>
          <w:p>
            <w:pPr>
              <w:pStyle w:val="41"/>
              <w:rPr>
                <w:color w:val="auto"/>
                <w:highlight w:val="none"/>
              </w:rPr>
            </w:pPr>
          </w:p>
        </w:tc>
        <w:tc>
          <w:tcPr>
            <w:tcW w:w="1450" w:type="dxa"/>
            <w:gridSpan w:val="3"/>
            <w:tcBorders>
              <w:tl2br w:val="nil"/>
              <w:tr2bl w:val="nil"/>
            </w:tcBorders>
            <w:vAlign w:val="center"/>
          </w:tcPr>
          <w:p>
            <w:pPr>
              <w:pStyle w:val="41"/>
              <w:rPr>
                <w:color w:val="auto"/>
                <w:highlight w:val="none"/>
              </w:rPr>
            </w:pPr>
            <w:r>
              <w:rPr>
                <w:color w:val="auto"/>
                <w:highlight w:val="none"/>
              </w:rPr>
              <w:t>柱状样点数</w:t>
            </w:r>
          </w:p>
        </w:tc>
        <w:tc>
          <w:tcPr>
            <w:tcW w:w="1368" w:type="dxa"/>
            <w:gridSpan w:val="2"/>
            <w:tcBorders>
              <w:tl2br w:val="nil"/>
              <w:tr2bl w:val="nil"/>
            </w:tcBorders>
            <w:vAlign w:val="center"/>
          </w:tcPr>
          <w:p>
            <w:pPr>
              <w:pStyle w:val="41"/>
              <w:rPr>
                <w:rFonts w:hint="eastAsia" w:eastAsia="宋体"/>
                <w:color w:val="auto"/>
                <w:highlight w:val="none"/>
                <w:lang w:eastAsia="zh-CN"/>
              </w:rPr>
            </w:pPr>
            <w:r>
              <w:rPr>
                <w:rFonts w:hint="eastAsia"/>
                <w:color w:val="auto"/>
                <w:highlight w:val="none"/>
                <w:lang w:val="en-US" w:eastAsia="zh-CN"/>
              </w:rPr>
              <w:t>3</w:t>
            </w:r>
          </w:p>
        </w:tc>
        <w:tc>
          <w:tcPr>
            <w:tcW w:w="1368" w:type="dxa"/>
            <w:gridSpan w:val="3"/>
            <w:tcBorders>
              <w:tl2br w:val="nil"/>
              <w:tr2bl w:val="nil"/>
            </w:tcBorders>
            <w:vAlign w:val="center"/>
          </w:tcPr>
          <w:p>
            <w:pPr>
              <w:pStyle w:val="41"/>
              <w:rPr>
                <w:color w:val="auto"/>
                <w:highlight w:val="none"/>
              </w:rPr>
            </w:pPr>
            <w:r>
              <w:rPr>
                <w:rFonts w:hint="eastAsia"/>
                <w:color w:val="auto"/>
                <w:highlight w:val="none"/>
              </w:rPr>
              <w:t>/</w:t>
            </w:r>
          </w:p>
        </w:tc>
        <w:tc>
          <w:tcPr>
            <w:tcW w:w="1219" w:type="dxa"/>
            <w:gridSpan w:val="2"/>
            <w:tcBorders>
              <w:tl2br w:val="nil"/>
              <w:tr2bl w:val="nil"/>
            </w:tcBorders>
            <w:vAlign w:val="center"/>
          </w:tcPr>
          <w:p>
            <w:pPr>
              <w:pStyle w:val="41"/>
              <w:rPr>
                <w:color w:val="auto"/>
                <w:highlight w:val="none"/>
              </w:rPr>
            </w:pPr>
            <w:r>
              <w:rPr>
                <w:color w:val="auto"/>
                <w:highlight w:val="none"/>
              </w:rPr>
              <w:t>0~0.</w:t>
            </w:r>
            <w:r>
              <w:rPr>
                <w:rFonts w:hint="eastAsia"/>
                <w:color w:val="auto"/>
                <w:highlight w:val="none"/>
                <w:lang w:val="en-US" w:eastAsia="zh-CN"/>
              </w:rPr>
              <w:t>5</w:t>
            </w:r>
            <w:r>
              <w:rPr>
                <w:color w:val="auto"/>
                <w:highlight w:val="none"/>
              </w:rPr>
              <w:t>m，0.5~1.5m，1.5~3m</w:t>
            </w:r>
          </w:p>
        </w:tc>
        <w:tc>
          <w:tcPr>
            <w:tcW w:w="1381" w:type="dxa"/>
            <w:vMerge w:val="continue"/>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现状监测因子</w:t>
            </w:r>
          </w:p>
        </w:tc>
        <w:tc>
          <w:tcPr>
            <w:tcW w:w="5405" w:type="dxa"/>
            <w:gridSpan w:val="10"/>
            <w:vMerge w:val="restart"/>
            <w:tcBorders>
              <w:tl2br w:val="nil"/>
              <w:tr2bl w:val="nil"/>
            </w:tcBorders>
            <w:vAlign w:val="center"/>
          </w:tcPr>
          <w:p>
            <w:pPr>
              <w:pStyle w:val="41"/>
              <w:rPr>
                <w:color w:val="auto"/>
                <w:highlight w:val="none"/>
              </w:rPr>
            </w:pPr>
            <w:r>
              <w:rPr>
                <w:rFonts w:hint="eastAsia" w:ascii="宋体" w:hAnsi="宋体" w:cs="宋体"/>
                <w:color w:val="auto"/>
                <w:szCs w:val="21"/>
                <w:highlight w:val="none"/>
                <w:lang w:bidi="ar"/>
              </w:rPr>
              <w:t>《土壤环境质量 建设用地土壤污染 风险管控标准</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试行</w:t>
            </w:r>
            <w:r>
              <w:rPr>
                <w:rFonts w:hint="eastAsia" w:ascii="宋体" w:hAnsi="宋体" w:cs="宋体"/>
                <w:color w:val="auto"/>
                <w:szCs w:val="21"/>
                <w:highlight w:val="none"/>
                <w:lang w:eastAsia="zh-CN" w:bidi="ar"/>
              </w:rPr>
              <w:t>）</w:t>
            </w:r>
            <w:r>
              <w:rPr>
                <w:rFonts w:hint="eastAsia" w:ascii="宋体" w:hAnsi="宋体" w:cs="宋体"/>
                <w:color w:val="auto"/>
                <w:szCs w:val="21"/>
                <w:highlight w:val="none"/>
                <w:lang w:bidi="ar"/>
              </w:rPr>
              <w:t>》（</w:t>
            </w:r>
            <w:r>
              <w:rPr>
                <w:color w:val="auto"/>
                <w:szCs w:val="21"/>
                <w:highlight w:val="none"/>
                <w:lang w:bidi="ar"/>
              </w:rPr>
              <w:t>GB36600-2018</w:t>
            </w:r>
            <w:r>
              <w:rPr>
                <w:rFonts w:hint="eastAsia" w:ascii="宋体" w:hAnsi="宋体" w:cs="宋体"/>
                <w:color w:val="auto"/>
                <w:szCs w:val="21"/>
                <w:highlight w:val="none"/>
                <w:lang w:bidi="ar"/>
              </w:rPr>
              <w:t>）中的</w:t>
            </w:r>
            <w:r>
              <w:rPr>
                <w:color w:val="auto"/>
                <w:szCs w:val="21"/>
                <w:highlight w:val="none"/>
                <w:lang w:bidi="ar"/>
              </w:rPr>
              <w:t>45</w:t>
            </w:r>
            <w:r>
              <w:rPr>
                <w:rFonts w:hint="eastAsia" w:ascii="宋体" w:hAnsi="宋体" w:cs="宋体"/>
                <w:color w:val="auto"/>
                <w:szCs w:val="21"/>
                <w:highlight w:val="none"/>
                <w:lang w:bidi="ar"/>
              </w:rPr>
              <w:t>项</w:t>
            </w:r>
            <w:r>
              <w:rPr>
                <w:color w:val="auto"/>
                <w:szCs w:val="21"/>
                <w:highlight w:val="none"/>
                <w:lang w:bidi="ar"/>
              </w:rPr>
              <w:t>+</w:t>
            </w:r>
            <w:r>
              <w:rPr>
                <w:rFonts w:hint="eastAsia" w:ascii="宋体" w:hAnsi="宋体" w:cs="宋体"/>
                <w:color w:val="auto"/>
                <w:szCs w:val="21"/>
                <w:highlight w:val="none"/>
                <w:lang w:bidi="ar"/>
              </w:rPr>
              <w:t>特征因子：石油烃</w:t>
            </w:r>
            <w:r>
              <w:rPr>
                <w:color w:val="auto"/>
                <w:szCs w:val="21"/>
                <w:highlight w:val="none"/>
                <w:lang w:bidi="ar"/>
              </w:rPr>
              <w:t>+</w:t>
            </w:r>
            <w:r>
              <w:rPr>
                <w:rFonts w:hint="eastAsia" w:ascii="宋体" w:hAnsi="宋体" w:cs="宋体"/>
                <w:color w:val="auto"/>
                <w:szCs w:val="21"/>
                <w:highlight w:val="none"/>
                <w:lang w:bidi="ar"/>
              </w:rPr>
              <w:t>土壤盐分含量</w:t>
            </w:r>
            <w:r>
              <w:rPr>
                <w:rFonts w:hint="eastAsia"/>
                <w:color w:val="auto"/>
                <w:highlight w:val="none"/>
              </w:rPr>
              <w:t>；</w:t>
            </w:r>
            <w:r>
              <w:rPr>
                <w:color w:val="auto"/>
                <w:highlight w:val="none"/>
              </w:rPr>
              <w:t>《土壤环境质量 农用地土壤污染风险管控标准（试行）》（GB15618-2018）中基</w:t>
            </w:r>
            <w:r>
              <w:rPr>
                <w:rFonts w:hint="eastAsia"/>
                <w:color w:val="auto"/>
                <w:highlight w:val="none"/>
              </w:rPr>
              <w:t>本项目</w:t>
            </w:r>
            <w:r>
              <w:rPr>
                <w:color w:val="auto"/>
                <w:highlight w:val="none"/>
              </w:rPr>
              <w:t>8项</w:t>
            </w:r>
            <w:r>
              <w:rPr>
                <w:rFonts w:hint="eastAsia"/>
                <w:color w:val="auto"/>
                <w:highlight w:val="none"/>
              </w:rPr>
              <w:t>+</w:t>
            </w:r>
            <w:r>
              <w:rPr>
                <w:color w:val="auto"/>
                <w:highlight w:val="none"/>
              </w:rPr>
              <w:t>pH</w:t>
            </w:r>
            <w:r>
              <w:rPr>
                <w:rFonts w:hint="eastAsia"/>
                <w:color w:val="auto"/>
                <w:highlight w:val="none"/>
              </w:rPr>
              <w:t>+</w:t>
            </w:r>
            <w:r>
              <w:rPr>
                <w:color w:val="auto"/>
                <w:highlight w:val="none"/>
              </w:rPr>
              <w:t>石油烃</w:t>
            </w:r>
            <w:r>
              <w:rPr>
                <w:rFonts w:hint="eastAsia"/>
                <w:color w:val="auto"/>
                <w:highlight w:val="none"/>
              </w:rPr>
              <w:t>+土壤盐分含量</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vAlign w:val="center"/>
          </w:tcPr>
          <w:p>
            <w:pPr>
              <w:pStyle w:val="41"/>
              <w:rPr>
                <w:color w:val="auto"/>
                <w:highlight w:val="none"/>
              </w:rPr>
            </w:pPr>
            <w:r>
              <w:rPr>
                <w:rFonts w:hint="eastAsia"/>
                <w:color w:val="auto"/>
                <w:highlight w:val="none"/>
              </w:rPr>
              <w:t>现状</w:t>
            </w:r>
            <w:r>
              <w:rPr>
                <w:color w:val="auto"/>
                <w:highlight w:val="none"/>
              </w:rPr>
              <w:t>评价</w:t>
            </w:r>
          </w:p>
        </w:tc>
        <w:tc>
          <w:tcPr>
            <w:tcW w:w="1582" w:type="dxa"/>
            <w:tcBorders>
              <w:tl2br w:val="nil"/>
              <w:tr2bl w:val="nil"/>
            </w:tcBorders>
            <w:vAlign w:val="center"/>
          </w:tcPr>
          <w:p>
            <w:pPr>
              <w:pStyle w:val="41"/>
              <w:rPr>
                <w:color w:val="auto"/>
                <w:highlight w:val="none"/>
              </w:rPr>
            </w:pPr>
            <w:r>
              <w:rPr>
                <w:color w:val="auto"/>
                <w:highlight w:val="none"/>
              </w:rPr>
              <w:t>评价因子</w:t>
            </w:r>
          </w:p>
        </w:tc>
        <w:tc>
          <w:tcPr>
            <w:tcW w:w="5405" w:type="dxa"/>
            <w:gridSpan w:val="10"/>
            <w:vMerge w:val="continue"/>
            <w:tcBorders>
              <w:tl2br w:val="nil"/>
              <w:tr2bl w:val="nil"/>
            </w:tcBorders>
            <w:vAlign w:val="center"/>
          </w:tcPr>
          <w:p>
            <w:pPr>
              <w:pStyle w:val="41"/>
              <w:rPr>
                <w:color w:val="auto"/>
                <w:highlight w:val="none"/>
              </w:rPr>
            </w:pP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评价标准</w:t>
            </w:r>
          </w:p>
        </w:tc>
        <w:tc>
          <w:tcPr>
            <w:tcW w:w="5405" w:type="dxa"/>
            <w:gridSpan w:val="10"/>
            <w:tcBorders>
              <w:tl2br w:val="nil"/>
              <w:tr2bl w:val="nil"/>
            </w:tcBorders>
            <w:vAlign w:val="center"/>
          </w:tcPr>
          <w:p>
            <w:pPr>
              <w:pStyle w:val="41"/>
              <w:rPr>
                <w:color w:val="auto"/>
                <w:highlight w:val="none"/>
              </w:rPr>
            </w:pPr>
            <w:r>
              <w:rPr>
                <w:color w:val="auto"/>
                <w:highlight w:val="none"/>
              </w:rPr>
              <w:t>GB15618</w:t>
            </w:r>
            <w:r>
              <w:rPr>
                <w:rFonts w:ascii="Segoe UI Symbol" w:hAnsi="Segoe UI Symbol" w:cs="Segoe UI Symbol"/>
                <w:color w:val="auto"/>
                <w:highlight w:val="none"/>
              </w:rPr>
              <w:t>☑</w:t>
            </w:r>
            <w:r>
              <w:rPr>
                <w:color w:val="auto"/>
                <w:highlight w:val="none"/>
              </w:rPr>
              <w:t>；GB36600</w:t>
            </w:r>
            <w:r>
              <w:rPr>
                <w:rFonts w:ascii="Segoe UI Symbol" w:hAnsi="Segoe UI Symbol" w:cs="Segoe UI Symbol"/>
                <w:color w:val="auto"/>
                <w:highlight w:val="none"/>
              </w:rPr>
              <w:t>☑</w:t>
            </w:r>
            <w:r>
              <w:rPr>
                <w:color w:val="auto"/>
                <w:highlight w:val="none"/>
              </w:rPr>
              <w:t>；表D.1□；表D.2□；其他</w:t>
            </w:r>
            <w:r>
              <w:rPr>
                <w:rFonts w:hint="eastAsia"/>
                <w:color w:val="auto"/>
                <w:highlight w:val="none"/>
              </w:rPr>
              <w:t>（</w:t>
            </w:r>
            <w:r>
              <w:rPr>
                <w:color w:val="auto"/>
                <w:highlight w:val="none"/>
              </w:rPr>
              <w:t>）</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现状评价结论</w:t>
            </w:r>
          </w:p>
        </w:tc>
        <w:tc>
          <w:tcPr>
            <w:tcW w:w="5405" w:type="dxa"/>
            <w:gridSpan w:val="10"/>
            <w:tcBorders>
              <w:tl2br w:val="nil"/>
              <w:tr2bl w:val="nil"/>
            </w:tcBorders>
            <w:vAlign w:val="center"/>
          </w:tcPr>
          <w:p>
            <w:pPr>
              <w:pStyle w:val="41"/>
              <w:rPr>
                <w:color w:val="auto"/>
                <w:highlight w:val="none"/>
              </w:rPr>
            </w:pPr>
            <w:r>
              <w:rPr>
                <w:rFonts w:hint="eastAsia"/>
                <w:color w:val="auto"/>
                <w:highlight w:val="none"/>
              </w:rPr>
              <w:t>各评价因子均满足相应标准要求</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396" w:type="dxa"/>
            <w:vMerge w:val="restart"/>
            <w:tcBorders>
              <w:tl2br w:val="nil"/>
              <w:tr2bl w:val="nil"/>
            </w:tcBorders>
            <w:vAlign w:val="center"/>
          </w:tcPr>
          <w:p>
            <w:pPr>
              <w:pStyle w:val="41"/>
              <w:rPr>
                <w:color w:val="auto"/>
                <w:highlight w:val="none"/>
              </w:rPr>
            </w:pPr>
            <w:r>
              <w:rPr>
                <w:color w:val="auto"/>
                <w:highlight w:val="none"/>
              </w:rPr>
              <w:t>影响预测</w:t>
            </w:r>
          </w:p>
        </w:tc>
        <w:tc>
          <w:tcPr>
            <w:tcW w:w="1582" w:type="dxa"/>
            <w:tcBorders>
              <w:tl2br w:val="nil"/>
              <w:tr2bl w:val="nil"/>
            </w:tcBorders>
            <w:vAlign w:val="center"/>
          </w:tcPr>
          <w:p>
            <w:pPr>
              <w:pStyle w:val="41"/>
              <w:rPr>
                <w:color w:val="auto"/>
                <w:highlight w:val="none"/>
              </w:rPr>
            </w:pPr>
            <w:r>
              <w:rPr>
                <w:color w:val="auto"/>
                <w:highlight w:val="none"/>
              </w:rPr>
              <w:t>预测因子</w:t>
            </w:r>
          </w:p>
        </w:tc>
        <w:tc>
          <w:tcPr>
            <w:tcW w:w="5405" w:type="dxa"/>
            <w:gridSpan w:val="10"/>
            <w:tcBorders>
              <w:tl2br w:val="nil"/>
              <w:tr2bl w:val="nil"/>
            </w:tcBorders>
            <w:vAlign w:val="center"/>
          </w:tcPr>
          <w:p>
            <w:pPr>
              <w:pStyle w:val="41"/>
              <w:rPr>
                <w:color w:val="auto"/>
                <w:highlight w:val="none"/>
              </w:rPr>
            </w:pPr>
            <w:r>
              <w:rPr>
                <w:color w:val="auto"/>
                <w:highlight w:val="none"/>
              </w:rPr>
              <w:t>石油烃</w:t>
            </w:r>
            <w:r>
              <w:rPr>
                <w:rFonts w:hint="eastAsia"/>
                <w:color w:val="auto"/>
                <w:highlight w:val="none"/>
              </w:rPr>
              <w:t>（</w:t>
            </w:r>
            <w:r>
              <w:rPr>
                <w:color w:val="auto"/>
                <w:highlight w:val="none"/>
              </w:rPr>
              <w:t>C</w:t>
            </w:r>
            <w:r>
              <w:rPr>
                <w:color w:val="auto"/>
                <w:highlight w:val="none"/>
                <w:vertAlign w:val="subscript"/>
              </w:rPr>
              <w:t>10</w:t>
            </w:r>
            <w:r>
              <w:rPr>
                <w:color w:val="auto"/>
                <w:highlight w:val="none"/>
              </w:rPr>
              <w:t>-C</w:t>
            </w:r>
            <w:r>
              <w:rPr>
                <w:color w:val="auto"/>
                <w:highlight w:val="none"/>
                <w:vertAlign w:val="subscript"/>
              </w:rPr>
              <w:t>40</w:t>
            </w:r>
            <w:r>
              <w:rPr>
                <w:rFonts w:hint="eastAsia"/>
                <w:color w:val="auto"/>
                <w:highlight w:val="none"/>
              </w:rPr>
              <w:t>）</w:t>
            </w:r>
            <w:r>
              <w:rPr>
                <w:color w:val="auto"/>
                <w:highlight w:val="none"/>
              </w:rPr>
              <w:t>、盐分含量</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预测方法</w:t>
            </w:r>
          </w:p>
        </w:tc>
        <w:tc>
          <w:tcPr>
            <w:tcW w:w="5405" w:type="dxa"/>
            <w:gridSpan w:val="10"/>
            <w:tcBorders>
              <w:tl2br w:val="nil"/>
              <w:tr2bl w:val="nil"/>
            </w:tcBorders>
            <w:vAlign w:val="center"/>
          </w:tcPr>
          <w:p>
            <w:pPr>
              <w:pStyle w:val="41"/>
              <w:rPr>
                <w:color w:val="auto"/>
                <w:highlight w:val="none"/>
              </w:rPr>
            </w:pPr>
            <w:r>
              <w:rPr>
                <w:color w:val="auto"/>
                <w:highlight w:val="none"/>
              </w:rPr>
              <w:t>附录E</w:t>
            </w:r>
            <w:r>
              <w:rPr>
                <w:rFonts w:ascii="Segoe UI Symbol" w:hAnsi="Segoe UI Symbol" w:cs="Segoe UI Symbol"/>
                <w:color w:val="auto"/>
                <w:highlight w:val="none"/>
              </w:rPr>
              <w:t>☑</w:t>
            </w:r>
            <w:r>
              <w:rPr>
                <w:color w:val="auto"/>
                <w:highlight w:val="none"/>
              </w:rPr>
              <w:t>；附录F</w:t>
            </w:r>
            <w:r>
              <w:rPr>
                <w:rFonts w:hint="eastAsia"/>
                <w:color w:val="auto"/>
                <w:highlight w:val="none"/>
              </w:rPr>
              <w:t>□</w:t>
            </w:r>
            <w:r>
              <w:rPr>
                <w:color w:val="auto"/>
                <w:highlight w:val="none"/>
              </w:rPr>
              <w:t>；其他（</w:t>
            </w:r>
            <w:r>
              <w:rPr>
                <w:rFonts w:hint="eastAsia"/>
                <w:color w:val="auto"/>
                <w:highlight w:val="none"/>
              </w:rPr>
              <w:t xml:space="preserve"> </w:t>
            </w:r>
            <w:r>
              <w:rPr>
                <w:color w:val="auto"/>
                <w:highlight w:val="none"/>
              </w:rPr>
              <w:t>）</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restart"/>
            <w:tcBorders>
              <w:tl2br w:val="nil"/>
              <w:tr2bl w:val="nil"/>
            </w:tcBorders>
            <w:vAlign w:val="center"/>
          </w:tcPr>
          <w:p>
            <w:pPr>
              <w:pStyle w:val="41"/>
              <w:rPr>
                <w:color w:val="auto"/>
                <w:highlight w:val="none"/>
              </w:rPr>
            </w:pPr>
            <w:r>
              <w:rPr>
                <w:color w:val="auto"/>
                <w:highlight w:val="none"/>
              </w:rPr>
              <w:t>预测分析内容</w:t>
            </w:r>
          </w:p>
        </w:tc>
        <w:tc>
          <w:tcPr>
            <w:tcW w:w="5405" w:type="dxa"/>
            <w:gridSpan w:val="10"/>
            <w:tcBorders>
              <w:tl2br w:val="nil"/>
              <w:tr2bl w:val="nil"/>
            </w:tcBorders>
            <w:vAlign w:val="center"/>
          </w:tcPr>
          <w:p>
            <w:pPr>
              <w:pStyle w:val="41"/>
              <w:rPr>
                <w:color w:val="auto"/>
                <w:highlight w:val="none"/>
              </w:rPr>
            </w:pPr>
            <w:r>
              <w:rPr>
                <w:color w:val="auto"/>
                <w:highlight w:val="none"/>
              </w:rPr>
              <w:t>影响范围（井场</w:t>
            </w:r>
            <w:r>
              <w:rPr>
                <w:rFonts w:hint="eastAsia"/>
                <w:color w:val="auto"/>
                <w:highlight w:val="none"/>
                <w:lang w:eastAsia="zh-CN"/>
              </w:rPr>
              <w:t>、</w:t>
            </w:r>
            <w:r>
              <w:rPr>
                <w:rFonts w:hint="eastAsia"/>
                <w:color w:val="auto"/>
                <w:highlight w:val="none"/>
                <w:lang w:val="en-US" w:eastAsia="zh-CN"/>
              </w:rPr>
              <w:t>站场</w:t>
            </w:r>
            <w:r>
              <w:rPr>
                <w:color w:val="auto"/>
                <w:highlight w:val="none"/>
              </w:rPr>
              <w:t>周围）</w:t>
            </w:r>
            <w:r>
              <w:rPr>
                <w:rFonts w:hint="eastAsia"/>
                <w:color w:val="auto"/>
                <w:highlight w:val="none"/>
              </w:rPr>
              <w:t>；</w:t>
            </w:r>
            <w:r>
              <w:rPr>
                <w:color w:val="auto"/>
                <w:highlight w:val="none"/>
              </w:rPr>
              <w:t>影响程度（</w:t>
            </w:r>
            <w:r>
              <w:rPr>
                <w:rFonts w:hint="eastAsia"/>
                <w:color w:val="auto"/>
                <w:highlight w:val="none"/>
              </w:rPr>
              <w:t>较小</w:t>
            </w:r>
            <w:r>
              <w:rPr>
                <w:color w:val="auto"/>
                <w:highlight w:val="none"/>
              </w:rPr>
              <w:t>）</w:t>
            </w:r>
          </w:p>
        </w:tc>
        <w:tc>
          <w:tcPr>
            <w:tcW w:w="1381" w:type="dxa"/>
            <w:tcBorders>
              <w:tl2br w:val="nil"/>
              <w:tr2bl w:val="nil"/>
            </w:tcBorders>
            <w:vAlign w:val="center"/>
          </w:tcPr>
          <w:p>
            <w:pPr>
              <w:pStyle w:val="41"/>
              <w:rPr>
                <w:color w:val="auto"/>
                <w:highlight w:val="none"/>
              </w:rPr>
            </w:pPr>
            <w:r>
              <w:rPr>
                <w:rFonts w:hint="eastAsia"/>
                <w:color w:val="auto"/>
                <w:highlight w:val="none"/>
              </w:rPr>
              <w:t>污染</w:t>
            </w:r>
            <w:r>
              <w:rPr>
                <w:color w:val="auto"/>
                <w:highlight w:val="none"/>
              </w:rPr>
              <w:t>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continue"/>
            <w:tcBorders>
              <w:tl2br w:val="nil"/>
              <w:tr2bl w:val="nil"/>
            </w:tcBorders>
            <w:vAlign w:val="center"/>
          </w:tcPr>
          <w:p>
            <w:pPr>
              <w:pStyle w:val="41"/>
              <w:rPr>
                <w:color w:val="auto"/>
                <w:highlight w:val="none"/>
              </w:rPr>
            </w:pPr>
          </w:p>
        </w:tc>
        <w:tc>
          <w:tcPr>
            <w:tcW w:w="5405" w:type="dxa"/>
            <w:gridSpan w:val="10"/>
            <w:tcBorders>
              <w:tl2br w:val="nil"/>
              <w:tr2bl w:val="nil"/>
            </w:tcBorders>
            <w:vAlign w:val="center"/>
          </w:tcPr>
          <w:p>
            <w:pPr>
              <w:pStyle w:val="41"/>
              <w:rPr>
                <w:color w:val="auto"/>
                <w:highlight w:val="none"/>
              </w:rPr>
            </w:pPr>
            <w:r>
              <w:rPr>
                <w:color w:val="auto"/>
                <w:highlight w:val="none"/>
              </w:rPr>
              <w:t>影响范围（</w:t>
            </w:r>
            <w:r>
              <w:rPr>
                <w:rFonts w:hint="eastAsia"/>
                <w:color w:val="auto"/>
                <w:highlight w:val="none"/>
                <w:lang w:val="en-US" w:eastAsia="zh-CN"/>
              </w:rPr>
              <w:t>集输</w:t>
            </w:r>
            <w:r>
              <w:rPr>
                <w:color w:val="auto"/>
                <w:highlight w:val="none"/>
              </w:rPr>
              <w:t>管线泄漏点）</w:t>
            </w:r>
          </w:p>
          <w:p>
            <w:pPr>
              <w:pStyle w:val="41"/>
              <w:rPr>
                <w:color w:val="auto"/>
                <w:highlight w:val="none"/>
              </w:rPr>
            </w:pPr>
            <w:r>
              <w:rPr>
                <w:color w:val="auto"/>
                <w:highlight w:val="none"/>
              </w:rPr>
              <w:t>影响程度（</w:t>
            </w:r>
            <w:r>
              <w:rPr>
                <w:rFonts w:hint="eastAsia"/>
                <w:color w:val="auto"/>
                <w:highlight w:val="none"/>
                <w:lang w:val="en-US" w:eastAsia="zh-CN"/>
              </w:rPr>
              <w:t>较小</w:t>
            </w:r>
            <w:r>
              <w:rPr>
                <w:color w:val="auto"/>
                <w:highlight w:val="none"/>
              </w:rPr>
              <w:t>）</w:t>
            </w:r>
          </w:p>
        </w:tc>
        <w:tc>
          <w:tcPr>
            <w:tcW w:w="1381" w:type="dxa"/>
            <w:tcBorders>
              <w:tl2br w:val="nil"/>
              <w:tr2bl w:val="nil"/>
            </w:tcBorders>
            <w:vAlign w:val="center"/>
          </w:tcPr>
          <w:p>
            <w:pPr>
              <w:pStyle w:val="41"/>
              <w:rPr>
                <w:color w:val="auto"/>
                <w:highlight w:val="none"/>
              </w:rPr>
            </w:pPr>
            <w:r>
              <w:rPr>
                <w:color w:val="auto"/>
                <w:highlight w:val="none"/>
              </w:rPr>
              <w:t>生态影响型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预测结论</w:t>
            </w:r>
          </w:p>
        </w:tc>
        <w:tc>
          <w:tcPr>
            <w:tcW w:w="5405" w:type="dxa"/>
            <w:gridSpan w:val="10"/>
            <w:tcBorders>
              <w:tl2br w:val="nil"/>
              <w:tr2bl w:val="nil"/>
            </w:tcBorders>
            <w:vAlign w:val="center"/>
          </w:tcPr>
          <w:p>
            <w:pPr>
              <w:pStyle w:val="41"/>
              <w:rPr>
                <w:color w:val="auto"/>
                <w:highlight w:val="none"/>
              </w:rPr>
            </w:pPr>
            <w:r>
              <w:rPr>
                <w:color w:val="auto"/>
                <w:highlight w:val="none"/>
              </w:rPr>
              <w:t>达标结论：a）□；b）□；c）</w:t>
            </w:r>
            <w:r>
              <w:rPr>
                <w:rFonts w:ascii="Segoe UI Symbol" w:hAnsi="Segoe UI Symbol" w:cs="Segoe UI Symbol"/>
                <w:color w:val="auto"/>
                <w:highlight w:val="none"/>
              </w:rPr>
              <w:t>☑</w:t>
            </w:r>
          </w:p>
          <w:p>
            <w:pPr>
              <w:pStyle w:val="41"/>
              <w:rPr>
                <w:color w:val="auto"/>
                <w:highlight w:val="none"/>
              </w:rPr>
            </w:pPr>
            <w:r>
              <w:rPr>
                <w:color w:val="auto"/>
                <w:highlight w:val="none"/>
              </w:rPr>
              <w:t>不达标结论：a）□；b）□</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restart"/>
            <w:tcBorders>
              <w:tl2br w:val="nil"/>
              <w:tr2bl w:val="nil"/>
            </w:tcBorders>
            <w:vAlign w:val="center"/>
          </w:tcPr>
          <w:p>
            <w:pPr>
              <w:pStyle w:val="41"/>
              <w:rPr>
                <w:color w:val="auto"/>
                <w:highlight w:val="none"/>
              </w:rPr>
            </w:pPr>
            <w:r>
              <w:rPr>
                <w:rFonts w:hint="eastAsia"/>
                <w:color w:val="auto"/>
                <w:highlight w:val="none"/>
              </w:rPr>
              <w:t>防</w:t>
            </w:r>
            <w:r>
              <w:rPr>
                <w:color w:val="auto"/>
                <w:highlight w:val="none"/>
              </w:rPr>
              <w:t>治措施</w:t>
            </w:r>
          </w:p>
        </w:tc>
        <w:tc>
          <w:tcPr>
            <w:tcW w:w="1582" w:type="dxa"/>
            <w:tcBorders>
              <w:tl2br w:val="nil"/>
              <w:tr2bl w:val="nil"/>
            </w:tcBorders>
            <w:vAlign w:val="center"/>
          </w:tcPr>
          <w:p>
            <w:pPr>
              <w:pStyle w:val="41"/>
              <w:rPr>
                <w:color w:val="auto"/>
                <w:highlight w:val="none"/>
              </w:rPr>
            </w:pPr>
            <w:r>
              <w:rPr>
                <w:color w:val="auto"/>
                <w:highlight w:val="none"/>
              </w:rPr>
              <w:t>防控措施</w:t>
            </w:r>
          </w:p>
        </w:tc>
        <w:tc>
          <w:tcPr>
            <w:tcW w:w="5405" w:type="dxa"/>
            <w:gridSpan w:val="10"/>
            <w:tcBorders>
              <w:tl2br w:val="nil"/>
              <w:tr2bl w:val="nil"/>
            </w:tcBorders>
            <w:vAlign w:val="center"/>
          </w:tcPr>
          <w:p>
            <w:pPr>
              <w:pStyle w:val="41"/>
              <w:rPr>
                <w:color w:val="auto"/>
                <w:highlight w:val="none"/>
              </w:rPr>
            </w:pPr>
            <w:r>
              <w:rPr>
                <w:color w:val="auto"/>
                <w:highlight w:val="none"/>
              </w:rPr>
              <w:t>土壤环境质量现状保障</w:t>
            </w:r>
            <w:r>
              <w:rPr>
                <w:rFonts w:hint="eastAsia"/>
                <w:color w:val="auto"/>
                <w:highlight w:val="none"/>
              </w:rPr>
              <w:t>☑</w:t>
            </w:r>
            <w:r>
              <w:rPr>
                <w:color w:val="auto"/>
                <w:highlight w:val="none"/>
              </w:rPr>
              <w:t>；源头控制</w:t>
            </w:r>
            <w:r>
              <w:rPr>
                <w:rFonts w:ascii="Segoe UI Symbol" w:hAnsi="Segoe UI Symbol" w:cs="Segoe UI Symbol"/>
                <w:color w:val="auto"/>
                <w:highlight w:val="none"/>
              </w:rPr>
              <w:t>☑</w:t>
            </w:r>
            <w:r>
              <w:rPr>
                <w:color w:val="auto"/>
                <w:highlight w:val="none"/>
              </w:rPr>
              <w:t>；过程防控</w:t>
            </w:r>
            <w:r>
              <w:rPr>
                <w:rFonts w:ascii="Segoe UI Symbol" w:hAnsi="Segoe UI Symbol" w:cs="Segoe UI Symbol"/>
                <w:color w:val="auto"/>
                <w:highlight w:val="none"/>
              </w:rPr>
              <w:t>☑</w:t>
            </w:r>
            <w:r>
              <w:rPr>
                <w:color w:val="auto"/>
                <w:highlight w:val="none"/>
              </w:rPr>
              <w:t>；其他（）</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restart"/>
            <w:tcBorders>
              <w:tl2br w:val="nil"/>
              <w:tr2bl w:val="nil"/>
            </w:tcBorders>
            <w:vAlign w:val="center"/>
          </w:tcPr>
          <w:p>
            <w:pPr>
              <w:pStyle w:val="41"/>
              <w:rPr>
                <w:color w:val="auto"/>
                <w:highlight w:val="none"/>
              </w:rPr>
            </w:pPr>
            <w:r>
              <w:rPr>
                <w:color w:val="auto"/>
                <w:highlight w:val="none"/>
              </w:rPr>
              <w:t>跟踪监测</w:t>
            </w:r>
          </w:p>
        </w:tc>
        <w:tc>
          <w:tcPr>
            <w:tcW w:w="1020" w:type="dxa"/>
            <w:gridSpan w:val="2"/>
            <w:tcBorders>
              <w:tl2br w:val="nil"/>
              <w:tr2bl w:val="nil"/>
            </w:tcBorders>
            <w:vAlign w:val="center"/>
          </w:tcPr>
          <w:p>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层位</w:t>
            </w:r>
          </w:p>
        </w:tc>
        <w:tc>
          <w:tcPr>
            <w:tcW w:w="1042" w:type="dxa"/>
            <w:gridSpan w:val="2"/>
            <w:tcBorders>
              <w:tl2br w:val="nil"/>
              <w:tr2bl w:val="nil"/>
            </w:tcBorders>
            <w:vAlign w:val="center"/>
          </w:tcPr>
          <w:p>
            <w:pPr>
              <w:pStyle w:val="106"/>
              <w:spacing w:line="280" w:lineRule="exact"/>
              <w:rPr>
                <w:color w:val="auto"/>
                <w:highlight w:val="none"/>
              </w:rPr>
            </w:pPr>
            <w:r>
              <w:rPr>
                <w:rFonts w:hint="eastAsia" w:ascii="Times New Roman" w:hAnsi="Times New Roman" w:cs="Times New Roman"/>
                <w:color w:val="auto"/>
                <w:spacing w:val="-6"/>
                <w:sz w:val="21"/>
                <w:szCs w:val="21"/>
                <w:highlight w:val="none"/>
                <w:shd w:val="clear" w:color="auto" w:fill="auto"/>
                <w:lang w:val="en-US" w:eastAsia="zh-CN"/>
              </w:rPr>
              <w:t>拉油站</w:t>
            </w:r>
            <w:r>
              <w:rPr>
                <w:rFonts w:hint="default" w:ascii="Times New Roman" w:hAnsi="Times New Roman" w:cs="Times New Roman"/>
                <w:color w:val="auto"/>
                <w:spacing w:val="-6"/>
                <w:sz w:val="21"/>
                <w:szCs w:val="21"/>
                <w:highlight w:val="none"/>
                <w:shd w:val="clear" w:color="auto" w:fill="auto"/>
              </w:rPr>
              <w:t>占地范围内</w:t>
            </w:r>
          </w:p>
        </w:tc>
        <w:tc>
          <w:tcPr>
            <w:tcW w:w="900" w:type="dxa"/>
            <w:gridSpan w:val="2"/>
            <w:tcBorders>
              <w:tl2br w:val="nil"/>
              <w:tr2bl w:val="nil"/>
            </w:tcBorders>
            <w:vAlign w:val="center"/>
          </w:tcPr>
          <w:p>
            <w:pPr>
              <w:pStyle w:val="106"/>
              <w:spacing w:line="280" w:lineRule="exact"/>
              <w:rPr>
                <w:color w:val="auto"/>
                <w:highlight w:val="none"/>
              </w:rPr>
            </w:pPr>
            <w:r>
              <w:rPr>
                <w:rFonts w:hint="default" w:ascii="Times New Roman" w:hAnsi="Times New Roman" w:cs="Times New Roman"/>
                <w:color w:val="auto"/>
                <w:spacing w:val="-6"/>
                <w:sz w:val="21"/>
                <w:szCs w:val="21"/>
                <w:highlight w:val="none"/>
                <w:shd w:val="clear" w:color="auto" w:fill="auto"/>
              </w:rPr>
              <w:t>占地范围外</w:t>
            </w:r>
          </w:p>
        </w:tc>
        <w:tc>
          <w:tcPr>
            <w:tcW w:w="863" w:type="dxa"/>
            <w:tcBorders>
              <w:tl2br w:val="nil"/>
              <w:tr2bl w:val="nil"/>
            </w:tcBorders>
            <w:vAlign w:val="center"/>
          </w:tcPr>
          <w:p>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深度</w:t>
            </w:r>
          </w:p>
        </w:tc>
        <w:tc>
          <w:tcPr>
            <w:tcW w:w="812" w:type="dxa"/>
            <w:gridSpan w:val="2"/>
            <w:tcBorders>
              <w:tl2br w:val="nil"/>
              <w:tr2bl w:val="nil"/>
            </w:tcBorders>
            <w:vAlign w:val="center"/>
          </w:tcPr>
          <w:p>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监测指标</w:t>
            </w:r>
          </w:p>
        </w:tc>
        <w:tc>
          <w:tcPr>
            <w:tcW w:w="768" w:type="dxa"/>
            <w:tcBorders>
              <w:tl2br w:val="nil"/>
              <w:tr2bl w:val="nil"/>
            </w:tcBorders>
            <w:vAlign w:val="center"/>
          </w:tcPr>
          <w:p>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监测频次</w:t>
            </w:r>
          </w:p>
        </w:tc>
        <w:tc>
          <w:tcPr>
            <w:tcW w:w="1381" w:type="dxa"/>
            <w:vMerge w:val="restart"/>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vMerge w:val="continue"/>
            <w:tcBorders>
              <w:tl2br w:val="nil"/>
              <w:tr2bl w:val="nil"/>
            </w:tcBorders>
            <w:vAlign w:val="center"/>
          </w:tcPr>
          <w:p>
            <w:pPr>
              <w:pStyle w:val="41"/>
              <w:rPr>
                <w:color w:val="auto"/>
                <w:highlight w:val="none"/>
              </w:rPr>
            </w:pPr>
          </w:p>
        </w:tc>
        <w:tc>
          <w:tcPr>
            <w:tcW w:w="655" w:type="dxa"/>
            <w:tcBorders>
              <w:tl2br w:val="nil"/>
              <w:tr2bl w:val="nil"/>
            </w:tcBorders>
            <w:vAlign w:val="center"/>
          </w:tcPr>
          <w:p>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b w:val="0"/>
                <w:color w:val="auto"/>
                <w:sz w:val="21"/>
                <w:szCs w:val="21"/>
                <w:highlight w:val="none"/>
                <w:shd w:val="clear" w:color="auto" w:fill="auto"/>
                <w:lang w:val="en-US" w:eastAsia="zh-CN"/>
              </w:rPr>
              <w:t>生态影响</w:t>
            </w:r>
          </w:p>
        </w:tc>
        <w:tc>
          <w:tcPr>
            <w:tcW w:w="365" w:type="dxa"/>
            <w:tcBorders>
              <w:tl2br w:val="nil"/>
              <w:tr2bl w:val="nil"/>
            </w:tcBorders>
            <w:vAlign w:val="center"/>
          </w:tcPr>
          <w:p>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表层</w:t>
            </w:r>
          </w:p>
        </w:tc>
        <w:tc>
          <w:tcPr>
            <w:tcW w:w="1042" w:type="dxa"/>
            <w:gridSpan w:val="2"/>
            <w:tcBorders>
              <w:tl2br w:val="nil"/>
              <w:tr2bl w:val="nil"/>
            </w:tcBorders>
            <w:vAlign w:val="center"/>
          </w:tcPr>
          <w:p>
            <w:pPr>
              <w:pStyle w:val="41"/>
              <w:spacing w:line="240" w:lineRule="exact"/>
              <w:ind w:left="0" w:leftChars="0" w:right="-31" w:rightChars="-15" w:firstLine="0" w:firstLineChars="0"/>
              <w:jc w:val="center"/>
              <w:rPr>
                <w:color w:val="auto"/>
                <w:highlight w:val="none"/>
              </w:rPr>
            </w:pPr>
            <w:r>
              <w:rPr>
                <w:rFonts w:hint="default" w:ascii="Times New Roman" w:hAnsi="Times New Roman" w:eastAsia="宋体" w:cs="Times New Roman"/>
                <w:color w:val="auto"/>
                <w:sz w:val="21"/>
                <w:szCs w:val="21"/>
                <w:highlight w:val="none"/>
                <w:shd w:val="clear" w:color="auto" w:fill="auto"/>
              </w:rPr>
              <w:t>1</w:t>
            </w:r>
          </w:p>
        </w:tc>
        <w:tc>
          <w:tcPr>
            <w:tcW w:w="900" w:type="dxa"/>
            <w:gridSpan w:val="2"/>
            <w:tcBorders>
              <w:tl2br w:val="nil"/>
              <w:tr2bl w:val="nil"/>
            </w:tcBorders>
            <w:vAlign w:val="center"/>
          </w:tcPr>
          <w:p>
            <w:pPr>
              <w:pStyle w:val="41"/>
              <w:spacing w:line="240" w:lineRule="exact"/>
              <w:ind w:left="0" w:leftChars="0" w:right="-31" w:rightChars="-15" w:firstLine="0" w:firstLineChars="0"/>
              <w:jc w:val="center"/>
              <w:rPr>
                <w:color w:val="auto"/>
                <w:highlight w:val="none"/>
              </w:rPr>
            </w:pPr>
            <w:r>
              <w:rPr>
                <w:rFonts w:hint="default" w:ascii="Times New Roman" w:hAnsi="Times New Roman" w:eastAsia="宋体" w:cs="Times New Roman"/>
                <w:color w:val="auto"/>
                <w:sz w:val="21"/>
                <w:szCs w:val="21"/>
                <w:highlight w:val="none"/>
                <w:shd w:val="clear" w:color="auto" w:fill="auto"/>
              </w:rPr>
              <w:t>1</w:t>
            </w:r>
          </w:p>
        </w:tc>
        <w:tc>
          <w:tcPr>
            <w:tcW w:w="863" w:type="dxa"/>
            <w:tcBorders>
              <w:tl2br w:val="nil"/>
              <w:tr2bl w:val="nil"/>
            </w:tcBorders>
            <w:vAlign w:val="center"/>
          </w:tcPr>
          <w:p>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color w:val="auto"/>
                <w:sz w:val="21"/>
                <w:szCs w:val="21"/>
                <w:highlight w:val="none"/>
                <w:shd w:val="clear" w:color="auto" w:fill="auto"/>
              </w:rPr>
              <w:t>0-0.2m</w:t>
            </w:r>
          </w:p>
        </w:tc>
        <w:tc>
          <w:tcPr>
            <w:tcW w:w="812" w:type="dxa"/>
            <w:gridSpan w:val="2"/>
            <w:tcBorders>
              <w:tl2br w:val="nil"/>
              <w:tr2bl w:val="nil"/>
            </w:tcBorders>
            <w:vAlign w:val="center"/>
          </w:tcPr>
          <w:p>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b w:val="0"/>
                <w:color w:val="auto"/>
                <w:sz w:val="21"/>
                <w:szCs w:val="21"/>
                <w:highlight w:val="none"/>
                <w:shd w:val="clear" w:color="auto" w:fill="auto"/>
                <w:lang w:val="en-US" w:eastAsia="zh-CN"/>
              </w:rPr>
              <w:t>pH、含盐量</w:t>
            </w:r>
          </w:p>
        </w:tc>
        <w:tc>
          <w:tcPr>
            <w:tcW w:w="768" w:type="dxa"/>
            <w:tcBorders>
              <w:tl2br w:val="nil"/>
              <w:tr2bl w:val="nil"/>
            </w:tcBorders>
            <w:vAlign w:val="center"/>
          </w:tcPr>
          <w:p>
            <w:pPr>
              <w:pStyle w:val="41"/>
              <w:spacing w:line="240" w:lineRule="exact"/>
              <w:ind w:left="0" w:leftChars="0" w:right="-36" w:rightChars="0" w:firstLine="0" w:firstLineChars="0"/>
              <w:jc w:val="center"/>
              <w:rPr>
                <w:color w:val="auto"/>
                <w:highlight w:val="none"/>
              </w:rPr>
            </w:pPr>
            <w:r>
              <w:rPr>
                <w:rFonts w:hint="default" w:ascii="Times New Roman" w:hAnsi="Times New Roman" w:cs="Times New Roman"/>
                <w:b w:val="0"/>
                <w:color w:val="auto"/>
                <w:sz w:val="21"/>
                <w:szCs w:val="21"/>
                <w:highlight w:val="none"/>
                <w:shd w:val="clear" w:color="auto" w:fill="auto"/>
              </w:rPr>
              <w:t>每</w:t>
            </w:r>
            <w:r>
              <w:rPr>
                <w:rFonts w:hint="default" w:ascii="Times New Roman" w:hAnsi="Times New Roman" w:cs="Times New Roman"/>
                <w:b w:val="0"/>
                <w:color w:val="auto"/>
                <w:sz w:val="21"/>
                <w:szCs w:val="21"/>
                <w:highlight w:val="none"/>
                <w:shd w:val="clear" w:color="auto" w:fill="auto"/>
                <w:lang w:val="en-US" w:eastAsia="zh-CN"/>
              </w:rPr>
              <w:t>3</w:t>
            </w:r>
            <w:r>
              <w:rPr>
                <w:rFonts w:hint="default" w:ascii="Times New Roman" w:hAnsi="Times New Roman" w:cs="Times New Roman"/>
                <w:b w:val="0"/>
                <w:color w:val="auto"/>
                <w:sz w:val="21"/>
                <w:szCs w:val="21"/>
                <w:highlight w:val="none"/>
                <w:shd w:val="clear" w:color="auto" w:fill="auto"/>
              </w:rPr>
              <w:t>年1次</w:t>
            </w:r>
          </w:p>
        </w:tc>
        <w:tc>
          <w:tcPr>
            <w:tcW w:w="1381" w:type="dxa"/>
            <w:vMerge w:val="continue"/>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rPr>
            </w:pPr>
          </w:p>
        </w:tc>
        <w:tc>
          <w:tcPr>
            <w:tcW w:w="1582" w:type="dxa"/>
            <w:vMerge w:val="continue"/>
            <w:tcBorders>
              <w:tl2br w:val="nil"/>
              <w:tr2bl w:val="nil"/>
            </w:tcBorders>
            <w:vAlign w:val="center"/>
          </w:tcPr>
          <w:p>
            <w:pPr>
              <w:pStyle w:val="41"/>
              <w:rPr>
                <w:color w:val="auto"/>
              </w:rPr>
            </w:pPr>
          </w:p>
        </w:tc>
        <w:tc>
          <w:tcPr>
            <w:tcW w:w="655" w:type="dxa"/>
            <w:tcBorders>
              <w:tl2br w:val="nil"/>
              <w:tr2bl w:val="nil"/>
            </w:tcBorders>
            <w:vAlign w:val="center"/>
          </w:tcPr>
          <w:p>
            <w:pPr>
              <w:pStyle w:val="41"/>
              <w:spacing w:line="240" w:lineRule="exact"/>
              <w:ind w:left="0" w:leftChars="0" w:right="-36" w:rightChars="0" w:firstLine="0" w:firstLineChars="0"/>
              <w:jc w:val="center"/>
              <w:rPr>
                <w:color w:val="auto"/>
              </w:rPr>
            </w:pPr>
            <w:r>
              <w:rPr>
                <w:rFonts w:hint="default" w:ascii="Times New Roman" w:hAnsi="Times New Roman" w:cs="Times New Roman"/>
                <w:b w:val="0"/>
                <w:color w:val="auto"/>
                <w:sz w:val="21"/>
                <w:szCs w:val="21"/>
                <w:highlight w:val="none"/>
                <w:shd w:val="clear" w:color="auto" w:fill="auto"/>
                <w:lang w:val="en-US" w:eastAsia="zh-CN"/>
              </w:rPr>
              <w:t>污染影响</w:t>
            </w:r>
          </w:p>
        </w:tc>
        <w:tc>
          <w:tcPr>
            <w:tcW w:w="365" w:type="dxa"/>
            <w:tcBorders>
              <w:tl2br w:val="nil"/>
              <w:tr2bl w:val="nil"/>
            </w:tcBorders>
            <w:vAlign w:val="center"/>
          </w:tcPr>
          <w:p>
            <w:pPr>
              <w:pStyle w:val="41"/>
              <w:spacing w:line="240" w:lineRule="exact"/>
              <w:ind w:left="0" w:leftChars="0" w:right="-31" w:rightChars="-15" w:firstLine="0" w:firstLineChars="0"/>
              <w:jc w:val="center"/>
              <w:rPr>
                <w:color w:val="auto"/>
              </w:rPr>
            </w:pPr>
            <w:r>
              <w:rPr>
                <w:rFonts w:hint="default" w:ascii="Times New Roman" w:hAnsi="Times New Roman" w:cs="Times New Roman"/>
                <w:color w:val="auto"/>
                <w:sz w:val="21"/>
                <w:szCs w:val="21"/>
                <w:highlight w:val="none"/>
                <w:shd w:val="clear" w:color="auto" w:fill="auto"/>
              </w:rPr>
              <w:t>表层</w:t>
            </w:r>
          </w:p>
        </w:tc>
        <w:tc>
          <w:tcPr>
            <w:tcW w:w="1042" w:type="dxa"/>
            <w:gridSpan w:val="2"/>
            <w:tcBorders>
              <w:tl2br w:val="nil"/>
              <w:tr2bl w:val="nil"/>
            </w:tcBorders>
            <w:vAlign w:val="center"/>
          </w:tcPr>
          <w:p>
            <w:pPr>
              <w:pStyle w:val="41"/>
              <w:spacing w:line="240" w:lineRule="exact"/>
              <w:ind w:left="0" w:leftChars="0" w:right="-36" w:rightChars="0" w:firstLine="0" w:firstLineChars="0"/>
              <w:jc w:val="center"/>
              <w:rPr>
                <w:color w:val="auto"/>
              </w:rPr>
            </w:pPr>
            <w:r>
              <w:rPr>
                <w:rFonts w:hint="default" w:ascii="Times New Roman" w:hAnsi="Times New Roman" w:eastAsia="宋体" w:cs="Times New Roman"/>
                <w:color w:val="auto"/>
                <w:sz w:val="21"/>
                <w:szCs w:val="21"/>
                <w:highlight w:val="none"/>
                <w:shd w:val="clear" w:color="auto" w:fill="auto"/>
              </w:rPr>
              <w:t>1</w:t>
            </w:r>
          </w:p>
        </w:tc>
        <w:tc>
          <w:tcPr>
            <w:tcW w:w="900" w:type="dxa"/>
            <w:gridSpan w:val="2"/>
            <w:tcBorders>
              <w:tl2br w:val="nil"/>
              <w:tr2bl w:val="nil"/>
            </w:tcBorders>
            <w:vAlign w:val="center"/>
          </w:tcPr>
          <w:p>
            <w:pPr>
              <w:pStyle w:val="41"/>
              <w:spacing w:line="240" w:lineRule="exact"/>
              <w:ind w:left="0" w:leftChars="0" w:right="-36" w:rightChars="0" w:firstLine="0" w:firstLineChars="0"/>
              <w:jc w:val="center"/>
              <w:rPr>
                <w:color w:val="auto"/>
              </w:rPr>
            </w:pPr>
            <w:r>
              <w:rPr>
                <w:rFonts w:hint="default" w:ascii="Times New Roman" w:hAnsi="Times New Roman" w:eastAsia="宋体" w:cs="Times New Roman"/>
                <w:color w:val="auto"/>
                <w:sz w:val="21"/>
                <w:szCs w:val="21"/>
                <w:highlight w:val="none"/>
                <w:shd w:val="clear" w:color="auto" w:fill="auto"/>
              </w:rPr>
              <w:t>1</w:t>
            </w:r>
          </w:p>
        </w:tc>
        <w:tc>
          <w:tcPr>
            <w:tcW w:w="863" w:type="dxa"/>
            <w:tcBorders>
              <w:tl2br w:val="nil"/>
              <w:tr2bl w:val="nil"/>
            </w:tcBorders>
            <w:vAlign w:val="center"/>
          </w:tcPr>
          <w:p>
            <w:pPr>
              <w:pStyle w:val="41"/>
              <w:spacing w:line="240" w:lineRule="exact"/>
              <w:ind w:left="0" w:leftChars="0" w:right="-36" w:rightChars="0" w:firstLine="0" w:firstLineChars="0"/>
              <w:jc w:val="center"/>
              <w:rPr>
                <w:color w:val="auto"/>
              </w:rPr>
            </w:pPr>
            <w:r>
              <w:rPr>
                <w:rFonts w:hint="default" w:ascii="Times New Roman" w:hAnsi="Times New Roman" w:cs="Times New Roman"/>
                <w:color w:val="auto"/>
                <w:sz w:val="21"/>
                <w:szCs w:val="21"/>
                <w:highlight w:val="none"/>
                <w:shd w:val="clear" w:color="auto" w:fill="auto"/>
              </w:rPr>
              <w:t>0-0.2m</w:t>
            </w:r>
          </w:p>
        </w:tc>
        <w:tc>
          <w:tcPr>
            <w:tcW w:w="812" w:type="dxa"/>
            <w:gridSpan w:val="2"/>
            <w:tcBorders>
              <w:tl2br w:val="nil"/>
              <w:tr2bl w:val="nil"/>
            </w:tcBorders>
            <w:vAlign w:val="center"/>
          </w:tcPr>
          <w:p>
            <w:pPr>
              <w:pStyle w:val="41"/>
              <w:spacing w:line="240" w:lineRule="exact"/>
              <w:ind w:left="0" w:leftChars="0" w:right="-36" w:rightChars="0" w:firstLine="0" w:firstLineChars="0"/>
              <w:jc w:val="center"/>
              <w:rPr>
                <w:color w:val="auto"/>
              </w:rPr>
            </w:pPr>
            <w:r>
              <w:rPr>
                <w:rFonts w:hint="default" w:ascii="Times New Roman" w:hAnsi="Times New Roman" w:cs="Times New Roman"/>
                <w:color w:val="auto"/>
                <w:spacing w:val="-6"/>
                <w:sz w:val="21"/>
                <w:szCs w:val="21"/>
                <w:highlight w:val="none"/>
                <w:shd w:val="clear" w:color="auto" w:fill="auto"/>
              </w:rPr>
              <w:t>石油烃</w:t>
            </w:r>
          </w:p>
        </w:tc>
        <w:tc>
          <w:tcPr>
            <w:tcW w:w="768" w:type="dxa"/>
            <w:tcBorders>
              <w:tl2br w:val="nil"/>
              <w:tr2bl w:val="nil"/>
            </w:tcBorders>
            <w:vAlign w:val="center"/>
          </w:tcPr>
          <w:p>
            <w:pPr>
              <w:pStyle w:val="41"/>
              <w:spacing w:line="240" w:lineRule="exact"/>
              <w:ind w:left="0" w:leftChars="0" w:right="-36" w:rightChars="0" w:firstLine="0" w:firstLineChars="0"/>
              <w:jc w:val="center"/>
              <w:rPr>
                <w:color w:val="auto"/>
              </w:rPr>
            </w:pPr>
            <w:r>
              <w:rPr>
                <w:rFonts w:hint="default" w:ascii="Times New Roman" w:hAnsi="Times New Roman" w:cs="Times New Roman"/>
                <w:b w:val="0"/>
                <w:color w:val="auto"/>
                <w:sz w:val="21"/>
                <w:szCs w:val="21"/>
                <w:highlight w:val="none"/>
                <w:shd w:val="clear" w:color="auto" w:fill="auto"/>
              </w:rPr>
              <w:t>每</w:t>
            </w:r>
            <w:r>
              <w:rPr>
                <w:rFonts w:hint="default" w:ascii="Times New Roman" w:hAnsi="Times New Roman" w:cs="Times New Roman"/>
                <w:b w:val="0"/>
                <w:color w:val="auto"/>
                <w:sz w:val="21"/>
                <w:szCs w:val="21"/>
                <w:highlight w:val="none"/>
                <w:shd w:val="clear" w:color="auto" w:fill="auto"/>
                <w:lang w:val="en-US" w:eastAsia="zh-CN"/>
              </w:rPr>
              <w:t>5</w:t>
            </w:r>
            <w:r>
              <w:rPr>
                <w:rFonts w:hint="default" w:ascii="Times New Roman" w:hAnsi="Times New Roman" w:cs="Times New Roman"/>
                <w:b w:val="0"/>
                <w:color w:val="auto"/>
                <w:sz w:val="21"/>
                <w:szCs w:val="21"/>
                <w:highlight w:val="none"/>
                <w:shd w:val="clear" w:color="auto" w:fill="auto"/>
              </w:rPr>
              <w:t>年1次</w:t>
            </w:r>
          </w:p>
        </w:tc>
        <w:tc>
          <w:tcPr>
            <w:tcW w:w="1381" w:type="dxa"/>
            <w:vMerge w:val="continue"/>
            <w:tcBorders>
              <w:tl2br w:val="nil"/>
              <w:tr2bl w:val="nil"/>
            </w:tcBorders>
            <w:vAlign w:val="center"/>
          </w:tcPr>
          <w:p>
            <w:pPr>
              <w:pStyle w:val="41"/>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6" w:type="dxa"/>
            <w:vMerge w:val="continue"/>
            <w:tcBorders>
              <w:tl2br w:val="nil"/>
              <w:tr2bl w:val="nil"/>
            </w:tcBorders>
            <w:vAlign w:val="center"/>
          </w:tcPr>
          <w:p>
            <w:pPr>
              <w:pStyle w:val="41"/>
              <w:rPr>
                <w:color w:val="auto"/>
                <w:highlight w:val="none"/>
              </w:rPr>
            </w:pPr>
          </w:p>
        </w:tc>
        <w:tc>
          <w:tcPr>
            <w:tcW w:w="1582" w:type="dxa"/>
            <w:tcBorders>
              <w:tl2br w:val="nil"/>
              <w:tr2bl w:val="nil"/>
            </w:tcBorders>
            <w:vAlign w:val="center"/>
          </w:tcPr>
          <w:p>
            <w:pPr>
              <w:pStyle w:val="41"/>
              <w:rPr>
                <w:color w:val="auto"/>
                <w:highlight w:val="none"/>
              </w:rPr>
            </w:pPr>
            <w:r>
              <w:rPr>
                <w:color w:val="auto"/>
                <w:highlight w:val="none"/>
              </w:rPr>
              <w:t>信息公开指标</w:t>
            </w:r>
          </w:p>
        </w:tc>
        <w:tc>
          <w:tcPr>
            <w:tcW w:w="5405" w:type="dxa"/>
            <w:gridSpan w:val="10"/>
            <w:tcBorders>
              <w:tl2br w:val="nil"/>
              <w:tr2bl w:val="nil"/>
            </w:tcBorders>
            <w:vAlign w:val="center"/>
          </w:tcPr>
          <w:p>
            <w:pPr>
              <w:pStyle w:val="41"/>
              <w:rPr>
                <w:color w:val="auto"/>
                <w:highlight w:val="none"/>
              </w:rPr>
            </w:pPr>
            <w:r>
              <w:rPr>
                <w:rFonts w:hint="default" w:ascii="Times New Roman" w:hAnsi="Times New Roman" w:cs="Times New Roman"/>
                <w:color w:val="auto"/>
                <w:sz w:val="21"/>
                <w:szCs w:val="21"/>
                <w:highlight w:val="none"/>
                <w:shd w:val="clear" w:color="auto" w:fill="auto"/>
              </w:rPr>
              <w:t>-</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978" w:type="dxa"/>
            <w:gridSpan w:val="2"/>
            <w:tcBorders>
              <w:tl2br w:val="nil"/>
              <w:tr2bl w:val="nil"/>
            </w:tcBorders>
            <w:vAlign w:val="center"/>
          </w:tcPr>
          <w:p>
            <w:pPr>
              <w:pStyle w:val="41"/>
              <w:rPr>
                <w:color w:val="auto"/>
                <w:highlight w:val="none"/>
              </w:rPr>
            </w:pPr>
            <w:r>
              <w:rPr>
                <w:color w:val="auto"/>
                <w:highlight w:val="none"/>
              </w:rPr>
              <w:t>评价结论</w:t>
            </w:r>
          </w:p>
        </w:tc>
        <w:tc>
          <w:tcPr>
            <w:tcW w:w="5405" w:type="dxa"/>
            <w:gridSpan w:val="10"/>
            <w:tcBorders>
              <w:tl2br w:val="nil"/>
              <w:tr2bl w:val="nil"/>
            </w:tcBorders>
            <w:vAlign w:val="center"/>
          </w:tcPr>
          <w:p>
            <w:pPr>
              <w:pStyle w:val="41"/>
              <w:rPr>
                <w:color w:val="auto"/>
                <w:highlight w:val="none"/>
              </w:rPr>
            </w:pPr>
            <w:r>
              <w:rPr>
                <w:color w:val="auto"/>
                <w:highlight w:val="none"/>
              </w:rPr>
              <w:t>通过采取源头控制、过程防控措施，从土壤环境影响的角度，</w:t>
            </w:r>
            <w:r>
              <w:rPr>
                <w:rFonts w:hint="eastAsia"/>
                <w:color w:val="auto"/>
                <w:highlight w:val="none"/>
              </w:rPr>
              <w:t>本工程</w:t>
            </w:r>
            <w:r>
              <w:rPr>
                <w:color w:val="auto"/>
                <w:highlight w:val="none"/>
              </w:rPr>
              <w:t>建设可行</w:t>
            </w:r>
          </w:p>
        </w:tc>
        <w:tc>
          <w:tcPr>
            <w:tcW w:w="1381" w:type="dxa"/>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64" w:type="dxa"/>
            <w:gridSpan w:val="13"/>
            <w:tcBorders>
              <w:tl2br w:val="nil"/>
              <w:tr2bl w:val="nil"/>
            </w:tcBorders>
            <w:vAlign w:val="center"/>
          </w:tcPr>
          <w:p>
            <w:pPr>
              <w:pStyle w:val="41"/>
              <w:spacing w:line="240" w:lineRule="exact"/>
              <w:ind w:left="-36" w:right="-36"/>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注1：“□”为勾选项，可√；“（）”为内容填写项；“备注”为其他补充内容。</w:t>
            </w:r>
          </w:p>
          <w:p>
            <w:pPr>
              <w:pStyle w:val="41"/>
              <w:rPr>
                <w:color w:val="auto"/>
                <w:highlight w:val="none"/>
              </w:rPr>
            </w:pPr>
            <w:r>
              <w:rPr>
                <w:rFonts w:hint="default" w:ascii="Times New Roman" w:hAnsi="Times New Roman" w:cs="Times New Roman"/>
                <w:color w:val="auto"/>
                <w:sz w:val="21"/>
                <w:szCs w:val="21"/>
                <w:highlight w:val="none"/>
                <w:shd w:val="clear" w:color="auto" w:fill="auto"/>
              </w:rPr>
              <w:t>注2：需要分别开展土壤环境影响评价等级工作的，分别填写自查表。</w:t>
            </w:r>
          </w:p>
        </w:tc>
      </w:tr>
    </w:tbl>
    <w:p>
      <w:pPr>
        <w:pStyle w:val="49"/>
        <w:rPr>
          <w:rFonts w:eastAsia="宋体"/>
          <w:color w:val="auto"/>
          <w:highlight w:val="none"/>
        </w:rPr>
      </w:pPr>
      <w:bookmarkStart w:id="655" w:name="_Toc10649"/>
      <w:bookmarkStart w:id="656" w:name="_Toc4559"/>
      <w:r>
        <w:rPr>
          <w:color w:val="auto"/>
          <w:highlight w:val="none"/>
        </w:rPr>
        <w:t>5.</w:t>
      </w:r>
      <w:r>
        <w:rPr>
          <w:rFonts w:hint="eastAsia"/>
          <w:color w:val="auto"/>
          <w:highlight w:val="none"/>
        </w:rPr>
        <w:t>5大气</w:t>
      </w:r>
      <w:r>
        <w:rPr>
          <w:color w:val="auto"/>
          <w:highlight w:val="none"/>
        </w:rPr>
        <w:t>环境影响</w:t>
      </w:r>
      <w:bookmarkEnd w:id="592"/>
      <w:bookmarkEnd w:id="593"/>
      <w:bookmarkEnd w:id="594"/>
      <w:bookmarkEnd w:id="595"/>
      <w:bookmarkEnd w:id="596"/>
      <w:bookmarkEnd w:id="597"/>
      <w:bookmarkEnd w:id="598"/>
      <w:bookmarkEnd w:id="599"/>
      <w:r>
        <w:rPr>
          <w:rFonts w:hint="eastAsia"/>
          <w:color w:val="auto"/>
          <w:highlight w:val="none"/>
        </w:rPr>
        <w:t>评价</w:t>
      </w:r>
      <w:bookmarkEnd w:id="655"/>
      <w:bookmarkEnd w:id="656"/>
    </w:p>
    <w:p>
      <w:pPr>
        <w:pStyle w:val="53"/>
        <w:bidi w:val="0"/>
        <w:rPr>
          <w:color w:val="auto"/>
          <w:highlight w:val="none"/>
        </w:rPr>
      </w:pPr>
      <w:bookmarkStart w:id="657" w:name="_Toc173941892"/>
      <w:r>
        <w:rPr>
          <w:rFonts w:hint="eastAsia"/>
          <w:color w:val="auto"/>
          <w:highlight w:val="none"/>
        </w:rPr>
        <w:t>5.5.</w:t>
      </w:r>
      <w:r>
        <w:rPr>
          <w:color w:val="auto"/>
          <w:highlight w:val="none"/>
        </w:rPr>
        <w:t>1 施工期</w:t>
      </w:r>
      <w:r>
        <w:rPr>
          <w:rFonts w:hint="eastAsia"/>
          <w:color w:val="auto"/>
          <w:highlight w:val="none"/>
        </w:rPr>
        <w:t>大气环境</w:t>
      </w:r>
      <w:r>
        <w:rPr>
          <w:color w:val="auto"/>
          <w:highlight w:val="none"/>
        </w:rPr>
        <w:t>影响分析</w:t>
      </w:r>
      <w:bookmarkEnd w:id="657"/>
    </w:p>
    <w:p>
      <w:pPr>
        <w:pStyle w:val="5"/>
        <w:rPr>
          <w:color w:val="auto"/>
        </w:rPr>
      </w:pPr>
      <w:bookmarkStart w:id="658" w:name="_Toc18778"/>
      <w:bookmarkStart w:id="659" w:name="_Toc173941737"/>
      <w:bookmarkStart w:id="660" w:name="_Toc173942691"/>
      <w:bookmarkStart w:id="661" w:name="_Toc14531"/>
      <w:bookmarkStart w:id="662" w:name="_Toc173941895"/>
      <w:r>
        <w:rPr>
          <w:rFonts w:hint="eastAsia"/>
          <w:color w:val="auto"/>
          <w:lang w:eastAsia="zh-CN"/>
        </w:rPr>
        <w:t>5.5.</w:t>
      </w:r>
      <w:r>
        <w:rPr>
          <w:rFonts w:hint="eastAsia"/>
          <w:color w:val="auto"/>
        </w:rPr>
        <w:t>1</w:t>
      </w:r>
      <w:r>
        <w:rPr>
          <w:color w:val="auto"/>
        </w:rPr>
        <w:t>.</w:t>
      </w:r>
      <w:r>
        <w:rPr>
          <w:rFonts w:hint="eastAsia"/>
          <w:color w:val="auto"/>
          <w:lang w:val="en-US" w:eastAsia="zh-CN"/>
        </w:rPr>
        <w:t>1钻井废气</w:t>
      </w:r>
      <w:r>
        <w:rPr>
          <w:color w:val="auto"/>
        </w:rPr>
        <w:t>影响分析</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本工程</w:t>
      </w:r>
      <w:r>
        <w:rPr>
          <w:rFonts w:hint="eastAsia" w:ascii="Times New Roman" w:hAnsi="Times New Roman" w:eastAsia="宋体" w:cs="Times New Roman"/>
          <w:color w:val="auto"/>
          <w:highlight w:val="none"/>
          <w:lang w:val="en-US" w:eastAsia="zh-CN"/>
        </w:rPr>
        <w:t>拟</w:t>
      </w:r>
      <w:r>
        <w:rPr>
          <w:rFonts w:hint="eastAsia" w:ascii="Times New Roman" w:hAnsi="Times New Roman" w:eastAsia="宋体" w:cs="Times New Roman"/>
          <w:color w:val="auto"/>
          <w:highlight w:val="none"/>
          <w:lang w:eastAsia="zh-CN"/>
        </w:rPr>
        <w:t>新钻7口</w:t>
      </w:r>
      <w:r>
        <w:rPr>
          <w:rFonts w:hint="eastAsia" w:ascii="Times New Roman" w:hAnsi="Times New Roman" w:eastAsia="宋体" w:cs="Times New Roman"/>
          <w:color w:val="auto"/>
          <w:highlight w:val="none"/>
          <w:lang w:val="en-US" w:eastAsia="zh-CN"/>
        </w:rPr>
        <w:t>采油井</w:t>
      </w:r>
      <w:r>
        <w:rPr>
          <w:rFonts w:hint="eastAsia" w:ascii="Times New Roman" w:hAnsi="Times New Roman" w:eastAsia="宋体" w:cs="Times New Roman"/>
          <w:color w:val="auto"/>
          <w:highlight w:val="none"/>
          <w:lang w:eastAsia="zh-CN"/>
        </w:rPr>
        <w:t>，钻井工程基本作业程序包括确定井位、井场准备、钻井、完井和连接生产管线5个主要步骤。</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rPr>
        <w:t>本项目钻井期间采用柴油发电机作为电源</w:t>
      </w:r>
      <w:r>
        <w:rPr>
          <w:rFonts w:hint="eastAsia" w:ascii="Times New Roman" w:hAnsi="Times New Roman" w:eastAsia="宋体" w:cs="Times New Roman"/>
          <w:color w:val="auto"/>
          <w:highlight w:val="none"/>
          <w:lang w:eastAsia="zh-CN"/>
        </w:rPr>
        <w:t>，由于燃料燃烧将向大气中排放废气，其中主要的污染物为烃类、CO、NOx、SO</w:t>
      </w:r>
      <w:r>
        <w:rPr>
          <w:rFonts w:hint="eastAsia" w:ascii="Times New Roman" w:hAnsi="Times New Roman" w:eastAsia="宋体" w:cs="Times New Roman"/>
          <w:color w:val="auto"/>
          <w:highlight w:val="none"/>
          <w:vertAlign w:val="subscript"/>
          <w:lang w:eastAsia="zh-CN"/>
        </w:rPr>
        <w:t>2</w:t>
      </w:r>
      <w:r>
        <w:rPr>
          <w:rFonts w:hint="eastAsia" w:ascii="Times New Roman" w:hAnsi="Times New Roman" w:eastAsia="宋体" w:cs="Times New Roman"/>
          <w:color w:val="auto"/>
          <w:highlight w:val="none"/>
          <w:lang w:eastAsia="zh-CN"/>
        </w:rPr>
        <w:t>等。</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钻井作业柴油机烟气排放集中在钻井施工期的短暂时段，且平均日排放量不大，加之大气环境影响评价范围内地域辽阔，扩散条件较好。类比其它相似钻井井场，场界外各项污染物浓度均小于《大气污染物综合排放标准》（GB16297-1996）中新污染源无组织排放监控点浓度限值和《环境空气质量标准》（GB3095-2012）中浓度限值。钻井作业柴油机烟气排放及总烃挥发对周围环境影响较小。</w:t>
      </w:r>
    </w:p>
    <w:p>
      <w:pPr>
        <w:pStyle w:val="5"/>
        <w:rPr>
          <w:color w:val="auto"/>
        </w:rPr>
      </w:pPr>
      <w:r>
        <w:rPr>
          <w:rFonts w:hint="eastAsia"/>
          <w:color w:val="auto"/>
          <w:lang w:eastAsia="zh-CN"/>
        </w:rPr>
        <w:t>5.5.</w:t>
      </w:r>
      <w:r>
        <w:rPr>
          <w:rFonts w:hint="eastAsia"/>
          <w:color w:val="auto"/>
        </w:rPr>
        <w:t>1</w:t>
      </w:r>
      <w:r>
        <w:rPr>
          <w:color w:val="auto"/>
        </w:rPr>
        <w:t>.</w:t>
      </w:r>
      <w:r>
        <w:rPr>
          <w:rFonts w:hint="eastAsia"/>
          <w:color w:val="auto"/>
          <w:lang w:val="en-US" w:eastAsia="zh-CN"/>
        </w:rPr>
        <w:t>2</w:t>
      </w:r>
      <w:r>
        <w:rPr>
          <w:color w:val="auto"/>
        </w:rPr>
        <w:t>施工期扬尘影响分析</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（1）运输车辆扬尘的影响分析</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施工期</w:t>
      </w:r>
      <w:r>
        <w:rPr>
          <w:rFonts w:hint="eastAsia" w:ascii="Times New Roman" w:hAnsi="Times New Roman" w:eastAsia="宋体" w:cs="Times New Roman"/>
          <w:color w:val="auto"/>
          <w:highlight w:val="none"/>
          <w:lang w:eastAsia="zh-CN"/>
        </w:rPr>
        <w:t>运输车辆产生扬尘，采用洒水降尘，在施工场地实施每天洒水抑尘作业4</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5次，其扬尘造成的污染距离可缩小到20</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50m范围，由此车辆产生的扬尘对周围环境影响较小。从影响时间、范围和程度来看，</w:t>
      </w:r>
      <w:r>
        <w:rPr>
          <w:rFonts w:hint="eastAsia" w:ascii="Times New Roman" w:hAnsi="Times New Roman" w:eastAsia="宋体" w:cs="Times New Roman"/>
          <w:color w:val="auto"/>
          <w:highlight w:val="none"/>
          <w:lang w:val="en-US" w:eastAsia="zh-CN"/>
        </w:rPr>
        <w:t>车辆扬尘</w:t>
      </w:r>
      <w:r>
        <w:rPr>
          <w:rFonts w:hint="eastAsia" w:ascii="Times New Roman" w:hAnsi="Times New Roman" w:eastAsia="宋体" w:cs="Times New Roman"/>
          <w:color w:val="auto"/>
          <w:highlight w:val="none"/>
          <w:lang w:eastAsia="zh-CN"/>
        </w:rPr>
        <w:t>对周围大气环境质量影响是有限的。</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施工期由于主要进行地面建筑、井场、管线的建设，项目区</w:t>
      </w:r>
      <w:r>
        <w:rPr>
          <w:rFonts w:hint="eastAsia" w:ascii="Times New Roman" w:hAnsi="Times New Roman" w:eastAsia="宋体" w:cs="Times New Roman"/>
          <w:color w:val="auto"/>
          <w:highlight w:val="none"/>
          <w:lang w:eastAsia="zh-CN"/>
        </w:rPr>
        <w:t>内大量出入中型车辆，区块内道路主要为砂石路，车辆行驶的扬尘污染较重，要求适当洒水降尘，减轻污染。合理规划、选择最短的运输路线，利用油气田现有公路网络，禁止随意开辟道路，运输车辆应以中、低速行驶，减少车辆行驶动力起尘。</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（2）地面工程施工过程中扬尘的影响</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施工扬尘污染主要来自：①管沟、地基、路基开挖、土地平整及地基、路基填筑等施工过程，遇大风天气，会造成粉尘、扬尘等大气污染；②水泥、砂石、混凝土等建筑材料的运输、装卸和仓储过程不可避免会产生一定的泄漏，产生扬尘污染少年；③灰土</w:t>
      </w:r>
      <w:r>
        <w:rPr>
          <w:rFonts w:hint="eastAsia" w:cs="Times New Roman"/>
          <w:color w:val="auto"/>
          <w:highlight w:val="none"/>
          <w:lang w:eastAsia="zh-CN"/>
        </w:rPr>
        <w:t>拌合</w:t>
      </w:r>
      <w:r>
        <w:rPr>
          <w:rFonts w:hint="eastAsia" w:ascii="Times New Roman" w:hAnsi="Times New Roman" w:eastAsia="宋体" w:cs="Times New Roman"/>
          <w:color w:val="auto"/>
          <w:highlight w:val="none"/>
          <w:lang w:eastAsia="zh-CN"/>
        </w:rPr>
        <w:t>、混凝土</w:t>
      </w:r>
      <w:r>
        <w:rPr>
          <w:rFonts w:hint="eastAsia" w:cs="Times New Roman"/>
          <w:color w:val="auto"/>
          <w:highlight w:val="none"/>
          <w:lang w:eastAsia="zh-CN"/>
        </w:rPr>
        <w:t>拌和</w:t>
      </w:r>
      <w:r>
        <w:rPr>
          <w:rFonts w:hint="eastAsia" w:ascii="Times New Roman" w:hAnsi="Times New Roman" w:eastAsia="宋体" w:cs="Times New Roman"/>
          <w:color w:val="auto"/>
          <w:highlight w:val="none"/>
          <w:lang w:eastAsia="zh-CN"/>
        </w:rPr>
        <w:t>加工都会产生扬尘和粉尘；④物料运输车辆在施工场地运行过程中将产生大量尘土。</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施工期扬尘最大产生时间将出现在土方开挖阶段，由于该阶段裸露浮土较多，产尘量较大。开挖表土应采用防尘网覆盖以减少扬尘污染。</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项目施工在混凝土工序阶段，灰土</w:t>
      </w:r>
      <w:r>
        <w:rPr>
          <w:rFonts w:hint="eastAsia" w:cs="Times New Roman"/>
          <w:color w:val="auto"/>
          <w:highlight w:val="none"/>
          <w:lang w:eastAsia="zh-CN"/>
        </w:rPr>
        <w:t>拌合</w:t>
      </w:r>
      <w:r>
        <w:rPr>
          <w:rFonts w:hint="eastAsia" w:ascii="Times New Roman" w:hAnsi="Times New Roman" w:eastAsia="宋体" w:cs="Times New Roman"/>
          <w:color w:val="auto"/>
          <w:highlight w:val="none"/>
          <w:lang w:eastAsia="zh-CN"/>
        </w:rPr>
        <w:t>、混凝土</w:t>
      </w:r>
      <w:r>
        <w:rPr>
          <w:rFonts w:hint="eastAsia" w:cs="Times New Roman"/>
          <w:color w:val="auto"/>
          <w:highlight w:val="none"/>
          <w:lang w:eastAsia="zh-CN"/>
        </w:rPr>
        <w:t>拌合</w:t>
      </w:r>
      <w:r>
        <w:rPr>
          <w:rFonts w:hint="eastAsia" w:ascii="Times New Roman" w:hAnsi="Times New Roman" w:eastAsia="宋体" w:cs="Times New Roman"/>
          <w:color w:val="auto"/>
          <w:highlight w:val="none"/>
          <w:lang w:eastAsia="zh-CN"/>
        </w:rPr>
        <w:t>是扬尘的主要来源。必须采取封闭作业或洒水措施，控制扬尘量。</w:t>
      </w:r>
    </w:p>
    <w:p>
      <w:pPr>
        <w:pStyle w:val="5"/>
        <w:rPr>
          <w:color w:val="auto"/>
        </w:rPr>
      </w:pPr>
      <w:r>
        <w:rPr>
          <w:rFonts w:hint="eastAsia"/>
          <w:color w:val="auto"/>
          <w:lang w:eastAsia="zh-CN"/>
        </w:rPr>
        <w:t>5.5.</w:t>
      </w:r>
      <w:r>
        <w:rPr>
          <w:rFonts w:hint="eastAsia"/>
          <w:color w:val="auto"/>
        </w:rPr>
        <w:t>1</w:t>
      </w:r>
      <w:r>
        <w:rPr>
          <w:color w:val="auto"/>
        </w:rPr>
        <w:t>.</w:t>
      </w:r>
      <w:r>
        <w:rPr>
          <w:rFonts w:hint="eastAsia"/>
          <w:color w:val="auto"/>
          <w:lang w:val="en-US" w:eastAsia="zh-CN"/>
        </w:rPr>
        <w:t>3</w:t>
      </w:r>
      <w:r>
        <w:rPr>
          <w:rFonts w:hint="eastAsia"/>
          <w:color w:val="auto"/>
        </w:rPr>
        <w:t>车辆</w:t>
      </w:r>
      <w:r>
        <w:rPr>
          <w:rFonts w:hint="eastAsia"/>
          <w:color w:val="auto"/>
          <w:lang w:val="en-US" w:eastAsia="zh-CN"/>
        </w:rPr>
        <w:t>尾气和</w:t>
      </w:r>
      <w:r>
        <w:rPr>
          <w:rFonts w:hint="eastAsia"/>
          <w:color w:val="auto"/>
        </w:rPr>
        <w:t>焊接烟气</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在油气田地面工程施工中使用多种燃油机动设备和运输车辆，会产生机械设备和车辆内燃机燃料燃烧废气，其污染物主要有SO</w:t>
      </w:r>
      <w:r>
        <w:rPr>
          <w:rFonts w:hint="eastAsia" w:ascii="Times New Roman" w:hAnsi="Times New Roman" w:eastAsia="宋体" w:cs="Times New Roman"/>
          <w:color w:val="auto"/>
          <w:highlight w:val="none"/>
          <w:vertAlign w:val="subscript"/>
          <w:lang w:eastAsia="zh-CN"/>
        </w:rPr>
        <w:t>2</w:t>
      </w:r>
      <w:r>
        <w:rPr>
          <w:rFonts w:hint="eastAsia" w:ascii="Times New Roman" w:hAnsi="Times New Roman" w:eastAsia="宋体" w:cs="Times New Roman"/>
          <w:color w:val="auto"/>
          <w:highlight w:val="none"/>
          <w:lang w:eastAsia="zh-CN"/>
        </w:rPr>
        <w:t>、NO</w:t>
      </w:r>
      <w:r>
        <w:rPr>
          <w:rFonts w:hint="eastAsia" w:ascii="Times New Roman" w:hAnsi="Times New Roman" w:eastAsia="宋体" w:cs="Times New Roman"/>
          <w:color w:val="auto"/>
          <w:highlight w:val="none"/>
          <w:vertAlign w:val="subscript"/>
          <w:lang w:eastAsia="zh-CN"/>
        </w:rPr>
        <w:t>X</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de-DE" w:eastAsia="zh-CN"/>
        </w:rPr>
        <w:t>CmHn</w:t>
      </w:r>
      <w:r>
        <w:rPr>
          <w:rFonts w:hint="eastAsia" w:ascii="Times New Roman" w:hAnsi="Times New Roman" w:eastAsia="宋体" w:cs="Times New Roman"/>
          <w:color w:val="auto"/>
          <w:highlight w:val="none"/>
          <w:lang w:eastAsia="zh-CN"/>
        </w:rPr>
        <w:t>等；金属材质管线连接过程中会产生一定量的焊接烟气，污染物主要为颗粒物。施工机械和运输车辆运行时间和管线焊接时间一般都较短，从影响范围和程度来看，焊接烟气、机械设备和车辆废气对周围大气环境的影响是有限的，又因其排放量较小，其对评价区域空气环境产生的影响可为环境所接受。</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施工前期准备过程中应检修设备和车辆，保证设备正常稳定运行，燃用合格的燃料，设备和车辆不超负荷运行，从而从源头减少设备和车辆废气对环境的影响。</w:t>
      </w:r>
    </w:p>
    <w:p>
      <w:pPr>
        <w:pStyle w:val="5"/>
        <w:bidi w:val="0"/>
        <w:rPr>
          <w:color w:val="auto"/>
        </w:rPr>
      </w:pPr>
      <w:r>
        <w:rPr>
          <w:rFonts w:hint="eastAsia"/>
          <w:color w:val="auto"/>
          <w:lang w:val="en-US" w:eastAsia="zh-CN"/>
        </w:rPr>
        <w:t>5.5.1.4</w:t>
      </w:r>
      <w:r>
        <w:rPr>
          <w:color w:val="auto"/>
        </w:rPr>
        <w:t>储层改造废气</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储层改造过程废气主要来源于压裂液现场暂存过程、压裂液注入过程以及压裂返排液暂存过程中产生的废气，主要成分为HCl等，采取压裂液和压裂返排液密闭罐存放措施，有效降低废气排放。</w:t>
      </w:r>
    </w:p>
    <w:p>
      <w:pPr>
        <w:pStyle w:val="53"/>
        <w:bidi w:val="0"/>
        <w:rPr>
          <w:rFonts w:hint="eastAsia" w:cs="Times New Roman"/>
          <w:color w:val="auto"/>
          <w:highlight w:val="none"/>
          <w:lang w:eastAsia="zh-CN"/>
        </w:rPr>
      </w:pPr>
      <w:bookmarkStart w:id="663" w:name="_Toc173941893"/>
      <w:r>
        <w:rPr>
          <w:rFonts w:hint="eastAsia" w:cs="Times New Roman"/>
          <w:color w:val="auto"/>
          <w:highlight w:val="none"/>
          <w:lang w:eastAsia="zh-CN"/>
        </w:rPr>
        <w:t>5.5.</w:t>
      </w:r>
      <w:r>
        <w:rPr>
          <w:rFonts w:hint="eastAsia" w:cs="Times New Roman"/>
          <w:color w:val="auto"/>
          <w:highlight w:val="none"/>
        </w:rPr>
        <w:t>2 运营期大气环境影响</w:t>
      </w:r>
      <w:bookmarkEnd w:id="663"/>
      <w:r>
        <w:rPr>
          <w:rFonts w:hint="eastAsia" w:cs="Times New Roman"/>
          <w:color w:val="auto"/>
          <w:highlight w:val="none"/>
          <w:lang w:val="en-US" w:eastAsia="zh-CN"/>
        </w:rPr>
        <w:t>评价</w:t>
      </w:r>
    </w:p>
    <w:p>
      <w:pPr>
        <w:pStyle w:val="5"/>
        <w:rPr>
          <w:snapToGrid w:val="0"/>
          <w:color w:val="auto"/>
          <w:highlight w:val="none"/>
        </w:rPr>
      </w:pPr>
      <w:r>
        <w:rPr>
          <w:rFonts w:hint="eastAsia"/>
          <w:snapToGrid w:val="0"/>
          <w:color w:val="auto"/>
          <w:highlight w:val="none"/>
          <w:lang w:eastAsia="zh-CN"/>
        </w:rPr>
        <w:t>5.5.</w:t>
      </w:r>
      <w:r>
        <w:rPr>
          <w:snapToGrid w:val="0"/>
          <w:color w:val="auto"/>
          <w:highlight w:val="none"/>
        </w:rPr>
        <w:t>2.1区域地面污染气象特征分析</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本项目位于本项目地处克拉玛依市乌尔禾区、塔城地区和布克赛尔蒙古自治县、</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eastAsia" w:ascii="Times New Roman" w:hAnsi="Times New Roman" w:eastAsia="宋体" w:cs="Times New Roman"/>
          <w:color w:val="auto"/>
          <w:highlight w:val="none"/>
          <w:lang w:eastAsia="zh-CN"/>
        </w:rPr>
        <w:t>内，</w:t>
      </w:r>
      <w:r>
        <w:rPr>
          <w:rFonts w:hint="eastAsia" w:ascii="Times New Roman" w:hAnsi="Times New Roman" w:eastAsia="宋体" w:cs="Times New Roman"/>
          <w:color w:val="auto"/>
          <w:highlight w:val="none"/>
          <w:lang w:val="en-US" w:eastAsia="zh-CN"/>
        </w:rPr>
        <w:t>本次选取</w:t>
      </w:r>
      <w:r>
        <w:rPr>
          <w:rFonts w:hint="eastAsia" w:ascii="Times New Roman" w:hAnsi="Times New Roman" w:eastAsia="宋体" w:cs="Times New Roman"/>
          <w:color w:val="auto"/>
          <w:highlight w:val="none"/>
          <w:lang w:eastAsia="zh-CN"/>
        </w:rPr>
        <w:t>克拉玛依市常年逐时24次地面观测数据进行统计分析。</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（1）风速</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克拉玛依市全年平均风速为2.54m/s，全年各季均以春、夏季平均风速为最大，冬季平均风速最小。区域各月平均风速统计见表5.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-1。平均风速的全年各月变化曲线见图5.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-1。</w:t>
      </w:r>
    </w:p>
    <w:p>
      <w:pPr>
        <w:pStyle w:val="98"/>
        <w:bidi w:val="0"/>
        <w:rPr>
          <w:color w:val="auto"/>
        </w:rPr>
      </w:pPr>
      <w:r>
        <w:rPr>
          <w:color w:val="auto"/>
        </w:rPr>
        <w:t>表5.</w:t>
      </w:r>
      <w:r>
        <w:rPr>
          <w:rFonts w:hint="eastAsia"/>
          <w:color w:val="auto"/>
          <w:lang w:val="en-US" w:eastAsia="zh-CN"/>
        </w:rPr>
        <w:t>5</w:t>
      </w:r>
      <w:r>
        <w:rPr>
          <w:color w:val="auto"/>
        </w:rPr>
        <w:t>-1             评价区域各月平均风速统计表</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15"/>
        <w:gridCol w:w="585"/>
        <w:gridCol w:w="585"/>
        <w:gridCol w:w="585"/>
        <w:gridCol w:w="585"/>
        <w:gridCol w:w="585"/>
        <w:gridCol w:w="585"/>
        <w:gridCol w:w="585"/>
        <w:gridCol w:w="585"/>
        <w:gridCol w:w="585"/>
        <w:gridCol w:w="585"/>
        <w:gridCol w:w="585"/>
        <w:gridCol w:w="585"/>
        <w:gridCol w:w="5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915" w:type="dxa"/>
            <w:vMerge w:val="restart"/>
            <w:tcBorders>
              <w:tl2br w:val="nil"/>
              <w:tr2bl w:val="nil"/>
            </w:tcBorders>
            <w:noWrap w:val="0"/>
            <w:vAlign w:val="center"/>
          </w:tcPr>
          <w:p>
            <w:pPr>
              <w:pStyle w:val="41"/>
              <w:bidi w:val="0"/>
              <w:jc w:val="center"/>
              <w:rPr>
                <w:color w:val="auto"/>
              </w:rPr>
            </w:pPr>
            <w:r>
              <w:rPr>
                <w:color w:val="auto"/>
              </w:rPr>
              <w:t>区域</w:t>
            </w:r>
          </w:p>
        </w:tc>
        <w:tc>
          <w:tcPr>
            <w:tcW w:w="7613" w:type="dxa"/>
            <w:gridSpan w:val="13"/>
            <w:tcBorders>
              <w:tl2br w:val="nil"/>
              <w:tr2bl w:val="nil"/>
            </w:tcBorders>
            <w:noWrap w:val="0"/>
            <w:vAlign w:val="top"/>
          </w:tcPr>
          <w:p>
            <w:pPr>
              <w:pStyle w:val="41"/>
              <w:bidi w:val="0"/>
              <w:rPr>
                <w:color w:val="auto"/>
              </w:rPr>
            </w:pPr>
            <w:r>
              <w:rPr>
                <w:color w:val="auto"/>
              </w:rPr>
              <w:t>平均风速（m/s）</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5" w:type="dxa"/>
            <w:vMerge w:val="continue"/>
            <w:tcBorders>
              <w:tl2br w:val="nil"/>
              <w:tr2bl w:val="nil"/>
            </w:tcBorders>
            <w:noWrap w:val="0"/>
            <w:vAlign w:val="top"/>
          </w:tcPr>
          <w:p>
            <w:pPr>
              <w:pStyle w:val="41"/>
              <w:bidi w:val="0"/>
              <w:rPr>
                <w:color w:val="auto"/>
              </w:rPr>
            </w:pP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8月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9月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11月</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12月</w:t>
            </w:r>
          </w:p>
        </w:tc>
        <w:tc>
          <w:tcPr>
            <w:tcW w:w="59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平均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15" w:type="dxa"/>
            <w:tcBorders>
              <w:tl2br w:val="nil"/>
              <w:tr2bl w:val="nil"/>
            </w:tcBorders>
            <w:noWrap w:val="0"/>
            <w:vAlign w:val="top"/>
          </w:tcPr>
          <w:p>
            <w:pPr>
              <w:pStyle w:val="41"/>
              <w:bidi w:val="0"/>
              <w:rPr>
                <w:color w:val="auto"/>
              </w:rPr>
            </w:pPr>
            <w:r>
              <w:rPr>
                <w:color w:val="auto"/>
              </w:rPr>
              <w:t>克拉玛依市</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3.37</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2.77</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2.67</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2.53</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2.23</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2.43</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3.30</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3.27</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2.90</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1.63</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1.73</w:t>
            </w:r>
          </w:p>
        </w:tc>
        <w:tc>
          <w:tcPr>
            <w:tcW w:w="585"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1.71</w:t>
            </w:r>
          </w:p>
        </w:tc>
        <w:tc>
          <w:tcPr>
            <w:tcW w:w="59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2.54</w:t>
            </w:r>
          </w:p>
        </w:tc>
      </w:tr>
    </w:tbl>
    <w:p>
      <w:pPr>
        <w:pStyle w:val="98"/>
        <w:bidi w:val="0"/>
        <w:spacing w:line="240" w:lineRule="auto"/>
        <w:rPr>
          <w:color w:val="auto"/>
        </w:rPr>
      </w:pPr>
      <w:r>
        <w:rPr>
          <w:color w:val="auto"/>
        </w:rPr>
        <w:drawing>
          <wp:inline distT="0" distB="0" distL="114300" distR="114300">
            <wp:extent cx="5238115" cy="141414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rcRect l="-4810" t="-21756" r="-2971" b="-17404"/>
                    <a:stretch>
                      <a:fillRect/>
                    </a:stretch>
                  </pic:blipFill>
                  <pic:spPr>
                    <a:xfrm>
                      <a:off x="0" y="0"/>
                      <a:ext cx="5238115" cy="1414145"/>
                    </a:xfrm>
                    <a:prstGeom prst="rect">
                      <a:avLst/>
                    </a:prstGeom>
                    <a:noFill/>
                    <a:ln>
                      <a:noFill/>
                    </a:ln>
                  </pic:spPr>
                </pic:pic>
              </a:graphicData>
            </a:graphic>
          </wp:inline>
        </w:drawing>
      </w:r>
    </w:p>
    <w:p>
      <w:pPr>
        <w:pStyle w:val="98"/>
        <w:bidi w:val="0"/>
        <w:rPr>
          <w:color w:val="auto"/>
        </w:rPr>
      </w:pPr>
      <w:r>
        <w:rPr>
          <w:color w:val="auto"/>
        </w:rPr>
        <w:t>图5.</w:t>
      </w:r>
      <w:r>
        <w:rPr>
          <w:rFonts w:hint="eastAsia"/>
          <w:color w:val="auto"/>
          <w:lang w:val="en-US" w:eastAsia="zh-CN"/>
        </w:rPr>
        <w:t>5</w:t>
      </w:r>
      <w:r>
        <w:rPr>
          <w:color w:val="auto"/>
        </w:rPr>
        <w:t>-1  评价区全年各月风速变化曲线</w:t>
      </w:r>
    </w:p>
    <w:p>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（2）风向、风频</w:t>
      </w:r>
    </w:p>
    <w:p>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大气污染物的传输与扩散受地面风向风速的影响，风向决定了污染物被输送的方向以及被污染区域的方位，而风速的大小则影响大气污染物的扩散稀释速度。一般在风向频率较大的方位其下风向的轴线区域污染物浓度较大。</w:t>
      </w:r>
    </w:p>
    <w:p>
      <w:pPr>
        <w:pStyle w:val="57"/>
        <w:keepNext w:val="0"/>
        <w:keepLines w:val="0"/>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克拉玛依市全年主导风向为WNW-NW-NNW。克拉玛依市各季及全年的风向频率统计情况见表5.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-2，风向频率玫瑰见图5.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-2。</w:t>
      </w:r>
    </w:p>
    <w:p>
      <w:pPr>
        <w:keepNext w:val="0"/>
        <w:keepLines w:val="0"/>
        <w:pageBreakBefore w:val="0"/>
        <w:widowControl/>
        <w:kinsoku/>
        <w:wordWrap/>
        <w:overflowPunct/>
        <w:topLinePunct w:val="0"/>
        <w:autoSpaceDE/>
        <w:autoSpaceDN/>
        <w:bidi w:val="0"/>
        <w:spacing w:line="480" w:lineRule="exact"/>
        <w:textAlignment w:val="auto"/>
        <w:rPr>
          <w:rFonts w:ascii="Times New Roman" w:hAnsi="Times New Roman" w:cs="Times New Roman"/>
          <w:b/>
          <w:color w:val="auto"/>
        </w:rPr>
      </w:pPr>
      <w:r>
        <w:rPr>
          <w:rFonts w:ascii="Times New Roman" w:hAnsi="Times New Roman" w:cs="Times New Roman"/>
          <w:b/>
          <w:color w:val="auto"/>
        </w:rPr>
        <w:t>表5.2-2  克拉玛依市全年及各季风向频率(fi)、平均风速(ui)及污染系数(ai)</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8"/>
        <w:gridCol w:w="533"/>
        <w:gridCol w:w="520"/>
        <w:gridCol w:w="522"/>
        <w:gridCol w:w="532"/>
        <w:gridCol w:w="520"/>
        <w:gridCol w:w="520"/>
        <w:gridCol w:w="532"/>
        <w:gridCol w:w="520"/>
        <w:gridCol w:w="522"/>
        <w:gridCol w:w="532"/>
        <w:gridCol w:w="520"/>
        <w:gridCol w:w="522"/>
        <w:gridCol w:w="532"/>
        <w:gridCol w:w="520"/>
        <w:gridCol w:w="50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restart"/>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风向</w:t>
            </w:r>
          </w:p>
        </w:tc>
        <w:tc>
          <w:tcPr>
            <w:tcW w:w="1575" w:type="dxa"/>
            <w:gridSpan w:val="3"/>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春</w:t>
            </w:r>
          </w:p>
        </w:tc>
        <w:tc>
          <w:tcPr>
            <w:tcW w:w="1572" w:type="dxa"/>
            <w:gridSpan w:val="3"/>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夏</w:t>
            </w:r>
          </w:p>
        </w:tc>
        <w:tc>
          <w:tcPr>
            <w:tcW w:w="1574" w:type="dxa"/>
            <w:gridSpan w:val="3"/>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秋</w:t>
            </w:r>
          </w:p>
        </w:tc>
        <w:tc>
          <w:tcPr>
            <w:tcW w:w="1574" w:type="dxa"/>
            <w:gridSpan w:val="3"/>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冬</w:t>
            </w:r>
          </w:p>
        </w:tc>
        <w:tc>
          <w:tcPr>
            <w:tcW w:w="1555" w:type="dxa"/>
            <w:gridSpan w:val="3"/>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vMerge w:val="continue"/>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fi</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ui</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αi</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3.53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1.37</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4.67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1.40</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1.56</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1.51</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3.70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2.50</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NNE</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1.07</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0.80</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1.09</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1.57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1.23</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2.23</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NE</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4.23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1.24</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1.07</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1.19</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1.37</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2.78</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ENE</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5.73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1.73</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0.55</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6.73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2.52</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7.07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3.72</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5.30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2.74</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E</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10.10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3.26</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9.30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2.88</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12.27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4.54</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7.20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3.85</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9.70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2.73</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ESE</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0.92</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0.26</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2.33</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1.11</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0.67</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2.50</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SE</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0.65</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0.97</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2.03</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1.05</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0.23</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2.62</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SSE</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0.65</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0.50</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0.56</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1.23</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0.46</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2.38</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6.80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2.01</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8.53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2.56</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7.07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2.47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2.86</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1.73</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1.08</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6.10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2.73</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SSW</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3.53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1.04</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4.23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0.65</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2.63</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1.24</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1.63</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2.04</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2.97</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SW</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0.55</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3.93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0.64</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2.37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0.53</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3.60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1.40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2.57</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2.50</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WSW</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3.47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0.58</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3.87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0.77</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1.10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0.40</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2.47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1.53</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1.61</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2.91</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W</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3.83</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0.44</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4.57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0.66</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2.93</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0.35</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0.90</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3.35</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WNW</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4.33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6.67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0.65</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6.83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5.33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1.28</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6.20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0.50</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2.27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0.76</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4.10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5.49</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0.75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NW</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24.53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6.80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3.61</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31.20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6.07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5.14</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19.30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6.00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3.22</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6.17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3.77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1.63</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20.40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5.66</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NNW</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10.47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3.30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3.17</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7.53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3.53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2.13</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13.30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3.17</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4.20</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4.70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1.80</w:t>
            </w: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2.61</w:t>
            </w: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9.00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2.95</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3.05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678"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C</w:t>
            </w:r>
          </w:p>
        </w:tc>
        <w:tc>
          <w:tcPr>
            <w:tcW w:w="53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12.53</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8.47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16.77</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50.00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2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c>
          <w:tcPr>
            <w:tcW w:w="532"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21.80</w:t>
            </w:r>
          </w:p>
        </w:tc>
        <w:tc>
          <w:tcPr>
            <w:tcW w:w="520"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r>
              <w:rPr>
                <w:color w:val="auto"/>
              </w:rPr>
              <w:t>2.70</w:t>
            </w:r>
          </w:p>
        </w:tc>
        <w:tc>
          <w:tcPr>
            <w:tcW w:w="503" w:type="dxa"/>
            <w:tcBorders>
              <w:tl2br w:val="nil"/>
              <w:tr2bl w:val="nil"/>
            </w:tcBorders>
            <w:noWrap w:val="0"/>
            <w:vAlign w:val="center"/>
          </w:tcPr>
          <w:p>
            <w:pPr>
              <w:pStyle w:val="41"/>
              <w:keepNext w:val="0"/>
              <w:keepLines w:val="0"/>
              <w:pageBreakBefore w:val="0"/>
              <w:widowControl/>
              <w:kinsoku/>
              <w:wordWrap/>
              <w:overflowPunct/>
              <w:topLinePunct w:val="0"/>
              <w:autoSpaceDE/>
              <w:autoSpaceDN/>
              <w:bidi w:val="0"/>
              <w:adjustRightInd/>
              <w:snapToGrid/>
              <w:ind w:left="-105" w:leftChars="-50" w:right="-105" w:rightChars="-50"/>
              <w:jc w:val="center"/>
              <w:textAlignment w:val="auto"/>
              <w:rPr>
                <w:color w:val="auto"/>
              </w:rPr>
            </w:pPr>
          </w:p>
        </w:tc>
      </w:tr>
    </w:tbl>
    <w:p>
      <w:pPr>
        <w:spacing w:line="240" w:lineRule="auto"/>
        <w:jc w:val="center"/>
        <w:rPr>
          <w:rFonts w:ascii="Times New Roman" w:hAnsi="Times New Roman" w:cs="Times New Roman"/>
          <w:color w:val="auto"/>
        </w:rPr>
      </w:pPr>
      <w:r>
        <w:rPr>
          <w:rFonts w:ascii="Times New Roman" w:hAnsi="Times New Roman" w:cs="Times New Roman"/>
          <w:color w:val="auto"/>
        </w:rPr>
        <w:drawing>
          <wp:inline distT="0" distB="0" distL="114300" distR="114300">
            <wp:extent cx="4336415" cy="6393815"/>
            <wp:effectExtent l="0" t="0" r="6985" b="6985"/>
            <wp:docPr id="22" name="图片 22" descr="风向玫瑰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风向玫瑰图"/>
                    <pic:cNvPicPr>
                      <a:picLocks noChangeAspect="1"/>
                    </pic:cNvPicPr>
                  </pic:nvPicPr>
                  <pic:blipFill>
                    <a:blip r:embed="rId30"/>
                    <a:stretch>
                      <a:fillRect/>
                    </a:stretch>
                  </pic:blipFill>
                  <pic:spPr>
                    <a:xfrm>
                      <a:off x="0" y="0"/>
                      <a:ext cx="4336415" cy="6393815"/>
                    </a:xfrm>
                    <a:prstGeom prst="rect">
                      <a:avLst/>
                    </a:prstGeom>
                    <a:noFill/>
                    <a:ln>
                      <a:noFill/>
                    </a:ln>
                  </pic:spPr>
                </pic:pic>
              </a:graphicData>
            </a:graphic>
          </wp:inline>
        </w:drawing>
      </w:r>
    </w:p>
    <w:p>
      <w:pPr>
        <w:pStyle w:val="98"/>
        <w:keepNext w:val="0"/>
        <w:keepLines w:val="0"/>
        <w:pageBreakBefore w:val="0"/>
        <w:kinsoku/>
        <w:wordWrap/>
        <w:overflowPunct/>
        <w:topLinePunct w:val="0"/>
        <w:autoSpaceDE/>
        <w:autoSpaceDN/>
        <w:bidi w:val="0"/>
        <w:spacing w:line="480" w:lineRule="exact"/>
        <w:textAlignment w:val="auto"/>
        <w:rPr>
          <w:color w:val="auto"/>
        </w:rPr>
      </w:pPr>
      <w:r>
        <w:rPr>
          <w:color w:val="auto"/>
        </w:rPr>
        <w:t>图5.2-2  克拉玛依市全年及各季风向频率玫瑰图</w:t>
      </w:r>
    </w:p>
    <w:p>
      <w:pPr>
        <w:pStyle w:val="57"/>
        <w:keepNext w:val="0"/>
        <w:keepLines w:val="0"/>
        <w:pageBreakBefore w:val="0"/>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color w:val="auto"/>
        </w:rPr>
        <w:t>（</w:t>
      </w:r>
      <w:r>
        <w:rPr>
          <w:rFonts w:hint="eastAsia" w:ascii="Times New Roman" w:hAnsi="Times New Roman" w:eastAsia="宋体" w:cs="Times New Roman"/>
          <w:color w:val="auto"/>
          <w:highlight w:val="none"/>
          <w:lang w:eastAsia="zh-CN"/>
        </w:rPr>
        <w:t>3）污染系数</w:t>
      </w:r>
    </w:p>
    <w:p>
      <w:pPr>
        <w:pStyle w:val="57"/>
        <w:keepNext w:val="0"/>
        <w:keepLines w:val="0"/>
        <w:pageBreakBefore w:val="0"/>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污染系数比较全面地反映了风矢（风向、风速）对污染物的输送作用。全年及各季最大污染系数及相应的方位见表5.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-3。</w:t>
      </w:r>
    </w:p>
    <w:p>
      <w:pPr>
        <w:pStyle w:val="98"/>
        <w:keepNext w:val="0"/>
        <w:keepLines w:val="0"/>
        <w:pageBreakBefore w:val="0"/>
        <w:kinsoku/>
        <w:wordWrap/>
        <w:overflowPunct/>
        <w:topLinePunct w:val="0"/>
        <w:autoSpaceDE/>
        <w:autoSpaceDN/>
        <w:bidi w:val="0"/>
        <w:spacing w:line="480" w:lineRule="exact"/>
        <w:textAlignment w:val="auto"/>
        <w:rPr>
          <w:color w:val="auto"/>
        </w:rPr>
      </w:pPr>
      <w:r>
        <w:rPr>
          <w:color w:val="auto"/>
        </w:rPr>
        <w:t>表5.</w:t>
      </w:r>
      <w:r>
        <w:rPr>
          <w:rFonts w:hint="eastAsia"/>
          <w:color w:val="auto"/>
          <w:lang w:val="en-US" w:eastAsia="zh-CN"/>
        </w:rPr>
        <w:t>5</w:t>
      </w:r>
      <w:r>
        <w:rPr>
          <w:color w:val="auto"/>
        </w:rPr>
        <w:t>-3  各季污染系数最大、最小值及相应的方位</w:t>
      </w:r>
    </w:p>
    <w:tbl>
      <w:tblPr>
        <w:tblStyle w:val="3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330"/>
        <w:gridCol w:w="1023"/>
        <w:gridCol w:w="1024"/>
        <w:gridCol w:w="1024"/>
        <w:gridCol w:w="1024"/>
        <w:gridCol w:w="102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pPr>
              <w:pStyle w:val="41"/>
              <w:bidi w:val="0"/>
              <w:rPr>
                <w:color w:val="auto"/>
              </w:rPr>
            </w:pPr>
            <w:r>
              <w:rPr>
                <w:color w:val="auto"/>
              </w:rPr>
              <w:t>季  节</w:t>
            </w:r>
          </w:p>
        </w:tc>
        <w:tc>
          <w:tcPr>
            <w:tcW w:w="1023" w:type="dxa"/>
            <w:tcBorders>
              <w:tl2br w:val="nil"/>
              <w:tr2bl w:val="nil"/>
            </w:tcBorders>
            <w:noWrap w:val="0"/>
            <w:vAlign w:val="center"/>
          </w:tcPr>
          <w:p>
            <w:pPr>
              <w:pStyle w:val="41"/>
              <w:bidi w:val="0"/>
              <w:rPr>
                <w:color w:val="auto"/>
              </w:rPr>
            </w:pPr>
            <w:r>
              <w:rPr>
                <w:color w:val="auto"/>
              </w:rPr>
              <w:t>春</w:t>
            </w:r>
          </w:p>
        </w:tc>
        <w:tc>
          <w:tcPr>
            <w:tcW w:w="1024" w:type="dxa"/>
            <w:tcBorders>
              <w:tl2br w:val="nil"/>
              <w:tr2bl w:val="nil"/>
            </w:tcBorders>
            <w:noWrap w:val="0"/>
            <w:vAlign w:val="center"/>
          </w:tcPr>
          <w:p>
            <w:pPr>
              <w:pStyle w:val="41"/>
              <w:bidi w:val="0"/>
              <w:rPr>
                <w:color w:val="auto"/>
              </w:rPr>
            </w:pPr>
            <w:r>
              <w:rPr>
                <w:color w:val="auto"/>
              </w:rPr>
              <w:t>夏</w:t>
            </w:r>
          </w:p>
        </w:tc>
        <w:tc>
          <w:tcPr>
            <w:tcW w:w="1024" w:type="dxa"/>
            <w:tcBorders>
              <w:tl2br w:val="nil"/>
              <w:tr2bl w:val="nil"/>
            </w:tcBorders>
            <w:noWrap w:val="0"/>
            <w:vAlign w:val="center"/>
          </w:tcPr>
          <w:p>
            <w:pPr>
              <w:pStyle w:val="41"/>
              <w:bidi w:val="0"/>
              <w:rPr>
                <w:color w:val="auto"/>
              </w:rPr>
            </w:pPr>
            <w:r>
              <w:rPr>
                <w:color w:val="auto"/>
              </w:rPr>
              <w:t>秋</w:t>
            </w:r>
          </w:p>
        </w:tc>
        <w:tc>
          <w:tcPr>
            <w:tcW w:w="1024" w:type="dxa"/>
            <w:tcBorders>
              <w:tl2br w:val="nil"/>
              <w:tr2bl w:val="nil"/>
            </w:tcBorders>
            <w:noWrap w:val="0"/>
            <w:vAlign w:val="center"/>
          </w:tcPr>
          <w:p>
            <w:pPr>
              <w:pStyle w:val="41"/>
              <w:bidi w:val="0"/>
              <w:rPr>
                <w:color w:val="auto"/>
              </w:rPr>
            </w:pPr>
            <w:r>
              <w:rPr>
                <w:color w:val="auto"/>
              </w:rPr>
              <w:t>冬</w:t>
            </w:r>
          </w:p>
        </w:tc>
        <w:tc>
          <w:tcPr>
            <w:tcW w:w="1020" w:type="dxa"/>
            <w:tcBorders>
              <w:tl2br w:val="nil"/>
              <w:tr2bl w:val="nil"/>
            </w:tcBorders>
            <w:noWrap w:val="0"/>
            <w:vAlign w:val="center"/>
          </w:tcPr>
          <w:p>
            <w:pPr>
              <w:pStyle w:val="41"/>
              <w:bidi w:val="0"/>
              <w:rPr>
                <w:color w:val="auto"/>
              </w:rPr>
            </w:pPr>
            <w:r>
              <w:rPr>
                <w:color w:val="auto"/>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pPr>
              <w:pStyle w:val="41"/>
              <w:bidi w:val="0"/>
              <w:rPr>
                <w:color w:val="auto"/>
              </w:rPr>
            </w:pPr>
            <w:r>
              <w:rPr>
                <w:color w:val="auto"/>
              </w:rPr>
              <w:t>污染系数最大值</w:t>
            </w:r>
          </w:p>
        </w:tc>
        <w:tc>
          <w:tcPr>
            <w:tcW w:w="1023" w:type="dxa"/>
            <w:tcBorders>
              <w:tl2br w:val="nil"/>
              <w:tr2bl w:val="nil"/>
            </w:tcBorders>
            <w:noWrap w:val="0"/>
            <w:vAlign w:val="center"/>
          </w:tcPr>
          <w:p>
            <w:pPr>
              <w:pStyle w:val="41"/>
              <w:bidi w:val="0"/>
              <w:rPr>
                <w:color w:val="auto"/>
              </w:rPr>
            </w:pPr>
            <w:r>
              <w:rPr>
                <w:color w:val="auto"/>
              </w:rPr>
              <w:t>3.61</w:t>
            </w:r>
          </w:p>
        </w:tc>
        <w:tc>
          <w:tcPr>
            <w:tcW w:w="1024" w:type="dxa"/>
            <w:tcBorders>
              <w:tl2br w:val="nil"/>
              <w:tr2bl w:val="nil"/>
            </w:tcBorders>
            <w:noWrap w:val="0"/>
            <w:vAlign w:val="center"/>
          </w:tcPr>
          <w:p>
            <w:pPr>
              <w:pStyle w:val="41"/>
              <w:bidi w:val="0"/>
              <w:rPr>
                <w:color w:val="auto"/>
              </w:rPr>
            </w:pPr>
            <w:r>
              <w:rPr>
                <w:color w:val="auto"/>
              </w:rPr>
              <w:t>5.14</w:t>
            </w:r>
          </w:p>
        </w:tc>
        <w:tc>
          <w:tcPr>
            <w:tcW w:w="1024" w:type="dxa"/>
            <w:tcBorders>
              <w:tl2br w:val="nil"/>
              <w:tr2bl w:val="nil"/>
            </w:tcBorders>
            <w:noWrap w:val="0"/>
            <w:vAlign w:val="center"/>
          </w:tcPr>
          <w:p>
            <w:pPr>
              <w:pStyle w:val="41"/>
              <w:bidi w:val="0"/>
              <w:rPr>
                <w:color w:val="auto"/>
              </w:rPr>
            </w:pPr>
            <w:r>
              <w:rPr>
                <w:color w:val="auto"/>
              </w:rPr>
              <w:t>4.54</w:t>
            </w:r>
          </w:p>
        </w:tc>
        <w:tc>
          <w:tcPr>
            <w:tcW w:w="1024" w:type="dxa"/>
            <w:tcBorders>
              <w:tl2br w:val="nil"/>
              <w:tr2bl w:val="nil"/>
            </w:tcBorders>
            <w:noWrap w:val="0"/>
            <w:vAlign w:val="center"/>
          </w:tcPr>
          <w:p>
            <w:pPr>
              <w:pStyle w:val="41"/>
              <w:bidi w:val="0"/>
              <w:rPr>
                <w:color w:val="auto"/>
              </w:rPr>
            </w:pPr>
            <w:r>
              <w:rPr>
                <w:color w:val="auto"/>
              </w:rPr>
              <w:t>3.85</w:t>
            </w:r>
          </w:p>
        </w:tc>
        <w:tc>
          <w:tcPr>
            <w:tcW w:w="1020" w:type="dxa"/>
            <w:tcBorders>
              <w:tl2br w:val="nil"/>
              <w:tr2bl w:val="nil"/>
            </w:tcBorders>
            <w:noWrap w:val="0"/>
            <w:vAlign w:val="center"/>
          </w:tcPr>
          <w:p>
            <w:pPr>
              <w:pStyle w:val="41"/>
              <w:bidi w:val="0"/>
              <w:rPr>
                <w:color w:val="auto"/>
              </w:rPr>
            </w:pPr>
            <w:r>
              <w:rPr>
                <w:color w:val="auto"/>
              </w:rPr>
              <w:t>3.60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pPr>
              <w:pStyle w:val="41"/>
              <w:bidi w:val="0"/>
              <w:rPr>
                <w:color w:val="auto"/>
              </w:rPr>
            </w:pPr>
            <w:r>
              <w:rPr>
                <w:color w:val="auto"/>
              </w:rPr>
              <w:t>最大值方位</w:t>
            </w:r>
          </w:p>
        </w:tc>
        <w:tc>
          <w:tcPr>
            <w:tcW w:w="1023" w:type="dxa"/>
            <w:tcBorders>
              <w:tl2br w:val="nil"/>
              <w:tr2bl w:val="nil"/>
            </w:tcBorders>
            <w:noWrap w:val="0"/>
            <w:vAlign w:val="center"/>
          </w:tcPr>
          <w:p>
            <w:pPr>
              <w:pStyle w:val="41"/>
              <w:bidi w:val="0"/>
              <w:rPr>
                <w:color w:val="auto"/>
              </w:rPr>
            </w:pPr>
            <w:r>
              <w:rPr>
                <w:color w:val="auto"/>
              </w:rPr>
              <w:t>NW</w:t>
            </w:r>
          </w:p>
        </w:tc>
        <w:tc>
          <w:tcPr>
            <w:tcW w:w="1024" w:type="dxa"/>
            <w:tcBorders>
              <w:tl2br w:val="nil"/>
              <w:tr2bl w:val="nil"/>
            </w:tcBorders>
            <w:noWrap w:val="0"/>
            <w:vAlign w:val="center"/>
          </w:tcPr>
          <w:p>
            <w:pPr>
              <w:pStyle w:val="41"/>
              <w:bidi w:val="0"/>
              <w:rPr>
                <w:color w:val="auto"/>
              </w:rPr>
            </w:pPr>
            <w:r>
              <w:rPr>
                <w:color w:val="auto"/>
              </w:rPr>
              <w:t>NW</w:t>
            </w:r>
          </w:p>
        </w:tc>
        <w:tc>
          <w:tcPr>
            <w:tcW w:w="1024" w:type="dxa"/>
            <w:tcBorders>
              <w:tl2br w:val="nil"/>
              <w:tr2bl w:val="nil"/>
            </w:tcBorders>
            <w:noWrap w:val="0"/>
            <w:vAlign w:val="center"/>
          </w:tcPr>
          <w:p>
            <w:pPr>
              <w:pStyle w:val="41"/>
              <w:bidi w:val="0"/>
              <w:rPr>
                <w:color w:val="auto"/>
              </w:rPr>
            </w:pPr>
            <w:r>
              <w:rPr>
                <w:color w:val="auto"/>
              </w:rPr>
              <w:t>E</w:t>
            </w:r>
          </w:p>
        </w:tc>
        <w:tc>
          <w:tcPr>
            <w:tcW w:w="1024" w:type="dxa"/>
            <w:tcBorders>
              <w:tl2br w:val="nil"/>
              <w:tr2bl w:val="nil"/>
            </w:tcBorders>
            <w:noWrap w:val="0"/>
            <w:vAlign w:val="center"/>
          </w:tcPr>
          <w:p>
            <w:pPr>
              <w:pStyle w:val="41"/>
              <w:bidi w:val="0"/>
              <w:rPr>
                <w:color w:val="auto"/>
              </w:rPr>
            </w:pPr>
            <w:r>
              <w:rPr>
                <w:color w:val="auto"/>
              </w:rPr>
              <w:t>E</w:t>
            </w:r>
          </w:p>
        </w:tc>
        <w:tc>
          <w:tcPr>
            <w:tcW w:w="1020" w:type="dxa"/>
            <w:tcBorders>
              <w:tl2br w:val="nil"/>
              <w:tr2bl w:val="nil"/>
            </w:tcBorders>
            <w:noWrap w:val="0"/>
            <w:vAlign w:val="center"/>
          </w:tcPr>
          <w:p>
            <w:pPr>
              <w:pStyle w:val="41"/>
              <w:bidi w:val="0"/>
              <w:rPr>
                <w:color w:val="auto"/>
              </w:rPr>
            </w:pPr>
            <w:r>
              <w:rPr>
                <w:color w:val="auto"/>
              </w:rPr>
              <w:t>NW</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pPr>
              <w:pStyle w:val="41"/>
              <w:bidi w:val="0"/>
              <w:rPr>
                <w:color w:val="auto"/>
              </w:rPr>
            </w:pPr>
            <w:r>
              <w:rPr>
                <w:color w:val="auto"/>
              </w:rPr>
              <w:t>污染系数最小值</w:t>
            </w:r>
          </w:p>
        </w:tc>
        <w:tc>
          <w:tcPr>
            <w:tcW w:w="1023" w:type="dxa"/>
            <w:tcBorders>
              <w:tl2br w:val="nil"/>
              <w:tr2bl w:val="nil"/>
            </w:tcBorders>
            <w:noWrap w:val="0"/>
            <w:vAlign w:val="center"/>
          </w:tcPr>
          <w:p>
            <w:pPr>
              <w:pStyle w:val="41"/>
              <w:bidi w:val="0"/>
              <w:rPr>
                <w:color w:val="auto"/>
              </w:rPr>
            </w:pPr>
            <w:r>
              <w:rPr>
                <w:color w:val="auto"/>
              </w:rPr>
              <w:t>0.44</w:t>
            </w:r>
          </w:p>
        </w:tc>
        <w:tc>
          <w:tcPr>
            <w:tcW w:w="1024" w:type="dxa"/>
            <w:tcBorders>
              <w:tl2br w:val="nil"/>
              <w:tr2bl w:val="nil"/>
            </w:tcBorders>
            <w:noWrap w:val="0"/>
            <w:vAlign w:val="center"/>
          </w:tcPr>
          <w:p>
            <w:pPr>
              <w:pStyle w:val="41"/>
              <w:bidi w:val="0"/>
              <w:rPr>
                <w:color w:val="auto"/>
              </w:rPr>
            </w:pPr>
            <w:r>
              <w:rPr>
                <w:color w:val="auto"/>
              </w:rPr>
              <w:t>0.26</w:t>
            </w:r>
          </w:p>
        </w:tc>
        <w:tc>
          <w:tcPr>
            <w:tcW w:w="1024" w:type="dxa"/>
            <w:tcBorders>
              <w:tl2br w:val="nil"/>
              <w:tr2bl w:val="nil"/>
            </w:tcBorders>
            <w:noWrap w:val="0"/>
            <w:vAlign w:val="center"/>
          </w:tcPr>
          <w:p>
            <w:pPr>
              <w:pStyle w:val="41"/>
              <w:bidi w:val="0"/>
              <w:rPr>
                <w:color w:val="auto"/>
              </w:rPr>
            </w:pPr>
            <w:r>
              <w:rPr>
                <w:color w:val="auto"/>
              </w:rPr>
              <w:t>0.35</w:t>
            </w:r>
          </w:p>
        </w:tc>
        <w:tc>
          <w:tcPr>
            <w:tcW w:w="1024" w:type="dxa"/>
            <w:tcBorders>
              <w:tl2br w:val="nil"/>
              <w:tr2bl w:val="nil"/>
            </w:tcBorders>
            <w:noWrap w:val="0"/>
            <w:vAlign w:val="center"/>
          </w:tcPr>
          <w:p>
            <w:pPr>
              <w:pStyle w:val="41"/>
              <w:bidi w:val="0"/>
              <w:rPr>
                <w:color w:val="auto"/>
              </w:rPr>
            </w:pPr>
            <w:r>
              <w:rPr>
                <w:color w:val="auto"/>
              </w:rPr>
              <w:t>0.23</w:t>
            </w:r>
          </w:p>
        </w:tc>
        <w:tc>
          <w:tcPr>
            <w:tcW w:w="1020" w:type="dxa"/>
            <w:tcBorders>
              <w:tl2br w:val="nil"/>
              <w:tr2bl w:val="nil"/>
            </w:tcBorders>
            <w:noWrap w:val="0"/>
            <w:vAlign w:val="center"/>
          </w:tcPr>
          <w:p>
            <w:pPr>
              <w:pStyle w:val="41"/>
              <w:bidi w:val="0"/>
              <w:rPr>
                <w:color w:val="auto"/>
              </w:rPr>
            </w:pPr>
            <w:r>
              <w:rPr>
                <w:color w:val="auto"/>
              </w:rPr>
              <w:t>0.50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330" w:type="dxa"/>
            <w:tcBorders>
              <w:tl2br w:val="nil"/>
              <w:tr2bl w:val="nil"/>
            </w:tcBorders>
            <w:noWrap w:val="0"/>
            <w:vAlign w:val="center"/>
          </w:tcPr>
          <w:p>
            <w:pPr>
              <w:pStyle w:val="41"/>
              <w:bidi w:val="0"/>
              <w:rPr>
                <w:color w:val="auto"/>
              </w:rPr>
            </w:pPr>
            <w:r>
              <w:rPr>
                <w:color w:val="auto"/>
              </w:rPr>
              <w:t>最小值方位</w:t>
            </w:r>
          </w:p>
        </w:tc>
        <w:tc>
          <w:tcPr>
            <w:tcW w:w="1023" w:type="dxa"/>
            <w:tcBorders>
              <w:tl2br w:val="nil"/>
              <w:tr2bl w:val="nil"/>
            </w:tcBorders>
            <w:noWrap w:val="0"/>
            <w:vAlign w:val="center"/>
          </w:tcPr>
          <w:p>
            <w:pPr>
              <w:pStyle w:val="41"/>
              <w:bidi w:val="0"/>
              <w:rPr>
                <w:color w:val="auto"/>
              </w:rPr>
            </w:pPr>
            <w:r>
              <w:rPr>
                <w:color w:val="auto"/>
              </w:rPr>
              <w:t>W</w:t>
            </w:r>
          </w:p>
        </w:tc>
        <w:tc>
          <w:tcPr>
            <w:tcW w:w="1024" w:type="dxa"/>
            <w:tcBorders>
              <w:tl2br w:val="nil"/>
              <w:tr2bl w:val="nil"/>
            </w:tcBorders>
            <w:noWrap w:val="0"/>
            <w:vAlign w:val="center"/>
          </w:tcPr>
          <w:p>
            <w:pPr>
              <w:pStyle w:val="41"/>
              <w:bidi w:val="0"/>
              <w:rPr>
                <w:color w:val="auto"/>
              </w:rPr>
            </w:pPr>
            <w:r>
              <w:rPr>
                <w:color w:val="auto"/>
              </w:rPr>
              <w:t>ESE</w:t>
            </w:r>
          </w:p>
        </w:tc>
        <w:tc>
          <w:tcPr>
            <w:tcW w:w="1024" w:type="dxa"/>
            <w:tcBorders>
              <w:tl2br w:val="nil"/>
              <w:tr2bl w:val="nil"/>
            </w:tcBorders>
            <w:noWrap w:val="0"/>
            <w:vAlign w:val="center"/>
          </w:tcPr>
          <w:p>
            <w:pPr>
              <w:pStyle w:val="41"/>
              <w:bidi w:val="0"/>
              <w:rPr>
                <w:color w:val="auto"/>
              </w:rPr>
            </w:pPr>
            <w:r>
              <w:rPr>
                <w:color w:val="auto"/>
              </w:rPr>
              <w:t>W</w:t>
            </w:r>
          </w:p>
        </w:tc>
        <w:tc>
          <w:tcPr>
            <w:tcW w:w="1024" w:type="dxa"/>
            <w:tcBorders>
              <w:tl2br w:val="nil"/>
              <w:tr2bl w:val="nil"/>
            </w:tcBorders>
            <w:noWrap w:val="0"/>
            <w:vAlign w:val="center"/>
          </w:tcPr>
          <w:p>
            <w:pPr>
              <w:pStyle w:val="41"/>
              <w:bidi w:val="0"/>
              <w:rPr>
                <w:color w:val="auto"/>
              </w:rPr>
            </w:pPr>
            <w:r>
              <w:rPr>
                <w:color w:val="auto"/>
              </w:rPr>
              <w:t>SE</w:t>
            </w:r>
          </w:p>
        </w:tc>
        <w:tc>
          <w:tcPr>
            <w:tcW w:w="1020" w:type="dxa"/>
            <w:tcBorders>
              <w:tl2br w:val="nil"/>
              <w:tr2bl w:val="nil"/>
            </w:tcBorders>
            <w:noWrap w:val="0"/>
            <w:vAlign w:val="center"/>
          </w:tcPr>
          <w:p>
            <w:pPr>
              <w:pStyle w:val="41"/>
              <w:bidi w:val="0"/>
              <w:rPr>
                <w:color w:val="auto"/>
              </w:rPr>
            </w:pPr>
            <w:r>
              <w:rPr>
                <w:color w:val="auto"/>
              </w:rPr>
              <w:t>SSE</w:t>
            </w:r>
          </w:p>
        </w:tc>
      </w:tr>
    </w:tbl>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由表5.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-3可以看出，本项目的大气污染源在NW风向时最易造成污染。</w:t>
      </w:r>
    </w:p>
    <w:p>
      <w:pPr>
        <w:pStyle w:val="5"/>
        <w:rPr>
          <w:rFonts w:hint="eastAsia" w:ascii="Times New Roman" w:hAnsi="Times New Roman" w:eastAsia="宋体"/>
          <w:color w:val="auto"/>
          <w:lang w:eastAsia="zh-CN"/>
        </w:rPr>
      </w:pPr>
      <w:r>
        <w:rPr>
          <w:rFonts w:hint="eastAsia" w:ascii="Times New Roman" w:hAnsi="Times New Roman" w:eastAsia="宋体"/>
          <w:color w:val="auto"/>
          <w:lang w:eastAsia="zh-CN"/>
        </w:rPr>
        <w:t>5.5.2.</w:t>
      </w:r>
      <w:r>
        <w:rPr>
          <w:rFonts w:hint="eastAsia" w:ascii="Times New Roman" w:hAnsi="Times New Roman" w:eastAsia="宋体"/>
          <w:color w:val="auto"/>
          <w:lang w:val="en-US" w:eastAsia="zh-CN"/>
        </w:rPr>
        <w:t>1</w:t>
      </w:r>
      <w:r>
        <w:rPr>
          <w:rFonts w:hint="eastAsia" w:ascii="Times New Roman" w:hAnsi="Times New Roman" w:eastAsia="宋体"/>
          <w:color w:val="auto"/>
          <w:lang w:eastAsia="zh-CN"/>
        </w:rPr>
        <w:t>大气环境影响预测与评价</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bookmarkStart w:id="664" w:name="_Toc173941894"/>
      <w:r>
        <w:rPr>
          <w:rFonts w:hint="eastAsia" w:ascii="Times New Roman" w:hAnsi="Times New Roman" w:eastAsia="宋体" w:cs="Times New Roman"/>
          <w:color w:val="auto"/>
          <w:highlight w:val="none"/>
          <w:lang w:eastAsia="zh-CN"/>
        </w:rPr>
        <w:t>（1）预测模式</w:t>
      </w:r>
    </w:p>
    <w:p>
      <w:pPr>
        <w:pStyle w:val="57"/>
        <w:pageBreakBefore w:val="0"/>
        <w:kinsoku/>
        <w:wordWrap/>
        <w:overflowPunct/>
        <w:topLinePunct w:val="0"/>
        <w:autoSpaceDE/>
        <w:autoSpaceDN/>
        <w:bidi w:val="0"/>
        <w:spacing w:line="480" w:lineRule="exact"/>
        <w:rPr>
          <w:rFonts w:hint="eastAsia"/>
          <w:color w:val="auto"/>
        </w:rPr>
      </w:pPr>
      <w:r>
        <w:rPr>
          <w:rFonts w:hint="eastAsia" w:ascii="Times New Roman" w:hAnsi="Times New Roman" w:eastAsia="宋体" w:cs="Times New Roman"/>
          <w:color w:val="auto"/>
          <w:highlight w:val="none"/>
          <w:lang w:eastAsia="zh-CN"/>
        </w:rPr>
        <w:t>本次大气环境影响评价采用《</w:t>
      </w:r>
      <w:r>
        <w:rPr>
          <w:rFonts w:hint="eastAsia" w:cs="Times New Roman"/>
          <w:color w:val="auto"/>
          <w:highlight w:val="none"/>
          <w:lang w:eastAsia="zh-CN"/>
        </w:rPr>
        <w:t>环境影响评价技术导则 大气环境</w:t>
      </w:r>
      <w:r>
        <w:rPr>
          <w:rFonts w:hint="eastAsia" w:ascii="Times New Roman" w:hAnsi="Times New Roman" w:eastAsia="宋体" w:cs="Times New Roman"/>
          <w:color w:val="auto"/>
          <w:highlight w:val="none"/>
          <w:lang w:eastAsia="zh-CN"/>
        </w:rPr>
        <w:t>》</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HJ2.2-2018</w:t>
      </w:r>
      <w:r>
        <w:rPr>
          <w:rFonts w:hint="eastAsia" w:cs="Times New Roman"/>
          <w:color w:val="auto"/>
          <w:highlight w:val="none"/>
          <w:lang w:eastAsia="zh-CN"/>
        </w:rPr>
        <w:t>）</w:t>
      </w:r>
      <w:r>
        <w:rPr>
          <w:rFonts w:hint="eastAsia" w:ascii="Times New Roman" w:hAnsi="Times New Roman" w:eastAsia="宋体" w:cs="Times New Roman"/>
          <w:color w:val="auto"/>
          <w:highlight w:val="none"/>
          <w:lang w:eastAsia="zh-CN"/>
        </w:rPr>
        <w:t>所推荐采用的估算模式AERSCREEN，经估算模式可计算出某一污染源对环境空气质量的最大影响程度和影响范围。AERSCREEN模型大气环境影响预测中的有关参数选取情况见表5.</w:t>
      </w:r>
      <w:r>
        <w:rPr>
          <w:rFonts w:hint="eastAsia" w:ascii="Times New Roman" w:hAnsi="Times New Roman" w:eastAsia="宋体" w:cs="Times New Roman"/>
          <w:color w:val="auto"/>
          <w:highlight w:val="none"/>
          <w:lang w:val="en-US" w:eastAsia="zh-CN"/>
        </w:rPr>
        <w:t>5-4</w:t>
      </w:r>
      <w:r>
        <w:rPr>
          <w:rFonts w:hint="eastAsia" w:ascii="Times New Roman" w:hAnsi="Times New Roman" w:eastAsia="宋体" w:cs="Times New Roman"/>
          <w:color w:val="auto"/>
          <w:highlight w:val="none"/>
          <w:lang w:eastAsia="zh-CN"/>
        </w:rPr>
        <w:t>。</w:t>
      </w:r>
    </w:p>
    <w:p>
      <w:pPr>
        <w:pStyle w:val="54"/>
        <w:pageBreakBefore w:val="0"/>
        <w:kinsoku/>
        <w:wordWrap/>
        <w:overflowPunct/>
        <w:topLinePunct w:val="0"/>
        <w:autoSpaceDE/>
        <w:autoSpaceDN/>
        <w:bidi w:val="0"/>
        <w:spacing w:line="480" w:lineRule="exact"/>
        <w:ind w:firstLine="482"/>
        <w:rPr>
          <w:rFonts w:cs="Times New Roman"/>
          <w:color w:val="auto"/>
          <w:highlight w:val="none"/>
        </w:rPr>
      </w:pPr>
      <w:r>
        <w:rPr>
          <w:rFonts w:hint="eastAsia" w:cs="Times New Roman"/>
          <w:color w:val="auto"/>
          <w:highlight w:val="none"/>
        </w:rPr>
        <w:t>表</w:t>
      </w:r>
      <w:r>
        <w:rPr>
          <w:rFonts w:cs="Times New Roman"/>
          <w:color w:val="auto"/>
          <w:highlight w:val="none"/>
        </w:rPr>
        <w:t>5.</w:t>
      </w:r>
      <w:r>
        <w:rPr>
          <w:rFonts w:hint="eastAsia" w:cs="Times New Roman"/>
          <w:color w:val="auto"/>
          <w:highlight w:val="none"/>
          <w:lang w:val="en-US" w:eastAsia="zh-CN"/>
        </w:rPr>
        <w:t>5-1</w:t>
      </w:r>
      <w:r>
        <w:rPr>
          <w:rFonts w:cs="Times New Roman"/>
          <w:color w:val="auto"/>
          <w:highlight w:val="none"/>
        </w:rPr>
        <w:t xml:space="preserve"> </w:t>
      </w:r>
      <w:r>
        <w:rPr>
          <w:rFonts w:hint="eastAsia" w:cs="Times New Roman"/>
          <w:color w:val="auto"/>
          <w:highlight w:val="none"/>
          <w:lang w:val="en-US" w:eastAsia="zh-CN"/>
        </w:rPr>
        <w:t xml:space="preserve"> </w:t>
      </w:r>
      <w:r>
        <w:rPr>
          <w:rFonts w:hint="eastAsia" w:cs="Times New Roman"/>
          <w:color w:val="auto"/>
          <w:highlight w:val="none"/>
        </w:rPr>
        <w:t>项目估算模式参数一览表</w:t>
      </w:r>
    </w:p>
    <w:tbl>
      <w:tblPr>
        <w:tblStyle w:val="34"/>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954"/>
        <w:gridCol w:w="4498"/>
        <w:gridCol w:w="238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参数</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取值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restar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城市</w:t>
            </w:r>
            <w:r>
              <w:rPr>
                <w:rFonts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农村选项</w:t>
            </w:r>
          </w:p>
        </w:tc>
        <w:tc>
          <w:tcPr>
            <w:tcW w:w="2546"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城市</w:t>
            </w:r>
            <w:r>
              <w:rPr>
                <w:rFonts w:ascii="Times New Roman" w:hAnsi="Times New Roman" w:eastAsia="宋体" w:cs="Times New Roman"/>
                <w:color w:val="auto"/>
                <w:kern w:val="0"/>
                <w:sz w:val="21"/>
                <w:szCs w:val="21"/>
                <w:lang w:val="en-US" w:eastAsia="zh-CN" w:bidi="ar"/>
              </w:rPr>
              <w:t>/</w:t>
            </w:r>
            <w:r>
              <w:rPr>
                <w:rFonts w:hint="eastAsia" w:ascii="Times New Roman" w:hAnsi="Times New Roman" w:eastAsia="宋体" w:cs="Times New Roman"/>
                <w:color w:val="auto"/>
                <w:kern w:val="0"/>
                <w:sz w:val="21"/>
                <w:szCs w:val="21"/>
                <w:lang w:val="en-US" w:eastAsia="zh-CN" w:bidi="ar"/>
              </w:rPr>
              <w:t>农村</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农村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continue"/>
            <w:tcBorders>
              <w:tl2br w:val="nil"/>
              <w:tr2bl w:val="nil"/>
            </w:tcBorders>
            <w:vAlign w:val="center"/>
          </w:tcPr>
          <w:p>
            <w:pPr>
              <w:widowControl/>
              <w:spacing w:line="240" w:lineRule="auto"/>
              <w:jc w:val="left"/>
              <w:rPr>
                <w:rFonts w:ascii="Times New Roman" w:hAnsi="Times New Roman" w:eastAsia="宋体" w:cs="Times New Roman"/>
                <w:color w:val="auto"/>
                <w:kern w:val="0"/>
                <w:sz w:val="20"/>
                <w:szCs w:val="20"/>
              </w:rPr>
            </w:pPr>
          </w:p>
        </w:tc>
        <w:tc>
          <w:tcPr>
            <w:tcW w:w="2546"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人口数（城市选项时）</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最高环境温度</w:t>
            </w:r>
            <w:r>
              <w:rPr>
                <w:rFonts w:ascii="Times New Roman" w:hAnsi="Times New Roman" w:eastAsia="宋体" w:cs="Times New Roman"/>
                <w:color w:val="auto"/>
                <w:kern w:val="0"/>
                <w:sz w:val="21"/>
                <w:szCs w:val="21"/>
                <w:lang w:val="en-US" w:eastAsia="zh-CN" w:bidi="ar"/>
              </w:rPr>
              <w:t>/℃</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4</w:t>
            </w:r>
            <w:r>
              <w:rPr>
                <w:rFonts w:hint="eastAsia" w:cs="Times New Roman"/>
                <w:color w:val="auto"/>
                <w:kern w:val="0"/>
                <w:sz w:val="21"/>
                <w:szCs w:val="21"/>
                <w:lang w:val="en-US" w:eastAsia="zh-CN" w:bidi="ar"/>
              </w:rPr>
              <w:t>1</w:t>
            </w:r>
            <w:r>
              <w:rPr>
                <w:rFonts w:hint="eastAsia" w:ascii="Times New Roman" w:hAnsi="Times New Roman" w:eastAsia="宋体" w:cs="Times New Roman"/>
                <w:color w:val="auto"/>
                <w:kern w:val="0"/>
                <w:sz w:val="21"/>
                <w:szCs w:val="21"/>
                <w:lang w:val="en-US" w:eastAsia="zh-CN" w:bidi="ar"/>
              </w:rPr>
              <w:t>.9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最低环境温度</w:t>
            </w:r>
            <w:r>
              <w:rPr>
                <w:rFonts w:ascii="Times New Roman" w:hAnsi="Times New Roman" w:eastAsia="宋体" w:cs="Times New Roman"/>
                <w:color w:val="auto"/>
                <w:kern w:val="0"/>
                <w:sz w:val="21"/>
                <w:szCs w:val="21"/>
                <w:lang w:val="en-US" w:eastAsia="zh-CN" w:bidi="ar"/>
              </w:rPr>
              <w:t>/℃</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hint="default"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w:t>
            </w:r>
            <w:r>
              <w:rPr>
                <w:rFonts w:hint="eastAsia" w:cs="Times New Roman"/>
                <w:color w:val="auto"/>
                <w:kern w:val="0"/>
                <w:sz w:val="21"/>
                <w:szCs w:val="21"/>
                <w:lang w:val="en-US" w:eastAsia="zh-CN" w:bidi="ar"/>
              </w:rPr>
              <w:t>37.2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土地利用类型</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highlight w:val="none"/>
                <w:lang w:val="en-US" w:eastAsia="zh-CN" w:bidi="ar"/>
              </w:rPr>
              <w:t>荒漠</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652" w:type="pct"/>
            <w:gridSpan w:val="2"/>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区域湿度条件</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干燥气候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restar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是否考虑地形</w:t>
            </w:r>
          </w:p>
        </w:tc>
        <w:tc>
          <w:tcPr>
            <w:tcW w:w="2546"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考虑地形</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spacing w:val="1"/>
                <w:kern w:val="0"/>
                <w:sz w:val="21"/>
                <w:szCs w:val="21"/>
                <w:lang w:val="en-US" w:eastAsia="zh-CN" w:bidi="ar"/>
              </w:rPr>
              <w:t>√</w:t>
            </w:r>
            <w:r>
              <w:rPr>
                <w:rFonts w:hint="eastAsia" w:ascii="Times New Roman" w:hAnsi="Times New Roman" w:eastAsia="宋体" w:cs="Times New Roman"/>
                <w:color w:val="auto"/>
                <w:spacing w:val="1"/>
                <w:kern w:val="0"/>
                <w:sz w:val="21"/>
                <w:szCs w:val="21"/>
                <w:lang w:val="en-US" w:eastAsia="zh-CN" w:bidi="ar"/>
              </w:rPr>
              <w:t>是</w:t>
            </w:r>
            <w:r>
              <w:rPr>
                <w:rFonts w:ascii="Times New Roman" w:hAnsi="Times New Roman" w:eastAsia="宋体" w:cs="Times New Roman"/>
                <w:color w:val="auto"/>
                <w:spacing w:val="1"/>
                <w:kern w:val="0"/>
                <w:sz w:val="21"/>
                <w:szCs w:val="21"/>
                <w:lang w:val="en-US" w:eastAsia="zh-CN" w:bidi="ar"/>
              </w:rPr>
              <w:t xml:space="preserve"> □</w:t>
            </w:r>
            <w:r>
              <w:rPr>
                <w:rFonts w:hint="eastAsia" w:ascii="Times New Roman" w:hAnsi="Times New Roman" w:eastAsia="宋体" w:cs="Times New Roman"/>
                <w:color w:val="auto"/>
                <w:spacing w:val="1"/>
                <w:kern w:val="0"/>
                <w:sz w:val="21"/>
                <w:szCs w:val="21"/>
                <w:lang w:val="en-US" w:eastAsia="zh-CN" w:bidi="ar"/>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continue"/>
            <w:tcBorders>
              <w:tl2br w:val="nil"/>
              <w:tr2bl w:val="nil"/>
            </w:tcBorders>
            <w:vAlign w:val="center"/>
          </w:tcPr>
          <w:p>
            <w:pPr>
              <w:widowControl/>
              <w:spacing w:line="240" w:lineRule="auto"/>
              <w:jc w:val="left"/>
              <w:rPr>
                <w:rFonts w:ascii="Times New Roman" w:hAnsi="Times New Roman" w:eastAsia="宋体" w:cs="Times New Roman"/>
                <w:color w:val="auto"/>
                <w:kern w:val="0"/>
                <w:sz w:val="20"/>
                <w:szCs w:val="20"/>
              </w:rPr>
            </w:pPr>
          </w:p>
        </w:tc>
        <w:tc>
          <w:tcPr>
            <w:tcW w:w="2546"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地形数据分辨率</w:t>
            </w:r>
            <w:r>
              <w:rPr>
                <w:rFonts w:ascii="Times New Roman" w:hAnsi="Times New Roman" w:eastAsia="宋体" w:cs="Times New Roman"/>
                <w:color w:val="auto"/>
                <w:kern w:val="0"/>
                <w:sz w:val="21"/>
                <w:szCs w:val="21"/>
                <w:lang w:val="en-US" w:eastAsia="zh-CN" w:bidi="ar"/>
              </w:rPr>
              <w:t>/m</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restar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是否考虑岸线熏烟</w:t>
            </w:r>
          </w:p>
        </w:tc>
        <w:tc>
          <w:tcPr>
            <w:tcW w:w="2546"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考虑岸线熏烟</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spacing w:val="1"/>
                <w:kern w:val="0"/>
                <w:sz w:val="21"/>
                <w:szCs w:val="21"/>
                <w:lang w:val="en-US" w:eastAsia="zh-CN" w:bidi="ar"/>
              </w:rPr>
              <w:t>□</w:t>
            </w:r>
            <w:r>
              <w:rPr>
                <w:rFonts w:hint="eastAsia" w:ascii="Times New Roman" w:hAnsi="Times New Roman" w:eastAsia="宋体" w:cs="Times New Roman"/>
                <w:color w:val="auto"/>
                <w:spacing w:val="1"/>
                <w:kern w:val="0"/>
                <w:sz w:val="21"/>
                <w:szCs w:val="21"/>
                <w:lang w:val="en-US" w:eastAsia="zh-CN" w:bidi="ar"/>
              </w:rPr>
              <w:t>是</w:t>
            </w:r>
            <w:r>
              <w:rPr>
                <w:rFonts w:ascii="Times New Roman" w:hAnsi="Times New Roman" w:eastAsia="宋体" w:cs="Times New Roman"/>
                <w:color w:val="auto"/>
                <w:spacing w:val="1"/>
                <w:kern w:val="0"/>
                <w:sz w:val="21"/>
                <w:szCs w:val="21"/>
                <w:lang w:val="en-US" w:eastAsia="zh-CN" w:bidi="ar"/>
              </w:rPr>
              <w:t xml:space="preserve"> √</w:t>
            </w:r>
            <w:r>
              <w:rPr>
                <w:rFonts w:hint="eastAsia" w:ascii="Times New Roman" w:hAnsi="Times New Roman" w:eastAsia="宋体" w:cs="Times New Roman"/>
                <w:color w:val="auto"/>
                <w:spacing w:val="1"/>
                <w:kern w:val="0"/>
                <w:sz w:val="21"/>
                <w:szCs w:val="21"/>
                <w:lang w:val="en-US" w:eastAsia="zh-CN" w:bidi="ar"/>
              </w:rPr>
              <w:t>否</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continue"/>
            <w:tcBorders>
              <w:tl2br w:val="nil"/>
              <w:tr2bl w:val="nil"/>
            </w:tcBorders>
            <w:vAlign w:val="center"/>
          </w:tcPr>
          <w:p>
            <w:pPr>
              <w:widowControl/>
              <w:spacing w:line="240" w:lineRule="auto"/>
              <w:jc w:val="left"/>
              <w:rPr>
                <w:rFonts w:ascii="Times New Roman" w:hAnsi="Times New Roman" w:eastAsia="宋体" w:cs="Times New Roman"/>
                <w:color w:val="auto"/>
                <w:kern w:val="0"/>
                <w:sz w:val="20"/>
                <w:szCs w:val="20"/>
              </w:rPr>
            </w:pPr>
          </w:p>
        </w:tc>
        <w:tc>
          <w:tcPr>
            <w:tcW w:w="2546"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岸线距离</w:t>
            </w:r>
            <w:r>
              <w:rPr>
                <w:rFonts w:ascii="Times New Roman" w:hAnsi="Times New Roman" w:eastAsia="宋体" w:cs="Times New Roman"/>
                <w:color w:val="auto"/>
                <w:kern w:val="0"/>
                <w:sz w:val="21"/>
                <w:szCs w:val="21"/>
                <w:lang w:val="en-US" w:eastAsia="zh-CN" w:bidi="ar"/>
              </w:rPr>
              <w:t>/</w:t>
            </w:r>
            <w:r>
              <w:rPr>
                <w:rFonts w:ascii="Times New Roman" w:hAnsi="Times New Roman" w:eastAsia="宋体" w:cs="Times New Roman"/>
                <w:color w:val="auto"/>
                <w:spacing w:val="-2"/>
                <w:kern w:val="0"/>
                <w:sz w:val="21"/>
                <w:szCs w:val="21"/>
                <w:lang w:val="en-US" w:eastAsia="zh-CN" w:bidi="ar"/>
              </w:rPr>
              <w:t>km</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06" w:type="pct"/>
            <w:vMerge w:val="continue"/>
            <w:tcBorders>
              <w:tl2br w:val="nil"/>
              <w:tr2bl w:val="nil"/>
            </w:tcBorders>
            <w:vAlign w:val="center"/>
          </w:tcPr>
          <w:p>
            <w:pPr>
              <w:widowControl/>
              <w:spacing w:line="240" w:lineRule="auto"/>
              <w:jc w:val="left"/>
              <w:rPr>
                <w:rFonts w:ascii="Times New Roman" w:hAnsi="Times New Roman" w:eastAsia="宋体" w:cs="Times New Roman"/>
                <w:color w:val="auto"/>
                <w:kern w:val="0"/>
                <w:sz w:val="20"/>
                <w:szCs w:val="20"/>
              </w:rPr>
            </w:pPr>
          </w:p>
        </w:tc>
        <w:tc>
          <w:tcPr>
            <w:tcW w:w="2546"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hint="eastAsia" w:ascii="Times New Roman" w:hAnsi="Times New Roman" w:eastAsia="宋体" w:cs="Times New Roman"/>
                <w:color w:val="auto"/>
                <w:kern w:val="0"/>
                <w:sz w:val="21"/>
                <w:szCs w:val="21"/>
                <w:lang w:val="en-US" w:eastAsia="zh-CN" w:bidi="ar"/>
              </w:rPr>
              <w:t>岸线方向</w:t>
            </w:r>
            <w:r>
              <w:rPr>
                <w:rFonts w:ascii="Times New Roman" w:hAnsi="Times New Roman" w:eastAsia="宋体" w:cs="Times New Roman"/>
                <w:color w:val="auto"/>
                <w:kern w:val="0"/>
                <w:sz w:val="21"/>
                <w:szCs w:val="21"/>
                <w:lang w:val="en-US" w:eastAsia="zh-CN" w:bidi="ar"/>
              </w:rPr>
              <w:t>/°</w:t>
            </w:r>
          </w:p>
        </w:tc>
        <w:tc>
          <w:tcPr>
            <w:tcW w:w="1348" w:type="pct"/>
            <w:tcBorders>
              <w:tl2br w:val="nil"/>
              <w:tr2bl w:val="nil"/>
            </w:tcBorders>
            <w:vAlign w:val="center"/>
          </w:tcPr>
          <w:p>
            <w:pPr>
              <w:widowControl/>
              <w:adjustRightInd w:val="0"/>
              <w:spacing w:before="0" w:beforeAutospacing="0" w:after="0" w:afterAutospacing="0" w:line="240" w:lineRule="auto"/>
              <w:jc w:val="center"/>
              <w:rPr>
                <w:rFonts w:ascii="Times New Roman" w:hAnsi="Times New Roman" w:eastAsia="宋体" w:cs="Times New Roman"/>
                <w:color w:val="auto"/>
                <w:kern w:val="0"/>
                <w:sz w:val="21"/>
                <w:szCs w:val="21"/>
                <w:lang w:val="en-US" w:eastAsia="zh-CN" w:bidi="ar-SA"/>
              </w:rPr>
            </w:pPr>
            <w:r>
              <w:rPr>
                <w:rFonts w:ascii="Times New Roman" w:hAnsi="Times New Roman" w:eastAsia="宋体" w:cs="Times New Roman"/>
                <w:color w:val="auto"/>
                <w:kern w:val="0"/>
                <w:sz w:val="21"/>
                <w:szCs w:val="21"/>
                <w:lang w:val="en-US" w:eastAsia="zh-CN" w:bidi="ar"/>
              </w:rPr>
              <w:t>/</w:t>
            </w:r>
          </w:p>
        </w:tc>
      </w:tr>
    </w:tbl>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（2）预测源强</w:t>
      </w:r>
    </w:p>
    <w:p>
      <w:pPr>
        <w:pStyle w:val="57"/>
        <w:pageBreakBefore w:val="0"/>
        <w:kinsoku/>
        <w:wordWrap/>
        <w:overflowPunct/>
        <w:topLinePunct w:val="0"/>
        <w:autoSpaceDE/>
        <w:autoSpaceDN/>
        <w:bidi w:val="0"/>
        <w:spacing w:line="480" w:lineRule="exact"/>
        <w:rPr>
          <w:rFonts w:hint="eastAsia" w:cs="Times New Roman"/>
          <w:color w:val="auto"/>
          <w:highlight w:val="none"/>
        </w:rPr>
      </w:pPr>
      <w:r>
        <w:rPr>
          <w:rFonts w:hint="eastAsia" w:ascii="Times New Roman" w:hAnsi="Times New Roman" w:eastAsia="宋体" w:cs="Times New Roman"/>
          <w:color w:val="auto"/>
          <w:highlight w:val="none"/>
          <w:lang w:eastAsia="zh-CN"/>
        </w:rPr>
        <w:t>根据工程分析确定，项目主要废气污染源源强参数见表5.2-</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lang w:eastAsia="zh-CN"/>
        </w:rPr>
        <w:t>。预测及计算结果见表5.</w:t>
      </w:r>
      <w:r>
        <w:rPr>
          <w:rFonts w:hint="eastAsia" w:ascii="Times New Roman" w:hAnsi="Times New Roman" w:eastAsia="宋体" w:cs="Times New Roman"/>
          <w:color w:val="auto"/>
          <w:highlight w:val="none"/>
          <w:lang w:val="en-US" w:eastAsia="zh-CN"/>
        </w:rPr>
        <w:t>5-3</w:t>
      </w:r>
      <w:r>
        <w:rPr>
          <w:rFonts w:hint="eastAsia" w:ascii="Times New Roman" w:hAnsi="Times New Roman" w:eastAsia="宋体" w:cs="Times New Roman"/>
          <w:color w:val="auto"/>
          <w:highlight w:val="none"/>
          <w:lang w:eastAsia="zh-CN"/>
        </w:rPr>
        <w:t>。</w:t>
      </w:r>
    </w:p>
    <w:p>
      <w:pPr>
        <w:pStyle w:val="54"/>
        <w:pageBreakBefore w:val="0"/>
        <w:kinsoku/>
        <w:wordWrap/>
        <w:overflowPunct/>
        <w:topLinePunct w:val="0"/>
        <w:autoSpaceDE/>
        <w:autoSpaceDN/>
        <w:bidi w:val="0"/>
        <w:spacing w:line="480" w:lineRule="exact"/>
        <w:ind w:firstLine="482"/>
        <w:rPr>
          <w:rFonts w:hint="eastAsia" w:cs="Times New Roman"/>
          <w:color w:val="auto"/>
          <w:highlight w:val="none"/>
          <w:lang w:eastAsia="zh-CN"/>
        </w:rPr>
      </w:pPr>
      <w:r>
        <w:rPr>
          <w:rFonts w:hint="eastAsia" w:cs="Times New Roman"/>
          <w:color w:val="auto"/>
          <w:highlight w:val="none"/>
        </w:rPr>
        <w:t>表5.</w:t>
      </w:r>
      <w:r>
        <w:rPr>
          <w:rFonts w:hint="eastAsia" w:cs="Times New Roman"/>
          <w:color w:val="auto"/>
          <w:highlight w:val="none"/>
          <w:lang w:val="en-US" w:eastAsia="zh-CN"/>
        </w:rPr>
        <w:t>5-2</w:t>
      </w:r>
      <w:r>
        <w:rPr>
          <w:rFonts w:hint="eastAsia" w:cs="Times New Roman"/>
          <w:color w:val="auto"/>
          <w:highlight w:val="none"/>
        </w:rPr>
        <w:t xml:space="preserve"> </w:t>
      </w:r>
      <w:r>
        <w:rPr>
          <w:rFonts w:hint="eastAsia" w:cs="Times New Roman"/>
          <w:color w:val="auto"/>
          <w:highlight w:val="none"/>
          <w:lang w:val="en-US" w:eastAsia="zh-CN"/>
        </w:rPr>
        <w:t xml:space="preserve"> </w:t>
      </w:r>
      <w:r>
        <w:rPr>
          <w:rFonts w:hint="eastAsia" w:cs="Times New Roman"/>
          <w:color w:val="auto"/>
          <w:highlight w:val="none"/>
        </w:rPr>
        <w:t>拟建工程污染源源强一览表</w:t>
      </w:r>
      <w:r>
        <w:rPr>
          <w:rFonts w:hint="eastAsia" w:cs="Times New Roman"/>
          <w:color w:val="auto"/>
          <w:highlight w:val="none"/>
          <w:lang w:eastAsia="zh-CN"/>
        </w:rPr>
        <w:t>（</w:t>
      </w:r>
      <w:r>
        <w:rPr>
          <w:rFonts w:hint="eastAsia" w:cs="Times New Roman"/>
          <w:color w:val="auto"/>
          <w:highlight w:val="none"/>
        </w:rPr>
        <w:t>面源，100%负荷</w:t>
      </w:r>
      <w:r>
        <w:rPr>
          <w:rFonts w:hint="eastAsia" w:cs="Times New Roman"/>
          <w:color w:val="auto"/>
          <w:highlight w:val="none"/>
          <w:lang w:eastAsia="zh-CN"/>
        </w:rPr>
        <w:t>）</w:t>
      </w:r>
    </w:p>
    <w:tbl>
      <w:tblPr>
        <w:tblStyle w:val="34"/>
        <w:tblW w:w="5051"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9"/>
        <w:gridCol w:w="979"/>
        <w:gridCol w:w="935"/>
        <w:gridCol w:w="761"/>
        <w:gridCol w:w="643"/>
        <w:gridCol w:w="643"/>
        <w:gridCol w:w="868"/>
        <w:gridCol w:w="794"/>
        <w:gridCol w:w="146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blHeader/>
        </w:trPr>
        <w:tc>
          <w:tcPr>
            <w:tcW w:w="1654" w:type="dxa"/>
            <w:vMerge w:val="restart"/>
            <w:tcBorders>
              <w:tl2br w:val="nil"/>
              <w:tr2bl w:val="nil"/>
            </w:tcBorders>
            <w:vAlign w:val="center"/>
          </w:tcPr>
          <w:p>
            <w:pPr>
              <w:pStyle w:val="41"/>
              <w:bidi w:val="0"/>
              <w:rPr>
                <w:color w:val="auto"/>
              </w:rPr>
            </w:pPr>
            <w:r>
              <w:rPr>
                <w:color w:val="auto"/>
              </w:rPr>
              <w:t>名称</w:t>
            </w:r>
          </w:p>
        </w:tc>
        <w:tc>
          <w:tcPr>
            <w:tcW w:w="1921" w:type="dxa"/>
            <w:gridSpan w:val="2"/>
            <w:tcBorders>
              <w:tl2br w:val="nil"/>
              <w:tr2bl w:val="nil"/>
            </w:tcBorders>
            <w:vAlign w:val="center"/>
          </w:tcPr>
          <w:p>
            <w:pPr>
              <w:pStyle w:val="41"/>
              <w:bidi w:val="0"/>
              <w:rPr>
                <w:color w:val="auto"/>
              </w:rPr>
            </w:pPr>
            <w:r>
              <w:rPr>
                <w:color w:val="auto"/>
              </w:rPr>
              <w:t>面源起点坐标（</w:t>
            </w:r>
            <w:r>
              <w:rPr>
                <w:rFonts w:hint="eastAsia"/>
                <w:color w:val="auto"/>
                <w:lang w:val="en-US" w:eastAsia="zh-CN"/>
              </w:rPr>
              <w:t>°</w:t>
            </w:r>
            <w:r>
              <w:rPr>
                <w:color w:val="auto"/>
              </w:rPr>
              <w:t>）</w:t>
            </w:r>
          </w:p>
        </w:tc>
        <w:tc>
          <w:tcPr>
            <w:tcW w:w="763" w:type="dxa"/>
            <w:vMerge w:val="restart"/>
            <w:tcBorders>
              <w:tl2br w:val="nil"/>
              <w:tr2bl w:val="nil"/>
            </w:tcBorders>
            <w:vAlign w:val="center"/>
          </w:tcPr>
          <w:p>
            <w:pPr>
              <w:pStyle w:val="41"/>
              <w:bidi w:val="0"/>
              <w:rPr>
                <w:color w:val="auto"/>
              </w:rPr>
            </w:pPr>
            <w:r>
              <w:rPr>
                <w:color w:val="auto"/>
              </w:rPr>
              <w:t>海拔高</w:t>
            </w:r>
          </w:p>
          <w:p>
            <w:pPr>
              <w:pStyle w:val="41"/>
              <w:bidi w:val="0"/>
              <w:rPr>
                <w:color w:val="auto"/>
              </w:rPr>
            </w:pPr>
            <w:r>
              <w:rPr>
                <w:color w:val="auto"/>
              </w:rPr>
              <w:t>度（m）</w:t>
            </w:r>
          </w:p>
        </w:tc>
        <w:tc>
          <w:tcPr>
            <w:tcW w:w="645" w:type="dxa"/>
            <w:vMerge w:val="restart"/>
            <w:tcBorders>
              <w:tl2br w:val="nil"/>
              <w:tr2bl w:val="nil"/>
            </w:tcBorders>
            <w:vAlign w:val="center"/>
          </w:tcPr>
          <w:p>
            <w:pPr>
              <w:pStyle w:val="41"/>
              <w:bidi w:val="0"/>
              <w:rPr>
                <w:color w:val="auto"/>
              </w:rPr>
            </w:pPr>
            <w:r>
              <w:rPr>
                <w:color w:val="auto"/>
              </w:rPr>
              <w:t>长度</w:t>
            </w:r>
          </w:p>
          <w:p>
            <w:pPr>
              <w:pStyle w:val="41"/>
              <w:bidi w:val="0"/>
              <w:rPr>
                <w:color w:val="auto"/>
              </w:rPr>
            </w:pPr>
            <w:r>
              <w:rPr>
                <w:color w:val="auto"/>
              </w:rPr>
              <w:t>（m）</w:t>
            </w:r>
          </w:p>
        </w:tc>
        <w:tc>
          <w:tcPr>
            <w:tcW w:w="645" w:type="dxa"/>
            <w:vMerge w:val="restart"/>
            <w:tcBorders>
              <w:tl2br w:val="nil"/>
              <w:tr2bl w:val="nil"/>
            </w:tcBorders>
            <w:vAlign w:val="center"/>
          </w:tcPr>
          <w:p>
            <w:pPr>
              <w:pStyle w:val="41"/>
              <w:bidi w:val="0"/>
              <w:rPr>
                <w:color w:val="auto"/>
              </w:rPr>
            </w:pPr>
            <w:r>
              <w:rPr>
                <w:color w:val="auto"/>
              </w:rPr>
              <w:t>宽度</w:t>
            </w:r>
          </w:p>
          <w:p>
            <w:pPr>
              <w:pStyle w:val="41"/>
              <w:bidi w:val="0"/>
              <w:rPr>
                <w:color w:val="auto"/>
              </w:rPr>
            </w:pPr>
            <w:r>
              <w:rPr>
                <w:color w:val="auto"/>
              </w:rPr>
              <w:t>（m）</w:t>
            </w:r>
          </w:p>
        </w:tc>
        <w:tc>
          <w:tcPr>
            <w:tcW w:w="871" w:type="dxa"/>
            <w:vMerge w:val="restart"/>
            <w:tcBorders>
              <w:tl2br w:val="nil"/>
              <w:tr2bl w:val="nil"/>
            </w:tcBorders>
            <w:vAlign w:val="center"/>
          </w:tcPr>
          <w:p>
            <w:pPr>
              <w:pStyle w:val="41"/>
              <w:bidi w:val="0"/>
              <w:rPr>
                <w:color w:val="auto"/>
              </w:rPr>
            </w:pPr>
            <w:r>
              <w:rPr>
                <w:color w:val="auto"/>
              </w:rPr>
              <w:t>有效排放</w:t>
            </w:r>
          </w:p>
          <w:p>
            <w:pPr>
              <w:pStyle w:val="41"/>
              <w:bidi w:val="0"/>
              <w:rPr>
                <w:color w:val="auto"/>
              </w:rPr>
            </w:pPr>
            <w:r>
              <w:rPr>
                <w:color w:val="auto"/>
              </w:rPr>
              <w:t>高度（m）</w:t>
            </w:r>
          </w:p>
        </w:tc>
        <w:tc>
          <w:tcPr>
            <w:tcW w:w="796" w:type="dxa"/>
            <w:vMerge w:val="restart"/>
            <w:tcBorders>
              <w:tl2br w:val="nil"/>
              <w:tr2bl w:val="nil"/>
            </w:tcBorders>
            <w:vAlign w:val="center"/>
          </w:tcPr>
          <w:p>
            <w:pPr>
              <w:pStyle w:val="41"/>
              <w:bidi w:val="0"/>
              <w:rPr>
                <w:color w:val="auto"/>
              </w:rPr>
            </w:pPr>
            <w:r>
              <w:rPr>
                <w:color w:val="auto"/>
              </w:rPr>
              <w:t>与正北向夹角（</w:t>
            </w:r>
            <w:r>
              <w:rPr>
                <w:rFonts w:hint="eastAsia"/>
                <w:color w:val="auto"/>
                <w:lang w:val="en-US" w:eastAsia="zh-CN"/>
              </w:rPr>
              <w:t>°</w:t>
            </w:r>
            <w:r>
              <w:rPr>
                <w:color w:val="auto"/>
              </w:rPr>
              <w:t>）</w:t>
            </w:r>
          </w:p>
        </w:tc>
        <w:tc>
          <w:tcPr>
            <w:tcW w:w="1468" w:type="dxa"/>
            <w:tcBorders>
              <w:tl2br w:val="nil"/>
              <w:tr2bl w:val="nil"/>
            </w:tcBorders>
            <w:vAlign w:val="center"/>
          </w:tcPr>
          <w:p>
            <w:pPr>
              <w:pStyle w:val="41"/>
              <w:bidi w:val="0"/>
              <w:rPr>
                <w:color w:val="auto"/>
              </w:rPr>
            </w:pPr>
            <w:r>
              <w:rPr>
                <w:color w:val="auto"/>
              </w:rPr>
              <w:t>污染物排放速率</w:t>
            </w:r>
          </w:p>
          <w:p>
            <w:pPr>
              <w:pStyle w:val="41"/>
              <w:bidi w:val="0"/>
              <w:rPr>
                <w:color w:val="auto"/>
              </w:rPr>
            </w:pPr>
            <w:r>
              <w:rPr>
                <w:color w:val="auto"/>
              </w:rPr>
              <w:t>（kg/h）</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vMerge w:val="continue"/>
            <w:tcBorders>
              <w:tl2br w:val="nil"/>
              <w:tr2bl w:val="nil"/>
            </w:tcBorders>
            <w:vAlign w:val="center"/>
          </w:tcPr>
          <w:p>
            <w:pPr>
              <w:pStyle w:val="41"/>
              <w:bidi w:val="0"/>
              <w:rPr>
                <w:color w:val="auto"/>
              </w:rPr>
            </w:pPr>
          </w:p>
        </w:tc>
        <w:tc>
          <w:tcPr>
            <w:tcW w:w="983" w:type="dxa"/>
            <w:tcBorders>
              <w:tl2br w:val="nil"/>
              <w:tr2bl w:val="nil"/>
            </w:tcBorders>
            <w:vAlign w:val="center"/>
          </w:tcPr>
          <w:p>
            <w:pPr>
              <w:pStyle w:val="41"/>
              <w:bidi w:val="0"/>
              <w:rPr>
                <w:color w:val="auto"/>
              </w:rPr>
            </w:pPr>
            <w:r>
              <w:rPr>
                <w:color w:val="auto"/>
              </w:rPr>
              <w:t>经度</w:t>
            </w:r>
          </w:p>
        </w:tc>
        <w:tc>
          <w:tcPr>
            <w:tcW w:w="938" w:type="dxa"/>
            <w:tcBorders>
              <w:tl2br w:val="nil"/>
              <w:tr2bl w:val="nil"/>
            </w:tcBorders>
            <w:vAlign w:val="center"/>
          </w:tcPr>
          <w:p>
            <w:pPr>
              <w:pStyle w:val="41"/>
              <w:bidi w:val="0"/>
              <w:rPr>
                <w:color w:val="auto"/>
              </w:rPr>
            </w:pPr>
            <w:r>
              <w:rPr>
                <w:color w:val="auto"/>
              </w:rPr>
              <w:t>纬度</w:t>
            </w:r>
          </w:p>
        </w:tc>
        <w:tc>
          <w:tcPr>
            <w:tcW w:w="763" w:type="dxa"/>
            <w:vMerge w:val="continue"/>
            <w:tcBorders>
              <w:tl2br w:val="nil"/>
              <w:tr2bl w:val="nil"/>
            </w:tcBorders>
            <w:vAlign w:val="center"/>
          </w:tcPr>
          <w:p>
            <w:pPr>
              <w:pStyle w:val="41"/>
              <w:bidi w:val="0"/>
              <w:rPr>
                <w:color w:val="auto"/>
              </w:rPr>
            </w:pPr>
          </w:p>
        </w:tc>
        <w:tc>
          <w:tcPr>
            <w:tcW w:w="645" w:type="dxa"/>
            <w:vMerge w:val="continue"/>
            <w:tcBorders>
              <w:tl2br w:val="nil"/>
              <w:tr2bl w:val="nil"/>
            </w:tcBorders>
            <w:vAlign w:val="center"/>
          </w:tcPr>
          <w:p>
            <w:pPr>
              <w:pStyle w:val="41"/>
              <w:bidi w:val="0"/>
              <w:rPr>
                <w:color w:val="auto"/>
              </w:rPr>
            </w:pPr>
          </w:p>
        </w:tc>
        <w:tc>
          <w:tcPr>
            <w:tcW w:w="645" w:type="dxa"/>
            <w:vMerge w:val="continue"/>
            <w:tcBorders>
              <w:tl2br w:val="nil"/>
              <w:tr2bl w:val="nil"/>
            </w:tcBorders>
            <w:vAlign w:val="center"/>
          </w:tcPr>
          <w:p>
            <w:pPr>
              <w:pStyle w:val="41"/>
              <w:bidi w:val="0"/>
              <w:rPr>
                <w:color w:val="auto"/>
              </w:rPr>
            </w:pPr>
          </w:p>
        </w:tc>
        <w:tc>
          <w:tcPr>
            <w:tcW w:w="871" w:type="dxa"/>
            <w:vMerge w:val="continue"/>
            <w:tcBorders>
              <w:tl2br w:val="nil"/>
              <w:tr2bl w:val="nil"/>
            </w:tcBorders>
            <w:vAlign w:val="center"/>
          </w:tcPr>
          <w:p>
            <w:pPr>
              <w:pStyle w:val="41"/>
              <w:bidi w:val="0"/>
              <w:rPr>
                <w:color w:val="auto"/>
              </w:rPr>
            </w:pPr>
          </w:p>
        </w:tc>
        <w:tc>
          <w:tcPr>
            <w:tcW w:w="796" w:type="dxa"/>
            <w:vMerge w:val="continue"/>
            <w:tcBorders>
              <w:tl2br w:val="nil"/>
              <w:tr2bl w:val="nil"/>
            </w:tcBorders>
            <w:vAlign w:val="center"/>
          </w:tcPr>
          <w:p>
            <w:pPr>
              <w:pStyle w:val="41"/>
              <w:bidi w:val="0"/>
              <w:rPr>
                <w:color w:val="auto"/>
              </w:rPr>
            </w:pPr>
          </w:p>
        </w:tc>
        <w:tc>
          <w:tcPr>
            <w:tcW w:w="1468" w:type="dxa"/>
            <w:tcBorders>
              <w:tl2br w:val="nil"/>
              <w:tr2bl w:val="nil"/>
            </w:tcBorders>
            <w:vAlign w:val="center"/>
          </w:tcPr>
          <w:p>
            <w:pPr>
              <w:pStyle w:val="41"/>
              <w:bidi w:val="0"/>
              <w:rPr>
                <w:color w:val="auto"/>
              </w:rPr>
            </w:pPr>
            <w:r>
              <w:rPr>
                <w:rFonts w:hint="eastAsia"/>
                <w:color w:val="auto"/>
                <w:lang w:val="en-US" w:eastAsia="zh-CN"/>
              </w:rPr>
              <w:t>NMHC</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tcBorders>
              <w:tl2br w:val="nil"/>
              <w:tr2bl w:val="nil"/>
            </w:tcBorders>
            <w:vAlign w:val="center"/>
          </w:tcPr>
          <w:p>
            <w:pPr>
              <w:pStyle w:val="41"/>
              <w:bidi w:val="0"/>
              <w:rPr>
                <w:rFonts w:hint="eastAsia"/>
                <w:color w:val="auto"/>
                <w:lang w:val="en-US" w:eastAsia="zh-CN"/>
              </w:rPr>
            </w:pPr>
            <w:r>
              <w:rPr>
                <w:rFonts w:hint="eastAsia"/>
                <w:color w:val="auto"/>
                <w:lang w:val="en-US" w:eastAsia="zh-CN"/>
              </w:rPr>
              <w:t>单井井场</w:t>
            </w:r>
          </w:p>
          <w:p>
            <w:pPr>
              <w:pStyle w:val="41"/>
              <w:bidi w:val="0"/>
              <w:ind w:firstLine="0" w:firstLineChars="0"/>
              <w:rPr>
                <w:rFonts w:hint="eastAsia"/>
                <w:color w:val="auto"/>
                <w:lang w:val="en-US" w:eastAsia="zh-CN"/>
              </w:rPr>
            </w:pPr>
            <w:r>
              <w:rPr>
                <w:rFonts w:hint="eastAsia"/>
                <w:color w:val="auto"/>
                <w:lang w:val="en-US" w:eastAsia="zh-CN"/>
              </w:rPr>
              <w:t>（集输）</w:t>
            </w:r>
          </w:p>
        </w:tc>
        <w:tc>
          <w:tcPr>
            <w:tcW w:w="983" w:type="dxa"/>
            <w:tcBorders>
              <w:tl2br w:val="nil"/>
              <w:tr2bl w:val="nil"/>
            </w:tcBorders>
            <w:vAlign w:val="center"/>
          </w:tcPr>
          <w:p>
            <w:pPr>
              <w:pStyle w:val="41"/>
              <w:bidi w:val="0"/>
              <w:ind w:firstLine="0" w:firstLineChars="0"/>
              <w:rPr>
                <w:color w:val="auto"/>
              </w:rPr>
            </w:pPr>
          </w:p>
        </w:tc>
        <w:tc>
          <w:tcPr>
            <w:tcW w:w="938" w:type="dxa"/>
            <w:tcBorders>
              <w:tl2br w:val="nil"/>
              <w:tr2bl w:val="nil"/>
            </w:tcBorders>
            <w:vAlign w:val="center"/>
          </w:tcPr>
          <w:p>
            <w:pPr>
              <w:pStyle w:val="41"/>
              <w:bidi w:val="0"/>
              <w:ind w:firstLine="0" w:firstLineChars="0"/>
              <w:rPr>
                <w:color w:val="auto"/>
              </w:rPr>
            </w:pPr>
          </w:p>
        </w:tc>
        <w:tc>
          <w:tcPr>
            <w:tcW w:w="763" w:type="dxa"/>
            <w:tcBorders>
              <w:tl2br w:val="nil"/>
              <w:tr2bl w:val="nil"/>
            </w:tcBorders>
            <w:vAlign w:val="center"/>
          </w:tcPr>
          <w:p>
            <w:pPr>
              <w:pStyle w:val="41"/>
              <w:bidi w:val="0"/>
              <w:ind w:firstLine="0" w:firstLineChars="0"/>
              <w:rPr>
                <w:rFonts w:hint="default"/>
                <w:color w:val="auto"/>
                <w:lang w:val="en-US" w:eastAsia="zh-CN"/>
              </w:rPr>
            </w:pPr>
            <w:r>
              <w:rPr>
                <w:rFonts w:hint="eastAsia"/>
                <w:color w:val="auto"/>
                <w:lang w:val="en-US" w:eastAsia="zh-CN"/>
              </w:rPr>
              <w:t>469</w:t>
            </w:r>
          </w:p>
        </w:tc>
        <w:tc>
          <w:tcPr>
            <w:tcW w:w="645" w:type="dxa"/>
            <w:tcBorders>
              <w:tl2br w:val="nil"/>
              <w:tr2bl w:val="nil"/>
            </w:tcBorders>
            <w:vAlign w:val="center"/>
          </w:tcPr>
          <w:p>
            <w:pPr>
              <w:pStyle w:val="41"/>
              <w:bidi w:val="0"/>
              <w:ind w:firstLine="0" w:firstLineChars="0"/>
              <w:rPr>
                <w:rFonts w:hint="default"/>
                <w:color w:val="auto"/>
                <w:lang w:val="en-US" w:eastAsia="zh-CN"/>
              </w:rPr>
            </w:pPr>
            <w:r>
              <w:rPr>
                <w:rFonts w:hint="eastAsia"/>
                <w:color w:val="auto"/>
                <w:lang w:val="en-US" w:eastAsia="zh-CN"/>
              </w:rPr>
              <w:t>100</w:t>
            </w:r>
          </w:p>
        </w:tc>
        <w:tc>
          <w:tcPr>
            <w:tcW w:w="645" w:type="dxa"/>
            <w:tcBorders>
              <w:tl2br w:val="nil"/>
              <w:tr2bl w:val="nil"/>
            </w:tcBorders>
            <w:vAlign w:val="center"/>
          </w:tcPr>
          <w:p>
            <w:pPr>
              <w:pStyle w:val="41"/>
              <w:bidi w:val="0"/>
              <w:ind w:firstLine="0" w:firstLineChars="0"/>
              <w:rPr>
                <w:rFonts w:hint="default"/>
                <w:color w:val="auto"/>
                <w:lang w:val="en-US" w:eastAsia="zh-CN"/>
              </w:rPr>
            </w:pPr>
            <w:r>
              <w:rPr>
                <w:rFonts w:hint="eastAsia"/>
                <w:color w:val="auto"/>
                <w:lang w:val="en-US" w:eastAsia="zh-CN"/>
              </w:rPr>
              <w:t>120</w:t>
            </w:r>
          </w:p>
        </w:tc>
        <w:tc>
          <w:tcPr>
            <w:tcW w:w="871" w:type="dxa"/>
            <w:tcBorders>
              <w:tl2br w:val="nil"/>
              <w:tr2bl w:val="nil"/>
            </w:tcBorders>
            <w:vAlign w:val="center"/>
          </w:tcPr>
          <w:p>
            <w:pPr>
              <w:pStyle w:val="41"/>
              <w:bidi w:val="0"/>
              <w:ind w:firstLine="0" w:firstLineChars="0"/>
              <w:rPr>
                <w:color w:val="auto"/>
              </w:rPr>
            </w:pPr>
            <w:r>
              <w:rPr>
                <w:rFonts w:hint="eastAsia"/>
                <w:color w:val="auto"/>
              </w:rPr>
              <w:t>6</w:t>
            </w:r>
          </w:p>
        </w:tc>
        <w:tc>
          <w:tcPr>
            <w:tcW w:w="796" w:type="dxa"/>
            <w:tcBorders>
              <w:tl2br w:val="nil"/>
              <w:tr2bl w:val="nil"/>
            </w:tcBorders>
            <w:vAlign w:val="center"/>
          </w:tcPr>
          <w:p>
            <w:pPr>
              <w:pStyle w:val="41"/>
              <w:bidi w:val="0"/>
              <w:ind w:firstLine="0" w:firstLineChars="0"/>
              <w:rPr>
                <w:rFonts w:hint="eastAsia"/>
                <w:color w:val="auto"/>
                <w:lang w:eastAsia="zh-CN"/>
              </w:rPr>
            </w:pPr>
            <w:r>
              <w:rPr>
                <w:rFonts w:hint="eastAsia"/>
                <w:color w:val="auto"/>
                <w:lang w:val="en-US" w:eastAsia="zh-CN"/>
              </w:rPr>
              <w:t>0</w:t>
            </w:r>
          </w:p>
        </w:tc>
        <w:tc>
          <w:tcPr>
            <w:tcW w:w="1468" w:type="dxa"/>
            <w:tcBorders>
              <w:tl2br w:val="nil"/>
              <w:tr2bl w:val="nil"/>
            </w:tcBorders>
            <w:vAlign w:val="center"/>
          </w:tcPr>
          <w:p>
            <w:pPr>
              <w:pStyle w:val="41"/>
              <w:bidi w:val="0"/>
              <w:ind w:firstLine="0" w:firstLineChars="0"/>
              <w:rPr>
                <w:rFonts w:hint="default"/>
                <w:color w:val="auto"/>
                <w:lang w:val="en-US" w:eastAsia="zh-CN"/>
              </w:rPr>
            </w:pPr>
            <w:r>
              <w:rPr>
                <w:rFonts w:hint="default"/>
                <w:color w:val="auto"/>
                <w:lang w:val="en-US" w:eastAsia="zh-CN"/>
              </w:rPr>
              <w:t>0.00</w:t>
            </w:r>
            <w:r>
              <w:rPr>
                <w:rFonts w:hint="eastAsia"/>
                <w:color w:val="auto"/>
                <w:lang w:val="en-US" w:eastAsia="zh-CN"/>
              </w:rPr>
              <w:t>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tcBorders>
              <w:tl2br w:val="nil"/>
              <w:tr2bl w:val="nil"/>
            </w:tcBorders>
            <w:vAlign w:val="center"/>
          </w:tcPr>
          <w:p>
            <w:pPr>
              <w:pStyle w:val="41"/>
              <w:bidi w:val="0"/>
              <w:rPr>
                <w:rFonts w:hint="eastAsia"/>
                <w:color w:val="auto"/>
                <w:lang w:val="en-US" w:eastAsia="zh-CN"/>
              </w:rPr>
            </w:pPr>
            <w:r>
              <w:rPr>
                <w:rFonts w:hint="eastAsia"/>
                <w:color w:val="auto"/>
                <w:lang w:val="en-US" w:eastAsia="zh-CN"/>
              </w:rPr>
              <w:t>单井井场</w:t>
            </w:r>
          </w:p>
          <w:p>
            <w:pPr>
              <w:pStyle w:val="41"/>
              <w:bidi w:val="0"/>
              <w:ind w:firstLine="0" w:firstLineChars="0"/>
              <w:rPr>
                <w:rFonts w:hint="default"/>
                <w:color w:val="auto"/>
                <w:highlight w:val="none"/>
                <w:lang w:val="en-US"/>
              </w:rPr>
            </w:pPr>
            <w:r>
              <w:rPr>
                <w:rFonts w:hint="eastAsia"/>
                <w:color w:val="auto"/>
                <w:lang w:val="en-US" w:eastAsia="zh-CN"/>
              </w:rPr>
              <w:t>（拉油）</w:t>
            </w:r>
          </w:p>
        </w:tc>
        <w:tc>
          <w:tcPr>
            <w:tcW w:w="983" w:type="dxa"/>
            <w:tcBorders>
              <w:tl2br w:val="nil"/>
              <w:tr2bl w:val="nil"/>
            </w:tcBorders>
            <w:shd w:val="clear" w:color="auto" w:fill="auto"/>
            <w:vAlign w:val="center"/>
          </w:tcPr>
          <w:p>
            <w:pPr>
              <w:pStyle w:val="41"/>
              <w:bidi w:val="0"/>
              <w:ind w:firstLine="0" w:firstLineChars="0"/>
              <w:rPr>
                <w:rFonts w:hint="eastAsia"/>
                <w:color w:val="auto"/>
                <w:highlight w:val="none"/>
                <w:lang w:val="en-US" w:eastAsia="zh-CN"/>
              </w:rPr>
            </w:pPr>
          </w:p>
        </w:tc>
        <w:tc>
          <w:tcPr>
            <w:tcW w:w="938" w:type="dxa"/>
            <w:tcBorders>
              <w:tl2br w:val="nil"/>
              <w:tr2bl w:val="nil"/>
            </w:tcBorders>
            <w:shd w:val="clear" w:color="auto" w:fill="auto"/>
            <w:vAlign w:val="center"/>
          </w:tcPr>
          <w:p>
            <w:pPr>
              <w:pStyle w:val="41"/>
              <w:bidi w:val="0"/>
              <w:ind w:firstLine="0" w:firstLineChars="0"/>
              <w:rPr>
                <w:rFonts w:hint="eastAsia"/>
                <w:color w:val="auto"/>
                <w:highlight w:val="none"/>
                <w:lang w:val="en-US" w:eastAsia="zh-CN"/>
              </w:rPr>
            </w:pPr>
          </w:p>
        </w:tc>
        <w:tc>
          <w:tcPr>
            <w:tcW w:w="763" w:type="dxa"/>
            <w:tcBorders>
              <w:tl2br w:val="nil"/>
              <w:tr2bl w:val="nil"/>
            </w:tcBorders>
            <w:vAlign w:val="center"/>
          </w:tcPr>
          <w:p>
            <w:pPr>
              <w:pStyle w:val="41"/>
              <w:bidi w:val="0"/>
              <w:ind w:firstLine="0" w:firstLineChars="0"/>
              <w:rPr>
                <w:rFonts w:hint="default"/>
                <w:color w:val="auto"/>
                <w:highlight w:val="none"/>
                <w:lang w:val="en-US" w:eastAsia="zh-CN"/>
              </w:rPr>
            </w:pPr>
            <w:r>
              <w:rPr>
                <w:rFonts w:hint="eastAsia"/>
                <w:color w:val="auto"/>
                <w:lang w:val="en-US" w:eastAsia="zh-CN"/>
              </w:rPr>
              <w:t>467</w:t>
            </w:r>
          </w:p>
        </w:tc>
        <w:tc>
          <w:tcPr>
            <w:tcW w:w="645" w:type="dxa"/>
            <w:tcBorders>
              <w:tl2br w:val="nil"/>
              <w:tr2bl w:val="nil"/>
            </w:tcBorders>
            <w:shd w:val="clear" w:color="auto" w:fill="auto"/>
            <w:vAlign w:val="center"/>
          </w:tcPr>
          <w:p>
            <w:pPr>
              <w:pStyle w:val="41"/>
              <w:bidi w:val="0"/>
              <w:ind w:firstLine="0" w:firstLineChars="0"/>
              <w:rPr>
                <w:rFonts w:hint="eastAsia"/>
                <w:color w:val="auto"/>
                <w:highlight w:val="none"/>
                <w:lang w:val="en-US" w:eastAsia="zh-CN"/>
              </w:rPr>
            </w:pPr>
            <w:r>
              <w:rPr>
                <w:rFonts w:hint="eastAsia"/>
                <w:color w:val="auto"/>
                <w:lang w:val="en-US" w:eastAsia="zh-CN"/>
              </w:rPr>
              <w:t>100</w:t>
            </w:r>
          </w:p>
        </w:tc>
        <w:tc>
          <w:tcPr>
            <w:tcW w:w="645" w:type="dxa"/>
            <w:tcBorders>
              <w:tl2br w:val="nil"/>
              <w:tr2bl w:val="nil"/>
            </w:tcBorders>
            <w:shd w:val="clear" w:color="auto" w:fill="auto"/>
            <w:vAlign w:val="center"/>
          </w:tcPr>
          <w:p>
            <w:pPr>
              <w:pStyle w:val="41"/>
              <w:bidi w:val="0"/>
              <w:ind w:firstLine="0" w:firstLineChars="0"/>
              <w:rPr>
                <w:rFonts w:hint="eastAsia"/>
                <w:color w:val="auto"/>
                <w:highlight w:val="none"/>
                <w:lang w:val="en-US" w:eastAsia="zh-CN"/>
              </w:rPr>
            </w:pPr>
            <w:r>
              <w:rPr>
                <w:rFonts w:hint="eastAsia"/>
                <w:color w:val="auto"/>
                <w:lang w:val="en-US" w:eastAsia="zh-CN"/>
              </w:rPr>
              <w:t>120</w:t>
            </w:r>
          </w:p>
        </w:tc>
        <w:tc>
          <w:tcPr>
            <w:tcW w:w="871" w:type="dxa"/>
            <w:tcBorders>
              <w:tl2br w:val="nil"/>
              <w:tr2bl w:val="nil"/>
            </w:tcBorders>
            <w:vAlign w:val="center"/>
          </w:tcPr>
          <w:p>
            <w:pPr>
              <w:pStyle w:val="41"/>
              <w:bidi w:val="0"/>
              <w:ind w:firstLine="0" w:firstLineChars="0"/>
              <w:rPr>
                <w:rFonts w:hint="eastAsia"/>
                <w:color w:val="auto"/>
                <w:highlight w:val="none"/>
                <w:lang w:val="en-US" w:eastAsia="zh-CN"/>
              </w:rPr>
            </w:pPr>
            <w:r>
              <w:rPr>
                <w:rFonts w:hint="eastAsia"/>
                <w:color w:val="auto"/>
                <w:lang w:val="en-US" w:eastAsia="zh-CN"/>
              </w:rPr>
              <w:t>6</w:t>
            </w:r>
          </w:p>
        </w:tc>
        <w:tc>
          <w:tcPr>
            <w:tcW w:w="796" w:type="dxa"/>
            <w:tcBorders>
              <w:tl2br w:val="nil"/>
              <w:tr2bl w:val="nil"/>
            </w:tcBorders>
            <w:vAlign w:val="center"/>
          </w:tcPr>
          <w:p>
            <w:pPr>
              <w:pStyle w:val="41"/>
              <w:bidi w:val="0"/>
              <w:ind w:firstLine="0" w:firstLineChars="0"/>
              <w:rPr>
                <w:rFonts w:hint="default"/>
                <w:color w:val="auto"/>
                <w:highlight w:val="none"/>
                <w:lang w:val="en-US" w:eastAsia="zh-CN"/>
              </w:rPr>
            </w:pPr>
            <w:r>
              <w:rPr>
                <w:rFonts w:hint="eastAsia"/>
                <w:color w:val="auto"/>
                <w:lang w:val="en-US" w:eastAsia="zh-CN"/>
              </w:rPr>
              <w:t>0</w:t>
            </w:r>
          </w:p>
        </w:tc>
        <w:tc>
          <w:tcPr>
            <w:tcW w:w="1468" w:type="dxa"/>
            <w:tcBorders>
              <w:tl2br w:val="nil"/>
              <w:tr2bl w:val="nil"/>
            </w:tcBorders>
            <w:vAlign w:val="center"/>
          </w:tcPr>
          <w:p>
            <w:pPr>
              <w:pStyle w:val="41"/>
              <w:bidi w:val="0"/>
              <w:ind w:firstLine="0" w:firstLineChars="0"/>
              <w:rPr>
                <w:rFonts w:hint="default"/>
                <w:color w:val="auto"/>
                <w:highlight w:val="none"/>
                <w:lang w:val="en-US" w:eastAsia="zh-CN"/>
              </w:rPr>
            </w:pPr>
            <w:r>
              <w:rPr>
                <w:rFonts w:hint="eastAsia"/>
                <w:color w:val="auto"/>
                <w:lang w:val="en-US" w:eastAsia="zh-CN"/>
              </w:rPr>
              <w:t>0.069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tcBorders>
              <w:tl2br w:val="nil"/>
              <w:tr2bl w:val="nil"/>
            </w:tcBorders>
            <w:vAlign w:val="center"/>
          </w:tcPr>
          <w:p>
            <w:pPr>
              <w:pStyle w:val="41"/>
              <w:bidi w:val="0"/>
              <w:rPr>
                <w:color w:val="auto"/>
                <w:highlight w:val="none"/>
              </w:rPr>
            </w:pPr>
            <w:r>
              <w:rPr>
                <w:rFonts w:hint="eastAsia" w:ascii="Times New Roman" w:hAnsi="Times New Roman" w:cs="Times New Roman"/>
                <w:color w:val="auto"/>
                <w:sz w:val="21"/>
                <w:szCs w:val="21"/>
                <w:highlight w:val="none"/>
                <w:shd w:val="clear" w:color="auto" w:fill="auto"/>
                <w:lang w:val="en-US" w:eastAsia="zh-CN"/>
              </w:rPr>
              <w:t>计量站</w:t>
            </w:r>
          </w:p>
        </w:tc>
        <w:tc>
          <w:tcPr>
            <w:tcW w:w="983" w:type="dxa"/>
            <w:tcBorders>
              <w:tl2br w:val="nil"/>
              <w:tr2bl w:val="nil"/>
            </w:tcBorders>
            <w:shd w:val="clear" w:color="auto" w:fill="auto"/>
            <w:vAlign w:val="center"/>
          </w:tcPr>
          <w:p>
            <w:pPr>
              <w:pStyle w:val="41"/>
              <w:bidi w:val="0"/>
              <w:ind w:firstLine="0" w:firstLineChars="0"/>
              <w:rPr>
                <w:rFonts w:hint="eastAsia" w:ascii="Times New Roman" w:hAnsi="Times New Roman" w:eastAsia="宋体" w:cs="Times New Roman"/>
                <w:color w:val="auto"/>
                <w:kern w:val="0"/>
                <w:sz w:val="21"/>
                <w:szCs w:val="20"/>
                <w:highlight w:val="none"/>
                <w:lang w:val="en-US" w:eastAsia="zh-CN" w:bidi="ar-SA"/>
              </w:rPr>
            </w:pPr>
          </w:p>
        </w:tc>
        <w:tc>
          <w:tcPr>
            <w:tcW w:w="938" w:type="dxa"/>
            <w:tcBorders>
              <w:tl2br w:val="nil"/>
              <w:tr2bl w:val="nil"/>
            </w:tcBorders>
            <w:shd w:val="clear" w:color="auto" w:fill="auto"/>
            <w:vAlign w:val="center"/>
          </w:tcPr>
          <w:p>
            <w:pPr>
              <w:pStyle w:val="41"/>
              <w:bidi w:val="0"/>
              <w:ind w:firstLine="0" w:firstLineChars="0"/>
              <w:rPr>
                <w:rFonts w:hint="eastAsia" w:ascii="Times New Roman" w:hAnsi="Times New Roman" w:eastAsia="宋体" w:cs="Times New Roman"/>
                <w:color w:val="auto"/>
                <w:kern w:val="0"/>
                <w:sz w:val="21"/>
                <w:szCs w:val="20"/>
                <w:highlight w:val="none"/>
                <w:lang w:val="en-US" w:eastAsia="zh-CN" w:bidi="ar-SA"/>
              </w:rPr>
            </w:pPr>
          </w:p>
        </w:tc>
        <w:tc>
          <w:tcPr>
            <w:tcW w:w="763" w:type="dxa"/>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468</w:t>
            </w:r>
          </w:p>
        </w:tc>
        <w:tc>
          <w:tcPr>
            <w:tcW w:w="645"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16</w:t>
            </w:r>
          </w:p>
        </w:tc>
        <w:tc>
          <w:tcPr>
            <w:tcW w:w="645" w:type="dxa"/>
            <w:tcBorders>
              <w:tl2br w:val="nil"/>
              <w:tr2bl w:val="nil"/>
            </w:tcBorders>
            <w:vAlign w:val="center"/>
          </w:tcPr>
          <w:p>
            <w:pPr>
              <w:pStyle w:val="41"/>
              <w:bidi w:val="0"/>
              <w:ind w:firstLine="0" w:firstLineChars="0"/>
              <w:rPr>
                <w:rFonts w:hint="default"/>
                <w:color w:val="auto"/>
                <w:highlight w:val="none"/>
                <w:lang w:val="en-US"/>
              </w:rPr>
            </w:pPr>
            <w:r>
              <w:rPr>
                <w:rFonts w:hint="eastAsia"/>
                <w:color w:val="auto"/>
                <w:highlight w:val="none"/>
                <w:lang w:val="en-US" w:eastAsia="zh-CN"/>
              </w:rPr>
              <w:t>10</w:t>
            </w:r>
          </w:p>
        </w:tc>
        <w:tc>
          <w:tcPr>
            <w:tcW w:w="871" w:type="dxa"/>
            <w:tcBorders>
              <w:tl2br w:val="nil"/>
              <w:tr2bl w:val="nil"/>
            </w:tcBorders>
            <w:vAlign w:val="center"/>
          </w:tcPr>
          <w:p>
            <w:pPr>
              <w:pStyle w:val="41"/>
              <w:bidi w:val="0"/>
              <w:rPr>
                <w:rFonts w:hint="eastAsia" w:eastAsia="宋体"/>
                <w:color w:val="auto"/>
                <w:highlight w:val="none"/>
                <w:lang w:val="en-US" w:eastAsia="zh-CN"/>
              </w:rPr>
            </w:pPr>
            <w:r>
              <w:rPr>
                <w:rFonts w:hint="eastAsia"/>
                <w:color w:val="auto"/>
                <w:highlight w:val="none"/>
                <w:lang w:val="en-US" w:eastAsia="zh-CN"/>
              </w:rPr>
              <w:t>6</w:t>
            </w:r>
          </w:p>
        </w:tc>
        <w:tc>
          <w:tcPr>
            <w:tcW w:w="796" w:type="dxa"/>
            <w:tcBorders>
              <w:tl2br w:val="nil"/>
              <w:tr2bl w:val="nil"/>
            </w:tcBorders>
            <w:vAlign w:val="center"/>
          </w:tcPr>
          <w:p>
            <w:pPr>
              <w:pStyle w:val="41"/>
              <w:bidi w:val="0"/>
              <w:rPr>
                <w:rFonts w:hint="eastAsia" w:eastAsia="宋体"/>
                <w:color w:val="auto"/>
                <w:highlight w:val="none"/>
                <w:lang w:val="en-US" w:eastAsia="zh-CN"/>
              </w:rPr>
            </w:pPr>
            <w:r>
              <w:rPr>
                <w:rFonts w:hint="eastAsia"/>
                <w:color w:val="auto"/>
                <w:highlight w:val="none"/>
                <w:lang w:val="en-US" w:eastAsia="zh-CN"/>
              </w:rPr>
              <w:t>0</w:t>
            </w:r>
          </w:p>
        </w:tc>
        <w:tc>
          <w:tcPr>
            <w:tcW w:w="1468" w:type="dxa"/>
            <w:tcBorders>
              <w:tl2br w:val="nil"/>
              <w:tr2bl w:val="nil"/>
            </w:tcBorders>
            <w:vAlign w:val="center"/>
          </w:tcPr>
          <w:p>
            <w:pPr>
              <w:pStyle w:val="41"/>
              <w:bidi w:val="0"/>
              <w:rPr>
                <w:rFonts w:hint="eastAsia"/>
                <w:color w:val="auto"/>
                <w:highlight w:val="none"/>
                <w:lang w:val="en-US" w:eastAsia="zh-CN"/>
              </w:rPr>
            </w:pPr>
            <w:r>
              <w:rPr>
                <w:rFonts w:hint="default"/>
                <w:color w:val="auto"/>
                <w:highlight w:val="none"/>
                <w:lang w:val="en-US" w:eastAsia="zh-CN"/>
              </w:rPr>
              <w:t>0.0</w:t>
            </w:r>
            <w:r>
              <w:rPr>
                <w:rFonts w:hint="eastAsia"/>
                <w:color w:val="auto"/>
                <w:highlight w:val="none"/>
                <w:lang w:val="en-US" w:eastAsia="zh-CN"/>
              </w:rPr>
              <w:t>25</w:t>
            </w:r>
            <w:r>
              <w:rPr>
                <w:rFonts w:hint="default"/>
                <w:color w:val="auto"/>
                <w:highlight w:val="none"/>
                <w:lang w:val="en-US" w:eastAsia="zh-CN"/>
              </w:rPr>
              <w:t xml:space="preserve">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654" w:type="dxa"/>
            <w:tcBorders>
              <w:tl2br w:val="nil"/>
              <w:tr2bl w:val="nil"/>
            </w:tcBorders>
            <w:vAlign w:val="center"/>
          </w:tcPr>
          <w:p>
            <w:pPr>
              <w:pStyle w:val="41"/>
              <w:bidi w:val="0"/>
              <w:rPr>
                <w:rFonts w:hint="eastAsia"/>
                <w:color w:val="auto"/>
                <w:highlight w:val="none"/>
              </w:rPr>
            </w:pPr>
            <w:r>
              <w:rPr>
                <w:rFonts w:hint="eastAsia" w:eastAsia="宋体" w:cs="Times New Roman"/>
                <w:color w:val="auto"/>
                <w:sz w:val="21"/>
                <w:szCs w:val="21"/>
                <w:highlight w:val="none"/>
                <w:shd w:val="clear" w:color="auto" w:fill="auto"/>
                <w:lang w:val="en-US" w:eastAsia="zh-CN"/>
              </w:rPr>
              <w:t>集中拉油站</w:t>
            </w:r>
          </w:p>
        </w:tc>
        <w:tc>
          <w:tcPr>
            <w:tcW w:w="983" w:type="dxa"/>
            <w:tcBorders>
              <w:tl2br w:val="nil"/>
              <w:tr2bl w:val="nil"/>
            </w:tcBorders>
            <w:vAlign w:val="center"/>
          </w:tcPr>
          <w:p>
            <w:pPr>
              <w:pStyle w:val="41"/>
              <w:bidi w:val="0"/>
              <w:rPr>
                <w:rFonts w:hint="eastAsia"/>
                <w:color w:val="auto"/>
                <w:highlight w:val="none"/>
              </w:rPr>
            </w:pPr>
          </w:p>
        </w:tc>
        <w:tc>
          <w:tcPr>
            <w:tcW w:w="938" w:type="dxa"/>
            <w:tcBorders>
              <w:tl2br w:val="nil"/>
              <w:tr2bl w:val="nil"/>
            </w:tcBorders>
            <w:vAlign w:val="center"/>
          </w:tcPr>
          <w:p>
            <w:pPr>
              <w:pStyle w:val="41"/>
              <w:bidi w:val="0"/>
              <w:rPr>
                <w:rFonts w:hint="eastAsia"/>
                <w:color w:val="auto"/>
                <w:highlight w:val="none"/>
              </w:rPr>
            </w:pPr>
          </w:p>
        </w:tc>
        <w:tc>
          <w:tcPr>
            <w:tcW w:w="763" w:type="dxa"/>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468</w:t>
            </w:r>
          </w:p>
        </w:tc>
        <w:tc>
          <w:tcPr>
            <w:tcW w:w="645" w:type="dxa"/>
            <w:tcBorders>
              <w:tl2br w:val="nil"/>
              <w:tr2bl w:val="nil"/>
            </w:tcBorders>
            <w:shd w:val="clear" w:color="auto" w:fill="auto"/>
            <w:vAlign w:val="center"/>
          </w:tcPr>
          <w:p>
            <w:pPr>
              <w:pStyle w:val="41"/>
              <w:bidi w:val="0"/>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100</w:t>
            </w:r>
          </w:p>
        </w:tc>
        <w:tc>
          <w:tcPr>
            <w:tcW w:w="645" w:type="dxa"/>
            <w:tcBorders>
              <w:tl2br w:val="nil"/>
              <w:tr2bl w:val="nil"/>
            </w:tcBorders>
            <w:shd w:val="clear" w:color="auto" w:fill="auto"/>
            <w:vAlign w:val="center"/>
          </w:tcPr>
          <w:p>
            <w:pPr>
              <w:pStyle w:val="41"/>
              <w:bidi w:val="0"/>
              <w:ind w:firstLine="0" w:firstLineChars="0"/>
              <w:rPr>
                <w:rFonts w:hint="default" w:ascii="Times New Roman" w:hAnsi="Times New Roman" w:eastAsia="宋体" w:cs="Times New Roman"/>
                <w:color w:val="auto"/>
                <w:sz w:val="21"/>
                <w:szCs w:val="21"/>
                <w:highlight w:val="none"/>
                <w:lang w:val="en-US" w:eastAsia="zh-CN" w:bidi="ar-SA"/>
              </w:rPr>
            </w:pPr>
            <w:r>
              <w:rPr>
                <w:rFonts w:hint="eastAsia"/>
                <w:color w:val="auto"/>
                <w:highlight w:val="none"/>
                <w:lang w:val="en-US" w:eastAsia="zh-CN"/>
              </w:rPr>
              <w:t>100</w:t>
            </w:r>
          </w:p>
        </w:tc>
        <w:tc>
          <w:tcPr>
            <w:tcW w:w="871" w:type="dxa"/>
            <w:tcBorders>
              <w:tl2br w:val="nil"/>
              <w:tr2bl w:val="nil"/>
            </w:tcBorders>
            <w:vAlign w:val="center"/>
          </w:tcPr>
          <w:p>
            <w:pPr>
              <w:pStyle w:val="41"/>
              <w:bidi w:val="0"/>
              <w:rPr>
                <w:rFonts w:hint="default" w:eastAsia="宋体"/>
                <w:color w:val="auto"/>
                <w:highlight w:val="none"/>
                <w:lang w:val="en-US" w:eastAsia="zh-CN"/>
              </w:rPr>
            </w:pPr>
            <w:r>
              <w:rPr>
                <w:rFonts w:hint="eastAsia"/>
                <w:color w:val="auto"/>
                <w:highlight w:val="none"/>
                <w:lang w:val="en-US" w:eastAsia="zh-CN"/>
              </w:rPr>
              <w:t>13</w:t>
            </w:r>
          </w:p>
        </w:tc>
        <w:tc>
          <w:tcPr>
            <w:tcW w:w="796" w:type="dxa"/>
            <w:tcBorders>
              <w:tl2br w:val="nil"/>
              <w:tr2bl w:val="nil"/>
            </w:tcBorders>
            <w:vAlign w:val="center"/>
          </w:tcPr>
          <w:p>
            <w:pPr>
              <w:pStyle w:val="41"/>
              <w:bidi w:val="0"/>
              <w:rPr>
                <w:rFonts w:hint="eastAsia" w:eastAsia="宋体"/>
                <w:color w:val="auto"/>
                <w:highlight w:val="none"/>
                <w:lang w:val="en-US" w:eastAsia="zh-CN"/>
              </w:rPr>
            </w:pPr>
            <w:r>
              <w:rPr>
                <w:rFonts w:hint="eastAsia"/>
                <w:color w:val="auto"/>
                <w:highlight w:val="none"/>
                <w:lang w:val="en-US" w:eastAsia="zh-CN"/>
              </w:rPr>
              <w:t>0</w:t>
            </w:r>
          </w:p>
        </w:tc>
        <w:tc>
          <w:tcPr>
            <w:tcW w:w="1468" w:type="dxa"/>
            <w:tcBorders>
              <w:tl2br w:val="nil"/>
              <w:tr2bl w:val="nil"/>
            </w:tcBorders>
            <w:vAlign w:val="center"/>
          </w:tcPr>
          <w:p>
            <w:pPr>
              <w:pStyle w:val="41"/>
              <w:bidi w:val="0"/>
              <w:rPr>
                <w:rFonts w:hint="default"/>
                <w:color w:val="auto"/>
                <w:highlight w:val="none"/>
                <w:lang w:val="en-US" w:eastAsia="zh-CN"/>
              </w:rPr>
            </w:pPr>
            <w:r>
              <w:rPr>
                <w:rFonts w:hint="eastAsia"/>
                <w:color w:val="auto"/>
                <w:highlight w:val="none"/>
                <w:lang w:val="en-US" w:eastAsia="zh-CN"/>
              </w:rPr>
              <w:t>0.870</w:t>
            </w:r>
          </w:p>
        </w:tc>
      </w:tr>
    </w:tbl>
    <w:p>
      <w:pPr>
        <w:pStyle w:val="54"/>
        <w:pageBreakBefore w:val="0"/>
        <w:kinsoku/>
        <w:wordWrap/>
        <w:overflowPunct/>
        <w:topLinePunct w:val="0"/>
        <w:autoSpaceDE/>
        <w:autoSpaceDN/>
        <w:bidi w:val="0"/>
        <w:spacing w:line="480" w:lineRule="exact"/>
        <w:ind w:left="0" w:leftChars="0" w:firstLine="0" w:firstLineChars="0"/>
        <w:jc w:val="center"/>
        <w:rPr>
          <w:rFonts w:hint="eastAsia" w:cs="Times New Roman"/>
          <w:color w:val="auto"/>
          <w:highlight w:val="none"/>
          <w:lang w:val="en-US" w:eastAsia="zh-CN"/>
        </w:rPr>
      </w:pPr>
      <w:r>
        <w:rPr>
          <w:rFonts w:hint="eastAsia" w:cs="Times New Roman"/>
          <w:color w:val="auto"/>
          <w:highlight w:val="none"/>
          <w:lang w:val="en-US" w:eastAsia="zh-CN"/>
        </w:rPr>
        <w:t>表5.5-6  Pmax及D10%预测及计算结果一览表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950"/>
        <w:gridCol w:w="1087"/>
        <w:gridCol w:w="1254"/>
        <w:gridCol w:w="1013"/>
        <w:gridCol w:w="827"/>
        <w:gridCol w:w="641"/>
        <w:gridCol w:w="190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124" w:type="pct"/>
            <w:tcBorders>
              <w:tl2br w:val="nil"/>
              <w:tr2bl w:val="nil"/>
            </w:tcBorders>
            <w:vAlign w:val="center"/>
          </w:tcPr>
          <w:p>
            <w:pPr>
              <w:pStyle w:val="41"/>
              <w:bidi w:val="0"/>
              <w:rPr>
                <w:color w:val="auto"/>
                <w:highlight w:val="none"/>
              </w:rPr>
            </w:pPr>
            <w:r>
              <w:rPr>
                <w:rFonts w:hint="eastAsia"/>
                <w:color w:val="auto"/>
                <w:highlight w:val="none"/>
              </w:rPr>
              <w:t>名</w:t>
            </w:r>
            <w:r>
              <w:rPr>
                <w:color w:val="auto"/>
                <w:highlight w:val="none"/>
              </w:rPr>
              <w:t xml:space="preserve">    </w:t>
            </w:r>
            <w:r>
              <w:rPr>
                <w:rFonts w:hint="eastAsia"/>
                <w:color w:val="auto"/>
                <w:highlight w:val="none"/>
              </w:rPr>
              <w:t>称</w:t>
            </w:r>
          </w:p>
        </w:tc>
        <w:tc>
          <w:tcPr>
            <w:tcW w:w="627" w:type="pct"/>
            <w:tcBorders>
              <w:tl2br w:val="nil"/>
              <w:tr2bl w:val="nil"/>
            </w:tcBorders>
            <w:vAlign w:val="center"/>
          </w:tcPr>
          <w:p>
            <w:pPr>
              <w:pStyle w:val="41"/>
              <w:bidi w:val="0"/>
              <w:rPr>
                <w:color w:val="auto"/>
                <w:highlight w:val="none"/>
              </w:rPr>
            </w:pPr>
            <w:r>
              <w:rPr>
                <w:rFonts w:hint="eastAsia"/>
                <w:color w:val="auto"/>
                <w:highlight w:val="none"/>
              </w:rPr>
              <w:t>评价因子</w:t>
            </w:r>
          </w:p>
        </w:tc>
        <w:tc>
          <w:tcPr>
            <w:tcW w:w="723" w:type="pct"/>
            <w:tcBorders>
              <w:tl2br w:val="nil"/>
              <w:tr2bl w:val="nil"/>
            </w:tcBorders>
            <w:vAlign w:val="center"/>
          </w:tcPr>
          <w:p>
            <w:pPr>
              <w:pStyle w:val="41"/>
              <w:bidi w:val="0"/>
              <w:rPr>
                <w:color w:val="auto"/>
                <w:highlight w:val="none"/>
              </w:rPr>
            </w:pPr>
            <w:r>
              <w:rPr>
                <w:color w:val="auto"/>
                <w:highlight w:val="none"/>
              </w:rPr>
              <w:t>C</w:t>
            </w:r>
            <w:r>
              <w:rPr>
                <w:color w:val="auto"/>
                <w:highlight w:val="none"/>
                <w:vertAlign w:val="subscript"/>
              </w:rPr>
              <w:t>i</w:t>
            </w:r>
            <w:r>
              <w:rPr>
                <w:rFonts w:hint="eastAsia"/>
                <w:color w:val="auto"/>
                <w:highlight w:val="none"/>
              </w:rPr>
              <w:t>（</w:t>
            </w:r>
            <w:r>
              <w:rPr>
                <w:color w:val="auto"/>
                <w:highlight w:val="none"/>
              </w:rPr>
              <w:t>μg/m</w:t>
            </w:r>
            <w:r>
              <w:rPr>
                <w:color w:val="auto"/>
                <w:highlight w:val="none"/>
                <w:vertAlign w:val="superscript"/>
              </w:rPr>
              <w:t>3</w:t>
            </w:r>
            <w:r>
              <w:rPr>
                <w:rFonts w:hint="eastAsia"/>
                <w:color w:val="auto"/>
                <w:highlight w:val="none"/>
              </w:rPr>
              <w:t>）</w:t>
            </w:r>
          </w:p>
        </w:tc>
        <w:tc>
          <w:tcPr>
            <w:tcW w:w="584" w:type="pct"/>
            <w:tcBorders>
              <w:tl2br w:val="nil"/>
              <w:tr2bl w:val="nil"/>
            </w:tcBorders>
            <w:vAlign w:val="center"/>
          </w:tcPr>
          <w:p>
            <w:pPr>
              <w:pStyle w:val="41"/>
              <w:bidi w:val="0"/>
              <w:rPr>
                <w:color w:val="auto"/>
                <w:highlight w:val="none"/>
              </w:rPr>
            </w:pPr>
            <w:r>
              <w:rPr>
                <w:rFonts w:hint="eastAsia"/>
                <w:color w:val="auto"/>
                <w:highlight w:val="none"/>
              </w:rPr>
              <w:t>评价标准（</w:t>
            </w:r>
            <w:r>
              <w:rPr>
                <w:color w:val="auto"/>
                <w:highlight w:val="none"/>
              </w:rPr>
              <w:t>μg/m</w:t>
            </w:r>
            <w:r>
              <w:rPr>
                <w:color w:val="auto"/>
                <w:highlight w:val="none"/>
                <w:vertAlign w:val="superscript"/>
              </w:rPr>
              <w:t>3</w:t>
            </w:r>
            <w:r>
              <w:rPr>
                <w:rFonts w:hint="eastAsia"/>
                <w:color w:val="auto"/>
                <w:highlight w:val="none"/>
              </w:rPr>
              <w:t>）</w:t>
            </w:r>
          </w:p>
        </w:tc>
        <w:tc>
          <w:tcPr>
            <w:tcW w:w="477" w:type="pct"/>
            <w:tcBorders>
              <w:tl2br w:val="nil"/>
              <w:tr2bl w:val="nil"/>
            </w:tcBorders>
            <w:vAlign w:val="center"/>
          </w:tcPr>
          <w:p>
            <w:pPr>
              <w:pStyle w:val="41"/>
              <w:bidi w:val="0"/>
              <w:rPr>
                <w:color w:val="auto"/>
                <w:highlight w:val="none"/>
              </w:rPr>
            </w:pPr>
            <w:r>
              <w:rPr>
                <w:color w:val="auto"/>
                <w:highlight w:val="none"/>
              </w:rPr>
              <w:t>P</w:t>
            </w:r>
            <w:r>
              <w:rPr>
                <w:color w:val="auto"/>
                <w:highlight w:val="none"/>
                <w:vertAlign w:val="subscript"/>
              </w:rPr>
              <w:t>max</w:t>
            </w:r>
            <w:r>
              <w:rPr>
                <w:rFonts w:hint="eastAsia"/>
                <w:color w:val="auto"/>
                <w:highlight w:val="none"/>
              </w:rPr>
              <w:t>（</w:t>
            </w:r>
            <w:r>
              <w:rPr>
                <w:color w:val="auto"/>
                <w:highlight w:val="none"/>
              </w:rPr>
              <w:t>%</w:t>
            </w:r>
            <w:r>
              <w:rPr>
                <w:rFonts w:hint="eastAsia"/>
                <w:color w:val="auto"/>
                <w:highlight w:val="none"/>
              </w:rPr>
              <w:t>）</w:t>
            </w:r>
          </w:p>
        </w:tc>
        <w:tc>
          <w:tcPr>
            <w:tcW w:w="366" w:type="pct"/>
            <w:tcBorders>
              <w:tl2br w:val="nil"/>
              <w:tr2bl w:val="nil"/>
            </w:tcBorders>
            <w:vAlign w:val="center"/>
          </w:tcPr>
          <w:p>
            <w:pPr>
              <w:pStyle w:val="41"/>
              <w:bidi w:val="0"/>
              <w:rPr>
                <w:color w:val="auto"/>
                <w:highlight w:val="none"/>
              </w:rPr>
            </w:pPr>
            <w:r>
              <w:rPr>
                <w:rFonts w:hint="eastAsia"/>
                <w:color w:val="auto"/>
                <w:highlight w:val="none"/>
              </w:rPr>
              <w:t>D</w:t>
            </w:r>
            <w:r>
              <w:rPr>
                <w:rFonts w:hint="eastAsia"/>
                <w:color w:val="auto"/>
                <w:highlight w:val="none"/>
                <w:vertAlign w:val="subscript"/>
              </w:rPr>
              <w:t>10</w:t>
            </w:r>
            <w:r>
              <w:rPr>
                <w:color w:val="auto"/>
                <w:highlight w:val="none"/>
                <w:vertAlign w:val="subscript"/>
              </w:rPr>
              <w:t>%</w:t>
            </w:r>
            <w:r>
              <w:rPr>
                <w:rFonts w:hint="eastAsia"/>
                <w:color w:val="auto"/>
                <w:highlight w:val="none"/>
              </w:rPr>
              <w:t>（</w:t>
            </w:r>
            <w:r>
              <w:rPr>
                <w:color w:val="auto"/>
                <w:highlight w:val="none"/>
              </w:rPr>
              <w:t>m</w:t>
            </w:r>
            <w:r>
              <w:rPr>
                <w:rFonts w:hint="eastAsia"/>
                <w:color w:val="auto"/>
                <w:highlight w:val="none"/>
              </w:rPr>
              <w:t>）</w:t>
            </w:r>
          </w:p>
        </w:tc>
        <w:tc>
          <w:tcPr>
            <w:tcW w:w="1095" w:type="pct"/>
            <w:tcBorders>
              <w:tl2br w:val="nil"/>
              <w:tr2bl w:val="nil"/>
            </w:tcBorders>
            <w:vAlign w:val="center"/>
          </w:tcPr>
          <w:p>
            <w:pPr>
              <w:pStyle w:val="41"/>
              <w:bidi w:val="0"/>
              <w:rPr>
                <w:color w:val="auto"/>
                <w:highlight w:val="none"/>
              </w:rPr>
            </w:pPr>
            <w:r>
              <w:rPr>
                <w:rFonts w:hint="eastAsia"/>
                <w:color w:val="auto"/>
                <w:highlight w:val="none"/>
              </w:rPr>
              <w:t>最大浓度出现距离（</w:t>
            </w:r>
            <w:r>
              <w:rPr>
                <w:color w:val="auto"/>
                <w:highlight w:val="none"/>
              </w:rPr>
              <w:t>m</w:t>
            </w:r>
            <w:r>
              <w:rPr>
                <w:rFonts w:hint="eastAsia"/>
                <w:color w:val="auto"/>
                <w:highlight w:val="none"/>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4" w:type="dxa"/>
            <w:tcBorders>
              <w:tl2br w:val="nil"/>
              <w:tr2bl w:val="nil"/>
            </w:tcBorders>
            <w:vAlign w:val="center"/>
          </w:tcPr>
          <w:p>
            <w:pPr>
              <w:pStyle w:val="41"/>
              <w:bidi w:val="0"/>
              <w:rPr>
                <w:rFonts w:hint="eastAsia"/>
                <w:color w:val="auto"/>
                <w:lang w:val="en-US" w:eastAsia="zh-CN"/>
              </w:rPr>
            </w:pPr>
            <w:r>
              <w:rPr>
                <w:rFonts w:hint="eastAsia"/>
                <w:color w:val="auto"/>
                <w:lang w:val="en-US" w:eastAsia="zh-CN"/>
              </w:rPr>
              <w:t>单井井场</w:t>
            </w:r>
          </w:p>
          <w:p>
            <w:pPr>
              <w:pStyle w:val="41"/>
              <w:bidi w:val="0"/>
              <w:ind w:firstLine="0" w:firstLineChars="0"/>
              <w:rPr>
                <w:color w:val="auto"/>
                <w:highlight w:val="none"/>
              </w:rPr>
            </w:pPr>
            <w:r>
              <w:rPr>
                <w:rFonts w:hint="eastAsia"/>
                <w:color w:val="auto"/>
                <w:lang w:val="en-US" w:eastAsia="zh-CN"/>
              </w:rPr>
              <w:t>（集输）</w:t>
            </w:r>
          </w:p>
        </w:tc>
        <w:tc>
          <w:tcPr>
            <w:tcW w:w="1087" w:type="dxa"/>
            <w:tcBorders>
              <w:tl2br w:val="nil"/>
              <w:tr2bl w:val="nil"/>
            </w:tcBorders>
            <w:vAlign w:val="center"/>
          </w:tcPr>
          <w:p>
            <w:pPr>
              <w:pStyle w:val="41"/>
              <w:bidi w:val="0"/>
              <w:ind w:firstLine="0" w:firstLineChars="0"/>
              <w:rPr>
                <w:color w:val="auto"/>
                <w:highlight w:val="none"/>
              </w:rPr>
            </w:pPr>
            <w:r>
              <w:rPr>
                <w:rFonts w:hint="eastAsia"/>
                <w:color w:val="auto"/>
                <w:lang w:val="en-US" w:eastAsia="zh-CN"/>
              </w:rPr>
              <w:t>NMHC</w:t>
            </w:r>
          </w:p>
        </w:tc>
        <w:tc>
          <w:tcPr>
            <w:tcW w:w="1254"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4.7472</w:t>
            </w:r>
          </w:p>
        </w:tc>
        <w:tc>
          <w:tcPr>
            <w:tcW w:w="1013" w:type="dxa"/>
            <w:tcBorders>
              <w:tl2br w:val="nil"/>
              <w:tr2bl w:val="nil"/>
            </w:tcBorders>
            <w:vAlign w:val="center"/>
          </w:tcPr>
          <w:p>
            <w:pPr>
              <w:pStyle w:val="41"/>
              <w:bidi w:val="0"/>
              <w:ind w:firstLine="0" w:firstLineChars="0"/>
              <w:rPr>
                <w:rFonts w:hint="eastAsia"/>
                <w:color w:val="auto"/>
                <w:highlight w:val="none"/>
              </w:rPr>
            </w:pPr>
            <w:r>
              <w:rPr>
                <w:rFonts w:hint="eastAsia"/>
                <w:color w:val="auto"/>
              </w:rPr>
              <w:t>2000</w:t>
            </w:r>
          </w:p>
        </w:tc>
        <w:tc>
          <w:tcPr>
            <w:tcW w:w="834"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0.24</w:t>
            </w:r>
          </w:p>
        </w:tc>
        <w:tc>
          <w:tcPr>
            <w:tcW w:w="640" w:type="dxa"/>
            <w:tcBorders>
              <w:tl2br w:val="nil"/>
              <w:tr2bl w:val="nil"/>
            </w:tcBorders>
            <w:vAlign w:val="center"/>
          </w:tcPr>
          <w:p>
            <w:pPr>
              <w:pStyle w:val="41"/>
              <w:bidi w:val="0"/>
              <w:ind w:firstLine="0" w:firstLineChars="0"/>
              <w:rPr>
                <w:rFonts w:hint="eastAsia"/>
                <w:color w:val="auto"/>
                <w:highlight w:val="none"/>
              </w:rPr>
            </w:pPr>
            <w:r>
              <w:rPr>
                <w:rFonts w:hint="eastAsia"/>
                <w:color w:val="auto"/>
              </w:rPr>
              <w:t>/</w:t>
            </w:r>
          </w:p>
        </w:tc>
        <w:tc>
          <w:tcPr>
            <w:tcW w:w="1913"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64" w:type="dxa"/>
            <w:tcBorders>
              <w:tl2br w:val="nil"/>
              <w:tr2bl w:val="nil"/>
            </w:tcBorders>
            <w:vAlign w:val="center"/>
          </w:tcPr>
          <w:p>
            <w:pPr>
              <w:pStyle w:val="41"/>
              <w:bidi w:val="0"/>
              <w:rPr>
                <w:rFonts w:hint="eastAsia"/>
                <w:color w:val="auto"/>
                <w:lang w:val="en-US" w:eastAsia="zh-CN"/>
              </w:rPr>
            </w:pPr>
            <w:r>
              <w:rPr>
                <w:rFonts w:hint="eastAsia"/>
                <w:color w:val="auto"/>
                <w:lang w:val="en-US" w:eastAsia="zh-CN"/>
              </w:rPr>
              <w:t>单井井场</w:t>
            </w:r>
          </w:p>
          <w:p>
            <w:pPr>
              <w:pStyle w:val="41"/>
              <w:bidi w:val="0"/>
              <w:ind w:firstLine="0" w:firstLineChars="0"/>
              <w:rPr>
                <w:rFonts w:hint="eastAsia"/>
                <w:color w:val="auto"/>
                <w:highlight w:val="none"/>
                <w:lang w:val="en-US" w:eastAsia="zh-CN"/>
              </w:rPr>
            </w:pPr>
            <w:r>
              <w:rPr>
                <w:rFonts w:hint="eastAsia"/>
                <w:color w:val="auto"/>
                <w:lang w:val="en-US" w:eastAsia="zh-CN"/>
              </w:rPr>
              <w:t>（拉油）</w:t>
            </w:r>
          </w:p>
        </w:tc>
        <w:tc>
          <w:tcPr>
            <w:tcW w:w="1087" w:type="dxa"/>
            <w:tcBorders>
              <w:tl2br w:val="nil"/>
              <w:tr2bl w:val="nil"/>
            </w:tcBorders>
            <w:vAlign w:val="center"/>
          </w:tcPr>
          <w:p>
            <w:pPr>
              <w:pStyle w:val="41"/>
              <w:bidi w:val="0"/>
              <w:ind w:firstLine="0" w:firstLineChars="0"/>
              <w:rPr>
                <w:color w:val="auto"/>
                <w:highlight w:val="none"/>
              </w:rPr>
            </w:pPr>
            <w:r>
              <w:rPr>
                <w:rFonts w:hint="eastAsia"/>
                <w:color w:val="auto"/>
                <w:lang w:val="en-US" w:eastAsia="zh-CN"/>
              </w:rPr>
              <w:t>NMHC</w:t>
            </w:r>
          </w:p>
        </w:tc>
        <w:tc>
          <w:tcPr>
            <w:tcW w:w="1254" w:type="dxa"/>
            <w:tcBorders>
              <w:tl2br w:val="nil"/>
              <w:tr2bl w:val="nil"/>
            </w:tcBorders>
            <w:shd w:val="clear" w:color="auto" w:fill="auto"/>
            <w:vAlign w:val="center"/>
          </w:tcPr>
          <w:p>
            <w:pPr>
              <w:pStyle w:val="41"/>
              <w:bidi w:val="0"/>
              <w:ind w:firstLine="0" w:firstLineChars="0"/>
              <w:rPr>
                <w:rFonts w:hint="default" w:ascii="Times New Roman" w:hAnsi="Times New Roman" w:eastAsia="宋体" w:cs="Times New Roman"/>
                <w:color w:val="auto"/>
                <w:sz w:val="21"/>
                <w:highlight w:val="none"/>
                <w:lang w:val="en-US" w:eastAsia="zh-CN"/>
              </w:rPr>
            </w:pPr>
            <w:r>
              <w:rPr>
                <w:rFonts w:hint="eastAsia"/>
                <w:color w:val="auto"/>
                <w:highlight w:val="none"/>
                <w:lang w:val="en-US" w:eastAsia="zh-CN"/>
              </w:rPr>
              <w:t>46.7980</w:t>
            </w:r>
          </w:p>
        </w:tc>
        <w:tc>
          <w:tcPr>
            <w:tcW w:w="1013" w:type="dxa"/>
            <w:tcBorders>
              <w:tl2br w:val="nil"/>
              <w:tr2bl w:val="nil"/>
            </w:tcBorders>
            <w:shd w:val="clear" w:color="auto" w:fill="auto"/>
            <w:vAlign w:val="center"/>
          </w:tcPr>
          <w:p>
            <w:pPr>
              <w:pStyle w:val="41"/>
              <w:bidi w:val="0"/>
              <w:ind w:firstLine="0" w:firstLineChars="0"/>
              <w:rPr>
                <w:rFonts w:hint="eastAsia"/>
                <w:color w:val="auto"/>
                <w:highlight w:val="none"/>
              </w:rPr>
            </w:pPr>
            <w:r>
              <w:rPr>
                <w:rFonts w:hint="eastAsia"/>
                <w:color w:val="auto"/>
              </w:rPr>
              <w:t>2000</w:t>
            </w:r>
          </w:p>
        </w:tc>
        <w:tc>
          <w:tcPr>
            <w:tcW w:w="827" w:type="dxa"/>
            <w:tcBorders>
              <w:tl2br w:val="nil"/>
              <w:tr2bl w:val="nil"/>
            </w:tcBorders>
            <w:shd w:val="clear" w:color="auto" w:fill="auto"/>
            <w:vAlign w:val="center"/>
          </w:tcPr>
          <w:p>
            <w:pPr>
              <w:pStyle w:val="41"/>
              <w:bidi w:val="0"/>
              <w:ind w:firstLine="0" w:firstLineChars="0"/>
              <w:rPr>
                <w:rFonts w:hint="default" w:ascii="Times New Roman" w:hAnsi="Times New Roman" w:eastAsia="宋体" w:cs="Times New Roman"/>
                <w:color w:val="auto"/>
                <w:sz w:val="21"/>
                <w:highlight w:val="none"/>
                <w:lang w:val="en-US" w:eastAsia="zh-CN"/>
              </w:rPr>
            </w:pPr>
            <w:r>
              <w:rPr>
                <w:rFonts w:hint="eastAsia"/>
                <w:color w:val="auto"/>
                <w:highlight w:val="none"/>
                <w:lang w:val="en-US" w:eastAsia="zh-CN"/>
              </w:rPr>
              <w:t>2.34</w:t>
            </w:r>
          </w:p>
        </w:tc>
        <w:tc>
          <w:tcPr>
            <w:tcW w:w="641" w:type="dxa"/>
            <w:tcBorders>
              <w:tl2br w:val="nil"/>
              <w:tr2bl w:val="nil"/>
            </w:tcBorders>
            <w:shd w:val="clear" w:color="auto" w:fill="auto"/>
            <w:vAlign w:val="center"/>
          </w:tcPr>
          <w:p>
            <w:pPr>
              <w:pStyle w:val="41"/>
              <w:bidi w:val="0"/>
              <w:ind w:firstLine="0" w:firstLineChars="0"/>
              <w:rPr>
                <w:rFonts w:hint="eastAsia"/>
                <w:color w:val="auto"/>
                <w:highlight w:val="none"/>
              </w:rPr>
            </w:pPr>
            <w:r>
              <w:rPr>
                <w:rFonts w:hint="eastAsia"/>
                <w:color w:val="auto"/>
              </w:rPr>
              <w:t>/</w:t>
            </w:r>
          </w:p>
        </w:tc>
        <w:tc>
          <w:tcPr>
            <w:tcW w:w="1901" w:type="dxa"/>
            <w:tcBorders>
              <w:tl2br w:val="nil"/>
              <w:tr2bl w:val="nil"/>
            </w:tcBorders>
            <w:shd w:val="clear" w:color="auto" w:fill="auto"/>
            <w:vAlign w:val="center"/>
          </w:tcPr>
          <w:p>
            <w:pPr>
              <w:pStyle w:val="41"/>
              <w:bidi w:val="0"/>
              <w:ind w:firstLine="0" w:firstLineChars="0"/>
              <w:rPr>
                <w:rFonts w:hint="default" w:ascii="Times New Roman" w:hAnsi="Times New Roman" w:eastAsia="宋体" w:cs="Times New Roman"/>
                <w:color w:val="auto"/>
                <w:sz w:val="21"/>
                <w:highlight w:val="none"/>
                <w:lang w:val="en-US" w:eastAsia="zh-CN"/>
              </w:rPr>
            </w:pPr>
            <w:r>
              <w:rPr>
                <w:rFonts w:hint="eastAsia"/>
                <w:color w:val="auto"/>
                <w:highlight w:val="none"/>
                <w:lang w:val="en-US" w:eastAsia="zh-CN"/>
              </w:rPr>
              <w:t>135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50" w:type="dxa"/>
            <w:tcBorders>
              <w:tl2br w:val="nil"/>
              <w:tr2bl w:val="nil"/>
            </w:tcBorders>
            <w:vAlign w:val="center"/>
          </w:tcPr>
          <w:p>
            <w:pPr>
              <w:pStyle w:val="41"/>
              <w:bidi w:val="0"/>
              <w:ind w:firstLine="0" w:firstLineChars="0"/>
              <w:rPr>
                <w:color w:val="auto"/>
                <w:highlight w:val="none"/>
              </w:rPr>
            </w:pPr>
            <w:r>
              <w:rPr>
                <w:rFonts w:hint="eastAsia" w:ascii="Times New Roman" w:hAnsi="Times New Roman" w:cs="Times New Roman"/>
                <w:color w:val="auto"/>
                <w:sz w:val="21"/>
                <w:szCs w:val="21"/>
                <w:highlight w:val="none"/>
                <w:shd w:val="clear" w:color="auto" w:fill="auto"/>
                <w:lang w:val="en-US" w:eastAsia="zh-CN"/>
              </w:rPr>
              <w:t>计量站</w:t>
            </w:r>
          </w:p>
        </w:tc>
        <w:tc>
          <w:tcPr>
            <w:tcW w:w="1087" w:type="dxa"/>
            <w:tcBorders>
              <w:tl2br w:val="nil"/>
              <w:tr2bl w:val="nil"/>
            </w:tcBorders>
            <w:vAlign w:val="center"/>
          </w:tcPr>
          <w:p>
            <w:pPr>
              <w:pStyle w:val="41"/>
              <w:bidi w:val="0"/>
              <w:ind w:firstLine="0" w:firstLineChars="0"/>
              <w:rPr>
                <w:color w:val="auto"/>
                <w:highlight w:val="none"/>
              </w:rPr>
            </w:pPr>
            <w:r>
              <w:rPr>
                <w:rFonts w:hint="eastAsia"/>
                <w:color w:val="auto"/>
                <w:lang w:val="en-US" w:eastAsia="zh-CN"/>
              </w:rPr>
              <w:t>NMHC</w:t>
            </w:r>
          </w:p>
        </w:tc>
        <w:tc>
          <w:tcPr>
            <w:tcW w:w="1254"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88.5760</w:t>
            </w:r>
          </w:p>
        </w:tc>
        <w:tc>
          <w:tcPr>
            <w:tcW w:w="1013" w:type="dxa"/>
            <w:tcBorders>
              <w:tl2br w:val="nil"/>
              <w:tr2bl w:val="nil"/>
            </w:tcBorders>
            <w:vAlign w:val="center"/>
          </w:tcPr>
          <w:p>
            <w:pPr>
              <w:pStyle w:val="41"/>
              <w:bidi w:val="0"/>
              <w:ind w:firstLine="0" w:firstLineChars="0"/>
              <w:rPr>
                <w:rFonts w:hint="eastAsia"/>
                <w:color w:val="auto"/>
                <w:highlight w:val="none"/>
              </w:rPr>
            </w:pPr>
            <w:r>
              <w:rPr>
                <w:rFonts w:hint="eastAsia"/>
                <w:color w:val="auto"/>
                <w:highlight w:val="none"/>
              </w:rPr>
              <w:t>2000</w:t>
            </w:r>
          </w:p>
        </w:tc>
        <w:tc>
          <w:tcPr>
            <w:tcW w:w="827" w:type="dxa"/>
            <w:tcBorders>
              <w:tl2br w:val="nil"/>
              <w:tr2bl w:val="nil"/>
            </w:tcBorders>
            <w:vAlign w:val="center"/>
          </w:tcPr>
          <w:p>
            <w:pPr>
              <w:pStyle w:val="41"/>
              <w:bidi w:val="0"/>
              <w:ind w:firstLine="0" w:firstLineChars="0"/>
              <w:rPr>
                <w:rFonts w:hint="default"/>
                <w:color w:val="auto"/>
                <w:highlight w:val="none"/>
                <w:lang w:val="en-US"/>
              </w:rPr>
            </w:pPr>
            <w:r>
              <w:rPr>
                <w:rFonts w:hint="eastAsia"/>
                <w:color w:val="auto"/>
                <w:highlight w:val="none"/>
                <w:lang w:val="en-US" w:eastAsia="zh-CN"/>
              </w:rPr>
              <w:t>4.43</w:t>
            </w:r>
          </w:p>
        </w:tc>
        <w:tc>
          <w:tcPr>
            <w:tcW w:w="641" w:type="dxa"/>
            <w:tcBorders>
              <w:tl2br w:val="nil"/>
              <w:tr2bl w:val="nil"/>
            </w:tcBorders>
            <w:vAlign w:val="center"/>
          </w:tcPr>
          <w:p>
            <w:pPr>
              <w:pStyle w:val="41"/>
              <w:bidi w:val="0"/>
              <w:ind w:firstLine="0" w:firstLineChars="0"/>
              <w:rPr>
                <w:rFonts w:hint="eastAsia"/>
                <w:color w:val="auto"/>
                <w:highlight w:val="none"/>
              </w:rPr>
            </w:pPr>
            <w:r>
              <w:rPr>
                <w:rFonts w:hint="eastAsia"/>
                <w:color w:val="auto"/>
                <w:highlight w:val="none"/>
              </w:rPr>
              <w:t>/</w:t>
            </w:r>
          </w:p>
        </w:tc>
        <w:tc>
          <w:tcPr>
            <w:tcW w:w="1901"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950" w:type="dxa"/>
            <w:tcBorders>
              <w:tl2br w:val="nil"/>
              <w:tr2bl w:val="nil"/>
            </w:tcBorders>
            <w:vAlign w:val="center"/>
          </w:tcPr>
          <w:p>
            <w:pPr>
              <w:pStyle w:val="41"/>
              <w:bidi w:val="0"/>
              <w:ind w:firstLine="0" w:firstLineChars="0"/>
              <w:rPr>
                <w:color w:val="auto"/>
                <w:highlight w:val="none"/>
              </w:rPr>
            </w:pPr>
            <w:r>
              <w:rPr>
                <w:rFonts w:hint="eastAsia" w:eastAsia="宋体" w:cs="Times New Roman"/>
                <w:color w:val="auto"/>
                <w:sz w:val="21"/>
                <w:szCs w:val="21"/>
                <w:highlight w:val="none"/>
                <w:shd w:val="clear" w:color="auto" w:fill="auto"/>
                <w:lang w:val="en-US" w:eastAsia="zh-CN"/>
              </w:rPr>
              <w:t>集中拉油站</w:t>
            </w:r>
          </w:p>
        </w:tc>
        <w:tc>
          <w:tcPr>
            <w:tcW w:w="1087" w:type="dxa"/>
            <w:tcBorders>
              <w:tl2br w:val="nil"/>
              <w:tr2bl w:val="nil"/>
            </w:tcBorders>
            <w:vAlign w:val="center"/>
          </w:tcPr>
          <w:p>
            <w:pPr>
              <w:pStyle w:val="41"/>
              <w:bidi w:val="0"/>
              <w:ind w:firstLine="0" w:firstLineChars="0"/>
              <w:rPr>
                <w:color w:val="auto"/>
                <w:highlight w:val="none"/>
              </w:rPr>
            </w:pPr>
            <w:r>
              <w:rPr>
                <w:rFonts w:hint="eastAsia"/>
                <w:color w:val="auto"/>
                <w:lang w:val="en-US" w:eastAsia="zh-CN"/>
              </w:rPr>
              <w:t>NMHC</w:t>
            </w:r>
          </w:p>
        </w:tc>
        <w:tc>
          <w:tcPr>
            <w:tcW w:w="1254"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lang w:val="en-US" w:eastAsia="zh-CN"/>
              </w:rPr>
              <w:t>193.3600</w:t>
            </w:r>
          </w:p>
        </w:tc>
        <w:tc>
          <w:tcPr>
            <w:tcW w:w="1013" w:type="dxa"/>
            <w:tcBorders>
              <w:tl2br w:val="nil"/>
              <w:tr2bl w:val="nil"/>
            </w:tcBorders>
            <w:vAlign w:val="center"/>
          </w:tcPr>
          <w:p>
            <w:pPr>
              <w:pStyle w:val="41"/>
              <w:bidi w:val="0"/>
              <w:ind w:firstLine="0" w:firstLineChars="0"/>
              <w:rPr>
                <w:rFonts w:hint="eastAsia"/>
                <w:color w:val="auto"/>
                <w:highlight w:val="none"/>
              </w:rPr>
            </w:pPr>
            <w:r>
              <w:rPr>
                <w:rFonts w:hint="eastAsia"/>
                <w:color w:val="auto"/>
              </w:rPr>
              <w:t>2000</w:t>
            </w:r>
          </w:p>
        </w:tc>
        <w:tc>
          <w:tcPr>
            <w:tcW w:w="827"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lang w:val="en-US" w:eastAsia="zh-CN"/>
              </w:rPr>
              <w:t>9.67</w:t>
            </w:r>
          </w:p>
        </w:tc>
        <w:tc>
          <w:tcPr>
            <w:tcW w:w="641" w:type="dxa"/>
            <w:tcBorders>
              <w:tl2br w:val="nil"/>
              <w:tr2bl w:val="nil"/>
            </w:tcBorders>
            <w:vAlign w:val="center"/>
          </w:tcPr>
          <w:p>
            <w:pPr>
              <w:pStyle w:val="41"/>
              <w:bidi w:val="0"/>
              <w:ind w:firstLine="0" w:firstLineChars="0"/>
              <w:rPr>
                <w:rFonts w:hint="eastAsia"/>
                <w:color w:val="auto"/>
                <w:highlight w:val="none"/>
              </w:rPr>
            </w:pPr>
            <w:r>
              <w:rPr>
                <w:rFonts w:hint="eastAsia"/>
                <w:color w:val="auto"/>
              </w:rPr>
              <w:t>/</w:t>
            </w:r>
          </w:p>
        </w:tc>
        <w:tc>
          <w:tcPr>
            <w:tcW w:w="1901" w:type="dxa"/>
            <w:tcBorders>
              <w:tl2br w:val="nil"/>
              <w:tr2bl w:val="nil"/>
            </w:tcBorders>
            <w:vAlign w:val="center"/>
          </w:tcPr>
          <w:p>
            <w:pPr>
              <w:pStyle w:val="41"/>
              <w:bidi w:val="0"/>
              <w:ind w:firstLine="0" w:firstLineChars="0"/>
              <w:rPr>
                <w:rFonts w:hint="default" w:eastAsia="宋体"/>
                <w:color w:val="auto"/>
                <w:highlight w:val="none"/>
                <w:lang w:val="en-US" w:eastAsia="zh-CN"/>
              </w:rPr>
            </w:pPr>
            <w:r>
              <w:rPr>
                <w:rFonts w:hint="eastAsia"/>
                <w:color w:val="auto"/>
                <w:lang w:val="en-US" w:eastAsia="zh-CN"/>
              </w:rPr>
              <w:t>71</w:t>
            </w:r>
          </w:p>
        </w:tc>
      </w:tr>
    </w:tbl>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ascii="Times New Roman" w:hAnsi="Times New Roman" w:cs="Times New Roman"/>
          <w:color w:val="auto"/>
          <w:sz w:val="24"/>
          <w:szCs w:val="24"/>
          <w:lang w:eastAsia="zh-CN"/>
        </w:rPr>
      </w:pPr>
      <w:r>
        <w:rPr>
          <w:rFonts w:hint="default" w:ascii="Times New Roman" w:hAnsi="Times New Roman" w:cs="Times New Roman"/>
          <w:color w:val="auto"/>
          <w:sz w:val="24"/>
          <w:szCs w:val="24"/>
        </w:rPr>
        <w:t>经估算，无组织</w:t>
      </w:r>
      <w:r>
        <w:rPr>
          <w:rFonts w:hint="default" w:ascii="Times New Roman" w:hAnsi="Times New Roman" w:eastAsia="宋体" w:cs="Times New Roman"/>
          <w:color w:val="auto"/>
          <w:kern w:val="0"/>
          <w:sz w:val="24"/>
          <w:szCs w:val="24"/>
          <w:lang w:bidi="ar"/>
        </w:rPr>
        <w:t>非甲烷总烃</w:t>
      </w:r>
      <w:r>
        <w:rPr>
          <w:rFonts w:hint="default" w:ascii="Times New Roman" w:hAnsi="Times New Roman" w:cs="Times New Roman"/>
          <w:color w:val="auto"/>
          <w:sz w:val="24"/>
          <w:szCs w:val="24"/>
        </w:rPr>
        <w:t>最大落地浓度出现在集中拉油站</w:t>
      </w:r>
      <w:r>
        <w:rPr>
          <w:rFonts w:hint="default" w:ascii="Times New Roman" w:hAnsi="Times New Roman" w:cs="Times New Roman"/>
          <w:color w:val="auto"/>
          <w:sz w:val="24"/>
          <w:szCs w:val="24"/>
          <w:lang w:val="en-US" w:eastAsia="zh-CN"/>
        </w:rPr>
        <w:t>71</w:t>
      </w:r>
      <w:r>
        <w:rPr>
          <w:rFonts w:hint="default" w:ascii="Times New Roman" w:hAnsi="Times New Roman" w:cs="Times New Roman"/>
          <w:color w:val="auto"/>
          <w:sz w:val="24"/>
          <w:szCs w:val="24"/>
        </w:rPr>
        <w:t>m处，</w:t>
      </w:r>
      <w:r>
        <w:rPr>
          <w:rFonts w:hint="default" w:ascii="Times New Roman" w:hAnsi="Times New Roman" w:cs="Times New Roman"/>
          <w:color w:val="auto"/>
          <w:sz w:val="24"/>
          <w:szCs w:val="24"/>
          <w:lang w:val="en-US" w:eastAsia="zh-CN"/>
        </w:rPr>
        <w:t>最大浓度为113.2500μg/m</w:t>
      </w:r>
      <w:r>
        <w:rPr>
          <w:rFonts w:hint="default" w:ascii="Times New Roman" w:hAnsi="Times New Roman" w:cs="Times New Roman"/>
          <w:color w:val="auto"/>
          <w:sz w:val="24"/>
          <w:szCs w:val="24"/>
          <w:vertAlign w:val="superscript"/>
          <w:lang w:val="en-US" w:eastAsia="zh-CN"/>
        </w:rPr>
        <w:t>3</w:t>
      </w:r>
      <w:r>
        <w:rPr>
          <w:rFonts w:hint="default"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最大浓度占标率为</w:t>
      </w:r>
      <w:r>
        <w:rPr>
          <w:rFonts w:hint="default" w:ascii="Times New Roman" w:hAnsi="Times New Roman" w:cs="Times New Roman"/>
          <w:color w:val="auto"/>
          <w:sz w:val="24"/>
          <w:szCs w:val="24"/>
          <w:lang w:val="en-US" w:eastAsia="zh-CN"/>
        </w:rPr>
        <w:t>5.66</w:t>
      </w:r>
      <w:r>
        <w:rPr>
          <w:rFonts w:hint="default" w:ascii="Times New Roman" w:hAnsi="Times New Roman" w:cs="Times New Roman"/>
          <w:color w:val="auto"/>
          <w:sz w:val="24"/>
          <w:szCs w:val="24"/>
        </w:rPr>
        <w:t>%，</w:t>
      </w:r>
      <w:r>
        <w:rPr>
          <w:rFonts w:hint="default" w:ascii="Times New Roman" w:hAnsi="Times New Roman" w:cs="Times New Roman"/>
          <w:color w:val="auto"/>
          <w:spacing w:val="-3"/>
          <w:sz w:val="24"/>
          <w:szCs w:val="24"/>
        </w:rPr>
        <w:t>非甲烷总烃场界贡献浓度满</w:t>
      </w:r>
      <w:r>
        <w:rPr>
          <w:rFonts w:hint="default" w:ascii="Times New Roman" w:hAnsi="Times New Roman" w:cs="Times New Roman"/>
          <w:color w:val="auto"/>
          <w:spacing w:val="-2"/>
          <w:sz w:val="24"/>
          <w:szCs w:val="24"/>
        </w:rPr>
        <w:t>足《陆上石油天然气开采工业大气污染物排放标准》</w:t>
      </w:r>
      <w:r>
        <w:rPr>
          <w:rFonts w:hint="default" w:ascii="Times New Roman" w:hAnsi="Times New Roman" w:eastAsia="Times New Roman" w:cs="Times New Roman"/>
          <w:color w:val="auto"/>
          <w:spacing w:val="-2"/>
          <w:sz w:val="24"/>
          <w:szCs w:val="24"/>
        </w:rPr>
        <w:t>(GB39728-2020)</w:t>
      </w:r>
      <w:r>
        <w:rPr>
          <w:rFonts w:hint="default" w:ascii="Times New Roman" w:hAnsi="Times New Roman" w:cs="Times New Roman"/>
          <w:color w:val="auto"/>
          <w:spacing w:val="-2"/>
          <w:sz w:val="24"/>
          <w:szCs w:val="24"/>
        </w:rPr>
        <w:t>企业边界控</w:t>
      </w:r>
      <w:r>
        <w:rPr>
          <w:rFonts w:hint="default" w:ascii="Times New Roman" w:hAnsi="Times New Roman" w:cs="Times New Roman"/>
          <w:color w:val="auto"/>
          <w:spacing w:val="21"/>
          <w:sz w:val="24"/>
          <w:szCs w:val="24"/>
        </w:rPr>
        <w:t>制</w:t>
      </w:r>
      <w:r>
        <w:rPr>
          <w:rFonts w:hint="default" w:ascii="Times New Roman" w:hAnsi="Times New Roman" w:cs="Times New Roman"/>
          <w:color w:val="auto"/>
          <w:spacing w:val="21"/>
          <w:sz w:val="24"/>
          <w:szCs w:val="24"/>
          <w:lang w:val="en-US" w:eastAsia="zh-CN"/>
        </w:rPr>
        <w:t>要求</w:t>
      </w:r>
      <w:r>
        <w:rPr>
          <w:rFonts w:hint="default" w:ascii="Times New Roman" w:hAnsi="Times New Roman" w:cs="Times New Roman"/>
          <w:color w:val="auto"/>
          <w:sz w:val="24"/>
          <w:szCs w:val="24"/>
          <w:lang w:eastAsia="zh-CN"/>
        </w:rPr>
        <w:t>。</w:t>
      </w:r>
    </w:p>
    <w:p>
      <w:pPr>
        <w:pStyle w:val="57"/>
        <w:keepNext w:val="0"/>
        <w:keepLines w:val="0"/>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lang w:val="en-US" w:eastAsia="zh-CN"/>
        </w:rPr>
        <w:t>综上，</w:t>
      </w:r>
      <w:r>
        <w:rPr>
          <w:rFonts w:hint="default" w:ascii="Times New Roman" w:hAnsi="Times New Roman" w:cs="Times New Roman"/>
          <w:color w:val="auto"/>
          <w:sz w:val="24"/>
          <w:szCs w:val="24"/>
        </w:rPr>
        <w:t>本项目大气环境影响可接受</w:t>
      </w:r>
      <w:r>
        <w:rPr>
          <w:rFonts w:hint="default" w:ascii="Times New Roman" w:hAnsi="Times New Roman" w:eastAsia="宋体" w:cs="Times New Roman"/>
          <w:color w:val="auto"/>
          <w:sz w:val="24"/>
          <w:szCs w:val="24"/>
          <w:highlight w:val="none"/>
          <w:lang w:eastAsia="zh-CN"/>
        </w:rPr>
        <w:t>。</w:t>
      </w:r>
    </w:p>
    <w:p>
      <w:pPr>
        <w:pStyle w:val="5"/>
        <w:bidi w:val="0"/>
        <w:rPr>
          <w:color w:val="auto"/>
        </w:rPr>
      </w:pPr>
      <w:r>
        <w:rPr>
          <w:rFonts w:hint="eastAsia"/>
          <w:color w:val="auto"/>
        </w:rPr>
        <w:t>5.</w:t>
      </w:r>
      <w:r>
        <w:rPr>
          <w:rFonts w:hint="eastAsia"/>
          <w:color w:val="auto"/>
          <w:lang w:val="en-US" w:eastAsia="zh-CN"/>
        </w:rPr>
        <w:t>5</w:t>
      </w:r>
      <w:r>
        <w:rPr>
          <w:rFonts w:hint="eastAsia"/>
          <w:color w:val="auto"/>
        </w:rPr>
        <w:t>.</w:t>
      </w:r>
      <w:r>
        <w:rPr>
          <w:rFonts w:hint="eastAsia"/>
          <w:color w:val="auto"/>
          <w:lang w:val="en-US" w:eastAsia="zh-CN"/>
        </w:rPr>
        <w:t>2</w:t>
      </w:r>
      <w:r>
        <w:rPr>
          <w:rFonts w:hint="eastAsia"/>
          <w:color w:val="auto"/>
        </w:rPr>
        <w:t>.</w:t>
      </w:r>
      <w:r>
        <w:rPr>
          <w:rFonts w:hint="eastAsia"/>
          <w:color w:val="auto"/>
          <w:lang w:val="en-US" w:eastAsia="zh-CN"/>
        </w:rPr>
        <w:t>2</w:t>
      </w:r>
      <w:r>
        <w:rPr>
          <w:rFonts w:hint="eastAsia"/>
          <w:color w:val="auto"/>
        </w:rPr>
        <w:t>污染物排放量核算</w:t>
      </w:r>
    </w:p>
    <w:p>
      <w:pPr>
        <w:pStyle w:val="57"/>
        <w:pageBreakBefore w:val="0"/>
        <w:kinsoku/>
        <w:wordWrap/>
        <w:overflowPunct/>
        <w:topLinePunct w:val="0"/>
        <w:autoSpaceDE/>
        <w:autoSpaceDN/>
        <w:bidi w:val="0"/>
        <w:spacing w:line="480" w:lineRule="exact"/>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项目无组织废气污染物排放量核算情况见表</w:t>
      </w:r>
      <w:r>
        <w:rPr>
          <w:rFonts w:hint="default" w:ascii="Times New Roman" w:hAnsi="Times New Roman" w:eastAsia="宋体" w:cs="Times New Roman"/>
          <w:color w:val="auto"/>
          <w:highlight w:val="none"/>
          <w:lang w:eastAsia="zh-CN"/>
        </w:rPr>
        <w:t>5.</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val="zh-CN"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lang w:eastAsia="zh-CN"/>
        </w:rPr>
        <w:t>。</w:t>
      </w:r>
    </w:p>
    <w:p>
      <w:pPr>
        <w:pStyle w:val="54"/>
        <w:pageBreakBefore w:val="0"/>
        <w:kinsoku/>
        <w:wordWrap/>
        <w:overflowPunct/>
        <w:topLinePunct w:val="0"/>
        <w:autoSpaceDE/>
        <w:autoSpaceDN/>
        <w:bidi w:val="0"/>
        <w:spacing w:line="480" w:lineRule="exact"/>
        <w:ind w:firstLine="482"/>
        <w:rPr>
          <w:rFonts w:hint="eastAsia" w:cs="Times New Roman"/>
          <w:color w:val="auto"/>
          <w:highlight w:val="none"/>
          <w:lang w:val="en-US" w:eastAsia="zh-CN"/>
        </w:rPr>
      </w:pPr>
      <w:r>
        <w:rPr>
          <w:rFonts w:hint="eastAsia" w:cs="Times New Roman"/>
          <w:color w:val="auto"/>
          <w:highlight w:val="none"/>
          <w:lang w:val="en-US" w:eastAsia="zh-CN"/>
        </w:rPr>
        <w:t>表5.5-7      大气污染物无组织排放量核算表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259"/>
        <w:gridCol w:w="780"/>
        <w:gridCol w:w="832"/>
        <w:gridCol w:w="1157"/>
        <w:gridCol w:w="3679"/>
        <w:gridCol w:w="1135"/>
        <w:gridCol w:w="83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49" w:type="pct"/>
            <w:vMerge w:val="restart"/>
            <w:tcBorders>
              <w:tl2br w:val="nil"/>
              <w:tr2bl w:val="nil"/>
            </w:tcBorders>
            <w:noWrap/>
            <w:vAlign w:val="center"/>
          </w:tcPr>
          <w:p>
            <w:pPr>
              <w:pStyle w:val="41"/>
              <w:bidi w:val="0"/>
              <w:rPr>
                <w:color w:val="auto"/>
              </w:rPr>
            </w:pPr>
            <w:r>
              <w:rPr>
                <w:rFonts w:hint="eastAsia"/>
                <w:color w:val="auto"/>
              </w:rPr>
              <w:t>序号</w:t>
            </w:r>
          </w:p>
        </w:tc>
        <w:tc>
          <w:tcPr>
            <w:tcW w:w="449" w:type="pct"/>
            <w:vMerge w:val="restart"/>
            <w:tcBorders>
              <w:tl2br w:val="nil"/>
              <w:tr2bl w:val="nil"/>
            </w:tcBorders>
            <w:noWrap/>
            <w:vAlign w:val="center"/>
          </w:tcPr>
          <w:p>
            <w:pPr>
              <w:pStyle w:val="41"/>
              <w:bidi w:val="0"/>
              <w:rPr>
                <w:rFonts w:hint="eastAsia"/>
                <w:color w:val="auto"/>
              </w:rPr>
            </w:pPr>
            <w:r>
              <w:rPr>
                <w:rFonts w:hint="eastAsia"/>
                <w:color w:val="auto"/>
              </w:rPr>
              <w:t>产污</w:t>
            </w:r>
          </w:p>
          <w:p>
            <w:pPr>
              <w:pStyle w:val="41"/>
              <w:bidi w:val="0"/>
              <w:rPr>
                <w:color w:val="auto"/>
              </w:rPr>
            </w:pPr>
            <w:r>
              <w:rPr>
                <w:rFonts w:hint="eastAsia"/>
                <w:color w:val="auto"/>
              </w:rPr>
              <w:t>环节</w:t>
            </w:r>
          </w:p>
        </w:tc>
        <w:tc>
          <w:tcPr>
            <w:tcW w:w="479" w:type="pct"/>
            <w:vMerge w:val="restart"/>
            <w:tcBorders>
              <w:tl2br w:val="nil"/>
              <w:tr2bl w:val="nil"/>
            </w:tcBorders>
            <w:noWrap/>
            <w:vAlign w:val="center"/>
          </w:tcPr>
          <w:p>
            <w:pPr>
              <w:pStyle w:val="41"/>
              <w:bidi w:val="0"/>
              <w:rPr>
                <w:color w:val="auto"/>
              </w:rPr>
            </w:pPr>
            <w:r>
              <w:rPr>
                <w:rFonts w:hint="eastAsia"/>
                <w:color w:val="auto"/>
              </w:rPr>
              <w:t>污染物</w:t>
            </w:r>
          </w:p>
        </w:tc>
        <w:tc>
          <w:tcPr>
            <w:tcW w:w="667" w:type="pct"/>
            <w:vMerge w:val="restart"/>
            <w:tcBorders>
              <w:tl2br w:val="nil"/>
              <w:tr2bl w:val="nil"/>
            </w:tcBorders>
            <w:noWrap/>
            <w:vAlign w:val="center"/>
          </w:tcPr>
          <w:p>
            <w:pPr>
              <w:pStyle w:val="41"/>
              <w:bidi w:val="0"/>
              <w:rPr>
                <w:color w:val="auto"/>
              </w:rPr>
            </w:pPr>
            <w:r>
              <w:rPr>
                <w:rFonts w:hint="eastAsia"/>
                <w:color w:val="auto"/>
              </w:rPr>
              <w:t>主要污染</w:t>
            </w:r>
          </w:p>
          <w:p>
            <w:pPr>
              <w:pStyle w:val="41"/>
              <w:bidi w:val="0"/>
              <w:rPr>
                <w:color w:val="auto"/>
              </w:rPr>
            </w:pPr>
            <w:r>
              <w:rPr>
                <w:rFonts w:hint="eastAsia"/>
                <w:color w:val="auto"/>
              </w:rPr>
              <w:t>防治措施</w:t>
            </w:r>
          </w:p>
        </w:tc>
        <w:tc>
          <w:tcPr>
            <w:tcW w:w="2774" w:type="pct"/>
            <w:gridSpan w:val="2"/>
            <w:tcBorders>
              <w:tl2br w:val="nil"/>
              <w:tr2bl w:val="nil"/>
            </w:tcBorders>
            <w:noWrap/>
            <w:vAlign w:val="center"/>
          </w:tcPr>
          <w:p>
            <w:pPr>
              <w:pStyle w:val="41"/>
              <w:bidi w:val="0"/>
              <w:rPr>
                <w:color w:val="auto"/>
              </w:rPr>
            </w:pPr>
            <w:r>
              <w:rPr>
                <w:rFonts w:hint="eastAsia"/>
                <w:color w:val="auto"/>
              </w:rPr>
              <w:t>国家或地方污染物排放标准</w:t>
            </w:r>
          </w:p>
        </w:tc>
        <w:tc>
          <w:tcPr>
            <w:tcW w:w="479" w:type="pct"/>
            <w:vMerge w:val="restart"/>
            <w:tcBorders>
              <w:tl2br w:val="nil"/>
              <w:tr2bl w:val="nil"/>
            </w:tcBorders>
            <w:noWrap/>
            <w:vAlign w:val="center"/>
          </w:tcPr>
          <w:p>
            <w:pPr>
              <w:pStyle w:val="41"/>
              <w:bidi w:val="0"/>
              <w:rPr>
                <w:color w:val="auto"/>
              </w:rPr>
            </w:pPr>
            <w:r>
              <w:rPr>
                <w:rFonts w:hint="eastAsia"/>
                <w:color w:val="auto"/>
              </w:rPr>
              <w:t>年排放</w:t>
            </w:r>
          </w:p>
          <w:p>
            <w:pPr>
              <w:pStyle w:val="41"/>
              <w:bidi w:val="0"/>
              <w:rPr>
                <w:color w:val="auto"/>
              </w:rPr>
            </w:pPr>
            <w:r>
              <w:rPr>
                <w:rFonts w:hint="eastAsia"/>
                <w:color w:val="auto"/>
              </w:rPr>
              <w:t>量</w:t>
            </w:r>
            <w:r>
              <w:rPr>
                <w:rFonts w:hint="eastAsia"/>
                <w:color w:val="auto"/>
                <w:lang w:eastAsia="zh-CN"/>
              </w:rPr>
              <w:t>（</w:t>
            </w:r>
            <w:r>
              <w:rPr>
                <w:color w:val="auto"/>
              </w:rPr>
              <w:t>t/a</w:t>
            </w:r>
            <w:r>
              <w:rPr>
                <w:rFonts w:hint="eastAsia"/>
                <w:color w:va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9" w:type="pct"/>
            <w:vMerge w:val="continue"/>
            <w:tcBorders>
              <w:tl2br w:val="nil"/>
              <w:tr2bl w:val="nil"/>
            </w:tcBorders>
            <w:noWrap/>
            <w:vAlign w:val="center"/>
          </w:tcPr>
          <w:p>
            <w:pPr>
              <w:pStyle w:val="41"/>
              <w:bidi w:val="0"/>
              <w:rPr>
                <w:color w:val="auto"/>
              </w:rPr>
            </w:pPr>
          </w:p>
        </w:tc>
        <w:tc>
          <w:tcPr>
            <w:tcW w:w="449" w:type="pct"/>
            <w:vMerge w:val="continue"/>
            <w:tcBorders>
              <w:tl2br w:val="nil"/>
              <w:tr2bl w:val="nil"/>
            </w:tcBorders>
            <w:noWrap/>
            <w:vAlign w:val="center"/>
          </w:tcPr>
          <w:p>
            <w:pPr>
              <w:pStyle w:val="41"/>
              <w:bidi w:val="0"/>
              <w:rPr>
                <w:color w:val="auto"/>
              </w:rPr>
            </w:pPr>
          </w:p>
        </w:tc>
        <w:tc>
          <w:tcPr>
            <w:tcW w:w="479" w:type="pct"/>
            <w:vMerge w:val="continue"/>
            <w:tcBorders>
              <w:tl2br w:val="nil"/>
              <w:tr2bl w:val="nil"/>
            </w:tcBorders>
            <w:noWrap/>
            <w:vAlign w:val="center"/>
          </w:tcPr>
          <w:p>
            <w:pPr>
              <w:pStyle w:val="41"/>
              <w:bidi w:val="0"/>
              <w:rPr>
                <w:color w:val="auto"/>
              </w:rPr>
            </w:pPr>
          </w:p>
        </w:tc>
        <w:tc>
          <w:tcPr>
            <w:tcW w:w="667" w:type="pct"/>
            <w:vMerge w:val="continue"/>
            <w:tcBorders>
              <w:tl2br w:val="nil"/>
              <w:tr2bl w:val="nil"/>
            </w:tcBorders>
            <w:noWrap/>
            <w:vAlign w:val="center"/>
          </w:tcPr>
          <w:p>
            <w:pPr>
              <w:pStyle w:val="41"/>
              <w:bidi w:val="0"/>
              <w:rPr>
                <w:color w:val="auto"/>
              </w:rPr>
            </w:pPr>
          </w:p>
        </w:tc>
        <w:tc>
          <w:tcPr>
            <w:tcW w:w="2120" w:type="pct"/>
            <w:tcBorders>
              <w:tl2br w:val="nil"/>
              <w:tr2bl w:val="nil"/>
            </w:tcBorders>
            <w:noWrap/>
            <w:vAlign w:val="center"/>
          </w:tcPr>
          <w:p>
            <w:pPr>
              <w:pStyle w:val="41"/>
              <w:bidi w:val="0"/>
              <w:rPr>
                <w:color w:val="auto"/>
              </w:rPr>
            </w:pPr>
            <w:r>
              <w:rPr>
                <w:rFonts w:hint="eastAsia"/>
                <w:color w:val="auto"/>
              </w:rPr>
              <w:t>标准名称</w:t>
            </w:r>
          </w:p>
        </w:tc>
        <w:tc>
          <w:tcPr>
            <w:tcW w:w="654" w:type="pct"/>
            <w:tcBorders>
              <w:tl2br w:val="nil"/>
              <w:tr2bl w:val="nil"/>
            </w:tcBorders>
            <w:noWrap/>
            <w:vAlign w:val="center"/>
          </w:tcPr>
          <w:p>
            <w:pPr>
              <w:pStyle w:val="41"/>
              <w:bidi w:val="0"/>
              <w:rPr>
                <w:color w:val="auto"/>
              </w:rPr>
            </w:pPr>
            <w:r>
              <w:rPr>
                <w:rFonts w:hint="eastAsia"/>
                <w:color w:val="auto"/>
              </w:rPr>
              <w:t>浓度限值</w:t>
            </w:r>
            <w:r>
              <w:rPr>
                <w:rFonts w:hint="eastAsia"/>
                <w:color w:val="auto"/>
                <w:lang w:eastAsia="zh-CN"/>
              </w:rPr>
              <w:t>（</w:t>
            </w:r>
            <w:r>
              <w:rPr>
                <w:color w:val="auto"/>
              </w:rPr>
              <w:t>mg/m</w:t>
            </w:r>
            <w:r>
              <w:rPr>
                <w:color w:val="auto"/>
                <w:vertAlign w:val="superscript"/>
              </w:rPr>
              <w:t>3</w:t>
            </w:r>
            <w:r>
              <w:rPr>
                <w:rFonts w:hint="eastAsia"/>
                <w:color w:val="auto"/>
                <w:vertAlign w:val="superscript"/>
                <w:lang w:eastAsia="zh-CN"/>
              </w:rPr>
              <w:t>）</w:t>
            </w:r>
          </w:p>
        </w:tc>
        <w:tc>
          <w:tcPr>
            <w:tcW w:w="479" w:type="pct"/>
            <w:vMerge w:val="continue"/>
            <w:tcBorders>
              <w:tl2br w:val="nil"/>
              <w:tr2bl w:val="nil"/>
            </w:tcBorders>
            <w:noWrap/>
            <w:vAlign w:val="center"/>
          </w:tcPr>
          <w:p>
            <w:pPr>
              <w:pStyle w:val="41"/>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11" w:hRule="atLeast"/>
          <w:jc w:val="center"/>
        </w:trPr>
        <w:tc>
          <w:tcPr>
            <w:tcW w:w="149" w:type="pct"/>
            <w:tcBorders>
              <w:tl2br w:val="nil"/>
              <w:tr2bl w:val="nil"/>
            </w:tcBorders>
            <w:noWrap/>
            <w:vAlign w:val="center"/>
          </w:tcPr>
          <w:p>
            <w:pPr>
              <w:pStyle w:val="41"/>
              <w:bidi w:val="0"/>
              <w:rPr>
                <w:color w:val="auto"/>
              </w:rPr>
            </w:pPr>
            <w:r>
              <w:rPr>
                <w:color w:val="auto"/>
              </w:rPr>
              <w:t>1</w:t>
            </w:r>
          </w:p>
        </w:tc>
        <w:tc>
          <w:tcPr>
            <w:tcW w:w="449" w:type="pct"/>
            <w:tcBorders>
              <w:tl2br w:val="nil"/>
              <w:tr2bl w:val="nil"/>
            </w:tcBorders>
            <w:noWrap/>
            <w:vAlign w:val="center"/>
          </w:tcPr>
          <w:p>
            <w:pPr>
              <w:pStyle w:val="41"/>
              <w:bidi w:val="0"/>
              <w:rPr>
                <w:color w:val="auto"/>
              </w:rPr>
            </w:pPr>
            <w:r>
              <w:rPr>
                <w:rFonts w:hint="eastAsia"/>
                <w:color w:val="auto"/>
              </w:rPr>
              <w:t>无组织废气</w:t>
            </w:r>
          </w:p>
        </w:tc>
        <w:tc>
          <w:tcPr>
            <w:tcW w:w="479" w:type="pct"/>
            <w:tcBorders>
              <w:tl2br w:val="nil"/>
              <w:tr2bl w:val="nil"/>
            </w:tcBorders>
            <w:noWrap/>
            <w:vAlign w:val="center"/>
          </w:tcPr>
          <w:p>
            <w:pPr>
              <w:pStyle w:val="41"/>
              <w:bidi w:val="0"/>
              <w:rPr>
                <w:color w:val="auto"/>
              </w:rPr>
            </w:pPr>
            <w:r>
              <w:rPr>
                <w:rFonts w:hint="eastAsia"/>
                <w:color w:val="auto"/>
              </w:rPr>
              <w:t>非甲烷总烃</w:t>
            </w:r>
          </w:p>
        </w:tc>
        <w:tc>
          <w:tcPr>
            <w:tcW w:w="667" w:type="pct"/>
            <w:tcBorders>
              <w:tl2br w:val="nil"/>
              <w:tr2bl w:val="nil"/>
            </w:tcBorders>
            <w:noWrap/>
            <w:vAlign w:val="center"/>
          </w:tcPr>
          <w:p>
            <w:pPr>
              <w:pStyle w:val="41"/>
              <w:bidi w:val="0"/>
              <w:rPr>
                <w:color w:val="auto"/>
              </w:rPr>
            </w:pPr>
            <w:r>
              <w:rPr>
                <w:rFonts w:hint="eastAsia"/>
                <w:color w:val="auto"/>
              </w:rPr>
              <w:t>密闭集输</w:t>
            </w:r>
          </w:p>
        </w:tc>
        <w:tc>
          <w:tcPr>
            <w:tcW w:w="2120" w:type="pct"/>
            <w:vMerge w:val="restart"/>
            <w:tcBorders>
              <w:tl2br w:val="nil"/>
              <w:tr2bl w:val="nil"/>
            </w:tcBorders>
            <w:noWrap/>
            <w:vAlign w:val="center"/>
          </w:tcPr>
          <w:p>
            <w:pPr>
              <w:pStyle w:val="41"/>
              <w:bidi w:val="0"/>
              <w:rPr>
                <w:color w:val="auto"/>
              </w:rPr>
            </w:pPr>
            <w:r>
              <w:rPr>
                <w:rFonts w:hint="eastAsia"/>
                <w:color w:val="auto"/>
              </w:rPr>
              <w:t>《陆上石油天然气开采工业大气污染物排放标准》</w:t>
            </w:r>
            <w:r>
              <w:rPr>
                <w:rFonts w:hint="eastAsia"/>
                <w:color w:val="auto"/>
                <w:lang w:eastAsia="zh-CN"/>
              </w:rPr>
              <w:t>（</w:t>
            </w:r>
            <w:r>
              <w:rPr>
                <w:color w:val="auto"/>
              </w:rPr>
              <w:t>GB39728-2020</w:t>
            </w:r>
            <w:r>
              <w:rPr>
                <w:rFonts w:hint="eastAsia"/>
                <w:color w:val="auto"/>
                <w:lang w:eastAsia="zh-CN"/>
              </w:rPr>
              <w:t>）</w:t>
            </w:r>
            <w:r>
              <w:rPr>
                <w:rFonts w:hint="eastAsia"/>
                <w:color w:val="auto"/>
              </w:rPr>
              <w:t>中边界污染物控制要求</w:t>
            </w:r>
          </w:p>
        </w:tc>
        <w:tc>
          <w:tcPr>
            <w:tcW w:w="1135" w:type="dxa"/>
            <w:tcBorders>
              <w:tl2br w:val="nil"/>
              <w:tr2bl w:val="nil"/>
            </w:tcBorders>
            <w:noWrap/>
            <w:vAlign w:val="center"/>
          </w:tcPr>
          <w:p>
            <w:pPr>
              <w:pStyle w:val="41"/>
              <w:bidi w:val="0"/>
              <w:ind w:firstLine="0" w:firstLineChars="0"/>
              <w:rPr>
                <w:color w:val="auto"/>
                <w:highlight w:val="none"/>
              </w:rPr>
            </w:pPr>
            <w:r>
              <w:rPr>
                <w:color w:val="auto"/>
                <w:highlight w:val="none"/>
              </w:rPr>
              <w:t>4.0</w:t>
            </w:r>
          </w:p>
        </w:tc>
        <w:tc>
          <w:tcPr>
            <w:tcW w:w="832" w:type="dxa"/>
            <w:tcBorders>
              <w:tl2br w:val="nil"/>
              <w:tr2bl w:val="nil"/>
            </w:tcBorders>
            <w:noWrap/>
            <w:vAlign w:val="center"/>
          </w:tcPr>
          <w:p>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1.406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111" w:hRule="atLeast"/>
          <w:jc w:val="center"/>
        </w:trPr>
        <w:tc>
          <w:tcPr>
            <w:tcW w:w="149" w:type="pct"/>
            <w:tcBorders>
              <w:tl2br w:val="nil"/>
              <w:tr2bl w:val="nil"/>
            </w:tcBorders>
            <w:noWrap/>
            <w:vAlign w:val="center"/>
          </w:tcPr>
          <w:p>
            <w:pPr>
              <w:pStyle w:val="41"/>
              <w:bidi w:val="0"/>
              <w:rPr>
                <w:rFonts w:hint="eastAsia" w:eastAsia="宋体"/>
                <w:color w:val="auto"/>
                <w:lang w:val="en-US" w:eastAsia="zh-CN"/>
              </w:rPr>
            </w:pPr>
            <w:r>
              <w:rPr>
                <w:rFonts w:hint="eastAsia"/>
                <w:color w:val="auto"/>
                <w:lang w:val="en-US" w:eastAsia="zh-CN"/>
              </w:rPr>
              <w:t>2</w:t>
            </w:r>
          </w:p>
        </w:tc>
        <w:tc>
          <w:tcPr>
            <w:tcW w:w="449" w:type="pct"/>
            <w:tcBorders>
              <w:tl2br w:val="nil"/>
              <w:tr2bl w:val="nil"/>
            </w:tcBorders>
            <w:shd w:val="clear" w:color="auto" w:fill="auto"/>
            <w:noWrap/>
            <w:vAlign w:val="center"/>
          </w:tcPr>
          <w:p>
            <w:pPr>
              <w:pStyle w:val="41"/>
              <w:bidi w:val="0"/>
              <w:ind w:firstLine="0" w:firstLineChars="0"/>
              <w:rPr>
                <w:rFonts w:hint="eastAsia" w:ascii="Times New Roman" w:hAnsi="Times New Roman" w:eastAsia="宋体" w:cs="Times New Roman"/>
                <w:color w:val="auto"/>
                <w:sz w:val="21"/>
              </w:rPr>
            </w:pPr>
            <w:r>
              <w:rPr>
                <w:rFonts w:hint="eastAsia"/>
                <w:color w:val="auto"/>
              </w:rPr>
              <w:t>无组织废气</w:t>
            </w:r>
          </w:p>
        </w:tc>
        <w:tc>
          <w:tcPr>
            <w:tcW w:w="479" w:type="pct"/>
            <w:tcBorders>
              <w:tl2br w:val="nil"/>
              <w:tr2bl w:val="nil"/>
            </w:tcBorders>
            <w:shd w:val="clear" w:color="auto" w:fill="auto"/>
            <w:noWrap/>
            <w:vAlign w:val="center"/>
          </w:tcPr>
          <w:p>
            <w:pPr>
              <w:pStyle w:val="41"/>
              <w:bidi w:val="0"/>
              <w:ind w:firstLine="0" w:firstLineChars="0"/>
              <w:rPr>
                <w:rFonts w:hint="eastAsia" w:ascii="Times New Roman" w:hAnsi="Times New Roman" w:eastAsia="宋体" w:cs="Times New Roman"/>
                <w:color w:val="auto"/>
                <w:sz w:val="21"/>
              </w:rPr>
            </w:pPr>
            <w:r>
              <w:rPr>
                <w:rFonts w:hint="eastAsia"/>
                <w:color w:val="auto"/>
              </w:rPr>
              <w:t>非甲烷总烃</w:t>
            </w:r>
          </w:p>
        </w:tc>
        <w:tc>
          <w:tcPr>
            <w:tcW w:w="667" w:type="pct"/>
            <w:tcBorders>
              <w:tl2br w:val="nil"/>
              <w:tr2bl w:val="nil"/>
            </w:tcBorders>
            <w:shd w:val="clear" w:color="auto" w:fill="auto"/>
            <w:noWrap/>
            <w:vAlign w:val="center"/>
          </w:tcPr>
          <w:p>
            <w:pPr>
              <w:pStyle w:val="41"/>
              <w:bidi w:val="0"/>
              <w:ind w:firstLine="0" w:firstLineChars="0"/>
              <w:rPr>
                <w:rFonts w:hint="default" w:ascii="Times New Roman" w:hAnsi="Times New Roman" w:eastAsia="宋体" w:cs="Times New Roman"/>
                <w:color w:val="auto"/>
                <w:sz w:val="21"/>
                <w:lang w:val="en-US" w:eastAsia="zh-CN"/>
              </w:rPr>
            </w:pPr>
            <w:r>
              <w:rPr>
                <w:rFonts w:hint="eastAsia"/>
                <w:color w:val="auto"/>
                <w:lang w:val="en-US" w:eastAsia="zh-CN"/>
              </w:rPr>
              <w:t>储罐损耗</w:t>
            </w:r>
          </w:p>
        </w:tc>
        <w:tc>
          <w:tcPr>
            <w:tcW w:w="2120" w:type="pct"/>
            <w:vMerge w:val="continue"/>
            <w:tcBorders>
              <w:tl2br w:val="nil"/>
              <w:tr2bl w:val="nil"/>
            </w:tcBorders>
            <w:noWrap/>
            <w:vAlign w:val="center"/>
          </w:tcPr>
          <w:p>
            <w:pPr>
              <w:pStyle w:val="41"/>
              <w:bidi w:val="0"/>
              <w:rPr>
                <w:rFonts w:hint="eastAsia"/>
                <w:color w:val="auto"/>
              </w:rPr>
            </w:pPr>
          </w:p>
        </w:tc>
        <w:tc>
          <w:tcPr>
            <w:tcW w:w="1135" w:type="dxa"/>
            <w:tcBorders>
              <w:tl2br w:val="nil"/>
              <w:tr2bl w:val="nil"/>
            </w:tcBorders>
            <w:noWrap/>
            <w:vAlign w:val="center"/>
          </w:tcPr>
          <w:p>
            <w:pPr>
              <w:pStyle w:val="41"/>
              <w:bidi w:val="0"/>
              <w:ind w:firstLine="0" w:firstLineChars="0"/>
              <w:rPr>
                <w:rFonts w:hint="default" w:eastAsia="宋体"/>
                <w:color w:val="auto"/>
                <w:highlight w:val="none"/>
                <w:lang w:val="en-US" w:eastAsia="zh-CN"/>
              </w:rPr>
            </w:pPr>
            <w:r>
              <w:rPr>
                <w:rFonts w:hint="eastAsia"/>
                <w:color w:val="auto"/>
                <w:highlight w:val="none"/>
                <w:lang w:val="en-US" w:eastAsia="zh-CN"/>
              </w:rPr>
              <w:t>4.0</w:t>
            </w:r>
          </w:p>
        </w:tc>
        <w:tc>
          <w:tcPr>
            <w:tcW w:w="832" w:type="dxa"/>
            <w:tcBorders>
              <w:tl2br w:val="nil"/>
              <w:tr2bl w:val="nil"/>
            </w:tcBorders>
            <w:noWrap/>
            <w:vAlign w:val="center"/>
          </w:tcPr>
          <w:p>
            <w:pPr>
              <w:pStyle w:val="41"/>
              <w:bidi w:val="0"/>
              <w:ind w:firstLine="0" w:firstLineChars="0"/>
              <w:rPr>
                <w:rFonts w:hint="eastAsia"/>
                <w:color w:val="auto"/>
                <w:highlight w:val="none"/>
              </w:rPr>
            </w:pPr>
            <w:r>
              <w:rPr>
                <w:rFonts w:hint="eastAsia"/>
                <w:color w:val="auto"/>
                <w:highlight w:val="none"/>
                <w:lang w:val="en-US" w:eastAsia="zh-CN"/>
              </w:rPr>
              <w:t>5.04</w:t>
            </w:r>
          </w:p>
        </w:tc>
      </w:tr>
    </w:tbl>
    <w:p>
      <w:pPr>
        <w:pStyle w:val="5"/>
        <w:bidi w:val="0"/>
        <w:rPr>
          <w:color w:val="auto"/>
        </w:rPr>
      </w:pPr>
      <w:r>
        <w:rPr>
          <w:color w:val="auto"/>
        </w:rPr>
        <w:t>5.</w:t>
      </w:r>
      <w:r>
        <w:rPr>
          <w:rFonts w:hint="eastAsia"/>
          <w:color w:val="auto"/>
          <w:lang w:val="en-US" w:eastAsia="zh-CN"/>
        </w:rPr>
        <w:t>5</w:t>
      </w:r>
      <w:r>
        <w:rPr>
          <w:color w:val="auto"/>
        </w:rPr>
        <w:t>.2.</w:t>
      </w:r>
      <w:r>
        <w:rPr>
          <w:rFonts w:hint="eastAsia"/>
          <w:color w:val="auto"/>
          <w:lang w:val="en-US" w:eastAsia="zh-CN"/>
        </w:rPr>
        <w:t>3</w:t>
      </w:r>
      <w:r>
        <w:rPr>
          <w:rFonts w:hint="eastAsia"/>
          <w:color w:val="auto"/>
        </w:rPr>
        <w:t>非正常工况影响分析</w:t>
      </w:r>
    </w:p>
    <w:p>
      <w:pPr>
        <w:pStyle w:val="57"/>
        <w:pageBreakBefore w:val="0"/>
        <w:kinsoku/>
        <w:wordWrap/>
        <w:overflowPunct/>
        <w:topLinePunct w:val="0"/>
        <w:autoSpaceDE/>
        <w:autoSpaceDN/>
        <w:bidi w:val="0"/>
        <w:spacing w:line="480" w:lineRule="exact"/>
        <w:rPr>
          <w:rFonts w:hint="default"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eastAsia="zh-CN"/>
        </w:rPr>
        <w:t>1</w:t>
      </w:r>
      <w:r>
        <w:rPr>
          <w:rFonts w:hint="eastAsia" w:ascii="Times New Roman" w:hAnsi="Times New Roman" w:eastAsia="宋体" w:cs="Times New Roman"/>
          <w:color w:val="auto"/>
          <w:highlight w:val="none"/>
          <w:lang w:eastAsia="zh-CN"/>
        </w:rPr>
        <w:t>）污染源强</w:t>
      </w:r>
    </w:p>
    <w:p>
      <w:pPr>
        <w:pStyle w:val="57"/>
        <w:pageBreakBefore w:val="0"/>
        <w:kinsoku/>
        <w:wordWrap/>
        <w:overflowPunct/>
        <w:topLinePunct w:val="0"/>
        <w:autoSpaceDE/>
        <w:autoSpaceDN/>
        <w:bidi w:val="0"/>
        <w:spacing w:line="480" w:lineRule="exact"/>
        <w:rPr>
          <w:rFonts w:hint="default" w:ascii="Times New Roman" w:hAnsi="Times New Roman" w:eastAsia="宋体" w:cs="Times New Roman"/>
          <w:color w:val="auto"/>
          <w:highlight w:val="none"/>
          <w:lang w:eastAsia="zh-CN"/>
        </w:rPr>
      </w:pPr>
      <w:r>
        <w:rPr>
          <w:rFonts w:hint="default" w:ascii="Times New Roman" w:hAnsi="Times New Roman" w:eastAsia="宋体" w:cs="Times New Roman"/>
          <w:color w:val="auto"/>
          <w:highlight w:val="none"/>
          <w:lang w:eastAsia="zh-CN"/>
        </w:rPr>
        <w:t>本工程非正常排放主要包括井口压力过高时放喷和集输管线刺漏等情况。本工程油气集输过程中，若井口压力过高，凝析油、天然气通过防喷管道直接进入放喷池。本次评价将井口压力异常情况作为非正常排放考虑。</w:t>
      </w:r>
      <w:r>
        <w:rPr>
          <w:rFonts w:hint="eastAsia" w:ascii="Times New Roman" w:hAnsi="Times New Roman" w:eastAsia="宋体" w:cs="Times New Roman"/>
          <w:color w:val="auto"/>
          <w:highlight w:val="none"/>
          <w:lang w:eastAsia="zh-CN"/>
        </w:rPr>
        <w:t>拟建工程属于单井集输过程，若井口压力过高，采出液通过放喷管道直接进入放喷池。</w:t>
      </w:r>
      <w:r>
        <w:rPr>
          <w:rFonts w:hint="eastAsia" w:ascii="Times New Roman" w:hAnsi="Times New Roman" w:eastAsia="宋体" w:cs="Times New Roman"/>
          <w:color w:val="auto"/>
          <w:spacing w:val="5"/>
          <w:kern w:val="0"/>
          <w:highlight w:val="none"/>
          <w:lang w:bidi="ar"/>
        </w:rPr>
        <w:t>本次评价将</w:t>
      </w:r>
      <w:r>
        <w:rPr>
          <w:rFonts w:hint="default"/>
          <w:color w:val="auto"/>
        </w:rPr>
        <w:t>FTYHW0911</w:t>
      </w:r>
      <w:r>
        <w:rPr>
          <w:color w:val="auto"/>
        </w:rPr>
        <w:t>井</w:t>
      </w:r>
      <w:r>
        <w:rPr>
          <w:rFonts w:hint="eastAsia" w:ascii="Times New Roman" w:hAnsi="Times New Roman" w:eastAsia="宋体" w:cs="Times New Roman"/>
          <w:color w:val="auto"/>
          <w:spacing w:val="5"/>
          <w:kern w:val="0"/>
          <w:highlight w:val="none"/>
          <w:lang w:bidi="ar"/>
        </w:rPr>
        <w:t>井口压</w:t>
      </w:r>
      <w:r>
        <w:rPr>
          <w:rFonts w:hint="eastAsia" w:ascii="Times New Roman" w:hAnsi="Times New Roman" w:eastAsia="宋体" w:cs="Times New Roman"/>
          <w:color w:val="auto"/>
          <w:spacing w:val="5"/>
          <w:kern w:val="0"/>
          <w:lang w:bidi="ar"/>
        </w:rPr>
        <w:t>力异常情况作为非正常排放考虑</w:t>
      </w:r>
      <w:r>
        <w:rPr>
          <w:rFonts w:hint="eastAsia" w:ascii="Times New Roman" w:hAnsi="Times New Roman" w:eastAsia="宋体" w:cs="Times New Roman"/>
          <w:color w:val="auto"/>
          <w:highlight w:val="none"/>
          <w:lang w:eastAsia="zh-CN"/>
        </w:rPr>
        <w:t>，源强情况见表</w:t>
      </w:r>
      <w:r>
        <w:rPr>
          <w:rFonts w:hint="default" w:ascii="Times New Roman" w:hAnsi="Times New Roman" w:eastAsia="宋体" w:cs="Times New Roman"/>
          <w:color w:val="auto"/>
          <w:highlight w:val="none"/>
          <w:lang w:eastAsia="zh-CN"/>
        </w:rPr>
        <w:t>5.</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lang w:eastAsia="zh-CN"/>
        </w:rPr>
        <w:t>。</w:t>
      </w:r>
    </w:p>
    <w:p>
      <w:pPr>
        <w:pStyle w:val="54"/>
        <w:pageBreakBefore w:val="0"/>
        <w:kinsoku/>
        <w:wordWrap/>
        <w:overflowPunct/>
        <w:topLinePunct w:val="0"/>
        <w:autoSpaceDE/>
        <w:autoSpaceDN/>
        <w:bidi w:val="0"/>
        <w:spacing w:line="480" w:lineRule="exact"/>
        <w:ind w:firstLine="482"/>
        <w:rPr>
          <w:rFonts w:hint="eastAsia" w:cs="Times New Roman"/>
          <w:color w:val="auto"/>
          <w:highlight w:val="none"/>
          <w:lang w:val="en-US" w:eastAsia="zh-CN"/>
        </w:rPr>
      </w:pPr>
      <w:r>
        <w:rPr>
          <w:rFonts w:hint="eastAsia" w:cs="Times New Roman"/>
          <w:color w:val="auto"/>
          <w:highlight w:val="none"/>
          <w:lang w:val="en-US" w:eastAsia="zh-CN"/>
        </w:rPr>
        <w:t>表5.5-8  非正常工况下污染物排放一览表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273"/>
        <w:gridCol w:w="418"/>
        <w:gridCol w:w="920"/>
        <w:gridCol w:w="623"/>
        <w:gridCol w:w="474"/>
        <w:gridCol w:w="453"/>
        <w:gridCol w:w="453"/>
        <w:gridCol w:w="453"/>
        <w:gridCol w:w="926"/>
        <w:gridCol w:w="674"/>
        <w:gridCol w:w="590"/>
        <w:gridCol w:w="707"/>
        <w:gridCol w:w="17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157" w:type="pct"/>
            <w:vMerge w:val="restart"/>
            <w:tcBorders>
              <w:tl2br w:val="nil"/>
              <w:tr2bl w:val="nil"/>
            </w:tcBorders>
            <w:vAlign w:val="center"/>
          </w:tcPr>
          <w:p>
            <w:pPr>
              <w:pStyle w:val="41"/>
              <w:bidi w:val="0"/>
              <w:rPr>
                <w:color w:val="auto"/>
              </w:rPr>
            </w:pPr>
            <w:r>
              <w:rPr>
                <w:rFonts w:hint="eastAsia"/>
                <w:color w:val="auto"/>
              </w:rPr>
              <w:t>序号</w:t>
            </w:r>
          </w:p>
        </w:tc>
        <w:tc>
          <w:tcPr>
            <w:tcW w:w="241" w:type="pct"/>
            <w:vMerge w:val="restart"/>
            <w:tcBorders>
              <w:tl2br w:val="nil"/>
              <w:tr2bl w:val="nil"/>
            </w:tcBorders>
            <w:vAlign w:val="center"/>
          </w:tcPr>
          <w:p>
            <w:pPr>
              <w:pStyle w:val="41"/>
              <w:bidi w:val="0"/>
              <w:rPr>
                <w:color w:val="auto"/>
              </w:rPr>
            </w:pPr>
            <w:r>
              <w:rPr>
                <w:rFonts w:hint="eastAsia"/>
                <w:color w:val="auto"/>
              </w:rPr>
              <w:t>污染源</w:t>
            </w:r>
          </w:p>
        </w:tc>
        <w:tc>
          <w:tcPr>
            <w:tcW w:w="530" w:type="pct"/>
            <w:vMerge w:val="restart"/>
            <w:tcBorders>
              <w:tl2br w:val="nil"/>
              <w:tr2bl w:val="nil"/>
            </w:tcBorders>
            <w:vAlign w:val="center"/>
          </w:tcPr>
          <w:p>
            <w:pPr>
              <w:pStyle w:val="41"/>
              <w:bidi w:val="0"/>
              <w:rPr>
                <w:color w:val="auto"/>
              </w:rPr>
            </w:pPr>
            <w:r>
              <w:rPr>
                <w:rFonts w:hint="eastAsia"/>
                <w:color w:val="auto"/>
              </w:rPr>
              <w:t>非正常排放原因</w:t>
            </w:r>
          </w:p>
        </w:tc>
        <w:tc>
          <w:tcPr>
            <w:tcW w:w="632" w:type="pct"/>
            <w:gridSpan w:val="2"/>
            <w:tcBorders>
              <w:tl2br w:val="nil"/>
              <w:tr2bl w:val="nil"/>
            </w:tcBorders>
            <w:vAlign w:val="center"/>
          </w:tcPr>
          <w:p>
            <w:pPr>
              <w:pStyle w:val="41"/>
              <w:bidi w:val="0"/>
              <w:rPr>
                <w:rFonts w:hint="default" w:eastAsia="宋体"/>
                <w:color w:val="auto"/>
                <w:lang w:val="en-US" w:eastAsia="zh-CN"/>
              </w:rPr>
            </w:pPr>
            <w:r>
              <w:rPr>
                <w:rFonts w:hint="eastAsia"/>
                <w:color w:val="auto"/>
                <w:lang w:val="en-US" w:eastAsia="zh-CN"/>
              </w:rPr>
              <w:t>面源起点坐标</w:t>
            </w:r>
          </w:p>
        </w:tc>
        <w:tc>
          <w:tcPr>
            <w:tcW w:w="261" w:type="pct"/>
            <w:vMerge w:val="restart"/>
            <w:tcBorders>
              <w:tl2br w:val="nil"/>
              <w:tr2bl w:val="nil"/>
            </w:tcBorders>
            <w:vAlign w:val="center"/>
          </w:tcPr>
          <w:p>
            <w:pPr>
              <w:pStyle w:val="41"/>
              <w:bidi w:val="0"/>
              <w:rPr>
                <w:rFonts w:hint="default"/>
                <w:color w:val="auto"/>
                <w:lang w:val="en-US" w:eastAsia="zh-CN"/>
              </w:rPr>
            </w:pPr>
            <w:r>
              <w:rPr>
                <w:rFonts w:hint="eastAsia"/>
                <w:color w:val="auto"/>
                <w:lang w:val="en-US" w:eastAsia="zh-CN"/>
              </w:rPr>
              <w:t>海拔/m</w:t>
            </w:r>
          </w:p>
        </w:tc>
        <w:tc>
          <w:tcPr>
            <w:tcW w:w="261" w:type="pct"/>
            <w:vMerge w:val="restart"/>
            <w:tcBorders>
              <w:tl2br w:val="nil"/>
              <w:tr2bl w:val="nil"/>
            </w:tcBorders>
            <w:vAlign w:val="center"/>
          </w:tcPr>
          <w:p>
            <w:pPr>
              <w:pStyle w:val="41"/>
              <w:bidi w:val="0"/>
              <w:rPr>
                <w:rFonts w:hint="default" w:eastAsia="宋体"/>
                <w:color w:val="auto"/>
                <w:lang w:val="en-US" w:eastAsia="zh-CN"/>
              </w:rPr>
            </w:pPr>
            <w:r>
              <w:rPr>
                <w:rFonts w:hint="eastAsia"/>
                <w:color w:val="auto"/>
                <w:lang w:val="en-US" w:eastAsia="zh-CN"/>
              </w:rPr>
              <w:t>面源长度/m</w:t>
            </w:r>
          </w:p>
        </w:tc>
        <w:tc>
          <w:tcPr>
            <w:tcW w:w="261" w:type="pct"/>
            <w:vMerge w:val="restart"/>
            <w:tcBorders>
              <w:tl2br w:val="nil"/>
              <w:tr2bl w:val="nil"/>
            </w:tcBorders>
            <w:vAlign w:val="center"/>
          </w:tcPr>
          <w:p>
            <w:pPr>
              <w:pStyle w:val="41"/>
              <w:bidi w:val="0"/>
              <w:rPr>
                <w:rFonts w:hint="default" w:eastAsia="宋体"/>
                <w:color w:val="auto"/>
                <w:lang w:val="en-US" w:eastAsia="zh-CN"/>
              </w:rPr>
            </w:pPr>
            <w:r>
              <w:rPr>
                <w:rFonts w:hint="eastAsia"/>
                <w:color w:val="auto"/>
                <w:lang w:val="en-US" w:eastAsia="zh-CN"/>
              </w:rPr>
              <w:t>面源宽度/m</w:t>
            </w:r>
          </w:p>
        </w:tc>
        <w:tc>
          <w:tcPr>
            <w:tcW w:w="533" w:type="pct"/>
            <w:vMerge w:val="restart"/>
            <w:tcBorders>
              <w:tl2br w:val="nil"/>
              <w:tr2bl w:val="nil"/>
            </w:tcBorders>
            <w:vAlign w:val="center"/>
          </w:tcPr>
          <w:p>
            <w:pPr>
              <w:pStyle w:val="41"/>
              <w:bidi w:val="0"/>
              <w:rPr>
                <w:color w:val="auto"/>
              </w:rPr>
            </w:pPr>
            <w:r>
              <w:rPr>
                <w:rFonts w:hint="eastAsia"/>
                <w:color w:val="auto"/>
              </w:rPr>
              <w:t>非正常排放速率</w:t>
            </w:r>
            <w:r>
              <w:rPr>
                <w:color w:val="auto"/>
              </w:rPr>
              <w:t>/(kg/h)</w:t>
            </w:r>
          </w:p>
        </w:tc>
        <w:tc>
          <w:tcPr>
            <w:tcW w:w="388" w:type="pct"/>
            <w:vMerge w:val="restart"/>
            <w:tcBorders>
              <w:tl2br w:val="nil"/>
              <w:tr2bl w:val="nil"/>
            </w:tcBorders>
            <w:vAlign w:val="center"/>
          </w:tcPr>
          <w:p>
            <w:pPr>
              <w:pStyle w:val="41"/>
              <w:bidi w:val="0"/>
              <w:rPr>
                <w:rFonts w:hint="eastAsia" w:eastAsia="宋体"/>
                <w:color w:val="auto"/>
                <w:lang w:eastAsia="zh-CN"/>
              </w:rPr>
            </w:pPr>
            <w:r>
              <w:rPr>
                <w:rFonts w:hint="eastAsia"/>
                <w:color w:val="auto"/>
              </w:rPr>
              <w:t>单次持续时间</w:t>
            </w:r>
            <w:r>
              <w:rPr>
                <w:color w:val="auto"/>
              </w:rPr>
              <w:t>/</w:t>
            </w:r>
            <w:r>
              <w:rPr>
                <w:rFonts w:hint="eastAsia"/>
                <w:color w:val="auto"/>
                <w:lang w:val="en-US" w:eastAsia="zh-CN"/>
              </w:rPr>
              <w:t>min</w:t>
            </w:r>
          </w:p>
        </w:tc>
        <w:tc>
          <w:tcPr>
            <w:tcW w:w="340" w:type="pct"/>
            <w:vMerge w:val="restart"/>
            <w:tcBorders>
              <w:tl2br w:val="nil"/>
              <w:tr2bl w:val="nil"/>
            </w:tcBorders>
            <w:vAlign w:val="center"/>
          </w:tcPr>
          <w:p>
            <w:pPr>
              <w:pStyle w:val="41"/>
              <w:bidi w:val="0"/>
              <w:rPr>
                <w:rFonts w:hint="default" w:eastAsia="宋体"/>
                <w:color w:val="auto"/>
                <w:lang w:val="en-US" w:eastAsia="zh-CN"/>
              </w:rPr>
            </w:pPr>
            <w:r>
              <w:rPr>
                <w:rFonts w:hint="eastAsia"/>
                <w:color w:val="auto"/>
                <w:lang w:val="en-US" w:eastAsia="zh-CN"/>
              </w:rPr>
              <w:t>排放工况</w:t>
            </w:r>
          </w:p>
        </w:tc>
        <w:tc>
          <w:tcPr>
            <w:tcW w:w="407" w:type="pct"/>
            <w:vMerge w:val="restart"/>
            <w:tcBorders>
              <w:tl2br w:val="nil"/>
              <w:tr2bl w:val="nil"/>
            </w:tcBorders>
            <w:vAlign w:val="center"/>
          </w:tcPr>
          <w:p>
            <w:pPr>
              <w:pStyle w:val="41"/>
              <w:bidi w:val="0"/>
              <w:rPr>
                <w:rFonts w:hint="default" w:eastAsia="宋体"/>
                <w:color w:val="auto"/>
                <w:lang w:val="en-US" w:eastAsia="zh-CN"/>
              </w:rPr>
            </w:pPr>
            <w:r>
              <w:rPr>
                <w:rFonts w:hint="eastAsia"/>
                <w:color w:val="auto"/>
                <w:lang w:val="en-US" w:eastAsia="zh-CN"/>
              </w:rPr>
              <w:t>评价因子</w:t>
            </w:r>
          </w:p>
        </w:tc>
        <w:tc>
          <w:tcPr>
            <w:tcW w:w="981" w:type="pct"/>
            <w:vMerge w:val="restart"/>
            <w:tcBorders>
              <w:tl2br w:val="nil"/>
              <w:tr2bl w:val="nil"/>
            </w:tcBorders>
            <w:vAlign w:val="center"/>
          </w:tcPr>
          <w:p>
            <w:pPr>
              <w:pStyle w:val="41"/>
              <w:bidi w:val="0"/>
              <w:rPr>
                <w:color w:val="auto"/>
              </w:rPr>
            </w:pPr>
            <w:r>
              <w:rPr>
                <w:rFonts w:hint="eastAsia"/>
                <w:color w:val="auto"/>
              </w:rPr>
              <w:t>应对措施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157" w:type="pct"/>
            <w:vMerge w:val="continue"/>
            <w:tcBorders>
              <w:tl2br w:val="nil"/>
              <w:tr2bl w:val="nil"/>
            </w:tcBorders>
            <w:vAlign w:val="center"/>
          </w:tcPr>
          <w:p>
            <w:pPr>
              <w:pStyle w:val="41"/>
              <w:bidi w:val="0"/>
              <w:rPr>
                <w:color w:val="auto"/>
              </w:rPr>
            </w:pPr>
          </w:p>
        </w:tc>
        <w:tc>
          <w:tcPr>
            <w:tcW w:w="241" w:type="pct"/>
            <w:vMerge w:val="continue"/>
            <w:tcBorders>
              <w:tl2br w:val="nil"/>
              <w:tr2bl w:val="nil"/>
            </w:tcBorders>
            <w:vAlign w:val="center"/>
          </w:tcPr>
          <w:p>
            <w:pPr>
              <w:pStyle w:val="41"/>
              <w:bidi w:val="0"/>
              <w:rPr>
                <w:color w:val="auto"/>
              </w:rPr>
            </w:pPr>
          </w:p>
        </w:tc>
        <w:tc>
          <w:tcPr>
            <w:tcW w:w="530" w:type="pct"/>
            <w:vMerge w:val="continue"/>
            <w:tcBorders>
              <w:tl2br w:val="nil"/>
              <w:tr2bl w:val="nil"/>
            </w:tcBorders>
            <w:vAlign w:val="center"/>
          </w:tcPr>
          <w:p>
            <w:pPr>
              <w:pStyle w:val="41"/>
              <w:bidi w:val="0"/>
              <w:rPr>
                <w:color w:val="auto"/>
              </w:rPr>
            </w:pPr>
          </w:p>
        </w:tc>
        <w:tc>
          <w:tcPr>
            <w:tcW w:w="359" w:type="pct"/>
            <w:tcBorders>
              <w:tl2br w:val="nil"/>
              <w:tr2bl w:val="nil"/>
            </w:tcBorders>
            <w:vAlign w:val="center"/>
          </w:tcPr>
          <w:p>
            <w:pPr>
              <w:pStyle w:val="41"/>
              <w:bidi w:val="0"/>
              <w:rPr>
                <w:rFonts w:hint="eastAsia" w:eastAsia="宋体"/>
                <w:color w:val="auto"/>
                <w:lang w:val="en-US" w:eastAsia="zh-CN"/>
              </w:rPr>
            </w:pPr>
            <w:r>
              <w:rPr>
                <w:rFonts w:hint="eastAsia"/>
                <w:color w:val="auto"/>
                <w:lang w:val="en-US" w:eastAsia="zh-CN"/>
              </w:rPr>
              <w:t>X</w:t>
            </w:r>
          </w:p>
        </w:tc>
        <w:tc>
          <w:tcPr>
            <w:tcW w:w="272" w:type="pct"/>
            <w:tcBorders>
              <w:tl2br w:val="nil"/>
              <w:tr2bl w:val="nil"/>
            </w:tcBorders>
            <w:vAlign w:val="center"/>
          </w:tcPr>
          <w:p>
            <w:pPr>
              <w:pStyle w:val="41"/>
              <w:bidi w:val="0"/>
              <w:rPr>
                <w:rFonts w:hint="eastAsia" w:eastAsia="宋体"/>
                <w:color w:val="auto"/>
                <w:lang w:val="en-US" w:eastAsia="zh-CN"/>
              </w:rPr>
            </w:pPr>
            <w:r>
              <w:rPr>
                <w:rFonts w:hint="eastAsia"/>
                <w:color w:val="auto"/>
                <w:lang w:val="en-US" w:eastAsia="zh-CN"/>
              </w:rPr>
              <w:t>Y</w:t>
            </w:r>
          </w:p>
        </w:tc>
        <w:tc>
          <w:tcPr>
            <w:tcW w:w="261" w:type="pct"/>
            <w:vMerge w:val="continue"/>
            <w:tcBorders>
              <w:tl2br w:val="nil"/>
              <w:tr2bl w:val="nil"/>
            </w:tcBorders>
            <w:vAlign w:val="center"/>
          </w:tcPr>
          <w:p>
            <w:pPr>
              <w:pStyle w:val="41"/>
              <w:bidi w:val="0"/>
              <w:rPr>
                <w:color w:val="auto"/>
              </w:rPr>
            </w:pPr>
          </w:p>
        </w:tc>
        <w:tc>
          <w:tcPr>
            <w:tcW w:w="261" w:type="pct"/>
            <w:vMerge w:val="continue"/>
            <w:tcBorders>
              <w:tl2br w:val="nil"/>
              <w:tr2bl w:val="nil"/>
            </w:tcBorders>
            <w:vAlign w:val="center"/>
          </w:tcPr>
          <w:p>
            <w:pPr>
              <w:pStyle w:val="41"/>
              <w:bidi w:val="0"/>
              <w:rPr>
                <w:color w:val="auto"/>
              </w:rPr>
            </w:pPr>
          </w:p>
        </w:tc>
        <w:tc>
          <w:tcPr>
            <w:tcW w:w="261" w:type="pct"/>
            <w:vMerge w:val="continue"/>
            <w:tcBorders>
              <w:tl2br w:val="nil"/>
              <w:tr2bl w:val="nil"/>
            </w:tcBorders>
            <w:vAlign w:val="center"/>
          </w:tcPr>
          <w:p>
            <w:pPr>
              <w:pStyle w:val="41"/>
              <w:bidi w:val="0"/>
              <w:rPr>
                <w:color w:val="auto"/>
              </w:rPr>
            </w:pPr>
          </w:p>
        </w:tc>
        <w:tc>
          <w:tcPr>
            <w:tcW w:w="533" w:type="pct"/>
            <w:vMerge w:val="continue"/>
            <w:tcBorders>
              <w:tl2br w:val="nil"/>
              <w:tr2bl w:val="nil"/>
            </w:tcBorders>
            <w:vAlign w:val="center"/>
          </w:tcPr>
          <w:p>
            <w:pPr>
              <w:pStyle w:val="41"/>
              <w:bidi w:val="0"/>
              <w:rPr>
                <w:color w:val="auto"/>
              </w:rPr>
            </w:pPr>
          </w:p>
        </w:tc>
        <w:tc>
          <w:tcPr>
            <w:tcW w:w="388" w:type="pct"/>
            <w:vMerge w:val="continue"/>
            <w:tcBorders>
              <w:tl2br w:val="nil"/>
              <w:tr2bl w:val="nil"/>
            </w:tcBorders>
            <w:vAlign w:val="center"/>
          </w:tcPr>
          <w:p>
            <w:pPr>
              <w:pStyle w:val="41"/>
              <w:bidi w:val="0"/>
              <w:rPr>
                <w:color w:val="auto"/>
              </w:rPr>
            </w:pPr>
          </w:p>
        </w:tc>
        <w:tc>
          <w:tcPr>
            <w:tcW w:w="340" w:type="pct"/>
            <w:vMerge w:val="continue"/>
            <w:tcBorders>
              <w:tl2br w:val="nil"/>
              <w:tr2bl w:val="nil"/>
            </w:tcBorders>
            <w:vAlign w:val="center"/>
          </w:tcPr>
          <w:p>
            <w:pPr>
              <w:pStyle w:val="41"/>
              <w:bidi w:val="0"/>
              <w:rPr>
                <w:color w:val="auto"/>
              </w:rPr>
            </w:pPr>
          </w:p>
        </w:tc>
        <w:tc>
          <w:tcPr>
            <w:tcW w:w="407" w:type="pct"/>
            <w:vMerge w:val="continue"/>
            <w:tcBorders>
              <w:tl2br w:val="nil"/>
              <w:tr2bl w:val="nil"/>
            </w:tcBorders>
            <w:vAlign w:val="center"/>
          </w:tcPr>
          <w:p>
            <w:pPr>
              <w:pStyle w:val="41"/>
              <w:bidi w:val="0"/>
              <w:rPr>
                <w:color w:val="auto"/>
              </w:rPr>
            </w:pPr>
          </w:p>
        </w:tc>
        <w:tc>
          <w:tcPr>
            <w:tcW w:w="981" w:type="pct"/>
            <w:vMerge w:val="continue"/>
            <w:tcBorders>
              <w:tl2br w:val="nil"/>
              <w:tr2bl w:val="nil"/>
            </w:tcBorders>
            <w:vAlign w:val="center"/>
          </w:tcPr>
          <w:p>
            <w:pPr>
              <w:pStyle w:val="41"/>
              <w:bidi w:val="0"/>
              <w:rPr>
                <w:color w:va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157" w:type="pct"/>
            <w:tcBorders>
              <w:tl2br w:val="nil"/>
              <w:tr2bl w:val="nil"/>
            </w:tcBorders>
            <w:vAlign w:val="center"/>
          </w:tcPr>
          <w:p>
            <w:pPr>
              <w:pStyle w:val="41"/>
              <w:bidi w:val="0"/>
              <w:rPr>
                <w:color w:val="auto"/>
              </w:rPr>
            </w:pPr>
            <w:r>
              <w:rPr>
                <w:color w:val="auto"/>
              </w:rPr>
              <w:t>1</w:t>
            </w:r>
          </w:p>
        </w:tc>
        <w:tc>
          <w:tcPr>
            <w:tcW w:w="241" w:type="pct"/>
            <w:tcBorders>
              <w:tl2br w:val="nil"/>
              <w:tr2bl w:val="nil"/>
            </w:tcBorders>
            <w:vAlign w:val="center"/>
          </w:tcPr>
          <w:p>
            <w:pPr>
              <w:pStyle w:val="41"/>
              <w:bidi w:val="0"/>
              <w:rPr>
                <w:color w:val="auto"/>
              </w:rPr>
            </w:pPr>
            <w:r>
              <w:rPr>
                <w:rFonts w:hint="eastAsia"/>
                <w:color w:val="auto"/>
              </w:rPr>
              <w:t>放喷口</w:t>
            </w:r>
          </w:p>
        </w:tc>
        <w:tc>
          <w:tcPr>
            <w:tcW w:w="530" w:type="pct"/>
            <w:tcBorders>
              <w:tl2br w:val="nil"/>
              <w:tr2bl w:val="nil"/>
            </w:tcBorders>
            <w:vAlign w:val="center"/>
          </w:tcPr>
          <w:p>
            <w:pPr>
              <w:pStyle w:val="41"/>
              <w:bidi w:val="0"/>
              <w:rPr>
                <w:color w:val="auto"/>
              </w:rPr>
            </w:pPr>
            <w:r>
              <w:rPr>
                <w:rFonts w:hint="eastAsia"/>
                <w:color w:val="auto"/>
              </w:rPr>
              <w:t>井口压力过高</w:t>
            </w:r>
          </w:p>
        </w:tc>
        <w:tc>
          <w:tcPr>
            <w:tcW w:w="623" w:type="dxa"/>
            <w:tcBorders>
              <w:tl2br w:val="nil"/>
              <w:tr2bl w:val="nil"/>
            </w:tcBorders>
            <w:vAlign w:val="center"/>
          </w:tcPr>
          <w:p>
            <w:pPr>
              <w:pStyle w:val="41"/>
              <w:bidi w:val="0"/>
              <w:ind w:firstLine="0" w:firstLineChars="0"/>
              <w:rPr>
                <w:color w:val="auto"/>
              </w:rPr>
            </w:pPr>
          </w:p>
        </w:tc>
        <w:tc>
          <w:tcPr>
            <w:tcW w:w="474" w:type="dxa"/>
            <w:tcBorders>
              <w:tl2br w:val="nil"/>
              <w:tr2bl w:val="nil"/>
            </w:tcBorders>
            <w:vAlign w:val="center"/>
          </w:tcPr>
          <w:p>
            <w:pPr>
              <w:pStyle w:val="41"/>
              <w:bidi w:val="0"/>
              <w:ind w:firstLine="0" w:firstLineChars="0"/>
              <w:rPr>
                <w:rFonts w:hint="eastAsia"/>
                <w:color w:val="auto"/>
              </w:rPr>
            </w:pPr>
          </w:p>
        </w:tc>
        <w:tc>
          <w:tcPr>
            <w:tcW w:w="453" w:type="dxa"/>
            <w:tcBorders>
              <w:tl2br w:val="nil"/>
              <w:tr2bl w:val="nil"/>
            </w:tcBorders>
            <w:vAlign w:val="center"/>
          </w:tcPr>
          <w:p>
            <w:pPr>
              <w:pStyle w:val="41"/>
              <w:bidi w:val="0"/>
              <w:ind w:firstLine="0" w:firstLineChars="0"/>
              <w:rPr>
                <w:rFonts w:hint="default" w:eastAsia="宋体"/>
                <w:color w:val="auto"/>
                <w:lang w:val="en-US" w:eastAsia="zh-CN"/>
              </w:rPr>
            </w:pPr>
            <w:r>
              <w:rPr>
                <w:rFonts w:hint="eastAsia"/>
                <w:color w:val="auto"/>
                <w:lang w:val="en-US" w:eastAsia="zh-CN"/>
              </w:rPr>
              <w:t>466</w:t>
            </w:r>
          </w:p>
        </w:tc>
        <w:tc>
          <w:tcPr>
            <w:tcW w:w="453" w:type="dxa"/>
            <w:tcBorders>
              <w:tl2br w:val="nil"/>
              <w:tr2bl w:val="nil"/>
            </w:tcBorders>
            <w:vAlign w:val="center"/>
          </w:tcPr>
          <w:p>
            <w:pPr>
              <w:pStyle w:val="41"/>
              <w:bidi w:val="0"/>
              <w:ind w:firstLine="0" w:firstLineChars="0"/>
              <w:rPr>
                <w:rFonts w:hint="eastAsia" w:eastAsia="宋体"/>
                <w:color w:val="auto"/>
                <w:lang w:eastAsia="zh-CN"/>
              </w:rPr>
            </w:pPr>
            <w:r>
              <w:rPr>
                <w:rFonts w:hint="eastAsia"/>
                <w:color w:val="auto"/>
                <w:lang w:val="en-US" w:eastAsia="zh-CN"/>
              </w:rPr>
              <w:t>8</w:t>
            </w:r>
          </w:p>
        </w:tc>
        <w:tc>
          <w:tcPr>
            <w:tcW w:w="453" w:type="dxa"/>
            <w:tcBorders>
              <w:tl2br w:val="nil"/>
              <w:tr2bl w:val="nil"/>
            </w:tcBorders>
            <w:vAlign w:val="center"/>
          </w:tcPr>
          <w:p>
            <w:pPr>
              <w:pStyle w:val="41"/>
              <w:bidi w:val="0"/>
              <w:ind w:firstLine="0" w:firstLineChars="0"/>
              <w:rPr>
                <w:rFonts w:hint="eastAsia" w:eastAsia="宋体"/>
                <w:color w:val="auto"/>
                <w:lang w:val="en-US" w:eastAsia="zh-CN"/>
              </w:rPr>
            </w:pPr>
            <w:r>
              <w:rPr>
                <w:rFonts w:hint="eastAsia"/>
                <w:color w:val="auto"/>
                <w:lang w:val="en-US" w:eastAsia="zh-CN"/>
              </w:rPr>
              <w:t>3</w:t>
            </w:r>
          </w:p>
        </w:tc>
        <w:tc>
          <w:tcPr>
            <w:tcW w:w="926" w:type="dxa"/>
            <w:tcBorders>
              <w:tl2br w:val="nil"/>
              <w:tr2bl w:val="nil"/>
            </w:tcBorders>
            <w:vAlign w:val="center"/>
          </w:tcPr>
          <w:p>
            <w:pPr>
              <w:pStyle w:val="41"/>
              <w:bidi w:val="0"/>
              <w:ind w:firstLine="0" w:firstLineChars="0"/>
              <w:rPr>
                <w:rFonts w:hint="default" w:eastAsia="宋体"/>
                <w:color w:val="auto"/>
                <w:lang w:val="en-US" w:eastAsia="zh-CN"/>
              </w:rPr>
            </w:pPr>
            <w:r>
              <w:rPr>
                <w:rFonts w:hint="eastAsia"/>
                <w:color w:val="auto"/>
                <w:lang w:val="en-US" w:eastAsia="zh-CN"/>
              </w:rPr>
              <w:t>1.399</w:t>
            </w:r>
          </w:p>
        </w:tc>
        <w:tc>
          <w:tcPr>
            <w:tcW w:w="674" w:type="dxa"/>
            <w:tcBorders>
              <w:tl2br w:val="nil"/>
              <w:tr2bl w:val="nil"/>
            </w:tcBorders>
            <w:vAlign w:val="center"/>
          </w:tcPr>
          <w:p>
            <w:pPr>
              <w:pStyle w:val="41"/>
              <w:bidi w:val="0"/>
              <w:ind w:firstLine="0" w:firstLineChars="0"/>
              <w:rPr>
                <w:rFonts w:hint="default" w:eastAsia="宋体"/>
                <w:color w:val="auto"/>
                <w:lang w:val="en-US" w:eastAsia="zh-CN"/>
              </w:rPr>
            </w:pPr>
            <w:r>
              <w:rPr>
                <w:rFonts w:hint="eastAsia"/>
                <w:color w:val="auto"/>
                <w:lang w:val="en-US" w:eastAsia="zh-CN"/>
              </w:rPr>
              <w:t>10</w:t>
            </w:r>
          </w:p>
        </w:tc>
        <w:tc>
          <w:tcPr>
            <w:tcW w:w="340" w:type="pct"/>
            <w:tcBorders>
              <w:tl2br w:val="nil"/>
              <w:tr2bl w:val="nil"/>
            </w:tcBorders>
            <w:vAlign w:val="center"/>
          </w:tcPr>
          <w:p>
            <w:pPr>
              <w:pStyle w:val="41"/>
              <w:bidi w:val="0"/>
              <w:rPr>
                <w:color w:val="auto"/>
              </w:rPr>
            </w:pPr>
            <w:r>
              <w:rPr>
                <w:rFonts w:hint="eastAsia"/>
                <w:color w:val="auto"/>
              </w:rPr>
              <w:t>非正常</w:t>
            </w:r>
            <w:r>
              <w:rPr>
                <w:rFonts w:hint="eastAsia"/>
                <w:color w:val="auto"/>
                <w:lang w:val="en-US" w:eastAsia="zh-CN"/>
              </w:rPr>
              <w:t>工况</w:t>
            </w:r>
          </w:p>
        </w:tc>
        <w:tc>
          <w:tcPr>
            <w:tcW w:w="407" w:type="pct"/>
            <w:tcBorders>
              <w:tl2br w:val="nil"/>
              <w:tr2bl w:val="nil"/>
            </w:tcBorders>
            <w:vAlign w:val="center"/>
          </w:tcPr>
          <w:p>
            <w:pPr>
              <w:pStyle w:val="41"/>
              <w:bidi w:val="0"/>
              <w:rPr>
                <w:color w:val="auto"/>
              </w:rPr>
            </w:pPr>
            <w:r>
              <w:rPr>
                <w:rFonts w:hint="eastAsia"/>
                <w:color w:val="auto"/>
              </w:rPr>
              <w:t>非甲烷</w:t>
            </w:r>
          </w:p>
          <w:p>
            <w:pPr>
              <w:pStyle w:val="41"/>
              <w:bidi w:val="0"/>
              <w:rPr>
                <w:color w:val="auto"/>
              </w:rPr>
            </w:pPr>
            <w:r>
              <w:rPr>
                <w:rFonts w:hint="eastAsia"/>
                <w:color w:val="auto"/>
              </w:rPr>
              <w:t>总烃</w:t>
            </w:r>
          </w:p>
        </w:tc>
        <w:tc>
          <w:tcPr>
            <w:tcW w:w="981" w:type="pct"/>
            <w:tcBorders>
              <w:tl2br w:val="nil"/>
              <w:tr2bl w:val="nil"/>
            </w:tcBorders>
            <w:vAlign w:val="center"/>
          </w:tcPr>
          <w:p>
            <w:pPr>
              <w:pStyle w:val="41"/>
              <w:bidi w:val="0"/>
              <w:rPr>
                <w:color w:val="auto"/>
              </w:rPr>
            </w:pPr>
            <w:r>
              <w:rPr>
                <w:rFonts w:hint="eastAsia"/>
                <w:color w:val="auto"/>
              </w:rPr>
              <w:t>修复后，将周围污染的土壤收集置于密闭容器中，委托有资质单位进行接收处置</w:t>
            </w:r>
          </w:p>
        </w:tc>
      </w:tr>
    </w:tbl>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（2）影响分析</w:t>
      </w:r>
    </w:p>
    <w:p>
      <w:pPr>
        <w:pStyle w:val="57"/>
        <w:pageBreakBefore w:val="0"/>
        <w:kinsoku/>
        <w:wordWrap/>
        <w:overflowPunct/>
        <w:topLinePunct w:val="0"/>
        <w:autoSpaceDE/>
        <w:autoSpaceDN/>
        <w:bidi w:val="0"/>
        <w:spacing w:line="480" w:lineRule="exact"/>
        <w:rPr>
          <w:rFonts w:hint="eastAsia" w:cs="Times New Roman"/>
          <w:color w:val="auto"/>
          <w:highlight w:val="none"/>
          <w:lang w:val="en-US" w:eastAsia="zh-CN"/>
        </w:rPr>
      </w:pPr>
      <w:r>
        <w:rPr>
          <w:rFonts w:hint="eastAsia" w:ascii="Times New Roman" w:hAnsi="Times New Roman" w:eastAsia="宋体" w:cs="Times New Roman"/>
          <w:color w:val="auto"/>
          <w:highlight w:val="none"/>
          <w:lang w:eastAsia="zh-CN"/>
        </w:rPr>
        <w:t>非正常工况条件下外排废气持续时间较短，采用估算模式计算最大占标率，计算结果见表5.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lang w:eastAsia="zh-CN"/>
        </w:rPr>
        <w:t>。</w:t>
      </w:r>
    </w:p>
    <w:p>
      <w:pPr>
        <w:pStyle w:val="54"/>
        <w:pageBreakBefore w:val="0"/>
        <w:kinsoku/>
        <w:wordWrap/>
        <w:overflowPunct/>
        <w:topLinePunct w:val="0"/>
        <w:autoSpaceDE/>
        <w:autoSpaceDN/>
        <w:bidi w:val="0"/>
        <w:spacing w:line="480" w:lineRule="exact"/>
        <w:ind w:firstLine="482"/>
        <w:rPr>
          <w:rFonts w:hint="eastAsia" w:cs="Times New Roman"/>
          <w:color w:val="auto"/>
          <w:highlight w:val="none"/>
          <w:lang w:val="en-US" w:eastAsia="zh-CN"/>
        </w:rPr>
      </w:pPr>
      <w:r>
        <w:rPr>
          <w:rFonts w:hint="eastAsia" w:cs="Times New Roman"/>
          <w:color w:val="auto"/>
          <w:highlight w:val="none"/>
          <w:lang w:val="en-US" w:eastAsia="zh-CN"/>
        </w:rPr>
        <w:t>表5.5-9  非正常排放Pmax及D10%预测及计算结果一览表  单位：μg/m3</w:t>
      </w:r>
    </w:p>
    <w:tbl>
      <w:tblPr>
        <w:tblStyle w:val="34"/>
        <w:tblW w:w="499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698"/>
        <w:gridCol w:w="1812"/>
        <w:gridCol w:w="1319"/>
        <w:gridCol w:w="954"/>
        <w:gridCol w:w="879"/>
        <w:gridCol w:w="784"/>
        <w:gridCol w:w="1217"/>
        <w:gridCol w:w="9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04" w:type="pct"/>
            <w:tcBorders>
              <w:tl2br w:val="nil"/>
              <w:tr2bl w:val="nil"/>
            </w:tcBorders>
            <w:vAlign w:val="center"/>
          </w:tcPr>
          <w:p>
            <w:pPr>
              <w:pStyle w:val="41"/>
              <w:bidi w:val="0"/>
              <w:rPr>
                <w:color w:val="auto"/>
              </w:rPr>
            </w:pPr>
            <w:r>
              <w:rPr>
                <w:rFonts w:hint="eastAsia"/>
                <w:color w:val="auto"/>
              </w:rPr>
              <w:t>序号</w:t>
            </w:r>
          </w:p>
        </w:tc>
        <w:tc>
          <w:tcPr>
            <w:tcW w:w="1047" w:type="pct"/>
            <w:tcBorders>
              <w:tl2br w:val="nil"/>
              <w:tr2bl w:val="nil"/>
            </w:tcBorders>
            <w:tcMar>
              <w:top w:w="12" w:type="dxa"/>
              <w:left w:w="12" w:type="dxa"/>
              <w:right w:w="12" w:type="dxa"/>
            </w:tcMar>
            <w:vAlign w:val="center"/>
          </w:tcPr>
          <w:p>
            <w:pPr>
              <w:pStyle w:val="41"/>
              <w:bidi w:val="0"/>
              <w:rPr>
                <w:color w:val="auto"/>
              </w:rPr>
            </w:pPr>
            <w:r>
              <w:rPr>
                <w:rFonts w:hint="eastAsia"/>
                <w:color w:val="auto"/>
              </w:rPr>
              <w:t>污染源名称</w:t>
            </w:r>
          </w:p>
        </w:tc>
        <w:tc>
          <w:tcPr>
            <w:tcW w:w="762" w:type="pct"/>
            <w:tcBorders>
              <w:tl2br w:val="nil"/>
              <w:tr2bl w:val="nil"/>
            </w:tcBorders>
            <w:tcMar>
              <w:top w:w="12" w:type="dxa"/>
              <w:left w:w="12" w:type="dxa"/>
              <w:right w:w="12" w:type="dxa"/>
            </w:tcMar>
            <w:vAlign w:val="center"/>
          </w:tcPr>
          <w:p>
            <w:pPr>
              <w:pStyle w:val="41"/>
              <w:bidi w:val="0"/>
              <w:rPr>
                <w:color w:val="auto"/>
              </w:rPr>
            </w:pPr>
            <w:r>
              <w:rPr>
                <w:rFonts w:hint="eastAsia"/>
                <w:color w:val="auto"/>
              </w:rPr>
              <w:t>评价因子</w:t>
            </w:r>
          </w:p>
        </w:tc>
        <w:tc>
          <w:tcPr>
            <w:tcW w:w="551" w:type="pct"/>
            <w:tcBorders>
              <w:tl2br w:val="nil"/>
              <w:tr2bl w:val="nil"/>
            </w:tcBorders>
            <w:tcMar>
              <w:top w:w="12" w:type="dxa"/>
              <w:left w:w="12" w:type="dxa"/>
              <w:right w:w="12" w:type="dxa"/>
            </w:tcMar>
            <w:vAlign w:val="center"/>
          </w:tcPr>
          <w:p>
            <w:pPr>
              <w:pStyle w:val="41"/>
              <w:bidi w:val="0"/>
              <w:rPr>
                <w:color w:val="auto"/>
              </w:rPr>
            </w:pPr>
            <w:r>
              <w:rPr>
                <w:color w:val="auto"/>
              </w:rPr>
              <w:t>C</w:t>
            </w:r>
            <w:r>
              <w:rPr>
                <w:color w:val="auto"/>
                <w:vertAlign w:val="subscript"/>
              </w:rPr>
              <w:t>i</w:t>
            </w:r>
            <w:r>
              <w:rPr>
                <w:color w:val="auto"/>
              </w:rPr>
              <w:t>(μg/</w:t>
            </w:r>
            <w:r>
              <w:rPr>
                <w:rFonts w:hint="eastAsia"/>
                <w:color w:val="auto"/>
                <w:lang w:val="en-US" w:eastAsia="zh-CN"/>
              </w:rPr>
              <w:t>m³</w:t>
            </w:r>
            <w:r>
              <w:rPr>
                <w:color w:val="auto"/>
              </w:rPr>
              <w:t>)</w:t>
            </w:r>
          </w:p>
        </w:tc>
        <w:tc>
          <w:tcPr>
            <w:tcW w:w="508" w:type="pct"/>
            <w:tcBorders>
              <w:tl2br w:val="nil"/>
              <w:tr2bl w:val="nil"/>
            </w:tcBorders>
            <w:tcMar>
              <w:top w:w="12" w:type="dxa"/>
              <w:left w:w="12" w:type="dxa"/>
              <w:right w:w="12" w:type="dxa"/>
            </w:tcMar>
            <w:vAlign w:val="center"/>
          </w:tcPr>
          <w:p>
            <w:pPr>
              <w:pStyle w:val="41"/>
              <w:bidi w:val="0"/>
              <w:rPr>
                <w:color w:val="auto"/>
              </w:rPr>
            </w:pPr>
            <w:r>
              <w:rPr>
                <w:color w:val="auto"/>
              </w:rPr>
              <w:t>P</w:t>
            </w:r>
            <w:r>
              <w:rPr>
                <w:color w:val="auto"/>
                <w:vertAlign w:val="subscript"/>
              </w:rPr>
              <w:t>i</w:t>
            </w:r>
            <w:r>
              <w:rPr>
                <w:color w:val="auto"/>
              </w:rPr>
              <w:t>(%)</w:t>
            </w:r>
          </w:p>
        </w:tc>
        <w:tc>
          <w:tcPr>
            <w:tcW w:w="453" w:type="pct"/>
            <w:tcBorders>
              <w:tl2br w:val="nil"/>
              <w:tr2bl w:val="nil"/>
            </w:tcBorders>
            <w:tcMar>
              <w:top w:w="12" w:type="dxa"/>
              <w:left w:w="12" w:type="dxa"/>
              <w:right w:w="12" w:type="dxa"/>
            </w:tcMar>
            <w:vAlign w:val="center"/>
          </w:tcPr>
          <w:p>
            <w:pPr>
              <w:pStyle w:val="41"/>
              <w:bidi w:val="0"/>
              <w:rPr>
                <w:color w:val="auto"/>
              </w:rPr>
            </w:pPr>
            <w:r>
              <w:rPr>
                <w:color w:val="auto"/>
              </w:rPr>
              <w:t>P</w:t>
            </w:r>
            <w:r>
              <w:rPr>
                <w:color w:val="auto"/>
                <w:vertAlign w:val="subscript"/>
              </w:rPr>
              <w:t>max</w:t>
            </w:r>
            <w:r>
              <w:rPr>
                <w:color w:val="auto"/>
              </w:rPr>
              <w:t>(%)</w:t>
            </w:r>
          </w:p>
        </w:tc>
        <w:tc>
          <w:tcPr>
            <w:tcW w:w="703" w:type="pct"/>
            <w:tcBorders>
              <w:tl2br w:val="nil"/>
              <w:tr2bl w:val="nil"/>
            </w:tcBorders>
            <w:tcMar>
              <w:top w:w="12" w:type="dxa"/>
              <w:left w:w="12" w:type="dxa"/>
              <w:right w:w="12" w:type="dxa"/>
            </w:tcMar>
            <w:vAlign w:val="center"/>
          </w:tcPr>
          <w:p>
            <w:pPr>
              <w:pStyle w:val="41"/>
              <w:bidi w:val="0"/>
              <w:rPr>
                <w:color w:val="auto"/>
              </w:rPr>
            </w:pPr>
            <w:r>
              <w:rPr>
                <w:rFonts w:hint="eastAsia"/>
                <w:color w:val="auto"/>
              </w:rPr>
              <w:t>最大浓度出现距离</w:t>
            </w:r>
            <w:r>
              <w:rPr>
                <w:rFonts w:hint="eastAsia"/>
                <w:color w:val="auto"/>
                <w:lang w:eastAsia="zh-CN"/>
              </w:rPr>
              <w:t>（</w:t>
            </w:r>
            <w:r>
              <w:rPr>
                <w:color w:val="auto"/>
              </w:rPr>
              <w:t>m</w:t>
            </w:r>
            <w:r>
              <w:rPr>
                <w:rFonts w:hint="eastAsia"/>
                <w:color w:val="auto"/>
                <w:lang w:eastAsia="zh-CN"/>
              </w:rPr>
              <w:t>）</w:t>
            </w:r>
          </w:p>
        </w:tc>
        <w:tc>
          <w:tcPr>
            <w:tcW w:w="568" w:type="pct"/>
            <w:tcBorders>
              <w:tl2br w:val="nil"/>
              <w:tr2bl w:val="nil"/>
            </w:tcBorders>
            <w:tcMar>
              <w:top w:w="12" w:type="dxa"/>
              <w:left w:w="12" w:type="dxa"/>
              <w:right w:w="12" w:type="dxa"/>
            </w:tcMar>
            <w:vAlign w:val="center"/>
          </w:tcPr>
          <w:p>
            <w:pPr>
              <w:pStyle w:val="41"/>
              <w:bidi w:val="0"/>
              <w:rPr>
                <w:color w:val="auto"/>
              </w:rPr>
            </w:pPr>
            <w:r>
              <w:rPr>
                <w:color w:val="auto"/>
              </w:rPr>
              <w:t>D</w:t>
            </w:r>
            <w:r>
              <w:rPr>
                <w:color w:val="auto"/>
                <w:vertAlign w:val="subscript"/>
              </w:rPr>
              <w:t>10%</w:t>
            </w:r>
            <w:r>
              <w:rPr>
                <w:color w:val="auto"/>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425" w:hRule="atLeast"/>
          <w:jc w:val="center"/>
        </w:trPr>
        <w:tc>
          <w:tcPr>
            <w:tcW w:w="404" w:type="pct"/>
            <w:tcBorders>
              <w:tl2br w:val="nil"/>
              <w:tr2bl w:val="nil"/>
            </w:tcBorders>
            <w:vAlign w:val="center"/>
          </w:tcPr>
          <w:p>
            <w:pPr>
              <w:pStyle w:val="41"/>
              <w:bidi w:val="0"/>
              <w:rPr>
                <w:color w:val="auto"/>
              </w:rPr>
            </w:pPr>
            <w:r>
              <w:rPr>
                <w:color w:val="auto"/>
              </w:rPr>
              <w:t>1</w:t>
            </w:r>
          </w:p>
        </w:tc>
        <w:tc>
          <w:tcPr>
            <w:tcW w:w="1047" w:type="pct"/>
            <w:tcBorders>
              <w:tl2br w:val="nil"/>
              <w:tr2bl w:val="nil"/>
            </w:tcBorders>
            <w:tcMar>
              <w:top w:w="12" w:type="dxa"/>
              <w:left w:w="12" w:type="dxa"/>
              <w:right w:w="12" w:type="dxa"/>
            </w:tcMar>
            <w:vAlign w:val="center"/>
          </w:tcPr>
          <w:p>
            <w:pPr>
              <w:pStyle w:val="41"/>
              <w:bidi w:val="0"/>
              <w:rPr>
                <w:color w:val="auto"/>
              </w:rPr>
            </w:pPr>
            <w:r>
              <w:rPr>
                <w:rFonts w:hint="eastAsia"/>
                <w:color w:val="auto"/>
              </w:rPr>
              <w:t>放喷口</w:t>
            </w:r>
          </w:p>
        </w:tc>
        <w:tc>
          <w:tcPr>
            <w:tcW w:w="762" w:type="pct"/>
            <w:tcBorders>
              <w:tl2br w:val="nil"/>
              <w:tr2bl w:val="nil"/>
            </w:tcBorders>
            <w:tcMar>
              <w:top w:w="12" w:type="dxa"/>
              <w:left w:w="12" w:type="dxa"/>
              <w:right w:w="12" w:type="dxa"/>
            </w:tcMar>
            <w:vAlign w:val="center"/>
          </w:tcPr>
          <w:p>
            <w:pPr>
              <w:pStyle w:val="41"/>
              <w:bidi w:val="0"/>
              <w:rPr>
                <w:color w:val="auto"/>
              </w:rPr>
            </w:pPr>
            <w:r>
              <w:rPr>
                <w:rFonts w:hint="eastAsia"/>
                <w:color w:val="auto"/>
              </w:rPr>
              <w:t>非甲烷总烃</w:t>
            </w:r>
          </w:p>
        </w:tc>
        <w:tc>
          <w:tcPr>
            <w:tcW w:w="551" w:type="pct"/>
            <w:tcBorders>
              <w:tl2br w:val="nil"/>
              <w:tr2bl w:val="nil"/>
            </w:tcBorders>
            <w:tcMar>
              <w:top w:w="12" w:type="dxa"/>
              <w:left w:w="12" w:type="dxa"/>
              <w:right w:w="12" w:type="dxa"/>
            </w:tcMar>
            <w:vAlign w:val="center"/>
          </w:tcPr>
          <w:p>
            <w:pPr>
              <w:pStyle w:val="41"/>
              <w:bidi w:val="0"/>
              <w:ind w:firstLine="0" w:firstLineChars="0"/>
              <w:rPr>
                <w:rFonts w:hint="eastAsia" w:ascii="Times New Roman" w:hAnsi="Times New Roman" w:eastAsia="宋体" w:cs="Times New Roman"/>
                <w:color w:val="auto"/>
                <w:sz w:val="21"/>
                <w:szCs w:val="20"/>
                <w:lang w:val="en-US" w:eastAsia="zh-CN" w:bidi="ar-SA"/>
              </w:rPr>
            </w:pPr>
            <w:r>
              <w:rPr>
                <w:rFonts w:hint="eastAsia"/>
                <w:color w:val="auto"/>
                <w:lang w:val="en-US" w:eastAsia="zh-CN"/>
              </w:rPr>
              <w:t>8652.00</w:t>
            </w:r>
          </w:p>
        </w:tc>
        <w:tc>
          <w:tcPr>
            <w:tcW w:w="508" w:type="pct"/>
            <w:tcBorders>
              <w:tl2br w:val="nil"/>
              <w:tr2bl w:val="nil"/>
            </w:tcBorders>
            <w:tcMar>
              <w:top w:w="12" w:type="dxa"/>
              <w:left w:w="12" w:type="dxa"/>
              <w:right w:w="12" w:type="dxa"/>
            </w:tcMar>
            <w:vAlign w:val="center"/>
          </w:tcPr>
          <w:p>
            <w:pPr>
              <w:pStyle w:val="41"/>
              <w:bidi w:val="0"/>
              <w:ind w:firstLine="0" w:firstLineChars="0"/>
              <w:rPr>
                <w:rFonts w:hint="default" w:ascii="Times New Roman" w:hAnsi="Times New Roman" w:eastAsia="宋体" w:cs="Times New Roman"/>
                <w:color w:val="auto"/>
                <w:sz w:val="21"/>
                <w:szCs w:val="20"/>
                <w:lang w:val="en-US" w:eastAsia="zh-CN" w:bidi="ar-SA"/>
              </w:rPr>
            </w:pPr>
            <w:r>
              <w:rPr>
                <w:rFonts w:hint="eastAsia"/>
                <w:color w:val="auto"/>
                <w:lang w:val="en-US" w:eastAsia="zh-CN"/>
              </w:rPr>
              <w:t>432.60</w:t>
            </w:r>
          </w:p>
        </w:tc>
        <w:tc>
          <w:tcPr>
            <w:tcW w:w="453" w:type="pct"/>
            <w:tcBorders>
              <w:tl2br w:val="nil"/>
              <w:tr2bl w:val="nil"/>
            </w:tcBorders>
            <w:tcMar>
              <w:top w:w="12" w:type="dxa"/>
              <w:left w:w="12" w:type="dxa"/>
              <w:right w:w="12" w:type="dxa"/>
            </w:tcMar>
            <w:vAlign w:val="center"/>
          </w:tcPr>
          <w:p>
            <w:pPr>
              <w:pStyle w:val="41"/>
              <w:bidi w:val="0"/>
              <w:ind w:firstLine="0" w:firstLineChars="0"/>
              <w:rPr>
                <w:rFonts w:hint="default" w:ascii="Times New Roman" w:hAnsi="Times New Roman" w:eastAsia="宋体" w:cs="Times New Roman"/>
                <w:color w:val="auto"/>
                <w:sz w:val="21"/>
                <w:szCs w:val="20"/>
                <w:lang w:val="en-US" w:eastAsia="zh-CN" w:bidi="ar-SA"/>
              </w:rPr>
            </w:pPr>
            <w:r>
              <w:rPr>
                <w:rFonts w:hint="eastAsia"/>
                <w:color w:val="auto"/>
                <w:lang w:val="en-US" w:eastAsia="zh-CN"/>
              </w:rPr>
              <w:t>432.60</w:t>
            </w:r>
          </w:p>
        </w:tc>
        <w:tc>
          <w:tcPr>
            <w:tcW w:w="703" w:type="pct"/>
            <w:tcBorders>
              <w:tl2br w:val="nil"/>
              <w:tr2bl w:val="nil"/>
            </w:tcBorders>
            <w:tcMar>
              <w:top w:w="12" w:type="dxa"/>
              <w:left w:w="12" w:type="dxa"/>
              <w:right w:w="12" w:type="dxa"/>
            </w:tcMar>
            <w:vAlign w:val="center"/>
          </w:tcPr>
          <w:p>
            <w:pPr>
              <w:pStyle w:val="41"/>
              <w:bidi w:val="0"/>
              <w:ind w:firstLine="0" w:firstLineChars="0"/>
              <w:rPr>
                <w:rFonts w:ascii="Times New Roman" w:hAnsi="Times New Roman" w:eastAsia="宋体" w:cs="Times New Roman"/>
                <w:color w:val="auto"/>
                <w:sz w:val="21"/>
                <w:szCs w:val="20"/>
                <w:lang w:val="en-US" w:eastAsia="zh-CN" w:bidi="ar-SA"/>
              </w:rPr>
            </w:pPr>
            <w:r>
              <w:rPr>
                <w:color w:val="auto"/>
              </w:rPr>
              <w:t>10</w:t>
            </w:r>
          </w:p>
        </w:tc>
        <w:tc>
          <w:tcPr>
            <w:tcW w:w="568" w:type="pct"/>
            <w:tcBorders>
              <w:tl2br w:val="nil"/>
              <w:tr2bl w:val="nil"/>
            </w:tcBorders>
            <w:tcMar>
              <w:top w:w="12" w:type="dxa"/>
              <w:left w:w="12" w:type="dxa"/>
              <w:right w:w="12" w:type="dxa"/>
            </w:tcMar>
            <w:vAlign w:val="center"/>
          </w:tcPr>
          <w:p>
            <w:pPr>
              <w:pStyle w:val="41"/>
              <w:bidi w:val="0"/>
              <w:ind w:firstLine="0" w:firstLineChars="0"/>
              <w:rPr>
                <w:rFonts w:hint="default" w:ascii="Times New Roman" w:hAnsi="Times New Roman" w:eastAsia="宋体" w:cs="Times New Roman"/>
                <w:color w:val="auto"/>
                <w:sz w:val="21"/>
                <w:szCs w:val="20"/>
                <w:lang w:val="en-US" w:eastAsia="zh-CN" w:bidi="ar-SA"/>
              </w:rPr>
            </w:pPr>
            <w:r>
              <w:rPr>
                <w:rFonts w:hint="eastAsia"/>
                <w:color w:val="auto"/>
                <w:lang w:val="en-US" w:eastAsia="zh-CN"/>
              </w:rPr>
              <w:t>500</w:t>
            </w:r>
          </w:p>
        </w:tc>
      </w:tr>
    </w:tbl>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color w:val="auto"/>
        </w:rPr>
        <w:t>由表</w:t>
      </w:r>
      <w:r>
        <w:rPr>
          <w:color w:val="auto"/>
        </w:rPr>
        <w:t>5.2-</w:t>
      </w:r>
      <w:r>
        <w:rPr>
          <w:rFonts w:hint="eastAsia"/>
          <w:color w:val="auto"/>
          <w:lang w:val="en-US" w:eastAsia="zh-CN"/>
        </w:rPr>
        <w:t>9</w:t>
      </w:r>
      <w:r>
        <w:rPr>
          <w:rFonts w:hint="eastAsia"/>
          <w:color w:val="auto"/>
        </w:rPr>
        <w:t>计算结果表明</w:t>
      </w:r>
      <w:r>
        <w:rPr>
          <w:rFonts w:hint="eastAsia" w:ascii="Times New Roman" w:hAnsi="Times New Roman" w:eastAsia="宋体" w:cs="Times New Roman"/>
          <w:color w:val="auto"/>
          <w:highlight w:val="none"/>
          <w:lang w:eastAsia="zh-CN"/>
        </w:rPr>
        <w:t>，非正常工况条件下，非甲烷总烃最大落地浓度为8652.00µg/m</w:t>
      </w:r>
      <w:r>
        <w:rPr>
          <w:rFonts w:hint="eastAsia" w:ascii="Times New Roman" w:hAnsi="Times New Roman" w:eastAsia="宋体" w:cs="Times New Roman"/>
          <w:color w:val="auto"/>
          <w:highlight w:val="none"/>
          <w:vertAlign w:val="superscript"/>
          <w:lang w:eastAsia="zh-CN"/>
        </w:rPr>
        <w:t>3</w:t>
      </w:r>
      <w:r>
        <w:rPr>
          <w:rFonts w:hint="eastAsia" w:ascii="Times New Roman" w:hAnsi="Times New Roman" w:eastAsia="宋体" w:cs="Times New Roman"/>
          <w:color w:val="auto"/>
          <w:highlight w:val="none"/>
          <w:lang w:eastAsia="zh-CN"/>
        </w:rPr>
        <w:t>，占标率为432.60%。</w:t>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eastAsia="zh-CN"/>
        </w:rPr>
        <w:t>由以上分析可知，拟建工程非正常排放对环境空气影响较大，建议做好定期巡检工作，确保井场</w:t>
      </w:r>
      <w:r>
        <w:rPr>
          <w:rFonts w:hint="eastAsia" w:ascii="Times New Roman" w:hAnsi="Times New Roman" w:eastAsia="宋体" w:cs="Times New Roman"/>
          <w:color w:val="auto"/>
          <w:highlight w:val="none"/>
          <w:lang w:val="en-US" w:eastAsia="zh-CN"/>
        </w:rPr>
        <w:t>及站场</w:t>
      </w:r>
      <w:r>
        <w:rPr>
          <w:rFonts w:hint="eastAsia" w:ascii="Times New Roman" w:hAnsi="Times New Roman" w:eastAsia="宋体" w:cs="Times New Roman"/>
          <w:color w:val="auto"/>
          <w:highlight w:val="none"/>
          <w:lang w:eastAsia="zh-CN"/>
        </w:rPr>
        <w:t>阀门、压力表、流量计、安全阀等处于正常工作状态，减少非正常排放的发生。</w:t>
      </w:r>
    </w:p>
    <w:p>
      <w:pPr>
        <w:pStyle w:val="53"/>
        <w:bidi w:val="0"/>
        <w:rPr>
          <w:rFonts w:hint="eastAsia" w:ascii="黑体" w:hAnsi="黑体" w:eastAsia="黑体" w:cs="Times New Roman"/>
          <w:b/>
          <w:bCs w:val="0"/>
          <w:color w:val="auto"/>
          <w:sz w:val="24"/>
          <w:szCs w:val="20"/>
          <w:highlight w:val="none"/>
          <w:lang w:val="en-US" w:eastAsia="zh-CN" w:bidi="ar-SA"/>
        </w:rPr>
      </w:pPr>
      <w:r>
        <w:rPr>
          <w:rFonts w:hint="eastAsia" w:ascii="黑体" w:hAnsi="黑体" w:eastAsia="黑体" w:cs="Times New Roman"/>
          <w:b/>
          <w:bCs w:val="0"/>
          <w:color w:val="auto"/>
          <w:sz w:val="24"/>
          <w:szCs w:val="20"/>
          <w:highlight w:val="none"/>
          <w:lang w:val="en-US" w:eastAsia="zh-CN" w:bidi="ar-SA"/>
        </w:rPr>
        <w:t>5.5.3 退役期大气环境影响分析</w:t>
      </w:r>
      <w:bookmarkEnd w:id="664"/>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lang w:val="en-US" w:eastAsia="zh-CN"/>
        </w:rPr>
        <w:t>井场</w:t>
      </w:r>
      <w:r>
        <w:rPr>
          <w:rFonts w:hint="eastAsia" w:ascii="Times New Roman" w:hAnsi="Times New Roman" w:eastAsia="宋体" w:cs="Times New Roman"/>
          <w:color w:val="auto"/>
          <w:highlight w:val="none"/>
          <w:lang w:eastAsia="zh-CN"/>
        </w:rPr>
        <w:t>退役后各种相关辅助工作均停止，</w:t>
      </w:r>
      <w:r>
        <w:rPr>
          <w:rFonts w:hint="eastAsia" w:ascii="Times New Roman" w:hAnsi="Times New Roman" w:eastAsia="宋体" w:cs="Times New Roman"/>
          <w:color w:val="auto"/>
          <w:highlight w:val="none"/>
          <w:lang w:val="en-US" w:eastAsia="zh-CN"/>
        </w:rPr>
        <w:t>油气开采</w:t>
      </w:r>
      <w:r>
        <w:rPr>
          <w:rFonts w:hint="eastAsia" w:ascii="Times New Roman" w:hAnsi="Times New Roman" w:eastAsia="宋体" w:cs="Times New Roman"/>
          <w:color w:val="auto"/>
          <w:highlight w:val="none"/>
          <w:lang w:eastAsia="zh-CN"/>
        </w:rPr>
        <w:t>造成的环境空气污染源将消失，</w:t>
      </w:r>
      <w:r>
        <w:rPr>
          <w:rFonts w:hint="eastAsia" w:ascii="Times New Roman" w:hAnsi="Times New Roman" w:eastAsia="宋体" w:cs="Times New Roman"/>
          <w:color w:val="auto"/>
          <w:highlight w:val="none"/>
          <w:lang w:val="en-US" w:eastAsia="zh-CN"/>
        </w:rPr>
        <w:t>井场退役期</w:t>
      </w:r>
      <w:r>
        <w:rPr>
          <w:rFonts w:hint="eastAsia" w:ascii="Times New Roman" w:hAnsi="Times New Roman" w:eastAsia="宋体" w:cs="Times New Roman"/>
          <w:color w:val="auto"/>
          <w:highlight w:val="none"/>
          <w:lang w:eastAsia="zh-CN"/>
        </w:rPr>
        <w:t>将进行一系列清理工作，包括地面设施拆除、封井、井场清理等，将会产生少量扬尘。与当地自然条件导致的风沙相比较，清理过程中扬尘造成的环境影响是暂时的，且该区域内活动人群较少，主要为油田工作人员。</w:t>
      </w:r>
    </w:p>
    <w:p>
      <w:pPr>
        <w:pStyle w:val="53"/>
        <w:bidi w:val="0"/>
        <w:rPr>
          <w:rFonts w:hint="default" w:ascii="黑体" w:hAnsi="黑体" w:eastAsia="黑体" w:cs="Times New Roman"/>
          <w:b/>
          <w:bCs w:val="0"/>
          <w:color w:val="auto"/>
          <w:sz w:val="24"/>
          <w:szCs w:val="20"/>
          <w:highlight w:val="none"/>
          <w:lang w:val="en-US" w:eastAsia="zh-CN" w:bidi="ar-SA"/>
        </w:rPr>
      </w:pPr>
      <w:r>
        <w:rPr>
          <w:rFonts w:hint="default" w:ascii="黑体" w:hAnsi="黑体" w:eastAsia="黑体" w:cs="Times New Roman"/>
          <w:b/>
          <w:bCs w:val="0"/>
          <w:color w:val="auto"/>
          <w:sz w:val="24"/>
          <w:szCs w:val="20"/>
          <w:highlight w:val="none"/>
          <w:lang w:val="en-US" w:eastAsia="zh-CN" w:bidi="ar-SA"/>
        </w:rPr>
        <w:fldChar w:fldCharType="begin"/>
      </w:r>
      <w:r>
        <w:rPr>
          <w:rFonts w:hint="default" w:ascii="黑体" w:hAnsi="黑体" w:eastAsia="黑体" w:cs="Times New Roman"/>
          <w:b/>
          <w:bCs w:val="0"/>
          <w:color w:val="auto"/>
          <w:sz w:val="24"/>
          <w:szCs w:val="20"/>
          <w:highlight w:val="none"/>
          <w:lang w:val="en-US" w:eastAsia="zh-CN" w:bidi="ar-SA"/>
        </w:rPr>
        <w:instrText xml:space="preserve"> HYPERLINK \l _Toc27272 </w:instrText>
      </w:r>
      <w:r>
        <w:rPr>
          <w:rFonts w:hint="default" w:ascii="黑体" w:hAnsi="黑体" w:eastAsia="黑体" w:cs="Times New Roman"/>
          <w:b/>
          <w:bCs w:val="0"/>
          <w:color w:val="auto"/>
          <w:sz w:val="24"/>
          <w:szCs w:val="20"/>
          <w:highlight w:val="none"/>
          <w:lang w:val="en-US" w:eastAsia="zh-CN" w:bidi="ar-SA"/>
        </w:rPr>
        <w:fldChar w:fldCharType="separate"/>
      </w:r>
      <w:r>
        <w:rPr>
          <w:rFonts w:hint="eastAsia" w:ascii="黑体" w:hAnsi="黑体" w:eastAsia="黑体" w:cs="Times New Roman"/>
          <w:b/>
          <w:bCs w:val="0"/>
          <w:color w:val="auto"/>
          <w:sz w:val="24"/>
          <w:szCs w:val="20"/>
          <w:highlight w:val="none"/>
          <w:lang w:val="en-US" w:eastAsia="zh-CN" w:bidi="ar-SA"/>
        </w:rPr>
        <w:t>5.</w:t>
      </w:r>
      <w:r>
        <w:rPr>
          <w:rFonts w:hint="default" w:ascii="黑体" w:hAnsi="黑体" w:eastAsia="黑体" w:cs="Times New Roman"/>
          <w:b/>
          <w:bCs w:val="0"/>
          <w:color w:val="auto"/>
          <w:sz w:val="24"/>
          <w:szCs w:val="20"/>
          <w:highlight w:val="none"/>
          <w:lang w:val="en-US" w:eastAsia="zh-CN" w:bidi="ar-SA"/>
        </w:rPr>
        <w:t>5</w:t>
      </w:r>
      <w:r>
        <w:rPr>
          <w:rFonts w:hint="eastAsia" w:ascii="黑体" w:hAnsi="黑体" w:eastAsia="黑体" w:cs="Times New Roman"/>
          <w:b/>
          <w:bCs w:val="0"/>
          <w:color w:val="auto"/>
          <w:sz w:val="24"/>
          <w:szCs w:val="20"/>
          <w:highlight w:val="none"/>
          <w:lang w:val="en-US" w:eastAsia="zh-CN" w:bidi="ar-SA"/>
        </w:rPr>
        <w:t>.</w:t>
      </w:r>
      <w:r>
        <w:rPr>
          <w:rFonts w:hint="default" w:ascii="黑体" w:hAnsi="黑体" w:eastAsia="黑体" w:cs="Times New Roman"/>
          <w:b/>
          <w:bCs w:val="0"/>
          <w:color w:val="auto"/>
          <w:sz w:val="24"/>
          <w:szCs w:val="20"/>
          <w:highlight w:val="none"/>
          <w:lang w:val="en-US" w:eastAsia="zh-CN" w:bidi="ar-SA"/>
        </w:rPr>
        <w:t>4大气</w:t>
      </w:r>
      <w:r>
        <w:rPr>
          <w:rFonts w:hint="eastAsia" w:ascii="黑体" w:hAnsi="黑体" w:eastAsia="黑体" w:cs="Times New Roman"/>
          <w:b/>
          <w:bCs w:val="0"/>
          <w:color w:val="auto"/>
          <w:sz w:val="24"/>
          <w:szCs w:val="20"/>
          <w:highlight w:val="none"/>
          <w:lang w:val="en-US" w:eastAsia="zh-CN" w:bidi="ar-SA"/>
        </w:rPr>
        <w:t>环境影响评价结论</w:t>
      </w:r>
      <w:r>
        <w:rPr>
          <w:rFonts w:hint="default" w:ascii="黑体" w:hAnsi="黑体" w:eastAsia="黑体" w:cs="Times New Roman"/>
          <w:b/>
          <w:bCs w:val="0"/>
          <w:color w:val="auto"/>
          <w:sz w:val="24"/>
          <w:szCs w:val="20"/>
          <w:highlight w:val="none"/>
          <w:lang w:val="en-US" w:eastAsia="zh-CN" w:bidi="ar-SA"/>
        </w:rPr>
        <w:fldChar w:fldCharType="end"/>
      </w:r>
    </w:p>
    <w:p>
      <w:pPr>
        <w:pStyle w:val="57"/>
        <w:pageBreakBefore w:val="0"/>
        <w:kinsoku/>
        <w:wordWrap/>
        <w:overflowPunct/>
        <w:topLinePunct w:val="0"/>
        <w:autoSpaceDE/>
        <w:autoSpaceDN/>
        <w:bidi w:val="0"/>
        <w:spacing w:line="480" w:lineRule="exact"/>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拟建工程位于环境质量达标区，污染源正常排放下非甲烷总烃短期浓度贡献值的最大浓度占标率均小于10%，污染物的贡献浓度较低，且出现距离较近，影响范围较小。本工程废气污染源对井场四周的贡献浓度均满足相应标准要求。拟建工程实施后大气环境影响可以接受。</w:t>
      </w:r>
    </w:p>
    <w:p>
      <w:pPr>
        <w:pStyle w:val="4"/>
        <w:keepNext/>
        <w:keepLines/>
        <w:pageBreakBefore w:val="0"/>
        <w:widowControl/>
        <w:kinsoku/>
        <w:wordWrap/>
        <w:overflowPunct/>
        <w:topLinePunct w:val="0"/>
        <w:autoSpaceDE/>
        <w:autoSpaceDN/>
        <w:bidi w:val="0"/>
        <w:adjustRightInd w:val="0"/>
        <w:snapToGrid w:val="0"/>
        <w:spacing w:line="360" w:lineRule="auto"/>
        <w:jc w:val="both"/>
        <w:textAlignment w:val="auto"/>
        <w:rPr>
          <w:rFonts w:hint="default"/>
          <w:color w:val="auto"/>
          <w:lang w:val="en-US" w:eastAsia="zh-CN"/>
        </w:rPr>
      </w:pPr>
      <w:r>
        <w:rPr>
          <w:rFonts w:hint="default" w:ascii="黑体" w:hAnsi="黑体" w:eastAsia="黑体" w:cs="Times New Roman"/>
          <w:b/>
          <w:bCs w:val="0"/>
          <w:color w:val="auto"/>
          <w:sz w:val="24"/>
          <w:szCs w:val="20"/>
          <w:highlight w:val="none"/>
          <w:lang w:val="en-US" w:eastAsia="zh-CN" w:bidi="ar-SA"/>
        </w:rPr>
        <w:fldChar w:fldCharType="begin"/>
      </w:r>
      <w:r>
        <w:rPr>
          <w:rFonts w:hint="default" w:ascii="黑体" w:hAnsi="黑体" w:eastAsia="黑体" w:cs="Times New Roman"/>
          <w:b/>
          <w:bCs w:val="0"/>
          <w:color w:val="auto"/>
          <w:sz w:val="24"/>
          <w:szCs w:val="20"/>
          <w:highlight w:val="none"/>
          <w:lang w:val="en-US" w:eastAsia="zh-CN" w:bidi="ar-SA"/>
        </w:rPr>
        <w:instrText xml:space="preserve"> HYPERLINK \l _Toc27272 </w:instrText>
      </w:r>
      <w:r>
        <w:rPr>
          <w:rFonts w:hint="default" w:ascii="黑体" w:hAnsi="黑体" w:eastAsia="黑体" w:cs="Times New Roman"/>
          <w:b/>
          <w:bCs w:val="0"/>
          <w:color w:val="auto"/>
          <w:sz w:val="24"/>
          <w:szCs w:val="20"/>
          <w:highlight w:val="none"/>
          <w:lang w:val="en-US" w:eastAsia="zh-CN" w:bidi="ar-SA"/>
        </w:rPr>
        <w:fldChar w:fldCharType="separate"/>
      </w:r>
      <w:r>
        <w:rPr>
          <w:rFonts w:hint="eastAsia" w:ascii="黑体" w:hAnsi="黑体" w:eastAsia="黑体" w:cs="Times New Roman"/>
          <w:b/>
          <w:bCs w:val="0"/>
          <w:color w:val="auto"/>
          <w:sz w:val="24"/>
          <w:szCs w:val="20"/>
          <w:highlight w:val="none"/>
          <w:lang w:val="en-US" w:eastAsia="zh-CN" w:bidi="ar-SA"/>
        </w:rPr>
        <w:t>5.</w:t>
      </w:r>
      <w:r>
        <w:rPr>
          <w:rFonts w:hint="default" w:ascii="黑体" w:hAnsi="黑体" w:eastAsia="黑体" w:cs="Times New Roman"/>
          <w:b/>
          <w:bCs w:val="0"/>
          <w:color w:val="auto"/>
          <w:sz w:val="24"/>
          <w:szCs w:val="20"/>
          <w:highlight w:val="none"/>
          <w:lang w:val="en-US" w:eastAsia="zh-CN" w:bidi="ar-SA"/>
        </w:rPr>
        <w:t>5</w:t>
      </w:r>
      <w:r>
        <w:rPr>
          <w:rFonts w:hint="eastAsia" w:ascii="黑体" w:hAnsi="黑体" w:eastAsia="黑体" w:cs="Times New Roman"/>
          <w:b/>
          <w:bCs w:val="0"/>
          <w:color w:val="auto"/>
          <w:sz w:val="24"/>
          <w:szCs w:val="20"/>
          <w:highlight w:val="none"/>
          <w:lang w:val="en-US" w:eastAsia="zh-CN" w:bidi="ar-SA"/>
        </w:rPr>
        <w:t>.5</w:t>
      </w:r>
      <w:r>
        <w:rPr>
          <w:rFonts w:hint="default" w:ascii="黑体" w:hAnsi="黑体" w:eastAsia="黑体" w:cs="Times New Roman"/>
          <w:b/>
          <w:bCs w:val="0"/>
          <w:color w:val="auto"/>
          <w:sz w:val="24"/>
          <w:szCs w:val="20"/>
          <w:highlight w:val="none"/>
          <w:lang w:val="en-US" w:eastAsia="zh-CN" w:bidi="ar-SA"/>
        </w:rPr>
        <w:fldChar w:fldCharType="end"/>
      </w:r>
      <w:r>
        <w:rPr>
          <w:rFonts w:hint="eastAsia" w:ascii="黑体" w:hAnsi="黑体" w:eastAsia="黑体" w:cs="Times New Roman"/>
          <w:b/>
          <w:bCs w:val="0"/>
          <w:color w:val="auto"/>
          <w:sz w:val="24"/>
          <w:szCs w:val="20"/>
          <w:highlight w:val="none"/>
          <w:lang w:val="en-US" w:eastAsia="zh-CN" w:bidi="ar-SA"/>
        </w:rPr>
        <w:t>大气环境影响评价自查表</w:t>
      </w:r>
    </w:p>
    <w:p>
      <w:pPr>
        <w:pStyle w:val="57"/>
        <w:pageBreakBefore w:val="0"/>
        <w:kinsoku/>
        <w:wordWrap/>
        <w:overflowPunct/>
        <w:topLinePunct w:val="0"/>
        <w:autoSpaceDE/>
        <w:autoSpaceDN/>
        <w:bidi w:val="0"/>
        <w:spacing w:line="480" w:lineRule="exact"/>
        <w:ind w:left="0" w:leftChars="0" w:firstLine="0" w:firstLineChars="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本项目大气环境影响评价自查表见表5.</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10</w:t>
      </w:r>
      <w:r>
        <w:rPr>
          <w:rFonts w:hint="eastAsia" w:ascii="Times New Roman" w:hAnsi="Times New Roman" w:eastAsia="宋体" w:cs="Times New Roman"/>
          <w:color w:val="auto"/>
          <w:highlight w:val="none"/>
          <w:lang w:eastAsia="zh-CN"/>
        </w:rPr>
        <w:t>。</w:t>
      </w:r>
    </w:p>
    <w:p>
      <w:pPr>
        <w:pStyle w:val="54"/>
        <w:pageBreakBefore w:val="0"/>
        <w:kinsoku/>
        <w:wordWrap/>
        <w:overflowPunct/>
        <w:topLinePunct w:val="0"/>
        <w:autoSpaceDE/>
        <w:autoSpaceDN/>
        <w:bidi w:val="0"/>
        <w:spacing w:line="480" w:lineRule="exact"/>
        <w:ind w:firstLine="482"/>
        <w:rPr>
          <w:rFonts w:hint="eastAsia" w:cs="Times New Roman"/>
          <w:color w:val="auto"/>
          <w:highlight w:val="none"/>
          <w:lang w:val="en-US" w:eastAsia="zh-CN"/>
        </w:rPr>
      </w:pPr>
      <w:r>
        <w:rPr>
          <w:rFonts w:hint="eastAsia" w:cs="Times New Roman"/>
          <w:color w:val="auto"/>
          <w:highlight w:val="none"/>
          <w:lang w:val="en-US" w:eastAsia="zh-CN"/>
        </w:rPr>
        <w:t>表5.5-10  大气环境影响评价自查表</w:t>
      </w:r>
    </w:p>
    <w:tbl>
      <w:tblPr>
        <w:tblStyle w:val="34"/>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799"/>
        <w:gridCol w:w="507"/>
        <w:gridCol w:w="791"/>
        <w:gridCol w:w="335"/>
        <w:gridCol w:w="814"/>
        <w:gridCol w:w="130"/>
        <w:gridCol w:w="75"/>
        <w:gridCol w:w="16"/>
        <w:gridCol w:w="715"/>
        <w:gridCol w:w="508"/>
        <w:gridCol w:w="232"/>
        <w:gridCol w:w="475"/>
        <w:gridCol w:w="380"/>
        <w:gridCol w:w="333"/>
        <w:gridCol w:w="512"/>
        <w:gridCol w:w="633"/>
        <w:gridCol w:w="422"/>
        <w:gridCol w:w="109"/>
        <w:gridCol w:w="88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210" w:type="pct"/>
            <w:gridSpan w:val="3"/>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工作内容</w:t>
            </w:r>
          </w:p>
        </w:tc>
        <w:tc>
          <w:tcPr>
            <w:tcW w:w="3789" w:type="pct"/>
            <w:gridSpan w:val="16"/>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评价等级与范围</w:t>
            </w:r>
          </w:p>
        </w:tc>
        <w:tc>
          <w:tcPr>
            <w:tcW w:w="749" w:type="pct"/>
            <w:gridSpan w:val="2"/>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评价等级</w:t>
            </w:r>
          </w:p>
        </w:tc>
        <w:tc>
          <w:tcPr>
            <w:tcW w:w="780" w:type="pct"/>
            <w:gridSpan w:val="4"/>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一级□</w:t>
            </w:r>
          </w:p>
        </w:tc>
        <w:tc>
          <w:tcPr>
            <w:tcW w:w="2499" w:type="pct"/>
            <w:gridSpan w:val="11"/>
            <w:tcBorders>
              <w:tl2br w:val="nil"/>
              <w:tr2bl w:val="nil"/>
            </w:tcBorders>
            <w:noWrap w:val="0"/>
            <w:vAlign w:val="center"/>
          </w:tcPr>
          <w:p>
            <w:pPr>
              <w:pStyle w:val="41"/>
              <w:bidi w:val="0"/>
              <w:rPr>
                <w:rFonts w:hint="eastAsia" w:ascii="Times New Roman" w:hAnsi="Times New Roman" w:eastAsia="宋体"/>
                <w:color w:val="auto"/>
                <w:sz w:val="21"/>
                <w:lang w:val="en-US" w:eastAsia="zh-CN"/>
              </w:rPr>
            </w:pPr>
            <w:r>
              <w:rPr>
                <w:rFonts w:ascii="Times New Roman" w:hAnsi="Times New Roman" w:eastAsia="宋体"/>
                <w:color w:val="auto"/>
                <w:sz w:val="21"/>
                <w:lang w:val="en-US" w:eastAsia="zh-CN"/>
              </w:rPr>
              <w:t>二级</w:t>
            </w:r>
            <w:r>
              <w:rPr>
                <w:rFonts w:hint="eastAsia" w:ascii="Times New Roman" w:hAnsi="Times New Roman" w:eastAsia="宋体"/>
                <w:color w:val="auto"/>
                <w:sz w:val="21"/>
                <w:lang w:val="en-US" w:eastAsia="zh-CN"/>
              </w:rPr>
              <w:sym w:font="Wingdings 2" w:char="0052"/>
            </w:r>
          </w:p>
        </w:tc>
        <w:tc>
          <w:tcPr>
            <w:tcW w:w="510" w:type="pct"/>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三级</w:t>
            </w:r>
            <w:r>
              <w:rPr>
                <w:rFonts w:hint="eastAsia"/>
                <w:color w:val="auto"/>
                <w:sz w:val="21"/>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pStyle w:val="41"/>
              <w:bidi w:val="0"/>
              <w:rPr>
                <w:rFonts w:ascii="Times New Roman" w:hAnsi="Times New Roman" w:eastAsia="宋体"/>
                <w:color w:val="auto"/>
                <w:sz w:val="21"/>
                <w:lang w:val="en-US" w:eastAsia="zh-CN"/>
              </w:rPr>
            </w:pPr>
          </w:p>
        </w:tc>
        <w:tc>
          <w:tcPr>
            <w:tcW w:w="749" w:type="pct"/>
            <w:gridSpan w:val="2"/>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评价范围</w:t>
            </w:r>
          </w:p>
        </w:tc>
        <w:tc>
          <w:tcPr>
            <w:tcW w:w="780" w:type="pct"/>
            <w:gridSpan w:val="4"/>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边长=50km□</w:t>
            </w:r>
          </w:p>
        </w:tc>
        <w:tc>
          <w:tcPr>
            <w:tcW w:w="2499" w:type="pct"/>
            <w:gridSpan w:val="11"/>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边长5～50km□</w:t>
            </w:r>
          </w:p>
        </w:tc>
        <w:tc>
          <w:tcPr>
            <w:tcW w:w="510" w:type="pct"/>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边长=5km</w:t>
            </w:r>
            <w:r>
              <w:rPr>
                <w:rFonts w:hint="eastAsia" w:ascii="Times New Roman" w:hAnsi="Times New Roman" w:eastAsia="宋体"/>
                <w:color w:val="auto"/>
                <w:sz w:val="21"/>
                <w:lang w:val="en-US" w:eastAsia="zh-CN"/>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评价因子</w:t>
            </w:r>
          </w:p>
        </w:tc>
        <w:tc>
          <w:tcPr>
            <w:tcW w:w="749" w:type="pct"/>
            <w:gridSpan w:val="2"/>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SO</w:t>
            </w:r>
            <w:r>
              <w:rPr>
                <w:rFonts w:ascii="Times New Roman" w:hAnsi="Times New Roman" w:eastAsia="宋体"/>
                <w:color w:val="auto"/>
                <w:sz w:val="21"/>
                <w:vertAlign w:val="subscript"/>
                <w:lang w:val="en-US" w:eastAsia="zh-CN"/>
              </w:rPr>
              <w:t>2</w:t>
            </w:r>
            <w:r>
              <w:rPr>
                <w:rFonts w:ascii="Times New Roman" w:hAnsi="Times New Roman" w:eastAsia="宋体"/>
                <w:color w:val="auto"/>
                <w:sz w:val="21"/>
                <w:lang w:val="en-US" w:eastAsia="zh-CN"/>
              </w:rPr>
              <w:t>+NO</w:t>
            </w:r>
            <w:r>
              <w:rPr>
                <w:rFonts w:ascii="Times New Roman" w:hAnsi="Times New Roman" w:eastAsia="宋体"/>
                <w:color w:val="auto"/>
                <w:sz w:val="21"/>
                <w:vertAlign w:val="subscript"/>
                <w:lang w:val="en-US" w:eastAsia="zh-CN"/>
              </w:rPr>
              <w:t>x</w:t>
            </w:r>
            <w:r>
              <w:rPr>
                <w:rFonts w:ascii="Times New Roman" w:hAnsi="Times New Roman" w:eastAsia="宋体"/>
                <w:color w:val="auto"/>
                <w:sz w:val="21"/>
                <w:lang w:val="en-US" w:eastAsia="zh-CN"/>
              </w:rPr>
              <w:t>排放量</w:t>
            </w:r>
          </w:p>
        </w:tc>
        <w:tc>
          <w:tcPr>
            <w:tcW w:w="780" w:type="pct"/>
            <w:gridSpan w:val="4"/>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ascii="Times New Roman" w:hAnsi="Times New Roman" w:eastAsia="宋体"/>
                <w:color w:val="auto"/>
                <w:sz w:val="21"/>
                <w:lang w:val="en-US" w:eastAsia="zh-CN"/>
              </w:rPr>
              <w:t>≥ 2000t/a□</w:t>
            </w:r>
          </w:p>
        </w:tc>
        <w:tc>
          <w:tcPr>
            <w:tcW w:w="2499" w:type="pct"/>
            <w:gridSpan w:val="11"/>
            <w:tcBorders>
              <w:tl2br w:val="nil"/>
              <w:tr2bl w:val="nil"/>
            </w:tcBorders>
            <w:noWrap w:val="0"/>
            <w:vAlign w:val="center"/>
          </w:tcPr>
          <w:p>
            <w:pPr>
              <w:pStyle w:val="41"/>
              <w:bidi w:val="0"/>
              <w:rPr>
                <w:rFonts w:hint="eastAsia" w:ascii="Times New Roman" w:hAnsi="Times New Roman" w:eastAsia="宋体"/>
                <w:color w:val="auto"/>
                <w:sz w:val="21"/>
                <w:lang w:val="en-US" w:eastAsia="zh-CN"/>
              </w:rPr>
            </w:pPr>
            <w:r>
              <w:rPr>
                <w:rFonts w:ascii="Times New Roman" w:hAnsi="Times New Roman" w:eastAsia="宋体"/>
                <w:color w:val="auto"/>
                <w:sz w:val="21"/>
                <w:lang w:val="en-US" w:eastAsia="zh-CN"/>
              </w:rPr>
              <w:t>500～2000t/a□</w:t>
            </w:r>
          </w:p>
        </w:tc>
        <w:tc>
          <w:tcPr>
            <w:tcW w:w="510" w:type="pct"/>
            <w:tcBorders>
              <w:tl2br w:val="nil"/>
              <w:tr2bl w:val="nil"/>
            </w:tcBorders>
            <w:noWrap w:val="0"/>
            <w:vAlign w:val="center"/>
          </w:tcPr>
          <w:p>
            <w:pPr>
              <w:pStyle w:val="41"/>
              <w:bidi w:val="0"/>
              <w:rPr>
                <w:rFonts w:ascii="Times New Roman" w:hAnsi="Times New Roman" w:eastAsia="宋体"/>
                <w:color w:val="auto"/>
                <w:sz w:val="21"/>
                <w:lang w:val="en-US" w:eastAsia="zh-CN"/>
              </w:rPr>
            </w:pPr>
            <w:r>
              <w:rPr>
                <w:rFonts w:hint="eastAsia" w:ascii="Times New Roman" w:hAnsi="Times New Roman" w:eastAsia="宋体"/>
                <w:color w:val="auto"/>
                <w:sz w:val="21"/>
                <w:lang w:val="en-US" w:eastAsia="zh-CN"/>
              </w:rPr>
              <w:t>&lt;</w:t>
            </w:r>
            <w:r>
              <w:rPr>
                <w:rFonts w:ascii="Times New Roman" w:hAnsi="Times New Roman" w:eastAsia="宋体"/>
                <w:color w:val="auto"/>
                <w:sz w:val="21"/>
                <w:lang w:val="en-US" w:eastAsia="zh-CN"/>
              </w:rPr>
              <w:t>500t/a</w:t>
            </w:r>
            <w:r>
              <w:rPr>
                <w:rFonts w:hint="eastAsia" w:ascii="Times New Roman" w:hAnsi="Times New Roman" w:eastAsia="宋体"/>
                <w:color w:val="auto"/>
                <w:sz w:val="21"/>
                <w:lang w:val="en-US" w:eastAsia="zh-CN"/>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评价因子</w:t>
            </w:r>
          </w:p>
        </w:tc>
        <w:tc>
          <w:tcPr>
            <w:tcW w:w="2121" w:type="pct"/>
            <w:gridSpan w:val="10"/>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 xml:space="preserve">基本污染物 </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PM</w:t>
            </w:r>
            <w:r>
              <w:rPr>
                <w:rFonts w:ascii="Times New Roman" w:hAnsi="Times New Roman" w:eastAsia="宋体" w:cs="Times New Roman"/>
                <w:color w:val="auto"/>
                <w:kern w:val="2"/>
                <w:sz w:val="21"/>
                <w:highlight w:val="none"/>
                <w:vertAlign w:val="subscript"/>
                <w:lang w:val="en-US" w:eastAsia="zh-CN" w:bidi="ar-SA"/>
              </w:rPr>
              <w:t>2.5</w:t>
            </w:r>
            <w:r>
              <w:rPr>
                <w:rFonts w:ascii="Times New Roman" w:hAnsi="Times New Roman" w:eastAsia="宋体" w:cs="Times New Roman"/>
                <w:color w:val="auto"/>
                <w:kern w:val="2"/>
                <w:sz w:val="21"/>
                <w:highlight w:val="none"/>
                <w:lang w:val="en-US" w:eastAsia="zh-CN" w:bidi="ar-SA"/>
              </w:rPr>
              <w:t>、PM</w:t>
            </w:r>
            <w:r>
              <w:rPr>
                <w:rFonts w:ascii="Times New Roman" w:hAnsi="Times New Roman" w:eastAsia="宋体" w:cs="Times New Roman"/>
                <w:color w:val="auto"/>
                <w:kern w:val="2"/>
                <w:sz w:val="21"/>
                <w:highlight w:val="none"/>
                <w:vertAlign w:val="subscript"/>
                <w:lang w:val="en-US" w:eastAsia="zh-CN" w:bidi="ar-SA"/>
              </w:rPr>
              <w:t>10</w:t>
            </w:r>
            <w:r>
              <w:rPr>
                <w:rFonts w:ascii="Times New Roman" w:hAnsi="Times New Roman" w:eastAsia="宋体" w:cs="Times New Roman"/>
                <w:color w:val="auto"/>
                <w:kern w:val="2"/>
                <w:sz w:val="21"/>
                <w:highlight w:val="none"/>
                <w:lang w:val="en-US" w:eastAsia="zh-CN" w:bidi="ar-SA"/>
              </w:rPr>
              <w:t>、SO</w:t>
            </w:r>
            <w:r>
              <w:rPr>
                <w:rFonts w:ascii="Times New Roman" w:hAnsi="Times New Roman" w:eastAsia="宋体" w:cs="Times New Roman"/>
                <w:color w:val="auto"/>
                <w:kern w:val="2"/>
                <w:sz w:val="21"/>
                <w:highlight w:val="none"/>
                <w:vertAlign w:val="subscript"/>
                <w:lang w:val="en-US" w:eastAsia="zh-CN" w:bidi="ar-SA"/>
              </w:rPr>
              <w:t>2</w:t>
            </w:r>
            <w:r>
              <w:rPr>
                <w:rFonts w:ascii="Times New Roman" w:hAnsi="Times New Roman" w:eastAsia="宋体" w:cs="Times New Roman"/>
                <w:color w:val="auto"/>
                <w:kern w:val="2"/>
                <w:sz w:val="21"/>
                <w:highlight w:val="none"/>
                <w:lang w:val="en-US" w:eastAsia="zh-CN" w:bidi="ar-SA"/>
              </w:rPr>
              <w:t>、NO</w:t>
            </w:r>
            <w:r>
              <w:rPr>
                <w:rFonts w:ascii="Times New Roman" w:hAnsi="Times New Roman" w:eastAsia="宋体" w:cs="Times New Roman"/>
                <w:color w:val="auto"/>
                <w:kern w:val="2"/>
                <w:sz w:val="21"/>
                <w:highlight w:val="none"/>
                <w:vertAlign w:val="subscript"/>
                <w:lang w:val="en-US" w:eastAsia="zh-CN" w:bidi="ar-SA"/>
              </w:rPr>
              <w:t>2</w:t>
            </w:r>
            <w:r>
              <w:rPr>
                <w:rFonts w:ascii="Times New Roman" w:hAnsi="Times New Roman" w:eastAsia="宋体" w:cs="Times New Roman"/>
                <w:color w:val="auto"/>
                <w:kern w:val="2"/>
                <w:sz w:val="21"/>
                <w:highlight w:val="none"/>
                <w:lang w:val="en-US" w:eastAsia="zh-CN" w:bidi="ar-SA"/>
              </w:rPr>
              <w:t>、CO、O</w:t>
            </w:r>
            <w:r>
              <w:rPr>
                <w:rFonts w:ascii="Times New Roman" w:hAnsi="Times New Roman" w:eastAsia="宋体" w:cs="Times New Roman"/>
                <w:color w:val="auto"/>
                <w:kern w:val="2"/>
                <w:sz w:val="21"/>
                <w:highlight w:val="none"/>
                <w:vertAlign w:val="subscript"/>
                <w:lang w:val="en-US" w:eastAsia="zh-CN" w:bidi="ar-SA"/>
              </w:rPr>
              <w:t>3</w:t>
            </w:r>
            <w:r>
              <w:rPr>
                <w:rFonts w:hint="eastAsia" w:ascii="Times New Roman" w:hAnsi="Times New Roman" w:eastAsia="宋体" w:cs="Times New Roman"/>
                <w:color w:val="auto"/>
                <w:kern w:val="2"/>
                <w:sz w:val="21"/>
                <w:highlight w:val="none"/>
                <w:lang w:val="en-US" w:eastAsia="zh-CN" w:bidi="ar-SA"/>
              </w:rPr>
              <w:t>）</w:t>
            </w:r>
          </w:p>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其他污染物</w:t>
            </w:r>
            <w:r>
              <w:rPr>
                <w:rFonts w:hint="eastAsia" w:ascii="Times New Roman" w:hAnsi="Times New Roman" w:eastAsia="宋体" w:cs="Times New Roman"/>
                <w:color w:val="auto"/>
                <w:kern w:val="2"/>
                <w:sz w:val="21"/>
                <w:highlight w:val="none"/>
                <w:lang w:val="en-US" w:eastAsia="zh-CN" w:bidi="ar-SA"/>
              </w:rPr>
              <w:t>（</w:t>
            </w:r>
            <w:r>
              <w:rPr>
                <w:rFonts w:hint="default" w:ascii="Times New Roman" w:hAnsi="Times New Roman" w:eastAsia="宋体" w:cs="Times New Roman"/>
                <w:color w:val="auto"/>
                <w:kern w:val="2"/>
                <w:sz w:val="21"/>
                <w:highlight w:val="none"/>
                <w:lang w:val="en-US" w:eastAsia="zh-CN" w:bidi="ar-SA"/>
              </w:rPr>
              <w:t>NMHC</w:t>
            </w:r>
            <w:r>
              <w:rPr>
                <w:rFonts w:hint="eastAsia" w:ascii="Times New Roman" w:hAnsi="Times New Roman" w:eastAsia="宋体" w:cs="Times New Roman"/>
                <w:color w:val="auto"/>
                <w:kern w:val="2"/>
                <w:sz w:val="21"/>
                <w:highlight w:val="none"/>
                <w:lang w:val="en-US" w:eastAsia="zh-CN" w:bidi="ar-SA"/>
              </w:rPr>
              <w:t>、</w:t>
            </w:r>
            <w:r>
              <w:rPr>
                <w:rFonts w:hint="eastAsia" w:cs="Times New Roman"/>
                <w:color w:val="auto"/>
                <w:kern w:val="2"/>
                <w:sz w:val="21"/>
                <w:highlight w:val="none"/>
                <w:lang w:val="en-US" w:eastAsia="zh-CN" w:bidi="ar-SA"/>
              </w:rPr>
              <w:t>硫化氢</w:t>
            </w:r>
            <w:r>
              <w:rPr>
                <w:rFonts w:hint="eastAsia" w:ascii="Times New Roman" w:hAnsi="Times New Roman" w:eastAsia="宋体" w:cs="Times New Roman"/>
                <w:color w:val="auto"/>
                <w:kern w:val="2"/>
                <w:sz w:val="21"/>
                <w:highlight w:val="none"/>
                <w:lang w:val="en-US" w:eastAsia="zh-CN" w:bidi="ar-SA"/>
              </w:rPr>
              <w:t>）</w:t>
            </w:r>
          </w:p>
        </w:tc>
        <w:tc>
          <w:tcPr>
            <w:tcW w:w="1667" w:type="pct"/>
            <w:gridSpan w:val="6"/>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包括二次PM</w:t>
            </w:r>
            <w:r>
              <w:rPr>
                <w:rFonts w:ascii="Times New Roman" w:hAnsi="Times New Roman" w:eastAsia="宋体" w:cs="Times New Roman"/>
                <w:color w:val="auto"/>
                <w:kern w:val="2"/>
                <w:sz w:val="21"/>
                <w:highlight w:val="none"/>
                <w:vertAlign w:val="subscript"/>
                <w:lang w:val="en-US" w:eastAsia="zh-CN" w:bidi="ar-SA"/>
              </w:rPr>
              <w:t>2.5</w:t>
            </w:r>
            <w:r>
              <w:rPr>
                <w:rFonts w:ascii="Times New Roman" w:hAnsi="Times New Roman" w:eastAsia="宋体" w:cs="Times New Roman"/>
                <w:color w:val="auto"/>
                <w:kern w:val="2"/>
                <w:sz w:val="21"/>
                <w:highlight w:val="none"/>
                <w:lang w:val="en-US" w:eastAsia="zh-CN" w:bidi="ar-SA"/>
              </w:rPr>
              <w:t>□</w:t>
            </w:r>
          </w:p>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不含二次PM</w:t>
            </w:r>
            <w:r>
              <w:rPr>
                <w:rFonts w:ascii="Times New Roman" w:hAnsi="Times New Roman" w:eastAsia="宋体" w:cs="Times New Roman"/>
                <w:color w:val="auto"/>
                <w:kern w:val="2"/>
                <w:sz w:val="21"/>
                <w:highlight w:val="none"/>
                <w:vertAlign w:val="subscript"/>
                <w:lang w:val="en-US" w:eastAsia="zh-CN" w:bidi="ar-SA"/>
              </w:rPr>
              <w:t>2.5</w:t>
            </w:r>
            <w:r>
              <w:rPr>
                <w:rFonts w:ascii="Times New Roman" w:hAnsi="Times New Roman" w:eastAsia="宋体" w:cs="Times New Roman"/>
                <w:color w:val="auto"/>
                <w:kern w:val="2"/>
                <w:sz w:val="21"/>
                <w:highlight w:val="none"/>
                <w:lang w:val="en-US" w:eastAsia="zh-CN" w:bidi="ar-SA"/>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评价标准</w:t>
            </w: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评价标准</w:t>
            </w:r>
          </w:p>
        </w:tc>
        <w:tc>
          <w:tcPr>
            <w:tcW w:w="780" w:type="pct"/>
            <w:gridSpan w:val="4"/>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国家标准</w:t>
            </w:r>
            <w:r>
              <w:rPr>
                <w:rFonts w:hint="eastAsia" w:ascii="Times New Roman" w:hAnsi="Times New Roman" w:eastAsia="宋体" w:cs="Times New Roman"/>
                <w:color w:val="auto"/>
                <w:kern w:val="2"/>
                <w:sz w:val="21"/>
                <w:highlight w:val="none"/>
                <w:lang w:val="en-US" w:eastAsia="zh-CN" w:bidi="ar-SA"/>
              </w:rPr>
              <w:sym w:font="Wingdings 2" w:char="00A3"/>
            </w:r>
          </w:p>
        </w:tc>
        <w:tc>
          <w:tcPr>
            <w:tcW w:w="1341" w:type="pct"/>
            <w:gridSpan w:val="6"/>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地方标准□</w:t>
            </w:r>
          </w:p>
        </w:tc>
        <w:tc>
          <w:tcPr>
            <w:tcW w:w="1157"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 xml:space="preserve">附录D </w:t>
            </w:r>
            <w:r>
              <w:rPr>
                <w:rFonts w:hint="eastAsia" w:ascii="Times New Roman" w:hAnsi="Times New Roman" w:eastAsia="宋体" w:cs="Times New Roman"/>
                <w:color w:val="auto"/>
                <w:kern w:val="2"/>
                <w:sz w:val="21"/>
                <w:highlight w:val="none"/>
                <w:lang w:val="en-US" w:eastAsia="zh-CN" w:bidi="ar-SA"/>
              </w:rPr>
              <w:sym w:font="Wingdings 2" w:char="0052"/>
            </w:r>
          </w:p>
        </w:tc>
        <w:tc>
          <w:tcPr>
            <w:tcW w:w="510"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其他标准</w:t>
            </w:r>
            <w:r>
              <w:rPr>
                <w:rFonts w:hint="eastAsia" w:ascii="Times New Roman" w:hAnsi="Times New Roman" w:eastAsia="宋体" w:cs="Times New Roman"/>
                <w:color w:val="auto"/>
                <w:kern w:val="2"/>
                <w:sz w:val="21"/>
                <w:highlight w:val="none"/>
                <w:lang w:val="en-US" w:eastAsia="zh-CN" w:bidi="ar-SA"/>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现状评价</w:t>
            </w: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环境功能区</w:t>
            </w:r>
          </w:p>
        </w:tc>
        <w:tc>
          <w:tcPr>
            <w:tcW w:w="1201" w:type="pct"/>
            <w:gridSpan w:val="6"/>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一类区□</w:t>
            </w:r>
          </w:p>
        </w:tc>
        <w:tc>
          <w:tcPr>
            <w:tcW w:w="2078" w:type="pct"/>
            <w:gridSpan w:val="9"/>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二类区</w:t>
            </w:r>
            <w:r>
              <w:rPr>
                <w:rFonts w:hint="eastAsia" w:ascii="Times New Roman" w:hAnsi="Times New Roman" w:eastAsia="宋体" w:cs="Times New Roman"/>
                <w:color w:val="auto"/>
                <w:kern w:val="2"/>
                <w:sz w:val="21"/>
                <w:highlight w:val="none"/>
                <w:lang w:val="en-US" w:eastAsia="zh-CN" w:bidi="ar-SA"/>
              </w:rPr>
              <w:sym w:font="Wingdings 2" w:char="0052"/>
            </w:r>
          </w:p>
        </w:tc>
        <w:tc>
          <w:tcPr>
            <w:tcW w:w="510"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一类区和二类区□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评价基准年</w:t>
            </w:r>
          </w:p>
        </w:tc>
        <w:tc>
          <w:tcPr>
            <w:tcW w:w="3789" w:type="pct"/>
            <w:gridSpan w:val="16"/>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202</w:t>
            </w:r>
            <w:r>
              <w:rPr>
                <w:rFonts w:hint="eastAsia" w:cs="Times New Roman"/>
                <w:color w:val="auto"/>
                <w:kern w:val="2"/>
                <w:sz w:val="21"/>
                <w:highlight w:val="none"/>
                <w:lang w:val="en-US" w:eastAsia="zh-CN" w:bidi="ar-SA"/>
              </w:rPr>
              <w:t>4</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环境空气质量现状调查数据来源</w:t>
            </w:r>
          </w:p>
        </w:tc>
        <w:tc>
          <w:tcPr>
            <w:tcW w:w="780" w:type="pct"/>
            <w:gridSpan w:val="4"/>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长期例行监测数据</w:t>
            </w:r>
            <w:r>
              <w:rPr>
                <w:rFonts w:ascii="Times New Roman" w:hAnsi="Times New Roman" w:eastAsia="宋体" w:cs="Times New Roman"/>
                <w:color w:val="auto"/>
                <w:kern w:val="2"/>
                <w:sz w:val="21"/>
                <w:highlight w:val="none"/>
                <w:lang w:val="en-US" w:eastAsia="zh-CN" w:bidi="ar-SA"/>
              </w:rPr>
              <w:sym w:font="Wingdings 2" w:char="00A3"/>
            </w:r>
          </w:p>
        </w:tc>
        <w:tc>
          <w:tcPr>
            <w:tcW w:w="2499" w:type="pct"/>
            <w:gridSpan w:val="11"/>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主管部门发布的数据</w:t>
            </w:r>
            <w:r>
              <w:rPr>
                <w:rFonts w:ascii="Times New Roman" w:hAnsi="Times New Roman" w:eastAsia="宋体" w:cs="Times New Roman"/>
                <w:color w:val="auto"/>
                <w:kern w:val="2"/>
                <w:sz w:val="21"/>
                <w:highlight w:val="none"/>
                <w:lang w:val="en-US" w:eastAsia="zh-CN" w:bidi="ar-SA"/>
              </w:rPr>
              <w:sym w:font="Wingdings 2" w:char="0052"/>
            </w:r>
          </w:p>
        </w:tc>
        <w:tc>
          <w:tcPr>
            <w:tcW w:w="510"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现状补充监测</w:t>
            </w:r>
            <w:r>
              <w:rPr>
                <w:rFonts w:ascii="Times New Roman" w:hAnsi="Times New Roman" w:eastAsia="宋体" w:cs="Times New Roman"/>
                <w:color w:val="auto"/>
                <w:kern w:val="2"/>
                <w:sz w:val="21"/>
                <w:highlight w:val="none"/>
                <w:lang w:val="en-US" w:eastAsia="zh-CN" w:bidi="ar-SA"/>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现状评价</w:t>
            </w:r>
          </w:p>
        </w:tc>
        <w:tc>
          <w:tcPr>
            <w:tcW w:w="2973" w:type="pct"/>
            <w:gridSpan w:val="13"/>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达标区</w:t>
            </w:r>
            <w:r>
              <w:rPr>
                <w:rFonts w:hint="eastAsia" w:cs="Times New Roman"/>
                <w:color w:val="auto"/>
                <w:kern w:val="2"/>
                <w:sz w:val="21"/>
                <w:highlight w:val="none"/>
                <w:lang w:val="en-US" w:eastAsia="zh-CN" w:bidi="ar-SA"/>
              </w:rPr>
              <w:t>☑</w:t>
            </w:r>
          </w:p>
        </w:tc>
        <w:tc>
          <w:tcPr>
            <w:tcW w:w="816" w:type="pct"/>
            <w:gridSpan w:val="3"/>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不达标区</w:t>
            </w:r>
            <w:r>
              <w:rPr>
                <w:rFonts w:hint="eastAsia" w:ascii="Times New Roman" w:hAnsi="Times New Roman" w:eastAsia="宋体" w:cs="Times New Roman"/>
                <w:color w:val="auto"/>
                <w:kern w:val="2"/>
                <w:sz w:val="21"/>
                <w:highlight w:val="no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污染源</w:t>
            </w:r>
          </w:p>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调查</w:t>
            </w: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调查内容</w:t>
            </w:r>
          </w:p>
        </w:tc>
        <w:tc>
          <w:tcPr>
            <w:tcW w:w="780" w:type="pct"/>
            <w:gridSpan w:val="4"/>
            <w:tcBorders>
              <w:tl2br w:val="nil"/>
              <w:tr2bl w:val="nil"/>
            </w:tcBorders>
            <w:noWrap w:val="0"/>
            <w:vAlign w:val="center"/>
          </w:tcPr>
          <w:p>
            <w:pPr>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本项目</w:t>
            </w:r>
            <w:r>
              <w:rPr>
                <w:rFonts w:ascii="Times New Roman" w:hAnsi="Times New Roman" w:eastAsia="宋体" w:cs="Times New Roman"/>
                <w:color w:val="auto"/>
                <w:kern w:val="2"/>
                <w:sz w:val="21"/>
                <w:highlight w:val="none"/>
                <w:lang w:val="en-US" w:eastAsia="zh-CN" w:bidi="ar-SA"/>
              </w:rPr>
              <w:t>正常排放源</w:t>
            </w:r>
            <w:r>
              <w:rPr>
                <w:rFonts w:hint="eastAsia" w:ascii="Times New Roman" w:hAnsi="Times New Roman" w:eastAsia="宋体" w:cs="Times New Roman"/>
                <w:color w:val="auto"/>
                <w:kern w:val="2"/>
                <w:sz w:val="21"/>
                <w:highlight w:val="none"/>
                <w:lang w:val="en-US" w:eastAsia="zh-CN" w:bidi="ar-SA"/>
              </w:rPr>
              <w:sym w:font="Wingdings 2" w:char="0052"/>
            </w:r>
          </w:p>
          <w:p>
            <w:pPr>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本项目</w:t>
            </w:r>
            <w:r>
              <w:rPr>
                <w:rFonts w:ascii="Times New Roman" w:hAnsi="Times New Roman" w:eastAsia="宋体" w:cs="Times New Roman"/>
                <w:color w:val="auto"/>
                <w:kern w:val="2"/>
                <w:sz w:val="21"/>
                <w:highlight w:val="none"/>
                <w:lang w:val="en-US" w:eastAsia="zh-CN" w:bidi="ar-SA"/>
              </w:rPr>
              <w:t>非正常排放源□</w:t>
            </w:r>
          </w:p>
          <w:p>
            <w:pPr>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现有污染源□</w:t>
            </w:r>
          </w:p>
        </w:tc>
        <w:tc>
          <w:tcPr>
            <w:tcW w:w="1533" w:type="pct"/>
            <w:gridSpan w:val="7"/>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拟替代的污染源□</w:t>
            </w:r>
          </w:p>
        </w:tc>
        <w:tc>
          <w:tcPr>
            <w:tcW w:w="965" w:type="pct"/>
            <w:gridSpan w:val="4"/>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其他在建、拟建项目污染源□</w:t>
            </w:r>
          </w:p>
        </w:tc>
        <w:tc>
          <w:tcPr>
            <w:tcW w:w="510"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区域污染源</w:t>
            </w:r>
            <w:r>
              <w:rPr>
                <w:rFonts w:ascii="Times New Roman" w:hAnsi="Times New Roman" w:eastAsia="宋体" w:cs="Times New Roman"/>
                <w:color w:val="auto"/>
                <w:kern w:val="2"/>
                <w:sz w:val="21"/>
                <w:highlight w:val="none"/>
                <w:lang w:val="en-US" w:eastAsia="zh-CN" w:bidi="ar-SA"/>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大气环境影响预测与评价</w:t>
            </w:r>
          </w:p>
        </w:tc>
        <w:tc>
          <w:tcPr>
            <w:tcW w:w="293"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预测模型</w:t>
            </w:r>
          </w:p>
        </w:tc>
        <w:tc>
          <w:tcPr>
            <w:tcW w:w="648"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AERMOD□</w:t>
            </w:r>
          </w:p>
        </w:tc>
        <w:tc>
          <w:tcPr>
            <w:tcW w:w="469"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ADMS□</w:t>
            </w:r>
          </w:p>
        </w:tc>
        <w:tc>
          <w:tcPr>
            <w:tcW w:w="832"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AUSTAL2000□</w:t>
            </w:r>
          </w:p>
        </w:tc>
        <w:tc>
          <w:tcPr>
            <w:tcW w:w="819" w:type="pct"/>
            <w:gridSpan w:val="4"/>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EDMS/AEDT□</w:t>
            </w:r>
          </w:p>
        </w:tc>
        <w:tc>
          <w:tcPr>
            <w:tcW w:w="65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CALPUFF□</w:t>
            </w:r>
          </w:p>
        </w:tc>
        <w:tc>
          <w:tcPr>
            <w:tcW w:w="305"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网格模型□</w:t>
            </w:r>
          </w:p>
        </w:tc>
        <w:tc>
          <w:tcPr>
            <w:tcW w:w="510"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其他</w:t>
            </w:r>
            <w:r>
              <w:rPr>
                <w:rFonts w:hint="eastAsia" w:ascii="Times New Roman" w:hAnsi="Times New Roman" w:eastAsia="宋体" w:cs="Times New Roman"/>
                <w:color w:val="auto"/>
                <w:kern w:val="2"/>
                <w:sz w:val="21"/>
                <w:highlight w:val="none"/>
                <w:lang w:val="en-US" w:eastAsia="zh-CN" w:bidi="ar-SA"/>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预测范围</w:t>
            </w:r>
          </w:p>
        </w:tc>
        <w:tc>
          <w:tcPr>
            <w:tcW w:w="469" w:type="pc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边长≥ 50km□</w:t>
            </w:r>
          </w:p>
        </w:tc>
        <w:tc>
          <w:tcPr>
            <w:tcW w:w="1651" w:type="pct"/>
            <w:gridSpan w:val="9"/>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边长5～50km □</w:t>
            </w:r>
          </w:p>
        </w:tc>
        <w:tc>
          <w:tcPr>
            <w:tcW w:w="1475"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边长=5km</w:t>
            </w:r>
            <w:r>
              <w:rPr>
                <w:rFonts w:ascii="Times New Roman" w:hAnsi="Times New Roman" w:eastAsia="宋体" w:cs="Times New Roman"/>
                <w:color w:val="auto"/>
                <w:kern w:val="2"/>
                <w:sz w:val="21"/>
                <w:highlight w:val="none"/>
                <w:lang w:val="en-US" w:eastAsia="zh-CN" w:bidi="ar-SA"/>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预测因子</w:t>
            </w:r>
          </w:p>
        </w:tc>
        <w:tc>
          <w:tcPr>
            <w:tcW w:w="2120" w:type="pct"/>
            <w:gridSpan w:val="10"/>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预测因子</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非甲烷总烃</w:t>
            </w:r>
            <w:r>
              <w:rPr>
                <w:rFonts w:hint="eastAsia" w:ascii="Times New Roman" w:hAnsi="Times New Roman" w:eastAsia="宋体" w:cs="Times New Roman"/>
                <w:color w:val="auto"/>
                <w:kern w:val="2"/>
                <w:sz w:val="21"/>
                <w:highlight w:val="none"/>
                <w:lang w:val="en-US" w:eastAsia="zh-CN" w:bidi="ar-SA"/>
              </w:rPr>
              <w:t>）</w:t>
            </w:r>
          </w:p>
        </w:tc>
        <w:tc>
          <w:tcPr>
            <w:tcW w:w="1475"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包括二次PM</w:t>
            </w:r>
            <w:r>
              <w:rPr>
                <w:rFonts w:ascii="Times New Roman" w:hAnsi="Times New Roman" w:eastAsia="宋体" w:cs="Times New Roman"/>
                <w:color w:val="auto"/>
                <w:kern w:val="2"/>
                <w:sz w:val="21"/>
                <w:highlight w:val="none"/>
                <w:vertAlign w:val="subscript"/>
                <w:lang w:val="en-US" w:eastAsia="zh-CN" w:bidi="ar-SA"/>
              </w:rPr>
              <w:t>2.5</w:t>
            </w:r>
            <w:r>
              <w:rPr>
                <w:rFonts w:ascii="Times New Roman" w:hAnsi="Times New Roman" w:eastAsia="宋体" w:cs="Times New Roman"/>
                <w:color w:val="auto"/>
                <w:kern w:val="2"/>
                <w:sz w:val="21"/>
                <w:highlight w:val="none"/>
                <w:lang w:val="en-US" w:eastAsia="zh-CN" w:bidi="ar-SA"/>
              </w:rPr>
              <w:t>□</w:t>
            </w:r>
          </w:p>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不包括二次PM</w:t>
            </w:r>
            <w:r>
              <w:rPr>
                <w:rFonts w:ascii="Times New Roman" w:hAnsi="Times New Roman" w:eastAsia="宋体" w:cs="Times New Roman"/>
                <w:color w:val="auto"/>
                <w:kern w:val="2"/>
                <w:sz w:val="21"/>
                <w:highlight w:val="none"/>
                <w:vertAlign w:val="subscript"/>
                <w:lang w:val="en-US" w:eastAsia="zh-CN" w:bidi="ar-SA"/>
              </w:rPr>
              <w:t>2.5</w:t>
            </w:r>
            <w:r>
              <w:rPr>
                <w:rFonts w:hint="eastAsia" w:ascii="Times New Roman" w:hAnsi="Times New Roman" w:eastAsia="宋体" w:cs="Times New Roman"/>
                <w:color w:val="auto"/>
                <w:kern w:val="2"/>
                <w:sz w:val="21"/>
                <w:highlight w:val="none"/>
                <w:lang w:val="en-US" w:eastAsia="zh-CN" w:bidi="ar-SA"/>
              </w:rPr>
              <w:sym w:font="Wingdings 2" w:char="0052"/>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正常排放短期浓度贡献值</w:t>
            </w:r>
          </w:p>
        </w:tc>
        <w:tc>
          <w:tcPr>
            <w:tcW w:w="2120" w:type="pct"/>
            <w:gridSpan w:val="10"/>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最大占标率≤100%</w:t>
            </w:r>
            <w:r>
              <w:rPr>
                <w:rFonts w:ascii="Times New Roman" w:hAnsi="Times New Roman" w:eastAsia="宋体" w:cs="Times New Roman"/>
                <w:color w:val="auto"/>
                <w:kern w:val="2"/>
                <w:sz w:val="21"/>
                <w:highlight w:val="none"/>
                <w:lang w:val="en-US" w:eastAsia="zh-CN" w:bidi="ar-SA"/>
              </w:rPr>
              <w:sym w:font="Wingdings 2" w:char="0052"/>
            </w:r>
          </w:p>
        </w:tc>
        <w:tc>
          <w:tcPr>
            <w:tcW w:w="1475"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最大占标率＞100%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vMerge w:val="restar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正常排放年均浓度贡献值</w:t>
            </w:r>
          </w:p>
        </w:tc>
        <w:tc>
          <w:tcPr>
            <w:tcW w:w="544"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一类区</w:t>
            </w:r>
          </w:p>
        </w:tc>
        <w:tc>
          <w:tcPr>
            <w:tcW w:w="1576" w:type="pct"/>
            <w:gridSpan w:val="8"/>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最大占标率≤10%□</w:t>
            </w:r>
          </w:p>
        </w:tc>
        <w:tc>
          <w:tcPr>
            <w:tcW w:w="1475"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最大标率＞10%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544"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二类区</w:t>
            </w:r>
          </w:p>
        </w:tc>
        <w:tc>
          <w:tcPr>
            <w:tcW w:w="1576" w:type="pct"/>
            <w:gridSpan w:val="8"/>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最大占标率≤30%□</w:t>
            </w:r>
          </w:p>
        </w:tc>
        <w:tc>
          <w:tcPr>
            <w:tcW w:w="1475"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最大标率＞30%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非正常排放1h浓度贡献值</w:t>
            </w:r>
          </w:p>
        </w:tc>
        <w:tc>
          <w:tcPr>
            <w:tcW w:w="544"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非正常持续时长</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h</w:t>
            </w:r>
          </w:p>
        </w:tc>
        <w:tc>
          <w:tcPr>
            <w:tcW w:w="1576" w:type="pct"/>
            <w:gridSpan w:val="8"/>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both"/>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C</w:t>
            </w:r>
            <w:r>
              <w:rPr>
                <w:rFonts w:hint="eastAsia" w:ascii="Times New Roman" w:hAnsi="Times New Roman" w:eastAsia="宋体" w:cs="Times New Roman"/>
                <w:color w:val="auto"/>
                <w:kern w:val="2"/>
                <w:sz w:val="21"/>
                <w:highlight w:val="none"/>
                <w:vertAlign w:val="subscript"/>
                <w:lang w:val="en-US" w:eastAsia="zh-CN" w:bidi="ar-SA"/>
              </w:rPr>
              <w:t>本项目</w:t>
            </w:r>
            <w:r>
              <w:rPr>
                <w:rFonts w:ascii="Times New Roman" w:hAnsi="Times New Roman" w:eastAsia="宋体" w:cs="Times New Roman"/>
                <w:color w:val="auto"/>
                <w:kern w:val="2"/>
                <w:sz w:val="21"/>
                <w:highlight w:val="none"/>
                <w:lang w:val="en-US" w:eastAsia="zh-CN" w:bidi="ar-SA"/>
              </w:rPr>
              <w:t xml:space="preserve">占标率≤100% </w:t>
            </w:r>
            <w:r>
              <w:rPr>
                <w:rFonts w:ascii="Times New Roman" w:hAnsi="Times New Roman" w:eastAsia="宋体" w:cs="Times New Roman"/>
                <w:color w:val="auto"/>
                <w:kern w:val="2"/>
                <w:sz w:val="21"/>
                <w:highlight w:val="none"/>
                <w:lang w:val="en-US" w:eastAsia="zh-CN" w:bidi="ar-SA"/>
              </w:rPr>
              <w:sym w:font="Wingdings 2" w:char="00A3"/>
            </w:r>
          </w:p>
        </w:tc>
        <w:tc>
          <w:tcPr>
            <w:tcW w:w="1475"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C</w:t>
            </w:r>
            <w:r>
              <w:rPr>
                <w:rFonts w:ascii="Times New Roman" w:hAnsi="Times New Roman" w:eastAsia="宋体" w:cs="Times New Roman"/>
                <w:color w:val="auto"/>
                <w:kern w:val="2"/>
                <w:sz w:val="21"/>
                <w:highlight w:val="none"/>
                <w:vertAlign w:val="subscript"/>
                <w:lang w:val="en-US" w:eastAsia="zh-CN" w:bidi="ar-SA"/>
              </w:rPr>
              <w:t>非正常</w:t>
            </w:r>
            <w:r>
              <w:rPr>
                <w:rFonts w:ascii="Times New Roman" w:hAnsi="Times New Roman" w:eastAsia="宋体" w:cs="Times New Roman"/>
                <w:color w:val="auto"/>
                <w:kern w:val="2"/>
                <w:sz w:val="21"/>
                <w:highlight w:val="none"/>
                <w:lang w:val="en-US" w:eastAsia="zh-CN" w:bidi="ar-SA"/>
              </w:rPr>
              <w:t>占标率＞100%□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保证率日平均浓度和年平均浓度叠加值</w:t>
            </w:r>
          </w:p>
        </w:tc>
        <w:tc>
          <w:tcPr>
            <w:tcW w:w="2120" w:type="pct"/>
            <w:gridSpan w:val="10"/>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C</w:t>
            </w:r>
            <w:r>
              <w:rPr>
                <w:rFonts w:ascii="Times New Roman" w:hAnsi="Times New Roman" w:eastAsia="宋体" w:cs="Times New Roman"/>
                <w:color w:val="auto"/>
                <w:kern w:val="2"/>
                <w:sz w:val="21"/>
                <w:highlight w:val="none"/>
                <w:vertAlign w:val="subscript"/>
                <w:lang w:val="en-US" w:eastAsia="zh-CN" w:bidi="ar-SA"/>
              </w:rPr>
              <w:t>叠加</w:t>
            </w:r>
            <w:r>
              <w:rPr>
                <w:rFonts w:ascii="Times New Roman" w:hAnsi="Times New Roman" w:eastAsia="宋体" w:cs="Times New Roman"/>
                <w:color w:val="auto"/>
                <w:kern w:val="2"/>
                <w:sz w:val="21"/>
                <w:highlight w:val="none"/>
                <w:lang w:val="en-US" w:eastAsia="zh-CN" w:bidi="ar-SA"/>
              </w:rPr>
              <w:t>达标 □</w:t>
            </w:r>
          </w:p>
        </w:tc>
        <w:tc>
          <w:tcPr>
            <w:tcW w:w="1475"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C</w:t>
            </w:r>
            <w:r>
              <w:rPr>
                <w:rFonts w:ascii="Times New Roman" w:hAnsi="Times New Roman" w:eastAsia="宋体" w:cs="Times New Roman"/>
                <w:color w:val="auto"/>
                <w:kern w:val="2"/>
                <w:sz w:val="21"/>
                <w:highlight w:val="none"/>
                <w:vertAlign w:val="subscript"/>
                <w:lang w:val="en-US" w:eastAsia="zh-CN" w:bidi="ar-SA"/>
              </w:rPr>
              <w:t>叠加</w:t>
            </w:r>
            <w:r>
              <w:rPr>
                <w:rFonts w:ascii="Times New Roman" w:hAnsi="Times New Roman" w:eastAsia="宋体" w:cs="Times New Roman"/>
                <w:color w:val="auto"/>
                <w:kern w:val="2"/>
                <w:sz w:val="21"/>
                <w:highlight w:val="none"/>
                <w:lang w:val="en-US" w:eastAsia="zh-CN" w:bidi="ar-SA"/>
              </w:rPr>
              <w:t>不达标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942" w:type="pct"/>
            <w:gridSpan w:val="3"/>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区域环境质量的整体变化情况</w:t>
            </w:r>
          </w:p>
        </w:tc>
        <w:tc>
          <w:tcPr>
            <w:tcW w:w="2120" w:type="pct"/>
            <w:gridSpan w:val="10"/>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k≤-20% □</w:t>
            </w:r>
          </w:p>
        </w:tc>
        <w:tc>
          <w:tcPr>
            <w:tcW w:w="1475"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k</w:t>
            </w:r>
            <w:r>
              <w:rPr>
                <w:rFonts w:hint="eastAsia" w:ascii="Times New Roman" w:hAnsi="Times New Roman" w:eastAsia="宋体" w:cs="Times New Roman"/>
                <w:color w:val="auto"/>
                <w:kern w:val="2"/>
                <w:sz w:val="21"/>
                <w:highlight w:val="none"/>
                <w:lang w:val="en-US" w:eastAsia="zh-CN" w:bidi="ar-SA"/>
              </w:rPr>
              <w:t>&gt;</w:t>
            </w:r>
            <w:r>
              <w:rPr>
                <w:rFonts w:ascii="Times New Roman" w:hAnsi="Times New Roman" w:eastAsia="宋体" w:cs="Times New Roman"/>
                <w:color w:val="auto"/>
                <w:kern w:val="2"/>
                <w:sz w:val="21"/>
                <w:highlight w:val="none"/>
                <w:lang w:val="en-US" w:eastAsia="zh-CN" w:bidi="ar-SA"/>
              </w:rPr>
              <w:t>-20%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环境监测计划</w:t>
            </w: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污染源监测</w:t>
            </w:r>
          </w:p>
        </w:tc>
        <w:tc>
          <w:tcPr>
            <w:tcW w:w="1902" w:type="pct"/>
            <w:gridSpan w:val="9"/>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监测因子：（NMHC）</w:t>
            </w:r>
          </w:p>
        </w:tc>
        <w:tc>
          <w:tcPr>
            <w:tcW w:w="1314"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 xml:space="preserve">有组织废气监测 </w:t>
            </w:r>
            <w:r>
              <w:rPr>
                <w:rFonts w:hint="eastAsia" w:ascii="Times New Roman" w:hAnsi="Times New Roman" w:eastAsia="宋体" w:cs="Times New Roman"/>
                <w:color w:val="auto"/>
                <w:kern w:val="2"/>
                <w:sz w:val="21"/>
                <w:highlight w:val="none"/>
                <w:lang w:val="en-US" w:eastAsia="zh-CN" w:bidi="ar-SA"/>
              </w:rPr>
              <w:sym w:font="Wingdings 2" w:char="00A3"/>
            </w:r>
            <w:r>
              <w:rPr>
                <w:rFonts w:ascii="Times New Roman" w:hAnsi="Times New Roman" w:eastAsia="宋体" w:cs="Times New Roman"/>
                <w:color w:val="auto"/>
                <w:kern w:val="2"/>
                <w:sz w:val="21"/>
                <w:highlight w:val="none"/>
                <w:lang w:val="en-US" w:eastAsia="zh-CN" w:bidi="ar-SA"/>
              </w:rPr>
              <w:t xml:space="preserve">   </w:t>
            </w:r>
          </w:p>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 xml:space="preserve">无组织废气监测 </w:t>
            </w:r>
            <w:r>
              <w:rPr>
                <w:rFonts w:hint="eastAsia" w:ascii="Times New Roman" w:hAnsi="Times New Roman" w:eastAsia="宋体" w:cs="Times New Roman"/>
                <w:color w:val="auto"/>
                <w:kern w:val="2"/>
                <w:sz w:val="21"/>
                <w:highlight w:val="none"/>
                <w:lang w:val="en-US" w:eastAsia="zh-CN" w:bidi="ar-SA"/>
              </w:rPr>
              <w:sym w:font="Wingdings 2" w:char="0052"/>
            </w:r>
          </w:p>
        </w:tc>
        <w:tc>
          <w:tcPr>
            <w:tcW w:w="573"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环境质量监测</w:t>
            </w:r>
          </w:p>
        </w:tc>
        <w:tc>
          <w:tcPr>
            <w:tcW w:w="1902" w:type="pct"/>
            <w:gridSpan w:val="9"/>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监测因子</w:t>
            </w:r>
            <w:r>
              <w:rPr>
                <w:rFonts w:hint="eastAsia" w:ascii="Times New Roman" w:hAnsi="Times New Roman" w:eastAsia="宋体" w:cs="Times New Roman"/>
                <w:color w:val="auto"/>
                <w:kern w:val="2"/>
                <w:sz w:val="21"/>
                <w:highlight w:val="none"/>
                <w:lang w:val="en-US" w:eastAsia="zh-CN" w:bidi="ar-SA"/>
              </w:rPr>
              <w:t>（  ）</w:t>
            </w:r>
          </w:p>
        </w:tc>
        <w:tc>
          <w:tcPr>
            <w:tcW w:w="1314"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监测点位数</w:t>
            </w:r>
            <w:r>
              <w:rPr>
                <w:rFonts w:hint="eastAsia" w:ascii="Times New Roman" w:hAnsi="Times New Roman" w:eastAsia="宋体" w:cs="Times New Roman"/>
                <w:color w:val="auto"/>
                <w:kern w:val="2"/>
                <w:sz w:val="21"/>
                <w:highlight w:val="none"/>
                <w:lang w:val="en-US" w:eastAsia="zh-CN" w:bidi="ar-SA"/>
              </w:rPr>
              <w:t>（  ）</w:t>
            </w:r>
          </w:p>
        </w:tc>
        <w:tc>
          <w:tcPr>
            <w:tcW w:w="573"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无监测□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restart"/>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评价结论</w:t>
            </w: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环境影响</w:t>
            </w:r>
          </w:p>
        </w:tc>
        <w:tc>
          <w:tcPr>
            <w:tcW w:w="3789" w:type="pct"/>
            <w:gridSpan w:val="16"/>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可以接受 </w:t>
            </w:r>
            <w:r>
              <w:rPr>
                <w:rFonts w:ascii="Times New Roman" w:hAnsi="Times New Roman" w:eastAsia="宋体" w:cs="Times New Roman"/>
                <w:color w:val="auto"/>
                <w:kern w:val="2"/>
                <w:sz w:val="21"/>
                <w:highlight w:val="none"/>
                <w:lang w:val="en-US" w:eastAsia="zh-CN" w:bidi="ar-SA"/>
              </w:rPr>
              <w:sym w:font="Wingdings 2" w:char="0052"/>
            </w:r>
            <w:r>
              <w:rPr>
                <w:rFonts w:ascii="Times New Roman" w:hAnsi="Times New Roman" w:eastAsia="宋体" w:cs="Times New Roman"/>
                <w:color w:val="auto"/>
                <w:kern w:val="2"/>
                <w:sz w:val="21"/>
                <w:highlight w:val="none"/>
                <w:lang w:val="en-US" w:eastAsia="zh-CN" w:bidi="ar-SA"/>
              </w:rPr>
              <w:t xml:space="preserve">      不可以接受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大气环境防护距离</w:t>
            </w:r>
          </w:p>
        </w:tc>
        <w:tc>
          <w:tcPr>
            <w:tcW w:w="3789" w:type="pct"/>
            <w:gridSpan w:val="16"/>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距</w:t>
            </w:r>
            <w:r>
              <w:rPr>
                <w:rFonts w:ascii="Times New Roman" w:hAnsi="Times New Roman" w:eastAsia="宋体" w:cs="Times New Roman"/>
                <w:color w:val="auto"/>
                <w:kern w:val="2"/>
                <w:sz w:val="21"/>
                <w:highlight w:val="none"/>
                <w:lang w:val="en-US" w:eastAsia="zh-CN" w:bidi="ar-SA"/>
              </w:rPr>
              <w:t>厂界最远</w:t>
            </w:r>
            <w:r>
              <w:rPr>
                <w:rFonts w:hint="eastAsia" w:ascii="Times New Roman" w:hAnsi="Times New Roman" w:eastAsia="宋体" w:cs="Times New Roman"/>
                <w:color w:val="auto"/>
                <w:kern w:val="2"/>
                <w:sz w:val="21"/>
                <w:highlight w:val="none"/>
                <w:lang w:val="en-US" w:eastAsia="zh-CN" w:bidi="ar-SA"/>
              </w:rPr>
              <w:t>（）</w:t>
            </w:r>
            <w:r>
              <w:rPr>
                <w:rFonts w:ascii="Times New Roman" w:hAnsi="Times New Roman" w:eastAsia="宋体" w:cs="Times New Roman"/>
                <w:color w:val="auto"/>
                <w:kern w:val="2"/>
                <w:sz w:val="21"/>
                <w:highlight w:val="none"/>
                <w:lang w:val="en-US" w:eastAsia="zh-CN" w:bidi="ar-SA"/>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61" w:type="pct"/>
            <w:vMerge w:val="continue"/>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p>
        </w:tc>
        <w:tc>
          <w:tcPr>
            <w:tcW w:w="749" w:type="pct"/>
            <w:gridSpan w:val="2"/>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ascii="Times New Roman" w:hAnsi="Times New Roman" w:eastAsia="宋体" w:cs="Times New Roman"/>
                <w:color w:val="auto"/>
                <w:kern w:val="2"/>
                <w:sz w:val="21"/>
                <w:highlight w:val="none"/>
                <w:lang w:val="en-US" w:eastAsia="zh-CN" w:bidi="ar-SA"/>
              </w:rPr>
              <w:t>污染源年排放量</w:t>
            </w:r>
          </w:p>
        </w:tc>
        <w:tc>
          <w:tcPr>
            <w:tcW w:w="789" w:type="pct"/>
            <w:gridSpan w:val="5"/>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SO</w:t>
            </w:r>
            <w:r>
              <w:rPr>
                <w:rFonts w:hint="default" w:ascii="Times New Roman" w:hAnsi="Times New Roman" w:eastAsia="宋体" w:cs="Times New Roman"/>
                <w:color w:val="auto"/>
                <w:kern w:val="2"/>
                <w:sz w:val="21"/>
                <w:highlight w:val="none"/>
                <w:vertAlign w:val="subscript"/>
                <w:lang w:val="en-US" w:eastAsia="zh-CN" w:bidi="ar-SA"/>
              </w:rPr>
              <w:t>2</w:t>
            </w:r>
            <w:r>
              <w:rPr>
                <w:rFonts w:hint="default" w:ascii="Times New Roman" w:hAnsi="Times New Roman" w:eastAsia="宋体" w:cs="Times New Roman"/>
                <w:color w:val="auto"/>
                <w:kern w:val="2"/>
                <w:sz w:val="21"/>
                <w:highlight w:val="none"/>
                <w:lang w:val="en-US" w:eastAsia="zh-CN" w:bidi="ar-SA"/>
              </w:rPr>
              <w:t>：</w:t>
            </w:r>
            <w:r>
              <w:rPr>
                <w:rFonts w:hint="eastAsia" w:cs="Times New Roman"/>
                <w:color w:val="auto"/>
                <w:kern w:val="2"/>
                <w:sz w:val="21"/>
                <w:highlight w:val="none"/>
                <w:lang w:val="en-US" w:eastAsia="zh-CN" w:bidi="ar-SA"/>
              </w:rPr>
              <w:t>（</w:t>
            </w:r>
            <w:r>
              <w:rPr>
                <w:rFonts w:hint="eastAsia" w:ascii="Times New Roman" w:hAnsi="Times New Roman" w:eastAsia="宋体" w:cs="Times New Roman"/>
                <w:color w:val="auto"/>
                <w:kern w:val="2"/>
                <w:sz w:val="21"/>
                <w:highlight w:val="none"/>
                <w:lang w:val="en-US" w:eastAsia="zh-CN" w:bidi="ar-SA"/>
              </w:rPr>
              <w:t xml:space="preserve"> </w:t>
            </w:r>
            <w:r>
              <w:rPr>
                <w:rFonts w:hint="eastAsia" w:cs="Times New Roman"/>
                <w:color w:val="auto"/>
                <w:kern w:val="2"/>
                <w:sz w:val="21"/>
                <w:highlight w:val="none"/>
                <w:lang w:val="en-US" w:eastAsia="zh-CN" w:bidi="ar-SA"/>
              </w:rPr>
              <w:t>）</w:t>
            </w:r>
            <w:r>
              <w:rPr>
                <w:rFonts w:hint="default" w:ascii="Times New Roman" w:hAnsi="Times New Roman" w:eastAsia="宋体" w:cs="Times New Roman"/>
                <w:color w:val="auto"/>
                <w:kern w:val="2"/>
                <w:sz w:val="21"/>
                <w:highlight w:val="none"/>
                <w:lang w:val="en-US" w:eastAsia="zh-CN" w:bidi="ar-SA"/>
              </w:rPr>
              <w:t>t/a</w:t>
            </w:r>
          </w:p>
        </w:tc>
        <w:tc>
          <w:tcPr>
            <w:tcW w:w="839" w:type="pct"/>
            <w:gridSpan w:val="3"/>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NOx：</w:t>
            </w:r>
            <w:r>
              <w:rPr>
                <w:rFonts w:hint="eastAsia" w:cs="Times New Roman"/>
                <w:color w:val="auto"/>
                <w:kern w:val="2"/>
                <w:sz w:val="21"/>
                <w:highlight w:val="none"/>
                <w:lang w:val="en-US" w:eastAsia="zh-CN" w:bidi="ar-SA"/>
              </w:rPr>
              <w:t>（</w:t>
            </w:r>
            <w:r>
              <w:rPr>
                <w:rFonts w:hint="eastAsia" w:ascii="Times New Roman" w:hAnsi="Times New Roman" w:eastAsia="宋体" w:cs="Times New Roman"/>
                <w:color w:val="auto"/>
                <w:kern w:val="2"/>
                <w:sz w:val="21"/>
                <w:highlight w:val="none"/>
                <w:lang w:val="en-US" w:eastAsia="zh-CN" w:bidi="ar-SA"/>
              </w:rPr>
              <w:t xml:space="preserve"> </w:t>
            </w:r>
            <w:r>
              <w:rPr>
                <w:rFonts w:hint="eastAsia" w:cs="Times New Roman"/>
                <w:color w:val="auto"/>
                <w:kern w:val="2"/>
                <w:sz w:val="21"/>
                <w:highlight w:val="none"/>
                <w:lang w:val="en-US" w:eastAsia="zh-CN" w:bidi="ar-SA"/>
              </w:rPr>
              <w:t>）</w:t>
            </w:r>
            <w:r>
              <w:rPr>
                <w:rFonts w:hint="default" w:ascii="Times New Roman" w:hAnsi="Times New Roman" w:eastAsia="宋体" w:cs="Times New Roman"/>
                <w:color w:val="auto"/>
                <w:kern w:val="2"/>
                <w:sz w:val="21"/>
                <w:highlight w:val="none"/>
                <w:lang w:val="en-US" w:eastAsia="zh-CN" w:bidi="ar-SA"/>
              </w:rPr>
              <w:t>t/a</w:t>
            </w:r>
          </w:p>
        </w:tc>
        <w:tc>
          <w:tcPr>
            <w:tcW w:w="980" w:type="pct"/>
            <w:gridSpan w:val="4"/>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ascii="Times New Roman" w:hAnsi="Times New Roman" w:eastAsia="宋体" w:cs="Times New Roman"/>
                <w:color w:val="auto"/>
                <w:kern w:val="2"/>
                <w:sz w:val="21"/>
                <w:highlight w:val="none"/>
                <w:lang w:val="en-US" w:eastAsia="zh-CN" w:bidi="ar-SA"/>
              </w:rPr>
            </w:pPr>
            <w:r>
              <w:rPr>
                <w:rFonts w:hint="default" w:ascii="Times New Roman" w:hAnsi="Times New Roman" w:eastAsia="宋体" w:cs="Times New Roman"/>
                <w:color w:val="auto"/>
                <w:kern w:val="2"/>
                <w:sz w:val="21"/>
                <w:highlight w:val="none"/>
                <w:lang w:val="en-US" w:eastAsia="zh-CN" w:bidi="ar-SA"/>
              </w:rPr>
              <w:t>颗粒物：</w:t>
            </w:r>
            <w:r>
              <w:rPr>
                <w:rFonts w:hint="eastAsia" w:cs="Times New Roman"/>
                <w:color w:val="auto"/>
                <w:kern w:val="2"/>
                <w:sz w:val="21"/>
                <w:highlight w:val="none"/>
                <w:lang w:val="en-US" w:eastAsia="zh-CN" w:bidi="ar-SA"/>
              </w:rPr>
              <w:t>（</w:t>
            </w:r>
            <w:r>
              <w:rPr>
                <w:rFonts w:hint="eastAsia" w:ascii="Times New Roman" w:hAnsi="Times New Roman" w:eastAsia="宋体" w:cs="Times New Roman"/>
                <w:color w:val="auto"/>
                <w:kern w:val="2"/>
                <w:sz w:val="21"/>
                <w:highlight w:val="none"/>
                <w:lang w:val="en-US" w:eastAsia="zh-CN" w:bidi="ar-SA"/>
              </w:rPr>
              <w:t xml:space="preserve"> </w:t>
            </w:r>
            <w:r>
              <w:rPr>
                <w:rFonts w:hint="eastAsia" w:cs="Times New Roman"/>
                <w:color w:val="auto"/>
                <w:kern w:val="2"/>
                <w:sz w:val="21"/>
                <w:highlight w:val="none"/>
                <w:lang w:val="en-US" w:eastAsia="zh-CN" w:bidi="ar-SA"/>
              </w:rPr>
              <w:t>）</w:t>
            </w:r>
            <w:r>
              <w:rPr>
                <w:rFonts w:hint="default" w:ascii="Times New Roman" w:hAnsi="Times New Roman" w:eastAsia="宋体" w:cs="Times New Roman"/>
                <w:color w:val="auto"/>
                <w:kern w:val="2"/>
                <w:sz w:val="21"/>
                <w:highlight w:val="none"/>
                <w:lang w:val="en-US" w:eastAsia="zh-CN" w:bidi="ar-SA"/>
              </w:rPr>
              <w:t>t/a</w:t>
            </w:r>
          </w:p>
        </w:tc>
        <w:tc>
          <w:tcPr>
            <w:tcW w:w="1180" w:type="pct"/>
            <w:gridSpan w:val="4"/>
            <w:tcBorders>
              <w:tl2br w:val="nil"/>
              <w:tr2bl w:val="nil"/>
            </w:tcBorders>
            <w:noWrap w:val="0"/>
            <w:vAlign w:val="center"/>
          </w:tcPr>
          <w:p>
            <w:pPr>
              <w:keepNext w:val="0"/>
              <w:keepLines w:val="0"/>
              <w:widowControl w:val="0"/>
              <w:bidi w:val="0"/>
              <w:adjustRightInd w:val="0"/>
              <w:snapToGrid w:val="0"/>
              <w:spacing w:line="300" w:lineRule="exact"/>
              <w:ind w:firstLine="0" w:firstLineChars="0"/>
              <w:jc w:val="center"/>
              <w:textAlignment w:val="baseline"/>
              <w:rPr>
                <w:rFonts w:hint="eastAsia" w:ascii="Times New Roman" w:hAnsi="Times New Roman" w:eastAsia="宋体" w:cs="Times New Roman"/>
                <w:color w:val="auto"/>
                <w:kern w:val="2"/>
                <w:sz w:val="21"/>
                <w:highlight w:val="none"/>
                <w:lang w:val="en-US" w:eastAsia="zh-CN" w:bidi="ar-SA"/>
              </w:rPr>
            </w:pPr>
            <w:r>
              <w:rPr>
                <w:rFonts w:hint="eastAsia" w:ascii="Times New Roman" w:hAnsi="Times New Roman" w:eastAsia="宋体" w:cs="Times New Roman"/>
                <w:color w:val="auto"/>
                <w:kern w:val="2"/>
                <w:sz w:val="21"/>
                <w:highlight w:val="none"/>
                <w:lang w:val="en-US" w:eastAsia="zh-CN" w:bidi="ar-SA"/>
              </w:rPr>
              <w:t>无组织</w:t>
            </w:r>
            <w:r>
              <w:rPr>
                <w:rFonts w:hint="default" w:ascii="Times New Roman" w:hAnsi="Times New Roman" w:eastAsia="宋体" w:cs="Times New Roman"/>
                <w:color w:val="auto"/>
                <w:kern w:val="2"/>
                <w:sz w:val="21"/>
                <w:highlight w:val="none"/>
                <w:lang w:val="en-US" w:eastAsia="zh-CN" w:bidi="ar-SA"/>
              </w:rPr>
              <w:t>NMHC：</w:t>
            </w:r>
            <w:r>
              <w:rPr>
                <w:rFonts w:hint="eastAsia" w:cs="Times New Roman"/>
                <w:color w:val="auto"/>
                <w:kern w:val="2"/>
                <w:sz w:val="21"/>
                <w:highlight w:val="none"/>
                <w:lang w:val="en-US" w:eastAsia="zh-CN" w:bidi="ar-SA"/>
              </w:rPr>
              <w:t>（6.446）</w:t>
            </w:r>
            <w:r>
              <w:rPr>
                <w:rFonts w:hint="default" w:ascii="Times New Roman" w:hAnsi="Times New Roman" w:eastAsia="宋体" w:cs="Times New Roman"/>
                <w:color w:val="auto"/>
                <w:kern w:val="2"/>
                <w:sz w:val="21"/>
                <w:highlight w:val="none"/>
                <w:lang w:val="en-US" w:eastAsia="zh-CN" w:bidi="ar-SA"/>
              </w:rPr>
              <w:t>t/a</w:t>
            </w:r>
          </w:p>
        </w:tc>
      </w:tr>
    </w:tbl>
    <w:p>
      <w:pPr>
        <w:pStyle w:val="49"/>
        <w:rPr>
          <w:color w:val="auto"/>
          <w:highlight w:val="none"/>
        </w:rPr>
      </w:pPr>
      <w:bookmarkStart w:id="665" w:name="_Toc21668"/>
      <w:r>
        <w:rPr>
          <w:color w:val="auto"/>
          <w:highlight w:val="none"/>
        </w:rPr>
        <w:t>5.</w:t>
      </w:r>
      <w:r>
        <w:rPr>
          <w:rFonts w:hint="eastAsia"/>
          <w:color w:val="auto"/>
          <w:highlight w:val="none"/>
        </w:rPr>
        <w:t>6</w:t>
      </w:r>
      <w:r>
        <w:rPr>
          <w:color w:val="auto"/>
          <w:highlight w:val="none"/>
        </w:rPr>
        <w:t>声环境影响分析与评价</w:t>
      </w:r>
      <w:bookmarkEnd w:id="658"/>
      <w:bookmarkEnd w:id="659"/>
      <w:bookmarkEnd w:id="660"/>
      <w:bookmarkEnd w:id="661"/>
      <w:bookmarkEnd w:id="662"/>
      <w:bookmarkEnd w:id="665"/>
    </w:p>
    <w:p>
      <w:pPr>
        <w:pStyle w:val="53"/>
        <w:pageBreakBefore w:val="0"/>
        <w:kinsoku/>
        <w:wordWrap/>
        <w:overflowPunct/>
        <w:topLinePunct w:val="0"/>
        <w:autoSpaceDE/>
        <w:autoSpaceDN/>
        <w:bidi w:val="0"/>
        <w:spacing w:line="480" w:lineRule="exact"/>
        <w:textAlignment w:val="auto"/>
        <w:rPr>
          <w:color w:val="auto"/>
          <w:sz w:val="24"/>
          <w:szCs w:val="24"/>
          <w:highlight w:val="none"/>
        </w:rPr>
      </w:pPr>
      <w:bookmarkStart w:id="666" w:name="_Toc173941896"/>
      <w:r>
        <w:rPr>
          <w:rFonts w:hint="eastAsia"/>
          <w:color w:val="auto"/>
          <w:sz w:val="24"/>
          <w:szCs w:val="24"/>
          <w:highlight w:val="none"/>
        </w:rPr>
        <w:t>5.6.</w:t>
      </w:r>
      <w:r>
        <w:rPr>
          <w:color w:val="auto"/>
          <w:sz w:val="24"/>
          <w:szCs w:val="24"/>
          <w:highlight w:val="none"/>
        </w:rPr>
        <w:t>1</w:t>
      </w:r>
      <w:r>
        <w:rPr>
          <w:rFonts w:hint="eastAsia"/>
          <w:color w:val="auto"/>
          <w:sz w:val="24"/>
          <w:szCs w:val="24"/>
          <w:highlight w:val="none"/>
        </w:rPr>
        <w:t>施工期</w:t>
      </w:r>
      <w:r>
        <w:rPr>
          <w:color w:val="auto"/>
          <w:sz w:val="24"/>
          <w:szCs w:val="24"/>
          <w:highlight w:val="none"/>
        </w:rPr>
        <w:t>声环境影响分析</w:t>
      </w:r>
      <w:bookmarkEnd w:id="666"/>
    </w:p>
    <w:p>
      <w:pPr>
        <w:pStyle w:val="71"/>
        <w:keepLines/>
        <w:pageBreakBefore w:val="0"/>
        <w:kinsoku/>
        <w:wordWrap/>
        <w:overflowPunct/>
        <w:topLinePunct w:val="0"/>
        <w:autoSpaceDE/>
        <w:autoSpaceDN/>
        <w:bidi w:val="0"/>
        <w:spacing w:before="156" w:beforeLines="50" w:line="480" w:lineRule="exact"/>
        <w:jc w:val="left"/>
        <w:textAlignment w:val="auto"/>
        <w:rPr>
          <w:rFonts w:hint="default" w:ascii="Times New Roman" w:hAnsi="Times New Roman" w:eastAsia="宋体" w:cs="Times New Roman"/>
          <w:b/>
          <w:color w:val="auto"/>
          <w:sz w:val="24"/>
          <w:szCs w:val="24"/>
          <w:highlight w:val="none"/>
          <w:shd w:val="clear" w:color="auto" w:fill="auto"/>
        </w:rPr>
      </w:pPr>
      <w:r>
        <w:rPr>
          <w:rFonts w:hint="default"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6</w:t>
      </w:r>
      <w:r>
        <w:rPr>
          <w:rFonts w:hint="default" w:ascii="Times New Roman" w:hAnsi="Times New Roman" w:eastAsia="宋体" w:cs="Times New Roman"/>
          <w:b/>
          <w:color w:val="auto"/>
          <w:sz w:val="24"/>
          <w:szCs w:val="24"/>
          <w:highlight w:val="none"/>
          <w:shd w:val="clear" w:color="auto" w:fill="auto"/>
        </w:rPr>
        <w:t>.1.1噪声源分析</w:t>
      </w:r>
    </w:p>
    <w:p>
      <w:pPr>
        <w:pageBreakBefore w:val="0"/>
        <w:kinsoku/>
        <w:wordWrap/>
        <w:overflowPunct/>
        <w:topLinePunct w:val="0"/>
        <w:autoSpaceDE/>
        <w:autoSpaceDN/>
        <w:bidi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施工期的噪声主要为钻井过程中钻机、柴油机、泥浆泵等发出的噪声，泥浆泵、钻机和柴油发电机的声压级一般在80~110dB(A</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，地面工程建设过程中推土机、挖掘机等机械噪声，声压级一般在80~100dB(A</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w:t>
      </w:r>
    </w:p>
    <w:p>
      <w:pPr>
        <w:pStyle w:val="71"/>
        <w:pageBreakBefore w:val="0"/>
        <w:kinsoku/>
        <w:wordWrap/>
        <w:overflowPunct/>
        <w:topLinePunct w:val="0"/>
        <w:autoSpaceDE/>
        <w:autoSpaceDN/>
        <w:bidi w:val="0"/>
        <w:spacing w:before="156" w:beforeLines="50" w:line="480" w:lineRule="exact"/>
        <w:jc w:val="left"/>
        <w:textAlignment w:val="auto"/>
        <w:rPr>
          <w:rFonts w:hint="default" w:ascii="Times New Roman" w:hAnsi="Times New Roman" w:eastAsia="宋体" w:cs="Times New Roman"/>
          <w:b/>
          <w:color w:val="auto"/>
          <w:sz w:val="24"/>
          <w:szCs w:val="24"/>
          <w:highlight w:val="none"/>
          <w:shd w:val="clear" w:color="auto" w:fill="auto"/>
          <w:lang w:val="en-US" w:eastAsia="zh-CN"/>
        </w:rPr>
      </w:pPr>
      <w:r>
        <w:rPr>
          <w:rFonts w:hint="default"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6</w:t>
      </w:r>
      <w:r>
        <w:rPr>
          <w:rFonts w:hint="default" w:ascii="Times New Roman" w:hAnsi="Times New Roman" w:eastAsia="宋体" w:cs="Times New Roman"/>
          <w:b/>
          <w:color w:val="auto"/>
          <w:sz w:val="24"/>
          <w:szCs w:val="24"/>
          <w:highlight w:val="none"/>
          <w:shd w:val="clear" w:color="auto" w:fill="auto"/>
        </w:rPr>
        <w:t>.1.2</w:t>
      </w:r>
      <w:r>
        <w:rPr>
          <w:rFonts w:hint="eastAsia" w:ascii="Times New Roman" w:hAnsi="Times New Roman" w:eastAsia="宋体" w:cs="Times New Roman"/>
          <w:b/>
          <w:color w:val="auto"/>
          <w:sz w:val="24"/>
          <w:szCs w:val="24"/>
          <w:highlight w:val="none"/>
          <w:shd w:val="clear" w:color="auto" w:fill="auto"/>
          <w:lang w:val="en-US" w:eastAsia="zh-CN"/>
        </w:rPr>
        <w:t>预测模式</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sz w:val="24"/>
          <w:szCs w:val="24"/>
          <w:highlight w:val="none"/>
          <w:shd w:val="clear" w:color="auto" w:fill="auto"/>
        </w:rPr>
        <w:t>在环境噪声预测中各噪声源作为点声源处理</w:t>
      </w:r>
      <w:r>
        <w:rPr>
          <w:rFonts w:hint="default" w:ascii="Times New Roman" w:hAnsi="Times New Roman" w:cs="Times New Roman"/>
          <w:color w:val="auto"/>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本评价采用</w:t>
      </w:r>
      <w:r>
        <w:rPr>
          <w:rFonts w:hint="default" w:ascii="Times New Roman" w:hAnsi="Times New Roman" w:cs="Times New Roman"/>
          <w:color w:val="auto"/>
          <w:sz w:val="24"/>
          <w:szCs w:val="24"/>
          <w:highlight w:val="none"/>
          <w:shd w:val="clear" w:color="auto" w:fill="auto"/>
        </w:rPr>
        <w:t>“无指向性点声源几何发散衰减”</w:t>
      </w:r>
      <w:r>
        <w:rPr>
          <w:rFonts w:hint="default" w:ascii="Times New Roman" w:hAnsi="Times New Roman" w:cs="Times New Roman"/>
          <w:color w:val="auto"/>
          <w:sz w:val="24"/>
          <w:szCs w:val="24"/>
          <w:highlight w:val="none"/>
          <w:shd w:val="clear" w:color="auto" w:fill="auto"/>
          <w:lang w:val="en-US" w:eastAsia="zh-CN"/>
        </w:rPr>
        <w:t>预测</w:t>
      </w:r>
      <w:r>
        <w:rPr>
          <w:rFonts w:hint="default" w:ascii="Times New Roman" w:hAnsi="Times New Roman" w:cs="Times New Roman"/>
          <w:color w:val="auto"/>
          <w:kern w:val="2"/>
          <w:sz w:val="24"/>
          <w:szCs w:val="24"/>
          <w:highlight w:val="none"/>
          <w:shd w:val="clear" w:color="auto" w:fill="auto"/>
        </w:rPr>
        <w:t>模式，预测计算施工机械噪声源至受声点的几何发散衰减，计算中不考虑声屏障、空气吸收等衰减，预测公式如下：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center"/>
        <w:textAlignment w:val="auto"/>
        <w:rPr>
          <w:rFonts w:hint="default" w:ascii="Times New Roman" w:hAnsi="Times New Roman" w:eastAsia="宋体" w:cs="Times New Roman"/>
          <w:color w:val="auto"/>
          <w:kern w:val="2"/>
          <w:sz w:val="24"/>
          <w:szCs w:val="24"/>
          <w:highlight w:val="none"/>
          <w:shd w:val="clear" w:color="auto" w:fill="auto"/>
          <w:lang w:val="pt-BR" w:eastAsia="zh-CN"/>
        </w:rPr>
      </w:pPr>
      <w:r>
        <w:rPr>
          <w:rFonts w:hint="default" w:ascii="Times New Roman" w:hAnsi="Times New Roman" w:cs="Times New Roman"/>
          <w:color w:val="auto"/>
          <w:kern w:val="2"/>
          <w:sz w:val="24"/>
          <w:szCs w:val="24"/>
          <w:highlight w:val="none"/>
          <w:shd w:val="clear" w:color="auto" w:fill="auto"/>
          <w:lang w:val="pt-BR"/>
        </w:rPr>
        <w:t>L</w:t>
      </w:r>
      <w:r>
        <w:rPr>
          <w:rFonts w:hint="default" w:ascii="Times New Roman" w:hAnsi="Times New Roman" w:cs="Times New Roman"/>
          <w:color w:val="auto"/>
          <w:kern w:val="2"/>
          <w:sz w:val="24"/>
          <w:szCs w:val="24"/>
          <w:highlight w:val="none"/>
          <w:shd w:val="clear" w:color="auto" w:fill="auto"/>
          <w:vertAlign w:val="subscript"/>
        </w:rPr>
        <w:t>P</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r</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lang w:val="pt-BR"/>
        </w:rPr>
        <w:t>=L</w:t>
      </w:r>
      <w:r>
        <w:rPr>
          <w:rFonts w:hint="default" w:ascii="Times New Roman" w:hAnsi="Times New Roman" w:cs="Times New Roman"/>
          <w:color w:val="auto"/>
          <w:kern w:val="2"/>
          <w:sz w:val="24"/>
          <w:szCs w:val="24"/>
          <w:highlight w:val="none"/>
          <w:shd w:val="clear" w:color="auto" w:fill="auto"/>
          <w:vertAlign w:val="subscript"/>
        </w:rPr>
        <w:t>P</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r</w:t>
      </w:r>
      <w:r>
        <w:rPr>
          <w:rFonts w:hint="default" w:ascii="Times New Roman" w:hAnsi="Times New Roman" w:cs="Times New Roman"/>
          <w:color w:val="auto"/>
          <w:kern w:val="2"/>
          <w:sz w:val="24"/>
          <w:szCs w:val="24"/>
          <w:highlight w:val="none"/>
          <w:shd w:val="clear" w:color="auto" w:fill="auto"/>
          <w:vertAlign w:val="subscript"/>
        </w:rPr>
        <w:t>0</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lang w:val="pt-BR"/>
        </w:rPr>
        <w:t>-20lg</w:t>
      </w:r>
      <w:r>
        <w:rPr>
          <w:rFonts w:hint="default" w:ascii="Times New Roman" w:hAnsi="Times New Roman" w:cs="Times New Roman"/>
          <w:color w:val="auto"/>
          <w:kern w:val="2"/>
          <w:sz w:val="24"/>
          <w:szCs w:val="24"/>
          <w:highlight w:val="none"/>
          <w:shd w:val="clear" w:color="auto" w:fill="auto"/>
          <w:lang w:val="pt-BR" w:eastAsia="zh-CN"/>
        </w:rPr>
        <w:t>（</w:t>
      </w:r>
      <w:r>
        <w:rPr>
          <w:rFonts w:hint="default" w:ascii="Times New Roman" w:hAnsi="Times New Roman" w:cs="Times New Roman"/>
          <w:color w:val="auto"/>
          <w:kern w:val="2"/>
          <w:sz w:val="24"/>
          <w:szCs w:val="24"/>
          <w:highlight w:val="none"/>
          <w:shd w:val="clear" w:color="auto" w:fill="auto"/>
          <w:lang w:val="pt-BR"/>
        </w:rPr>
        <w:t>r/r</w:t>
      </w:r>
      <w:r>
        <w:rPr>
          <w:rFonts w:hint="default" w:ascii="Times New Roman" w:hAnsi="Times New Roman" w:cs="Times New Roman"/>
          <w:color w:val="auto"/>
          <w:kern w:val="2"/>
          <w:sz w:val="24"/>
          <w:szCs w:val="24"/>
          <w:highlight w:val="none"/>
          <w:shd w:val="clear" w:color="auto" w:fill="auto"/>
          <w:vertAlign w:val="subscript"/>
          <w:lang w:val="pt-BR"/>
        </w:rPr>
        <w:t>o</w:t>
      </w:r>
      <w:r>
        <w:rPr>
          <w:rFonts w:hint="default" w:ascii="Times New Roman" w:hAnsi="Times New Roman" w:cs="Times New Roman"/>
          <w:color w:val="auto"/>
          <w:kern w:val="2"/>
          <w:sz w:val="24"/>
          <w:szCs w:val="24"/>
          <w:highlight w:val="none"/>
          <w:shd w:val="clear" w:color="auto" w:fill="auto"/>
          <w:lang w:val="pt-BR" w:eastAsia="zh-CN"/>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kern w:val="2"/>
          <w:sz w:val="24"/>
          <w:szCs w:val="24"/>
          <w:highlight w:val="none"/>
          <w:shd w:val="clear" w:color="auto" w:fill="auto"/>
        </w:rPr>
        <w:t>式中：</w:t>
      </w:r>
      <w:r>
        <w:rPr>
          <w:rFonts w:hint="default" w:ascii="Times New Roman" w:hAnsi="Times New Roman" w:cs="Times New Roman"/>
          <w:color w:val="auto"/>
          <w:kern w:val="2"/>
          <w:sz w:val="24"/>
          <w:szCs w:val="24"/>
          <w:highlight w:val="none"/>
          <w:shd w:val="clear" w:color="auto" w:fill="auto"/>
          <w:lang w:val="pt-BR"/>
        </w:rPr>
        <w:t>L</w:t>
      </w:r>
      <w:r>
        <w:rPr>
          <w:rFonts w:hint="default" w:ascii="Times New Roman" w:hAnsi="Times New Roman" w:cs="Times New Roman"/>
          <w:color w:val="auto"/>
          <w:kern w:val="2"/>
          <w:sz w:val="24"/>
          <w:szCs w:val="24"/>
          <w:highlight w:val="none"/>
          <w:shd w:val="clear" w:color="auto" w:fill="auto"/>
          <w:vertAlign w:val="subscript"/>
        </w:rPr>
        <w:t>P</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r</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——预测点处声压级，dB</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A</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kern w:val="2"/>
          <w:sz w:val="24"/>
          <w:szCs w:val="24"/>
          <w:highlight w:val="none"/>
          <w:shd w:val="clear" w:color="auto" w:fill="auto"/>
        </w:rPr>
        <w:t xml:space="preserve">      </w:t>
      </w:r>
      <w:r>
        <w:rPr>
          <w:rFonts w:hint="default" w:ascii="Times New Roman" w:hAnsi="Times New Roman" w:cs="Times New Roman"/>
          <w:color w:val="auto"/>
          <w:kern w:val="2"/>
          <w:sz w:val="24"/>
          <w:szCs w:val="24"/>
          <w:highlight w:val="none"/>
          <w:shd w:val="clear" w:color="auto" w:fill="auto"/>
          <w:lang w:val="pt-BR"/>
        </w:rPr>
        <w:t>L</w:t>
      </w:r>
      <w:r>
        <w:rPr>
          <w:rFonts w:hint="default" w:ascii="Times New Roman" w:hAnsi="Times New Roman" w:cs="Times New Roman"/>
          <w:color w:val="auto"/>
          <w:kern w:val="2"/>
          <w:sz w:val="24"/>
          <w:szCs w:val="24"/>
          <w:highlight w:val="none"/>
          <w:shd w:val="clear" w:color="auto" w:fill="auto"/>
          <w:vertAlign w:val="subscript"/>
        </w:rPr>
        <w:t>P</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r</w:t>
      </w:r>
      <w:r>
        <w:rPr>
          <w:rFonts w:hint="default" w:ascii="Times New Roman" w:hAnsi="Times New Roman" w:cs="Times New Roman"/>
          <w:color w:val="auto"/>
          <w:kern w:val="2"/>
          <w:sz w:val="24"/>
          <w:szCs w:val="24"/>
          <w:highlight w:val="none"/>
          <w:shd w:val="clear" w:color="auto" w:fill="auto"/>
          <w:vertAlign w:val="subscript"/>
        </w:rPr>
        <w:t>0</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——参考位置r</w:t>
      </w:r>
      <w:r>
        <w:rPr>
          <w:rFonts w:hint="default" w:ascii="Times New Roman" w:hAnsi="Times New Roman" w:cs="Times New Roman"/>
          <w:color w:val="auto"/>
          <w:kern w:val="2"/>
          <w:sz w:val="24"/>
          <w:szCs w:val="24"/>
          <w:highlight w:val="none"/>
          <w:shd w:val="clear" w:color="auto" w:fill="auto"/>
          <w:vertAlign w:val="subscript"/>
        </w:rPr>
        <w:t>o</w:t>
      </w:r>
      <w:r>
        <w:rPr>
          <w:rFonts w:hint="default" w:ascii="Times New Roman" w:hAnsi="Times New Roman" w:cs="Times New Roman"/>
          <w:color w:val="auto"/>
          <w:kern w:val="2"/>
          <w:sz w:val="24"/>
          <w:szCs w:val="24"/>
          <w:highlight w:val="none"/>
          <w:shd w:val="clear" w:color="auto" w:fill="auto"/>
        </w:rPr>
        <w:t>处的声压级，dB</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A</w:t>
      </w:r>
      <w:r>
        <w:rPr>
          <w:rFonts w:hint="default" w:ascii="Times New Roman" w:hAnsi="Times New Roman" w:cs="Times New Roman"/>
          <w:color w:val="auto"/>
          <w:kern w:val="2"/>
          <w:sz w:val="24"/>
          <w:szCs w:val="24"/>
          <w:highlight w:val="none"/>
          <w:shd w:val="clear" w:color="auto" w:fill="auto"/>
          <w:lang w:eastAsia="zh-CN"/>
        </w:rPr>
        <w:t>）</w:t>
      </w:r>
      <w:r>
        <w:rPr>
          <w:rFonts w:hint="default" w:ascii="Times New Roman" w:hAnsi="Times New Roman" w:cs="Times New Roman"/>
          <w:color w:val="auto"/>
          <w:kern w:val="2"/>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kern w:val="2"/>
          <w:sz w:val="24"/>
          <w:szCs w:val="24"/>
          <w:highlight w:val="none"/>
          <w:shd w:val="clear" w:color="auto" w:fill="auto"/>
        </w:rPr>
        <w:t xml:space="preserve">      r ——预测点距声源的距离，m；</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textAlignment w:val="auto"/>
        <w:rPr>
          <w:rFonts w:hint="default" w:ascii="Times New Roman" w:hAnsi="Times New Roman" w:cs="Times New Roman"/>
          <w:color w:val="auto"/>
          <w:kern w:val="2"/>
          <w:sz w:val="24"/>
          <w:szCs w:val="24"/>
          <w:highlight w:val="none"/>
          <w:shd w:val="clear" w:color="auto" w:fill="auto"/>
        </w:rPr>
      </w:pPr>
      <w:r>
        <w:rPr>
          <w:rFonts w:hint="default" w:ascii="Times New Roman" w:hAnsi="Times New Roman" w:cs="Times New Roman"/>
          <w:color w:val="auto"/>
          <w:kern w:val="2"/>
          <w:sz w:val="24"/>
          <w:szCs w:val="24"/>
          <w:highlight w:val="none"/>
          <w:shd w:val="clear" w:color="auto" w:fill="auto"/>
        </w:rPr>
        <w:t xml:space="preserve">      r</w:t>
      </w:r>
      <w:r>
        <w:rPr>
          <w:rFonts w:hint="default" w:ascii="Times New Roman" w:hAnsi="Times New Roman" w:cs="Times New Roman"/>
          <w:color w:val="auto"/>
          <w:kern w:val="2"/>
          <w:sz w:val="24"/>
          <w:szCs w:val="24"/>
          <w:highlight w:val="none"/>
          <w:shd w:val="clear" w:color="auto" w:fill="auto"/>
          <w:vertAlign w:val="subscript"/>
        </w:rPr>
        <w:t>o</w:t>
      </w:r>
      <w:r>
        <w:rPr>
          <w:rFonts w:hint="default" w:ascii="Times New Roman" w:hAnsi="Times New Roman" w:cs="Times New Roman"/>
          <w:color w:val="auto"/>
          <w:kern w:val="2"/>
          <w:sz w:val="24"/>
          <w:szCs w:val="24"/>
          <w:highlight w:val="none"/>
          <w:shd w:val="clear" w:color="auto" w:fill="auto"/>
        </w:rPr>
        <w:t>——参考位置距声源的距离，m。</w:t>
      </w:r>
    </w:p>
    <w:p>
      <w:pPr>
        <w:keepNext w:val="0"/>
        <w:keepLines w:val="0"/>
        <w:pageBreakBefore w:val="0"/>
        <w:kinsoku/>
        <w:wordWrap/>
        <w:overflowPunct/>
        <w:topLinePunct w:val="0"/>
        <w:autoSpaceDE/>
        <w:autoSpaceDN/>
        <w:bidi w:val="0"/>
        <w:adjustRightInd/>
        <w:snapToGrid/>
        <w:spacing w:line="480" w:lineRule="exact"/>
        <w:jc w:val="left"/>
        <w:textAlignment w:val="auto"/>
        <w:rPr>
          <w:color w:val="auto"/>
          <w:highlight w:val="none"/>
        </w:rPr>
      </w:pPr>
      <w:r>
        <w:rPr>
          <w:rFonts w:hint="default" w:ascii="Times New Roman" w:hAnsi="Times New Roman" w:cs="Times New Roman"/>
          <w:color w:val="auto"/>
          <w:sz w:val="24"/>
          <w:szCs w:val="24"/>
          <w:highlight w:val="none"/>
          <w:shd w:val="clear" w:color="auto" w:fill="auto"/>
        </w:rPr>
        <w:t>利用上述公式，预测计算</w:t>
      </w:r>
      <w:r>
        <w:rPr>
          <w:rFonts w:hint="default" w:ascii="Times New Roman" w:hAnsi="Times New Roman" w:cs="Times New Roman"/>
          <w:color w:val="auto"/>
          <w:sz w:val="24"/>
          <w:szCs w:val="24"/>
          <w:highlight w:val="none"/>
          <w:shd w:val="clear" w:color="auto" w:fill="auto"/>
          <w:lang w:eastAsia="zh-CN"/>
        </w:rPr>
        <w:t>本项目</w:t>
      </w:r>
      <w:r>
        <w:rPr>
          <w:rFonts w:hint="default" w:ascii="Times New Roman" w:hAnsi="Times New Roman" w:cs="Times New Roman"/>
          <w:color w:val="auto"/>
          <w:sz w:val="24"/>
          <w:szCs w:val="24"/>
          <w:highlight w:val="none"/>
          <w:shd w:val="clear" w:color="auto" w:fill="auto"/>
        </w:rPr>
        <w:t>主要施工机械在不同距离处的贡献值，预测计算结果见表5.</w:t>
      </w:r>
      <w:r>
        <w:rPr>
          <w:rFonts w:hint="eastAsia" w:ascii="Times New Roman" w:hAnsi="Times New Roman" w:cs="Times New Roman"/>
          <w:color w:val="auto"/>
          <w:sz w:val="24"/>
          <w:szCs w:val="24"/>
          <w:highlight w:val="none"/>
          <w:shd w:val="clear" w:color="auto" w:fill="auto"/>
          <w:lang w:val="en-US" w:eastAsia="zh-CN"/>
        </w:rPr>
        <w:t>6</w:t>
      </w:r>
      <w:r>
        <w:rPr>
          <w:rFonts w:hint="default" w:ascii="Times New Roman" w:hAnsi="Times New Roman" w:cs="Times New Roman"/>
          <w:color w:val="auto"/>
          <w:sz w:val="24"/>
          <w:szCs w:val="24"/>
          <w:highlight w:val="none"/>
          <w:shd w:val="clear" w:color="auto" w:fill="auto"/>
        </w:rPr>
        <w:t>-1。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olor w:val="auto"/>
          <w:highlight w:val="none"/>
        </w:rPr>
      </w:pPr>
      <w:r>
        <w:rPr>
          <w:color w:val="auto"/>
          <w:highlight w:val="none"/>
        </w:rPr>
        <w:t>表5.</w:t>
      </w:r>
      <w:r>
        <w:rPr>
          <w:rFonts w:hint="eastAsia"/>
          <w:color w:val="auto"/>
          <w:highlight w:val="none"/>
        </w:rPr>
        <w:t>6</w:t>
      </w:r>
      <w:r>
        <w:rPr>
          <w:color w:val="auto"/>
          <w:highlight w:val="none"/>
        </w:rPr>
        <w:t xml:space="preserve">-1 </w:t>
      </w:r>
      <w:r>
        <w:rPr>
          <w:rFonts w:hint="eastAsia"/>
          <w:color w:val="auto"/>
          <w:highlight w:val="none"/>
        </w:rPr>
        <w:t xml:space="preserve"> 施工主要机械噪声值及衰减情况表</w:t>
      </w:r>
    </w:p>
    <w:tbl>
      <w:tblPr>
        <w:tblStyle w:val="34"/>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503"/>
        <w:gridCol w:w="946"/>
        <w:gridCol w:w="514"/>
        <w:gridCol w:w="514"/>
        <w:gridCol w:w="625"/>
        <w:gridCol w:w="625"/>
        <w:gridCol w:w="625"/>
        <w:gridCol w:w="625"/>
        <w:gridCol w:w="564"/>
        <w:gridCol w:w="564"/>
        <w:gridCol w:w="564"/>
        <w:gridCol w:w="678"/>
        <w:gridCol w:w="94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Merge w:val="restart"/>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序号</w:t>
            </w:r>
          </w:p>
        </w:tc>
        <w:tc>
          <w:tcPr>
            <w:tcW w:w="946" w:type="dxa"/>
            <w:vMerge w:val="restart"/>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机  械</w:t>
            </w:r>
          </w:p>
        </w:tc>
        <w:tc>
          <w:tcPr>
            <w:tcW w:w="5898" w:type="dxa"/>
            <w:gridSpan w:val="10"/>
            <w:tcBorders>
              <w:tl2br w:val="nil"/>
              <w:tr2bl w:val="nil"/>
            </w:tcBorders>
            <w:noWrap w:val="0"/>
            <w:tcMar>
              <w:left w:w="57" w:type="dxa"/>
              <w:right w:w="57" w:type="dxa"/>
            </w:tcMar>
            <w:vAlign w:val="center"/>
          </w:tcPr>
          <w:p>
            <w:pPr>
              <w:pStyle w:val="55"/>
              <w:bidi w:val="0"/>
              <w:rPr>
                <w:rFonts w:hint="default"/>
                <w:color w:val="auto"/>
                <w:shd w:val="clear" w:color="auto" w:fill="auto"/>
                <w:lang w:eastAsia="zh-CN"/>
              </w:rPr>
            </w:pPr>
            <w:r>
              <w:rPr>
                <w:rFonts w:hint="default"/>
                <w:color w:val="auto"/>
                <w:shd w:val="clear" w:color="auto" w:fill="auto"/>
              </w:rPr>
              <w:t>不同距离处的噪声贡献值</w:t>
            </w:r>
            <w:r>
              <w:rPr>
                <w:rFonts w:hint="default"/>
                <w:color w:val="auto"/>
                <w:shd w:val="clear" w:color="auto" w:fill="auto"/>
                <w:lang w:eastAsia="zh-CN"/>
              </w:rPr>
              <w:t>〔</w:t>
            </w:r>
            <w:r>
              <w:rPr>
                <w:rFonts w:hint="default"/>
                <w:color w:val="auto"/>
                <w:shd w:val="clear" w:color="auto" w:fill="auto"/>
              </w:rPr>
              <w:t>dB</w:t>
            </w:r>
            <w:r>
              <w:rPr>
                <w:rFonts w:hint="default"/>
                <w:color w:val="auto"/>
                <w:shd w:val="clear" w:color="auto" w:fill="auto"/>
                <w:lang w:eastAsia="zh-CN"/>
              </w:rPr>
              <w:t>（</w:t>
            </w:r>
            <w:r>
              <w:rPr>
                <w:rFonts w:hint="default"/>
                <w:color w:val="auto"/>
                <w:shd w:val="clear" w:color="auto" w:fill="auto"/>
              </w:rPr>
              <w:t>A</w:t>
            </w:r>
            <w:r>
              <w:rPr>
                <w:rFonts w:hint="default"/>
                <w:color w:val="auto"/>
                <w:shd w:val="clear" w:color="auto" w:fill="auto"/>
                <w:lang w:eastAsia="zh-CN"/>
              </w:rPr>
              <w:t>）〕</w:t>
            </w:r>
          </w:p>
        </w:tc>
        <w:tc>
          <w:tcPr>
            <w:tcW w:w="945" w:type="dxa"/>
            <w:vMerge w:val="restart"/>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施工</w:t>
            </w:r>
          </w:p>
          <w:p>
            <w:pPr>
              <w:pStyle w:val="55"/>
              <w:bidi w:val="0"/>
              <w:rPr>
                <w:rFonts w:hint="default"/>
                <w:color w:val="auto"/>
                <w:shd w:val="clear" w:color="auto" w:fill="auto"/>
              </w:rPr>
            </w:pPr>
            <w:r>
              <w:rPr>
                <w:rFonts w:hint="default"/>
                <w:color w:val="auto"/>
                <w:shd w:val="clear" w:color="auto" w:fill="auto"/>
              </w:rPr>
              <w:t>阶段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vMerge w:val="continue"/>
            <w:tcBorders>
              <w:tl2br w:val="nil"/>
              <w:tr2bl w:val="nil"/>
            </w:tcBorders>
            <w:noWrap w:val="0"/>
            <w:vAlign w:val="center"/>
          </w:tcPr>
          <w:p>
            <w:pPr>
              <w:pStyle w:val="55"/>
              <w:bidi w:val="0"/>
              <w:rPr>
                <w:rFonts w:hint="default"/>
                <w:color w:val="auto"/>
                <w:shd w:val="clear" w:color="auto" w:fill="auto"/>
              </w:rPr>
            </w:pPr>
          </w:p>
        </w:tc>
        <w:tc>
          <w:tcPr>
            <w:tcW w:w="946" w:type="dxa"/>
            <w:vMerge w:val="continue"/>
            <w:tcBorders>
              <w:tl2br w:val="nil"/>
              <w:tr2bl w:val="nil"/>
            </w:tcBorders>
            <w:noWrap w:val="0"/>
            <w:vAlign w:val="center"/>
          </w:tcPr>
          <w:p>
            <w:pPr>
              <w:pStyle w:val="55"/>
              <w:bidi w:val="0"/>
              <w:rPr>
                <w:rFonts w:hint="default"/>
                <w:color w:val="auto"/>
                <w:shd w:val="clear" w:color="auto" w:fill="auto"/>
              </w:rPr>
            </w:pP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40m</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60m</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100m</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200m</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300m</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400m</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500m</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700m</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900m</w:t>
            </w:r>
          </w:p>
        </w:tc>
        <w:tc>
          <w:tcPr>
            <w:tcW w:w="678"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1200m</w:t>
            </w:r>
          </w:p>
        </w:tc>
        <w:tc>
          <w:tcPr>
            <w:tcW w:w="945" w:type="dxa"/>
            <w:vMerge w:val="continue"/>
            <w:tcBorders>
              <w:tl2br w:val="nil"/>
              <w:tr2bl w:val="nil"/>
            </w:tcBorders>
            <w:noWrap w:val="0"/>
            <w:vAlign w:val="center"/>
          </w:tcPr>
          <w:p>
            <w:pPr>
              <w:pStyle w:val="55"/>
              <w:bidi w:val="0"/>
              <w:rPr>
                <w:rFonts w:hint="default"/>
                <w:color w:val="auto"/>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1</w:t>
            </w:r>
          </w:p>
        </w:tc>
        <w:tc>
          <w:tcPr>
            <w:tcW w:w="946"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挖掘机</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72.0</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68.4</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64.0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54.5</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52.0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945" w:type="dxa"/>
            <w:vMerge w:val="restart"/>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土石方</w:t>
            </w:r>
          </w:p>
          <w:p>
            <w:pPr>
              <w:pStyle w:val="55"/>
              <w:bidi w:val="0"/>
              <w:rPr>
                <w:rFonts w:hint="default"/>
                <w:color w:val="auto"/>
                <w:shd w:val="clear" w:color="auto" w:fill="auto"/>
              </w:rPr>
            </w:pPr>
            <w:r>
              <w:rPr>
                <w:rFonts w:hint="default"/>
                <w:color w:val="auto"/>
                <w:shd w:val="clear" w:color="auto" w:fill="auto"/>
              </w:rPr>
              <w:t>道路施工</w:t>
            </w:r>
          </w:p>
          <w:p>
            <w:pPr>
              <w:pStyle w:val="55"/>
              <w:bidi w:val="0"/>
              <w:rPr>
                <w:rFonts w:hint="default"/>
                <w:color w:val="auto"/>
                <w:shd w:val="clear" w:color="auto" w:fill="auto"/>
              </w:rPr>
            </w:pPr>
            <w:r>
              <w:rPr>
                <w:rFonts w:hint="default"/>
                <w:color w:val="auto"/>
                <w:shd w:val="clear" w:color="auto" w:fill="auto"/>
              </w:rPr>
              <w:t>管线施工</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2</w:t>
            </w:r>
          </w:p>
        </w:tc>
        <w:tc>
          <w:tcPr>
            <w:tcW w:w="946"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装载机</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70.0</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66.4</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62.0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56.0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52.5</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48.0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945" w:type="dxa"/>
            <w:vMerge w:val="continue"/>
            <w:tcBorders>
              <w:tl2br w:val="nil"/>
              <w:tr2bl w:val="nil"/>
            </w:tcBorders>
            <w:noWrap w:val="0"/>
            <w:vAlign w:val="center"/>
          </w:tcPr>
          <w:p>
            <w:pPr>
              <w:pStyle w:val="55"/>
              <w:bidi w:val="0"/>
              <w:rPr>
                <w:rFonts w:hint="default"/>
                <w:color w:val="auto"/>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3</w:t>
            </w:r>
          </w:p>
        </w:tc>
        <w:tc>
          <w:tcPr>
            <w:tcW w:w="946"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压路机</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72.0</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68.4</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64.0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54.5</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52.0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945" w:type="dxa"/>
            <w:vMerge w:val="continue"/>
            <w:tcBorders>
              <w:tl2br w:val="nil"/>
              <w:tr2bl w:val="nil"/>
            </w:tcBorders>
            <w:noWrap w:val="0"/>
            <w:vAlign w:val="center"/>
          </w:tcPr>
          <w:p>
            <w:pPr>
              <w:pStyle w:val="55"/>
              <w:bidi w:val="0"/>
              <w:rPr>
                <w:rFonts w:hint="default"/>
                <w:color w:val="auto"/>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w:t>
            </w:r>
          </w:p>
        </w:tc>
        <w:tc>
          <w:tcPr>
            <w:tcW w:w="946"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运输车辆</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72.0</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68.4</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64.0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54.5</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52.0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945"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物料运输</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w:t>
            </w:r>
          </w:p>
        </w:tc>
        <w:tc>
          <w:tcPr>
            <w:tcW w:w="946"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吊装机</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66.0</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62.4</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52.0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48.5</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46.0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44.0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678"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w:t>
            </w:r>
          </w:p>
        </w:tc>
        <w:tc>
          <w:tcPr>
            <w:tcW w:w="945"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设备安装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6</w:t>
            </w:r>
          </w:p>
        </w:tc>
        <w:tc>
          <w:tcPr>
            <w:tcW w:w="946"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钻机</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77.0</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73.4</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69.0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63.0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59.5</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56.0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55.0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52.1</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49.9</w:t>
            </w:r>
          </w:p>
        </w:tc>
        <w:tc>
          <w:tcPr>
            <w:tcW w:w="678"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47.4</w:t>
            </w:r>
          </w:p>
        </w:tc>
        <w:tc>
          <w:tcPr>
            <w:tcW w:w="945" w:type="dxa"/>
            <w:vMerge w:val="restart"/>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钻井</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7</w:t>
            </w:r>
          </w:p>
        </w:tc>
        <w:tc>
          <w:tcPr>
            <w:tcW w:w="946"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振动筛</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72.0</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68.4</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64.0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58.0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54.5</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52.0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50.0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47.1</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44.9</w:t>
            </w:r>
          </w:p>
        </w:tc>
        <w:tc>
          <w:tcPr>
            <w:tcW w:w="678"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42.4</w:t>
            </w:r>
          </w:p>
        </w:tc>
        <w:tc>
          <w:tcPr>
            <w:tcW w:w="945" w:type="dxa"/>
            <w:vMerge w:val="continue"/>
            <w:tcBorders>
              <w:tl2br w:val="nil"/>
              <w:tr2bl w:val="nil"/>
            </w:tcBorders>
            <w:noWrap w:val="0"/>
            <w:vAlign w:val="center"/>
          </w:tcPr>
          <w:p>
            <w:pPr>
              <w:pStyle w:val="55"/>
              <w:bidi w:val="0"/>
              <w:rPr>
                <w:rFonts w:hint="default"/>
                <w:color w:val="auto"/>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8</w:t>
            </w:r>
          </w:p>
        </w:tc>
        <w:tc>
          <w:tcPr>
            <w:tcW w:w="946"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泥浆泵</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77.0</w:t>
            </w:r>
          </w:p>
        </w:tc>
        <w:tc>
          <w:tcPr>
            <w:tcW w:w="514"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73.4</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69.0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63.0</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59.5</w:t>
            </w:r>
          </w:p>
        </w:tc>
        <w:tc>
          <w:tcPr>
            <w:tcW w:w="625" w:type="dxa"/>
            <w:tcBorders>
              <w:tl2br w:val="nil"/>
              <w:tr2bl w:val="nil"/>
            </w:tcBorders>
            <w:noWrap w:val="0"/>
            <w:tcMar>
              <w:left w:w="57" w:type="dxa"/>
              <w:right w:w="57" w:type="dxa"/>
            </w:tcMar>
            <w:vAlign w:val="center"/>
          </w:tcPr>
          <w:p>
            <w:pPr>
              <w:pStyle w:val="55"/>
              <w:bidi w:val="0"/>
              <w:rPr>
                <w:rFonts w:hint="default"/>
                <w:color w:val="auto"/>
                <w:shd w:val="clear" w:color="auto" w:fill="auto"/>
              </w:rPr>
            </w:pPr>
            <w:r>
              <w:rPr>
                <w:rFonts w:hint="default"/>
                <w:color w:val="auto"/>
                <w:shd w:val="clear" w:color="auto" w:fill="auto"/>
              </w:rPr>
              <w:t>56.0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55.0</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52.1</w:t>
            </w:r>
          </w:p>
        </w:tc>
        <w:tc>
          <w:tcPr>
            <w:tcW w:w="564"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49.9</w:t>
            </w:r>
          </w:p>
        </w:tc>
        <w:tc>
          <w:tcPr>
            <w:tcW w:w="678" w:type="dxa"/>
            <w:tcBorders>
              <w:tl2br w:val="nil"/>
              <w:tr2bl w:val="nil"/>
            </w:tcBorders>
            <w:noWrap w:val="0"/>
            <w:vAlign w:val="center"/>
          </w:tcPr>
          <w:p>
            <w:pPr>
              <w:pStyle w:val="55"/>
              <w:bidi w:val="0"/>
              <w:rPr>
                <w:rFonts w:hint="default"/>
                <w:color w:val="auto"/>
                <w:shd w:val="clear" w:color="auto" w:fill="auto"/>
              </w:rPr>
            </w:pPr>
            <w:r>
              <w:rPr>
                <w:rFonts w:hint="default"/>
                <w:color w:val="auto"/>
                <w:shd w:val="clear" w:color="auto" w:fill="auto"/>
              </w:rPr>
              <w:t>47.4</w:t>
            </w:r>
          </w:p>
        </w:tc>
        <w:tc>
          <w:tcPr>
            <w:tcW w:w="945" w:type="dxa"/>
            <w:vMerge w:val="continue"/>
            <w:tcBorders>
              <w:tl2br w:val="nil"/>
              <w:tr2bl w:val="nil"/>
            </w:tcBorders>
            <w:noWrap w:val="0"/>
            <w:vAlign w:val="center"/>
          </w:tcPr>
          <w:p>
            <w:pPr>
              <w:pStyle w:val="55"/>
              <w:bidi w:val="0"/>
              <w:rPr>
                <w:rFonts w:hint="default"/>
                <w:color w:val="auto"/>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dxa"/>
            <w:tcBorders>
              <w:tl2br w:val="nil"/>
              <w:tr2bl w:val="nil"/>
            </w:tcBorders>
            <w:noWrap w:val="0"/>
            <w:vAlign w:val="center"/>
          </w:tcPr>
          <w:p>
            <w:pPr>
              <w:pStyle w:val="55"/>
              <w:bidi w:val="0"/>
              <w:rPr>
                <w:rFonts w:hint="eastAsia" w:eastAsia="宋体"/>
                <w:color w:val="auto"/>
                <w:shd w:val="clear" w:color="auto" w:fill="auto"/>
                <w:lang w:val="en-US" w:eastAsia="zh-CN"/>
              </w:rPr>
            </w:pPr>
            <w:r>
              <w:rPr>
                <w:rFonts w:hint="eastAsia"/>
                <w:color w:val="auto"/>
                <w:shd w:val="clear" w:color="auto" w:fill="auto"/>
                <w:lang w:val="en-US" w:eastAsia="zh-CN"/>
              </w:rPr>
              <w:t>9</w:t>
            </w:r>
          </w:p>
        </w:tc>
        <w:tc>
          <w:tcPr>
            <w:tcW w:w="946" w:type="dxa"/>
            <w:tcBorders>
              <w:tl2br w:val="nil"/>
              <w:tr2bl w:val="nil"/>
            </w:tcBorders>
            <w:noWrap w:val="0"/>
            <w:vAlign w:val="center"/>
          </w:tcPr>
          <w:p>
            <w:pPr>
              <w:pStyle w:val="106"/>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rPr>
                <w:rFonts w:hint="default" w:ascii="Times New Roman" w:hAnsi="Times New Roman" w:eastAsia="宋体" w:cs="Times New Roman"/>
                <w:color w:val="auto"/>
                <w:kern w:val="2"/>
                <w:sz w:val="21"/>
                <w:szCs w:val="21"/>
                <w:highlight w:val="none"/>
                <w:shd w:val="clear" w:color="auto" w:fill="auto"/>
                <w:lang w:val="en-US" w:eastAsia="en-US" w:bidi="ar-SA"/>
              </w:rPr>
            </w:pPr>
            <w:r>
              <w:rPr>
                <w:rFonts w:hint="default" w:ascii="Times New Roman" w:hAnsi="Times New Roman" w:eastAsia="宋体" w:cs="Times New Roman"/>
                <w:color w:val="auto"/>
                <w:sz w:val="21"/>
                <w:szCs w:val="21"/>
                <w:highlight w:val="none"/>
                <w:shd w:val="clear" w:color="auto" w:fill="auto"/>
              </w:rPr>
              <w:t>柴油发电机</w:t>
            </w:r>
          </w:p>
        </w:tc>
        <w:tc>
          <w:tcPr>
            <w:tcW w:w="514" w:type="dxa"/>
            <w:tcBorders>
              <w:tl2br w:val="nil"/>
              <w:tr2bl w:val="nil"/>
            </w:tcBorders>
            <w:noWrap w:val="0"/>
            <w:tcMar>
              <w:left w:w="57" w:type="dxa"/>
              <w:right w:w="57" w:type="dxa"/>
            </w:tcMar>
            <w:vAlign w:val="center"/>
          </w:tcPr>
          <w:p>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77.5 </w:t>
            </w:r>
          </w:p>
        </w:tc>
        <w:tc>
          <w:tcPr>
            <w:tcW w:w="514" w:type="dxa"/>
            <w:tcBorders>
              <w:tl2br w:val="nil"/>
              <w:tr2bl w:val="nil"/>
            </w:tcBorders>
            <w:noWrap w:val="0"/>
            <w:tcMar>
              <w:left w:w="57" w:type="dxa"/>
              <w:right w:w="57" w:type="dxa"/>
            </w:tcMar>
            <w:vAlign w:val="center"/>
          </w:tcPr>
          <w:p>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74.0 </w:t>
            </w:r>
          </w:p>
        </w:tc>
        <w:tc>
          <w:tcPr>
            <w:tcW w:w="625" w:type="dxa"/>
            <w:tcBorders>
              <w:tl2br w:val="nil"/>
              <w:tr2bl w:val="nil"/>
            </w:tcBorders>
            <w:noWrap w:val="0"/>
            <w:tcMar>
              <w:left w:w="57" w:type="dxa"/>
              <w:right w:w="57" w:type="dxa"/>
            </w:tcMar>
            <w:vAlign w:val="center"/>
          </w:tcPr>
          <w:p>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69.5 </w:t>
            </w:r>
          </w:p>
        </w:tc>
        <w:tc>
          <w:tcPr>
            <w:tcW w:w="625" w:type="dxa"/>
            <w:tcBorders>
              <w:tl2br w:val="nil"/>
              <w:tr2bl w:val="nil"/>
            </w:tcBorders>
            <w:noWrap w:val="0"/>
            <w:tcMar>
              <w:left w:w="57" w:type="dxa"/>
              <w:right w:w="57" w:type="dxa"/>
            </w:tcMar>
            <w:vAlign w:val="center"/>
          </w:tcPr>
          <w:p>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63.5 </w:t>
            </w:r>
          </w:p>
        </w:tc>
        <w:tc>
          <w:tcPr>
            <w:tcW w:w="625" w:type="dxa"/>
            <w:tcBorders>
              <w:tl2br w:val="nil"/>
              <w:tr2bl w:val="nil"/>
            </w:tcBorders>
            <w:noWrap w:val="0"/>
            <w:tcMar>
              <w:left w:w="57" w:type="dxa"/>
              <w:right w:w="57" w:type="dxa"/>
            </w:tcMar>
            <w:vAlign w:val="center"/>
          </w:tcPr>
          <w:p>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60.0 </w:t>
            </w:r>
          </w:p>
        </w:tc>
        <w:tc>
          <w:tcPr>
            <w:tcW w:w="625" w:type="dxa"/>
            <w:tcBorders>
              <w:tl2br w:val="nil"/>
              <w:tr2bl w:val="nil"/>
            </w:tcBorders>
            <w:noWrap w:val="0"/>
            <w:tcMar>
              <w:left w:w="57" w:type="dxa"/>
              <w:right w:w="57" w:type="dxa"/>
            </w:tcMar>
            <w:vAlign w:val="center"/>
          </w:tcPr>
          <w:p>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57.5 </w:t>
            </w:r>
          </w:p>
        </w:tc>
        <w:tc>
          <w:tcPr>
            <w:tcW w:w="564" w:type="dxa"/>
            <w:tcBorders>
              <w:tl2br w:val="nil"/>
              <w:tr2bl w:val="nil"/>
            </w:tcBorders>
            <w:noWrap w:val="0"/>
            <w:vAlign w:val="center"/>
          </w:tcPr>
          <w:p>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55.6 </w:t>
            </w:r>
          </w:p>
        </w:tc>
        <w:tc>
          <w:tcPr>
            <w:tcW w:w="564" w:type="dxa"/>
            <w:tcBorders>
              <w:tl2br w:val="nil"/>
              <w:tr2bl w:val="nil"/>
            </w:tcBorders>
            <w:noWrap w:val="0"/>
            <w:vAlign w:val="center"/>
          </w:tcPr>
          <w:p>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52.6 </w:t>
            </w:r>
          </w:p>
        </w:tc>
        <w:tc>
          <w:tcPr>
            <w:tcW w:w="564" w:type="dxa"/>
            <w:tcBorders>
              <w:tl2br w:val="nil"/>
              <w:tr2bl w:val="nil"/>
            </w:tcBorders>
            <w:noWrap w:val="0"/>
            <w:vAlign w:val="center"/>
          </w:tcPr>
          <w:p>
            <w:pPr>
              <w:pStyle w:val="106"/>
              <w:bidi w:val="0"/>
              <w:rPr>
                <w:rFonts w:hint="default"/>
                <w:color w:val="auto"/>
                <w:shd w:val="clear" w:color="auto" w:fill="auto"/>
                <w:lang w:val="en-US" w:eastAsia="zh-CN"/>
              </w:rPr>
            </w:pPr>
            <w:r>
              <w:rPr>
                <w:rFonts w:hint="eastAsia"/>
                <w:color w:val="auto"/>
                <w:shd w:val="clear" w:color="auto" w:fill="auto"/>
                <w:lang w:val="en-US" w:eastAsia="zh-CN"/>
              </w:rPr>
              <w:t xml:space="preserve">50.5 </w:t>
            </w:r>
          </w:p>
        </w:tc>
        <w:tc>
          <w:tcPr>
            <w:tcW w:w="678" w:type="dxa"/>
            <w:tcBorders>
              <w:tl2br w:val="nil"/>
              <w:tr2bl w:val="nil"/>
            </w:tcBorders>
            <w:noWrap w:val="0"/>
            <w:vAlign w:val="center"/>
          </w:tcPr>
          <w:p>
            <w:pPr>
              <w:pStyle w:val="106"/>
              <w:bidi w:val="0"/>
              <w:rPr>
                <w:rFonts w:hint="default"/>
                <w:color w:val="auto"/>
                <w:shd w:val="clear" w:color="auto" w:fill="auto"/>
              </w:rPr>
            </w:pPr>
            <w:r>
              <w:rPr>
                <w:rFonts w:hint="eastAsia"/>
                <w:color w:val="auto"/>
                <w:shd w:val="clear" w:color="auto" w:fill="auto"/>
                <w:lang w:val="en-US" w:eastAsia="zh-CN"/>
              </w:rPr>
              <w:t xml:space="preserve">48.0 </w:t>
            </w:r>
          </w:p>
        </w:tc>
        <w:tc>
          <w:tcPr>
            <w:tcW w:w="945" w:type="dxa"/>
            <w:vMerge w:val="continue"/>
            <w:tcBorders>
              <w:tl2br w:val="nil"/>
              <w:tr2bl w:val="nil"/>
            </w:tcBorders>
            <w:noWrap w:val="0"/>
            <w:vAlign w:val="center"/>
          </w:tcPr>
          <w:p>
            <w:pPr>
              <w:pStyle w:val="55"/>
              <w:bidi w:val="0"/>
              <w:rPr>
                <w:rFonts w:hint="default"/>
                <w:color w:val="auto"/>
                <w:shd w:val="clear" w:color="auto" w:fill="auto"/>
              </w:rPr>
            </w:pPr>
          </w:p>
        </w:tc>
      </w:tr>
    </w:tbl>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highlight w:val="none"/>
          <w:lang w:eastAsia="zh-CN"/>
        </w:rPr>
        <w:t>通过各种施工机械噪声预测结果可以看出，各种施工机械噪声预测结果可以看出，在不采取减振降噪措施的情况下，土石方施工、道路工程和管线施工期间昼间</w:t>
      </w:r>
      <w:r>
        <w:rPr>
          <w:rFonts w:hint="default" w:ascii="Times New Roman" w:hAnsi="Times New Roman" w:eastAsia="宋体" w:cs="Times New Roman"/>
          <w:color w:val="auto"/>
          <w:sz w:val="24"/>
          <w:szCs w:val="24"/>
          <w:highlight w:val="none"/>
          <w:lang w:eastAsia="zh-CN"/>
        </w:rPr>
        <w:t>距施工设备60m、夜间300m即可满足《建筑施工场界环境噪声排放标准》（GB12523-2011）场界噪声限值要求；设备安装施工期间昼间距施工机械40m、夜间200m即可满足《建筑施工场界环境噪声排放标准》（GB12523-2011）场界噪声限值要求；钻井期间昼间距施工机械100m、夜间500m即可满足《建筑施工场界环境噪声排放标准》（GB12523-2011）场界噪声限值要求</w:t>
      </w:r>
      <w:r>
        <w:rPr>
          <w:rFonts w:hint="eastAsia" w:ascii="Times New Roman" w:hAnsi="Times New Roman" w:eastAsia="宋体" w:cs="Times New Roman"/>
          <w:color w:val="auto"/>
          <w:sz w:val="24"/>
          <w:szCs w:val="24"/>
          <w:highlight w:val="none"/>
          <w:lang w:eastAsia="zh-CN"/>
        </w:rPr>
        <w:t>。</w:t>
      </w:r>
    </w:p>
    <w:p>
      <w:pPr>
        <w:pStyle w:val="71"/>
        <w:pageBreakBefore w:val="0"/>
        <w:kinsoku/>
        <w:wordWrap/>
        <w:overflowPunct/>
        <w:topLinePunct w:val="0"/>
        <w:autoSpaceDE/>
        <w:autoSpaceDN/>
        <w:bidi w:val="0"/>
        <w:spacing w:before="156" w:beforeLines="50" w:line="480" w:lineRule="exact"/>
        <w:jc w:val="both"/>
        <w:textAlignment w:val="auto"/>
        <w:rPr>
          <w:rFonts w:hint="default" w:ascii="Times New Roman" w:hAnsi="Times New Roman" w:eastAsia="宋体" w:cs="Times New Roman"/>
          <w:b/>
          <w:color w:val="auto"/>
          <w:sz w:val="24"/>
          <w:szCs w:val="24"/>
          <w:highlight w:val="none"/>
          <w:shd w:val="clear" w:color="auto" w:fill="auto"/>
          <w:lang w:val="en-US" w:eastAsia="zh-CN"/>
        </w:rPr>
      </w:pPr>
      <w:r>
        <w:rPr>
          <w:rFonts w:hint="default" w:ascii="Times New Roman" w:hAnsi="Times New Roman" w:eastAsia="宋体" w:cs="Times New Roman"/>
          <w:b/>
          <w:color w:val="auto"/>
          <w:sz w:val="24"/>
          <w:szCs w:val="24"/>
          <w:highlight w:val="none"/>
          <w:shd w:val="clear" w:color="auto" w:fill="auto"/>
        </w:rPr>
        <w:t>5.</w:t>
      </w:r>
      <w:r>
        <w:rPr>
          <w:rFonts w:hint="eastAsia" w:ascii="Times New Roman" w:hAnsi="Times New Roman" w:eastAsia="宋体" w:cs="Times New Roman"/>
          <w:b/>
          <w:color w:val="auto"/>
          <w:sz w:val="24"/>
          <w:szCs w:val="24"/>
          <w:highlight w:val="none"/>
          <w:shd w:val="clear" w:color="auto" w:fill="auto"/>
          <w:lang w:val="en-US" w:eastAsia="zh-CN"/>
        </w:rPr>
        <w:t>6</w:t>
      </w:r>
      <w:r>
        <w:rPr>
          <w:rFonts w:hint="default" w:ascii="Times New Roman" w:hAnsi="Times New Roman" w:eastAsia="宋体" w:cs="Times New Roman"/>
          <w:b/>
          <w:color w:val="auto"/>
          <w:sz w:val="24"/>
          <w:szCs w:val="24"/>
          <w:highlight w:val="none"/>
          <w:shd w:val="clear" w:color="auto" w:fill="auto"/>
        </w:rPr>
        <w:t>.1.</w:t>
      </w:r>
      <w:r>
        <w:rPr>
          <w:rFonts w:hint="eastAsia" w:ascii="Times New Roman" w:hAnsi="Times New Roman" w:eastAsia="宋体" w:cs="Times New Roman"/>
          <w:b/>
          <w:color w:val="auto"/>
          <w:sz w:val="24"/>
          <w:szCs w:val="24"/>
          <w:highlight w:val="none"/>
          <w:shd w:val="clear" w:color="auto" w:fill="auto"/>
          <w:lang w:val="en-US" w:eastAsia="zh-CN"/>
        </w:rPr>
        <w:t>3预测结果分析</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钻井影响分析</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eastAsia="zh-CN"/>
        </w:rPr>
        <w:t>工程区200m内无居民，钻井工程噪声不影响当地居民正常生活，施工期</w:t>
      </w:r>
      <w:r>
        <w:rPr>
          <w:rFonts w:hint="eastAsia" w:ascii="Times New Roman" w:hAnsi="Times New Roman" w:eastAsia="宋体" w:cs="Times New Roman"/>
          <w:color w:val="auto"/>
          <w:sz w:val="24"/>
          <w:szCs w:val="24"/>
          <w:highlight w:val="none"/>
          <w:shd w:val="clear" w:color="auto" w:fill="auto"/>
          <w:lang w:val="en-US" w:eastAsia="zh-CN"/>
        </w:rPr>
        <w:t>钻井</w:t>
      </w:r>
      <w:r>
        <w:rPr>
          <w:rFonts w:hint="default" w:ascii="Times New Roman" w:hAnsi="Times New Roman" w:eastAsia="宋体" w:cs="Times New Roman"/>
          <w:color w:val="auto"/>
          <w:sz w:val="24"/>
          <w:szCs w:val="24"/>
          <w:highlight w:val="none"/>
          <w:shd w:val="clear" w:color="auto" w:fill="auto"/>
          <w:lang w:eastAsia="zh-CN"/>
        </w:rPr>
        <w:t>的这些噪声源均为暂时性的，只在短时期对局部环境和施工人员造成影响，待施工结束后这种影响也随之消失。施工期噪声对周围环境造成的影响</w:t>
      </w:r>
      <w:r>
        <w:rPr>
          <w:rFonts w:hint="eastAsia" w:cs="Times New Roman"/>
          <w:color w:val="auto"/>
          <w:sz w:val="24"/>
          <w:szCs w:val="24"/>
          <w:highlight w:val="none"/>
          <w:shd w:val="clear" w:color="auto" w:fill="auto"/>
          <w:lang w:eastAsia="zh-CN"/>
        </w:rPr>
        <w:t>属于</w:t>
      </w:r>
      <w:r>
        <w:rPr>
          <w:rFonts w:hint="default" w:ascii="Times New Roman" w:hAnsi="Times New Roman" w:eastAsia="宋体" w:cs="Times New Roman"/>
          <w:color w:val="auto"/>
          <w:sz w:val="24"/>
          <w:szCs w:val="24"/>
          <w:highlight w:val="none"/>
          <w:shd w:val="clear" w:color="auto" w:fill="auto"/>
          <w:lang w:eastAsia="zh-CN"/>
        </w:rPr>
        <w:t>可接受范围。</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2</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地面工程影响分析</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eastAsia="zh-CN"/>
        </w:rPr>
        <w:t>本项目地面工程在建设施工过程中，由于运输、平整场地、管沟开挖及回填、建筑物修建</w:t>
      </w:r>
      <w:r>
        <w:rPr>
          <w:rFonts w:hint="eastAsia" w:cs="Times New Roman"/>
          <w:color w:val="auto"/>
          <w:sz w:val="24"/>
          <w:szCs w:val="24"/>
          <w:highlight w:val="none"/>
          <w:shd w:val="clear" w:color="auto" w:fill="auto"/>
          <w:lang w:eastAsia="zh-CN"/>
        </w:rPr>
        <w:t>等需</w:t>
      </w:r>
      <w:r>
        <w:rPr>
          <w:rFonts w:hint="default" w:ascii="Times New Roman" w:hAnsi="Times New Roman" w:eastAsia="宋体" w:cs="Times New Roman"/>
          <w:color w:val="auto"/>
          <w:sz w:val="24"/>
          <w:szCs w:val="24"/>
          <w:highlight w:val="none"/>
          <w:shd w:val="clear" w:color="auto" w:fill="auto"/>
          <w:lang w:eastAsia="zh-CN"/>
        </w:rPr>
        <w:t>要使用各种车辆和机械，其产生的噪声对施工区周围的环境将产生一定的影响</w:t>
      </w: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但随着施工的结束</w:t>
      </w:r>
      <w:r>
        <w:rPr>
          <w:rFonts w:hint="default" w:ascii="Times New Roman" w:hAnsi="Times New Roman" w:eastAsia="宋体" w:cs="Times New Roman"/>
          <w:color w:val="auto"/>
          <w:sz w:val="24"/>
          <w:szCs w:val="24"/>
          <w:highlight w:val="none"/>
          <w:shd w:val="clear" w:color="auto" w:fill="auto"/>
          <w:lang w:eastAsia="zh-CN"/>
        </w:rPr>
        <w:t>这种影响也随之消失。</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3</w:t>
      </w:r>
      <w:r>
        <w:rPr>
          <w:rFonts w:hint="eastAsia" w:ascii="Times New Roman" w:hAnsi="Times New Roman" w:eastAsia="宋体" w:cs="Times New Roman"/>
          <w:color w:val="auto"/>
          <w:sz w:val="24"/>
          <w:szCs w:val="24"/>
          <w:highlight w:val="none"/>
          <w:shd w:val="clear" w:color="auto" w:fill="auto"/>
          <w:lang w:eastAsia="zh-CN"/>
        </w:rPr>
        <w:t>）</w:t>
      </w:r>
      <w:r>
        <w:rPr>
          <w:rFonts w:hint="default" w:ascii="Times New Roman" w:hAnsi="Times New Roman" w:eastAsia="宋体" w:cs="Times New Roman"/>
          <w:color w:val="auto"/>
          <w:sz w:val="24"/>
          <w:szCs w:val="24"/>
          <w:highlight w:val="none"/>
          <w:shd w:val="clear" w:color="auto" w:fill="auto"/>
          <w:lang w:eastAsia="zh-CN"/>
        </w:rPr>
        <w:t>井下作业噪声环境影响分析</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shd w:val="clear" w:color="auto" w:fill="auto"/>
          <w:lang w:eastAsia="zh-CN"/>
        </w:rPr>
        <w:t>井下作业过程中最强的噪声源为压裂车噪声，最高可达120dB（A），导致作业现场周围噪声超出《建筑施工场界环境噪声排放标准》（GB12523-2011）标准要求，但是由于油井分布在空旷地带，加上井下作业周期较短，声源具有不固定性和不稳定性，在施工时，对高噪声设备设置临时屏蔽设施，则其对周围环境的影响是可以接受的</w:t>
      </w:r>
      <w:r>
        <w:rPr>
          <w:rFonts w:hint="eastAsia" w:ascii="Times New Roman" w:hAnsi="Times New Roman" w:eastAsia="宋体" w:cs="Times New Roman"/>
          <w:color w:val="auto"/>
          <w:sz w:val="24"/>
          <w:szCs w:val="24"/>
          <w:highlight w:val="none"/>
          <w:shd w:val="clear" w:color="auto" w:fill="auto"/>
          <w:lang w:eastAsia="zh-CN"/>
        </w:rPr>
        <w:t>。</w:t>
      </w:r>
    </w:p>
    <w:p>
      <w:pPr>
        <w:pStyle w:val="53"/>
        <w:pageBreakBefore w:val="0"/>
        <w:widowControl/>
        <w:kinsoku/>
        <w:wordWrap/>
        <w:overflowPunct/>
        <w:topLinePunct w:val="0"/>
        <w:autoSpaceDE/>
        <w:autoSpaceDN/>
        <w:bidi w:val="0"/>
        <w:spacing w:line="480" w:lineRule="exact"/>
        <w:textAlignment w:val="auto"/>
        <w:rPr>
          <w:color w:val="auto"/>
          <w:highlight w:val="none"/>
        </w:rPr>
      </w:pPr>
      <w:bookmarkStart w:id="667" w:name="_Toc173941897"/>
      <w:r>
        <w:rPr>
          <w:rFonts w:hint="eastAsia"/>
          <w:color w:val="auto"/>
          <w:highlight w:val="none"/>
        </w:rPr>
        <w:t>5.6.</w:t>
      </w:r>
      <w:r>
        <w:rPr>
          <w:color w:val="auto"/>
          <w:highlight w:val="none"/>
        </w:rPr>
        <w:t>2运营期声环境影响分析</w:t>
      </w:r>
      <w:bookmarkEnd w:id="667"/>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lang w:eastAsia="zh-CN"/>
        </w:rPr>
        <w:t>本工程</w:t>
      </w:r>
      <w:r>
        <w:rPr>
          <w:rFonts w:hint="eastAsia"/>
          <w:color w:val="auto"/>
          <w:highlight w:val="none"/>
        </w:rPr>
        <w:t>管线均埋设在地下，埋深</w:t>
      </w:r>
      <w:r>
        <w:rPr>
          <w:rFonts w:hint="eastAsia"/>
          <w:color w:val="auto"/>
          <w:highlight w:val="none"/>
          <w:lang w:val="en-US" w:eastAsia="zh-CN"/>
        </w:rPr>
        <w:t>1.8</w:t>
      </w:r>
      <w:r>
        <w:rPr>
          <w:rFonts w:hint="eastAsia"/>
          <w:color w:val="auto"/>
          <w:highlight w:val="none"/>
        </w:rPr>
        <w:t>m，油气集输不会对周围声环境产生影响；本工程拟建井场产噪设备主要为井场</w:t>
      </w:r>
      <w:r>
        <w:rPr>
          <w:rFonts w:hint="eastAsia"/>
          <w:color w:val="auto"/>
          <w:highlight w:val="none"/>
          <w:lang w:val="en-US" w:eastAsia="zh-CN"/>
        </w:rPr>
        <w:t>抽油机</w:t>
      </w:r>
      <w:r>
        <w:rPr>
          <w:rFonts w:hint="eastAsia"/>
          <w:color w:val="auto"/>
          <w:highlight w:val="none"/>
        </w:rPr>
        <w:t>和</w:t>
      </w:r>
      <w:r>
        <w:rPr>
          <w:rFonts w:hint="eastAsia"/>
          <w:color w:val="auto"/>
          <w:highlight w:val="none"/>
          <w:lang w:val="en-US" w:eastAsia="zh-CN"/>
        </w:rPr>
        <w:t>集中拉油站</w:t>
      </w:r>
      <w:bookmarkStart w:id="668" w:name="OLE_LINK83"/>
      <w:r>
        <w:rPr>
          <w:rFonts w:hint="eastAsia"/>
          <w:color w:val="auto"/>
          <w:highlight w:val="none"/>
          <w:lang w:val="en-US" w:eastAsia="zh-CN"/>
        </w:rPr>
        <w:t>装车泵</w:t>
      </w:r>
      <w:bookmarkEnd w:id="668"/>
      <w:r>
        <w:rPr>
          <w:rFonts w:hint="eastAsia"/>
          <w:color w:val="auto"/>
          <w:highlight w:val="none"/>
        </w:rPr>
        <w:t>，井场布置基本一致，本次选择</w:t>
      </w:r>
      <w:bookmarkStart w:id="669" w:name="OLE_LINK82"/>
      <w:r>
        <w:rPr>
          <w:rFonts w:hint="eastAsia"/>
          <w:color w:val="auto"/>
          <w:highlight w:val="none"/>
          <w:lang w:eastAsia="zh-CN"/>
        </w:rPr>
        <w:t>FTYHW1011</w:t>
      </w:r>
      <w:r>
        <w:rPr>
          <w:rFonts w:hint="eastAsia"/>
          <w:color w:val="auto"/>
          <w:highlight w:val="none"/>
        </w:rPr>
        <w:t>井</w:t>
      </w:r>
      <w:bookmarkEnd w:id="669"/>
      <w:r>
        <w:rPr>
          <w:rFonts w:hint="eastAsia"/>
          <w:color w:val="auto"/>
          <w:highlight w:val="none"/>
        </w:rPr>
        <w:t>井场进行预测；拟建站场噪声主要是</w:t>
      </w:r>
      <w:bookmarkStart w:id="670" w:name="OLE_LINK84"/>
      <w:r>
        <w:rPr>
          <w:rFonts w:hint="eastAsia"/>
          <w:color w:val="auto"/>
          <w:highlight w:val="none"/>
          <w:lang w:val="en-US" w:eastAsia="zh-CN"/>
        </w:rPr>
        <w:t>集中拉油站</w:t>
      </w:r>
      <w:bookmarkEnd w:id="670"/>
      <w:r>
        <w:rPr>
          <w:rFonts w:hint="eastAsia"/>
          <w:color w:val="auto"/>
          <w:highlight w:val="none"/>
        </w:rPr>
        <w:t>内</w:t>
      </w:r>
      <w:r>
        <w:rPr>
          <w:rFonts w:hint="eastAsia"/>
          <w:color w:val="auto"/>
          <w:highlight w:val="none"/>
          <w:lang w:val="en-US" w:eastAsia="zh-CN"/>
        </w:rPr>
        <w:t>装车泵</w:t>
      </w:r>
      <w:r>
        <w:rPr>
          <w:rFonts w:hint="eastAsia"/>
          <w:color w:val="auto"/>
          <w:highlight w:val="none"/>
        </w:rPr>
        <w:t>噪声，</w:t>
      </w:r>
      <w:r>
        <w:rPr>
          <w:rFonts w:hint="eastAsia"/>
          <w:color w:val="auto"/>
          <w:highlight w:val="none"/>
          <w:lang w:val="en-US" w:eastAsia="zh-CN"/>
        </w:rPr>
        <w:t>计量站内</w:t>
      </w:r>
      <w:r>
        <w:rPr>
          <w:rFonts w:hint="eastAsia"/>
          <w:color w:val="auto"/>
          <w:highlight w:val="none"/>
        </w:rPr>
        <w:t>均为计量设备，无噪声源，本次对</w:t>
      </w:r>
      <w:r>
        <w:rPr>
          <w:rFonts w:hint="eastAsia"/>
          <w:color w:val="auto"/>
          <w:highlight w:val="none"/>
          <w:lang w:eastAsia="zh-CN"/>
        </w:rPr>
        <w:t>FTYHW1011</w:t>
      </w:r>
      <w:r>
        <w:rPr>
          <w:rFonts w:hint="eastAsia"/>
          <w:color w:val="auto"/>
          <w:highlight w:val="none"/>
        </w:rPr>
        <w:t>井</w:t>
      </w:r>
      <w:r>
        <w:rPr>
          <w:rFonts w:hint="eastAsia"/>
          <w:color w:val="auto"/>
          <w:highlight w:val="none"/>
          <w:lang w:val="en-US" w:eastAsia="zh-CN"/>
        </w:rPr>
        <w:t>和集中拉油站</w:t>
      </w:r>
      <w:r>
        <w:rPr>
          <w:rFonts w:hint="eastAsia"/>
          <w:color w:val="auto"/>
          <w:highlight w:val="none"/>
        </w:rPr>
        <w:t>进行预测。</w:t>
      </w:r>
    </w:p>
    <w:p>
      <w:pPr>
        <w:pStyle w:val="5"/>
        <w:pageBreakBefore w:val="0"/>
        <w:widowControl/>
        <w:kinsoku/>
        <w:wordWrap/>
        <w:overflowPunct/>
        <w:topLinePunct w:val="0"/>
        <w:autoSpaceDE/>
        <w:autoSpaceDN/>
        <w:bidi w:val="0"/>
        <w:spacing w:line="480" w:lineRule="exact"/>
        <w:textAlignment w:val="auto"/>
        <w:rPr>
          <w:color w:val="auto"/>
          <w:sz w:val="24"/>
          <w:szCs w:val="24"/>
          <w:highlight w:val="none"/>
        </w:rPr>
      </w:pPr>
      <w:r>
        <w:rPr>
          <w:rFonts w:hint="eastAsia"/>
          <w:color w:val="auto"/>
          <w:sz w:val="24"/>
          <w:szCs w:val="24"/>
          <w:highlight w:val="none"/>
        </w:rPr>
        <w:t>5.6.</w:t>
      </w:r>
      <w:r>
        <w:rPr>
          <w:color w:val="auto"/>
          <w:sz w:val="24"/>
          <w:szCs w:val="24"/>
          <w:highlight w:val="none"/>
        </w:rPr>
        <w:t>2.1 预测模式</w:t>
      </w:r>
    </w:p>
    <w:p>
      <w:pPr>
        <w:pStyle w:val="57"/>
        <w:pageBreakBefore w:val="0"/>
        <w:widowControl/>
        <w:kinsoku/>
        <w:wordWrap/>
        <w:overflowPunct/>
        <w:topLinePunct w:val="0"/>
        <w:autoSpaceDE/>
        <w:autoSpaceDN/>
        <w:bidi w:val="0"/>
        <w:spacing w:line="480" w:lineRule="exact"/>
        <w:textAlignment w:val="auto"/>
        <w:rPr>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color w:val="auto"/>
          <w:sz w:val="24"/>
          <w:szCs w:val="24"/>
          <w:highlight w:val="none"/>
        </w:rPr>
        <w:t>根据《环境影响评价技术导则 声环境》（HJ2.4-2021），在环境影响评价中，应根据声源声功率级或参考位置处的声压级、户外声传播衰减，计算预测点的声级，计算公式为：</w:t>
      </w:r>
    </w:p>
    <w:p>
      <w:pPr>
        <w:pageBreakBefore w:val="0"/>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25" o:spt="75" type="#_x0000_t75" style="height:18.5pt;width:236pt;" o:ole="t" filled="f" o:preferrelative="t" stroked="f" coordsize="21600,21600">
            <v:path/>
            <v:fill on="f" focussize="0,0"/>
            <v:stroke on="f" joinstyle="miter"/>
            <v:imagedata r:id="rId32" o:title=""/>
            <o:lock v:ext="edit" aspectratio="t"/>
            <w10:wrap type="none"/>
            <w10:anchorlock/>
          </v:shape>
          <o:OLEObject Type="Embed" ProgID="Equation.3" ShapeID="_x0000_i1025" DrawAspect="Content" ObjectID="_1468075725" r:id="rId31">
            <o:LockedField>false</o:LockedField>
          </o:OLEObject>
        </w:objec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eastAsia="zh-CN"/>
        </w:rPr>
        <w:t>式中</w: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val="pt-BR" w:eastAsia="zh-CN"/>
        </w:rPr>
        <w:object>
          <v:shape id="_x0000_i1026" o:spt="75" type="#_x0000_t75" style="height:18.5pt;width:32pt;" o:ole="t" filled="f" o:preferrelative="t" stroked="f" coordsize="21600,21600">
            <v:path/>
            <v:fill on="f" focussize="0,0"/>
            <v:stroke on="f" joinstyle="miter"/>
            <v:imagedata r:id="rId34" o:title=""/>
            <o:lock v:ext="edit" aspectratio="t"/>
            <w10:wrap type="none"/>
            <w10:anchorlock/>
          </v:shape>
          <o:OLEObject Type="Embed" ProgID="Equation.3" ShapeID="_x0000_i1026" DrawAspect="Content" ObjectID="_1468075726" r:id="rId33">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预测点处声压级</w:t>
      </w:r>
      <w:r>
        <w:rPr>
          <w:rFonts w:hint="default" w:ascii="Times New Roman" w:hAnsi="Times New Roman" w:eastAsia="宋体" w:cs="Times New Roman"/>
          <w:color w:val="auto"/>
          <w:sz w:val="24"/>
          <w:szCs w:val="24"/>
          <w:highlight w:val="none"/>
          <w:shd w:val="clear" w:color="auto" w:fill="auto"/>
          <w:lang w:val="pt-BR" w:eastAsia="zh-CN"/>
        </w:rPr>
        <w:t>，dB；</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27" o:spt="75" type="#_x0000_t75" style="height:18.5pt;width:16pt;" o:ole="t" filled="f" o:preferrelative="t" stroked="f" coordsize="21600,21600">
            <v:path/>
            <v:fill on="f" focussize="0,0"/>
            <v:stroke on="f" joinstyle="miter"/>
            <v:imagedata r:id="rId36" o:title=""/>
            <o:lock v:ext="edit" aspectratio="t"/>
            <w10:wrap type="none"/>
            <w10:anchorlock/>
          </v:shape>
          <o:OLEObject Type="Embed" ProgID="Equation.3" ShapeID="_x0000_i1027" DrawAspect="Content" ObjectID="_1468075727" r:id="rId35">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由点声源产生的声功率级（A计权或倍频带）</w:t>
      </w:r>
      <w:r>
        <w:rPr>
          <w:rFonts w:hint="default" w:ascii="Times New Roman" w:hAnsi="Times New Roman" w:eastAsia="宋体" w:cs="Times New Roman"/>
          <w:color w:val="auto"/>
          <w:sz w:val="24"/>
          <w:szCs w:val="24"/>
          <w:highlight w:val="none"/>
          <w:shd w:val="clear" w:color="auto" w:fill="auto"/>
          <w:lang w:val="pt-BR" w:eastAsia="zh-CN"/>
        </w:rPr>
        <w:t>，dB；</w:t>
      </w:r>
    </w:p>
    <w:p>
      <w:pPr>
        <w:pageBreakBefore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28" o:spt="75" type="#_x0000_t75" style="height:18.5pt;width:16pt;" o:ole="t" filled="f" o:preferrelative="t" stroked="f" coordsize="21600,21600">
            <v:path/>
            <v:fill on="f" focussize="0,0"/>
            <v:stroke on="f" joinstyle="miter"/>
            <v:imagedata r:id="rId38" o:title=""/>
            <o:lock v:ext="edit" aspectratio="t"/>
            <w10:wrap type="none"/>
            <w10:anchorlock/>
          </v:shape>
          <o:OLEObject Type="Embed" ProgID="Equation.3" ShapeID="_x0000_i1028" DrawAspect="Content" ObjectID="_1468075728" r:id="rId37">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—指向性校正，它描述点声源的等效连续声压级与产生声功率级L</w:t>
      </w:r>
      <w:r>
        <w:rPr>
          <w:rFonts w:hint="default" w:ascii="Times New Roman" w:hAnsi="Times New Roman" w:eastAsia="宋体" w:cs="Times New Roman"/>
          <w:color w:val="auto"/>
          <w:sz w:val="24"/>
          <w:szCs w:val="24"/>
          <w:highlight w:val="none"/>
          <w:shd w:val="clear" w:color="auto" w:fill="auto"/>
          <w:lang w:eastAsia="zh-CN"/>
        </w:rPr>
        <w:t>w</w:t>
      </w:r>
      <w:r>
        <w:rPr>
          <w:rFonts w:hint="default" w:ascii="Times New Roman" w:hAnsi="Times New Roman" w:eastAsia="宋体" w:cs="Times New Roman"/>
          <w:color w:val="auto"/>
          <w:sz w:val="24"/>
          <w:szCs w:val="24"/>
          <w:highlight w:val="none"/>
          <w:shd w:val="clear" w:color="auto" w:fill="auto"/>
          <w:lang w:val="pt-BR" w:eastAsia="zh-CN"/>
        </w:rPr>
        <w:t>的全向点声源在规定方向的声级的偏差程度，dB；</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val="pt-BR"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29" o:spt="75" type="#_x0000_t75" style="height:18.5pt;width:22pt;" o:ole="t" filled="f" o:preferrelative="t" stroked="f" coordsize="21600,21600">
            <v:path/>
            <v:fill on="f" focussize="0,0"/>
            <v:stroke on="f" joinstyle="miter"/>
            <v:imagedata r:id="rId40" o:title=""/>
            <o:lock v:ext="edit" aspectratio="t"/>
            <w10:wrap type="none"/>
            <w10:anchorlock/>
          </v:shape>
          <o:OLEObject Type="Embed" ProgID="Equation.3" ShapeID="_x0000_i1029" DrawAspect="Content" ObjectID="_1468075729" r:id="rId39">
            <o:LockedField>false</o:LockedField>
          </o:OLEObject>
        </w:object>
      </w:r>
      <w:r>
        <w:rPr>
          <w:rFonts w:hint="default" w:ascii="Times New Roman" w:hAnsi="Times New Roman" w:eastAsia="宋体" w:cs="Times New Roman"/>
          <w:color w:val="auto"/>
          <w:sz w:val="24"/>
          <w:szCs w:val="24"/>
          <w:highlight w:val="none"/>
          <w:shd w:val="clear" w:color="auto" w:fill="auto"/>
          <w:lang w:eastAsia="zh-CN"/>
        </w:rPr>
        <w:t>—几何发散引起的衰减，</w:t>
      </w:r>
      <w:r>
        <w:rPr>
          <w:rFonts w:hint="default" w:ascii="Times New Roman" w:hAnsi="Times New Roman" w:eastAsia="宋体" w:cs="Times New Roman"/>
          <w:color w:val="auto"/>
          <w:sz w:val="24"/>
          <w:szCs w:val="24"/>
          <w:highlight w:val="none"/>
          <w:shd w:val="clear" w:color="auto" w:fill="auto"/>
          <w:lang w:val="pt-BR" w:eastAsia="zh-CN"/>
        </w:rPr>
        <w:t>dB；</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30" o:spt="75" type="#_x0000_t75" style="height:18.5pt;width:22pt;" o:ole="t" filled="f" o:preferrelative="t" stroked="f" coordsize="21600,21600">
            <v:path/>
            <v:fill on="f" focussize="0,0"/>
            <v:stroke on="f" joinstyle="miter"/>
            <v:imagedata r:id="rId42" o:title=""/>
            <o:lock v:ext="edit" aspectratio="t"/>
            <w10:wrap type="none"/>
            <w10:anchorlock/>
          </v:shape>
          <o:OLEObject Type="Embed" ProgID="Equation.3" ShapeID="_x0000_i1030" DrawAspect="Content" ObjectID="_1468075730" r:id="rId41">
            <o:LockedField>false</o:LockedField>
          </o:OLEObject>
        </w:object>
      </w:r>
      <w:r>
        <w:rPr>
          <w:rFonts w:hint="default" w:ascii="Times New Roman" w:hAnsi="Times New Roman" w:eastAsia="宋体" w:cs="Times New Roman"/>
          <w:color w:val="auto"/>
          <w:sz w:val="24"/>
          <w:szCs w:val="24"/>
          <w:highlight w:val="none"/>
          <w:shd w:val="clear" w:color="auto" w:fill="auto"/>
          <w:lang w:eastAsia="zh-CN"/>
        </w:rPr>
        <w:t>—大气吸收引起的衰减，</w:t>
      </w:r>
      <w:r>
        <w:rPr>
          <w:rFonts w:hint="default" w:ascii="Times New Roman" w:hAnsi="Times New Roman" w:eastAsia="宋体" w:cs="Times New Roman"/>
          <w:color w:val="auto"/>
          <w:sz w:val="24"/>
          <w:szCs w:val="24"/>
          <w:highlight w:val="none"/>
          <w:shd w:val="clear" w:color="auto" w:fill="auto"/>
          <w:lang w:val="pt-BR" w:eastAsia="zh-CN"/>
        </w:rPr>
        <w:t>dB；</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31" o:spt="75" type="#_x0000_t75" style="height:20pt;width:18.5pt;" o:ole="t" filled="f" o:preferrelative="t" stroked="f" coordsize="21600,21600">
            <v:path/>
            <v:fill on="f" focussize="0,0"/>
            <v:stroke on="f" joinstyle="miter"/>
            <v:imagedata r:id="rId44" o:title=""/>
            <o:lock v:ext="edit" aspectratio="t"/>
            <w10:wrap type="none"/>
            <w10:anchorlock/>
          </v:shape>
          <o:OLEObject Type="Embed" ProgID="Equation.3" ShapeID="_x0000_i1031" DrawAspect="Content" ObjectID="_1468075731" r:id="rId43">
            <o:LockedField>false</o:LockedField>
          </o:OLEObject>
        </w:object>
      </w:r>
      <w:r>
        <w:rPr>
          <w:rFonts w:hint="default" w:ascii="Times New Roman" w:hAnsi="Times New Roman" w:eastAsia="宋体" w:cs="Times New Roman"/>
          <w:color w:val="auto"/>
          <w:sz w:val="24"/>
          <w:szCs w:val="24"/>
          <w:highlight w:val="none"/>
          <w:shd w:val="clear" w:color="auto" w:fill="auto"/>
          <w:lang w:eastAsia="zh-CN"/>
        </w:rPr>
        <w:t>—地面效应引起的衰减，</w:t>
      </w:r>
      <w:r>
        <w:rPr>
          <w:rFonts w:hint="default" w:ascii="Times New Roman" w:hAnsi="Times New Roman" w:eastAsia="宋体" w:cs="Times New Roman"/>
          <w:color w:val="auto"/>
          <w:sz w:val="24"/>
          <w:szCs w:val="24"/>
          <w:highlight w:val="none"/>
          <w:shd w:val="clear" w:color="auto" w:fill="auto"/>
          <w:lang w:val="pt-BR" w:eastAsia="zh-CN"/>
        </w:rPr>
        <w:t>dB；</w:t>
      </w:r>
    </w:p>
    <w:p>
      <w:pPr>
        <w:pageBreakBefore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32" o:spt="75" type="#_x0000_t75" style="height:18.5pt;width:22pt;" o:ole="t" filled="f" o:preferrelative="t" stroked="f" coordsize="21600,21600">
            <v:path/>
            <v:fill on="f" focussize="0,0"/>
            <v:stroke on="f" joinstyle="miter"/>
            <v:imagedata r:id="rId46" o:title=""/>
            <o:lock v:ext="edit" aspectratio="t"/>
            <w10:wrap type="none"/>
            <w10:anchorlock/>
          </v:shape>
          <o:OLEObject Type="Embed" ProgID="Equation.3" ShapeID="_x0000_i1032" DrawAspect="Content" ObjectID="_1468075732" r:id="rId45">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障碍物屏蔽引起的衰减，</w:t>
      </w:r>
      <w:r>
        <w:rPr>
          <w:rFonts w:hint="default" w:ascii="Times New Roman" w:hAnsi="Times New Roman" w:eastAsia="宋体" w:cs="Times New Roman"/>
          <w:color w:val="auto"/>
          <w:sz w:val="24"/>
          <w:szCs w:val="24"/>
          <w:highlight w:val="none"/>
          <w:shd w:val="clear" w:color="auto" w:fill="auto"/>
          <w:lang w:val="pt-BR" w:eastAsia="zh-CN"/>
        </w:rPr>
        <w:t>dB；</w:t>
      </w:r>
    </w:p>
    <w:p>
      <w:pPr>
        <w:pageBreakBefore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33" o:spt="75" type="#_x0000_t75" style="height:17.5pt;width:25pt;" o:ole="t" filled="f" o:preferrelative="t" stroked="f" coordsize="21600,21600">
            <v:path/>
            <v:fill on="f" focussize="0,0"/>
            <v:stroke on="f" joinstyle="miter"/>
            <v:imagedata r:id="rId48" o:title=""/>
            <o:lock v:ext="edit" aspectratio="t"/>
            <w10:wrap type="none"/>
            <w10:anchorlock/>
          </v:shape>
          <o:OLEObject Type="Embed" ProgID="Equation.3" ShapeID="_x0000_i1033" DrawAspect="Content" ObjectID="_1468075733" r:id="rId47">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其他多方面效应引起的衰减，</w:t>
      </w:r>
      <w:r>
        <w:rPr>
          <w:rFonts w:hint="default" w:ascii="Times New Roman" w:hAnsi="Times New Roman" w:eastAsia="宋体" w:cs="Times New Roman"/>
          <w:color w:val="auto"/>
          <w:sz w:val="24"/>
          <w:szCs w:val="24"/>
          <w:highlight w:val="none"/>
          <w:shd w:val="clear" w:color="auto" w:fill="auto"/>
          <w:lang w:val="pt-BR" w:eastAsia="zh-CN"/>
        </w:rPr>
        <w:t>dB</w:t>
      </w:r>
      <w:r>
        <w:rPr>
          <w:rFonts w:hint="default" w:ascii="Times New Roman" w:hAnsi="Times New Roman" w:eastAsia="宋体" w:cs="Times New Roman"/>
          <w:color w:val="auto"/>
          <w:sz w:val="24"/>
          <w:szCs w:val="24"/>
          <w:highlight w:val="none"/>
          <w:shd w:val="clear" w:color="auto" w:fill="auto"/>
          <w:lang w:eastAsia="zh-CN"/>
        </w:rPr>
        <w:t>。</w:t>
      </w:r>
    </w:p>
    <w:p>
      <w:pPr>
        <w:pageBreakBefore w:val="0"/>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sz w:val="24"/>
          <w:szCs w:val="24"/>
          <w:highlight w:val="none"/>
          <w:shd w:val="clear" w:color="auto" w:fill="auto"/>
          <w:lang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34" o:spt="75" type="#_x0000_t75" style="height:18.5pt;width:248pt;" o:ole="t" filled="f" o:preferrelative="t" stroked="f" coordsize="21600,21600">
            <v:path/>
            <v:fill on="f" focussize="0,0"/>
            <v:stroke on="f" joinstyle="miter"/>
            <v:imagedata r:id="rId50" o:title=""/>
            <o:lock v:ext="edit" aspectratio="t"/>
            <w10:wrap type="none"/>
            <w10:anchorlock/>
          </v:shape>
          <o:OLEObject Type="Embed" ProgID="Equation.3" ShapeID="_x0000_i1034" DrawAspect="Content" ObjectID="_1468075734" r:id="rId49">
            <o:LockedField>false</o:LockedField>
          </o:OLEObject>
        </w:objec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eastAsia="zh-CN"/>
        </w:rPr>
        <w:t>式中</w: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val="pt-BR" w:eastAsia="zh-CN"/>
        </w:rPr>
        <w:object>
          <v:shape id="_x0000_i1035" o:spt="75" type="#_x0000_t75" style="height:18.5pt;width:32pt;" o:ole="t" filled="f" o:preferrelative="t" stroked="f" coordsize="21600,21600">
            <v:path/>
            <v:fill on="f" focussize="0,0"/>
            <v:stroke on="f" joinstyle="miter"/>
            <v:imagedata r:id="rId34" o:title=""/>
            <o:lock v:ext="edit" aspectratio="t"/>
            <w10:wrap type="none"/>
            <w10:anchorlock/>
          </v:shape>
          <o:OLEObject Type="Embed" ProgID="Equation.3" ShapeID="_x0000_i1035" DrawAspect="Content" ObjectID="_1468075735" r:id="rId51">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预测点处声压级</w:t>
      </w:r>
      <w:r>
        <w:rPr>
          <w:rFonts w:hint="default" w:ascii="Times New Roman" w:hAnsi="Times New Roman" w:eastAsia="宋体" w:cs="Times New Roman"/>
          <w:color w:val="auto"/>
          <w:sz w:val="24"/>
          <w:szCs w:val="24"/>
          <w:highlight w:val="none"/>
          <w:shd w:val="clear" w:color="auto" w:fill="auto"/>
          <w:lang w:val="pt-BR" w:eastAsia="zh-CN"/>
        </w:rPr>
        <w:t>，dB；</w:t>
      </w:r>
    </w:p>
    <w:p>
      <w:pPr>
        <w:pageBreakBefore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t xml:space="preserve">      </w:t>
      </w:r>
      <w:r>
        <w:rPr>
          <w:rFonts w:hint="default" w:ascii="Times New Roman" w:hAnsi="Times New Roman" w:eastAsia="宋体" w:cs="Times New Roman"/>
          <w:color w:val="auto"/>
          <w:sz w:val="24"/>
          <w:szCs w:val="24"/>
          <w:highlight w:val="none"/>
          <w:shd w:val="clear" w:color="auto" w:fill="auto"/>
          <w:lang w:val="pt-BR" w:eastAsia="zh-CN"/>
        </w:rPr>
        <w:object>
          <v:shape id="_x0000_i1036" o:spt="75" type="#_x0000_t75" style="height:18.5pt;width:32pt;" o:ole="t" filled="f" o:preferrelative="t" stroked="f" coordsize="21600,21600">
            <v:path/>
            <v:fill on="f" focussize="0,0"/>
            <v:stroke on="f" joinstyle="miter"/>
            <v:imagedata r:id="rId53" o:title=""/>
            <o:lock v:ext="edit" aspectratio="t"/>
            <w10:wrap type="none"/>
            <w10:anchorlock/>
          </v:shape>
          <o:OLEObject Type="Embed" ProgID="Equation.3" ShapeID="_x0000_i1036" DrawAspect="Content" ObjectID="_1468075736" r:id="rId52">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w:t>
      </w:r>
      <w:r>
        <w:rPr>
          <w:rFonts w:hint="default" w:ascii="Times New Roman" w:hAnsi="Times New Roman" w:eastAsia="宋体" w:cs="Times New Roman"/>
          <w:color w:val="auto"/>
          <w:sz w:val="24"/>
          <w:szCs w:val="24"/>
          <w:highlight w:val="none"/>
          <w:shd w:val="clear" w:color="auto" w:fill="auto"/>
          <w:lang w:eastAsia="zh-CN"/>
        </w:rPr>
        <w:t>参考位置r0处的声压级，</w:t>
      </w:r>
      <w:r>
        <w:rPr>
          <w:rFonts w:hint="default" w:ascii="Times New Roman" w:hAnsi="Times New Roman" w:eastAsia="宋体" w:cs="Times New Roman"/>
          <w:color w:val="auto"/>
          <w:sz w:val="24"/>
          <w:szCs w:val="24"/>
          <w:highlight w:val="none"/>
          <w:shd w:val="clear" w:color="auto" w:fill="auto"/>
          <w:lang w:val="pt-BR" w:eastAsia="zh-CN"/>
        </w:rPr>
        <w:t>dB；</w:t>
      </w:r>
    </w:p>
    <w:p>
      <w:pPr>
        <w:pageBreakBefore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sz w:val="24"/>
          <w:szCs w:val="24"/>
          <w:highlight w:val="none"/>
          <w:shd w:val="clear" w:color="auto" w:fill="auto"/>
          <w:lang w:val="pt-BR" w:eastAsia="zh-CN"/>
        </w:rPr>
      </w:pPr>
      <w:r>
        <w:rPr>
          <w:rFonts w:hint="default" w:ascii="Times New Roman" w:hAnsi="Times New Roman" w:eastAsia="宋体" w:cs="Times New Roman"/>
          <w:color w:val="auto"/>
          <w:sz w:val="24"/>
          <w:szCs w:val="24"/>
          <w:highlight w:val="none"/>
          <w:shd w:val="clear" w:color="auto" w:fill="auto"/>
          <w:lang w:val="pt-BR" w:eastAsia="zh-CN"/>
        </w:rPr>
        <w:object>
          <v:shape id="_x0000_i1037" o:spt="75" type="#_x0000_t75" style="height:18.5pt;width:16pt;" o:ole="t" filled="f" o:preferrelative="t" stroked="f" coordsize="21600,21600">
            <v:path/>
            <v:fill on="f" focussize="0,0"/>
            <v:stroke on="f" joinstyle="miter"/>
            <v:imagedata r:id="rId38" o:title=""/>
            <o:lock v:ext="edit" aspectratio="t"/>
            <w10:wrap type="none"/>
            <w10:anchorlock/>
          </v:shape>
          <o:OLEObject Type="Embed" ProgID="Equation.3" ShapeID="_x0000_i1037" DrawAspect="Content" ObjectID="_1468075737" r:id="rId54">
            <o:LockedField>false</o:LockedField>
          </o:OLEObject>
        </w:object>
      </w:r>
      <w:r>
        <w:rPr>
          <w:rFonts w:hint="default" w:ascii="Times New Roman" w:hAnsi="Times New Roman" w:eastAsia="宋体" w:cs="Times New Roman"/>
          <w:color w:val="auto"/>
          <w:sz w:val="24"/>
          <w:szCs w:val="24"/>
          <w:highlight w:val="none"/>
          <w:shd w:val="clear" w:color="auto" w:fill="auto"/>
          <w:lang w:val="pt-BR" w:eastAsia="zh-CN"/>
        </w:rPr>
        <w:t>—指向性校正，它描述点声源的等效连续声压级与产生声功率级L</w:t>
      </w:r>
      <w:r>
        <w:rPr>
          <w:rFonts w:hint="default" w:ascii="Times New Roman" w:hAnsi="Times New Roman" w:eastAsia="宋体" w:cs="Times New Roman"/>
          <w:color w:val="auto"/>
          <w:sz w:val="24"/>
          <w:szCs w:val="24"/>
          <w:highlight w:val="none"/>
          <w:shd w:val="clear" w:color="auto" w:fill="auto"/>
          <w:lang w:eastAsia="zh-CN"/>
        </w:rPr>
        <w:t>w</w:t>
      </w:r>
      <w:r>
        <w:rPr>
          <w:rFonts w:hint="default" w:ascii="Times New Roman" w:hAnsi="Times New Roman" w:eastAsia="宋体" w:cs="Times New Roman"/>
          <w:color w:val="auto"/>
          <w:sz w:val="24"/>
          <w:szCs w:val="24"/>
          <w:highlight w:val="none"/>
          <w:shd w:val="clear" w:color="auto" w:fill="auto"/>
          <w:lang w:val="pt-BR" w:eastAsia="zh-CN"/>
        </w:rPr>
        <w:t>的全向点声源在规定方向的声级的偏差程度，dB；</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val="pt-BR"/>
        </w:rPr>
        <w:t xml:space="preserve">      </w:t>
      </w: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38" o:spt="75" type="#_x0000_t75" style="height:18.5pt;width:22pt;" o:ole="t" filled="f" o:preferrelative="t" stroked="f" coordsize="21600,21600">
            <v:path/>
            <v:fill on="f" focussize="0,0"/>
            <v:stroke on="f" joinstyle="miter"/>
            <v:imagedata r:id="rId40" o:title=""/>
            <o:lock v:ext="edit" aspectratio="t"/>
            <w10:wrap type="none"/>
            <w10:anchorlock/>
          </v:shape>
          <o:OLEObject Type="Embed" ProgID="Equation.3" ShapeID="_x0000_i1038" DrawAspect="Content" ObjectID="_1468075738" r:id="rId55">
            <o:LockedField>false</o:LockedField>
          </o:OLEObject>
        </w:object>
      </w:r>
      <w:r>
        <w:rPr>
          <w:rFonts w:hint="default" w:ascii="Times New Roman" w:hAnsi="Times New Roman" w:eastAsia="宋体" w:cs="Times New Roman"/>
          <w:color w:val="auto"/>
          <w:kern w:val="2"/>
          <w:sz w:val="24"/>
          <w:szCs w:val="24"/>
          <w:highlight w:val="none"/>
          <w:shd w:val="clear" w:color="auto" w:fill="auto"/>
        </w:rPr>
        <w:t>—几何发散引起的衰减，</w:t>
      </w:r>
      <w:r>
        <w:rPr>
          <w:rFonts w:hint="default" w:ascii="Times New Roman" w:hAnsi="Times New Roman" w:eastAsia="宋体" w:cs="Times New Roman"/>
          <w:color w:val="auto"/>
          <w:kern w:val="2"/>
          <w:sz w:val="24"/>
          <w:szCs w:val="24"/>
          <w:highlight w:val="none"/>
          <w:shd w:val="clear" w:color="auto" w:fill="auto"/>
          <w:lang w:val="pt-BR"/>
        </w:rPr>
        <w:t>dB；</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rPr>
        <w:t xml:space="preserve">      </w:t>
      </w: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39" o:spt="75" type="#_x0000_t75" style="height:18.5pt;width:22pt;" o:ole="t" filled="f" o:preferrelative="t" stroked="f" coordsize="21600,21600">
            <v:path/>
            <v:fill on="f" focussize="0,0"/>
            <v:stroke on="f" joinstyle="miter"/>
            <v:imagedata r:id="rId42" o:title=""/>
            <o:lock v:ext="edit" aspectratio="t"/>
            <w10:wrap type="none"/>
            <w10:anchorlock/>
          </v:shape>
          <o:OLEObject Type="Embed" ProgID="Equation.3" ShapeID="_x0000_i1039" DrawAspect="Content" ObjectID="_1468075739" r:id="rId56">
            <o:LockedField>false</o:LockedField>
          </o:OLEObject>
        </w:object>
      </w:r>
      <w:r>
        <w:rPr>
          <w:rFonts w:hint="default" w:ascii="Times New Roman" w:hAnsi="Times New Roman" w:eastAsia="宋体" w:cs="Times New Roman"/>
          <w:color w:val="auto"/>
          <w:kern w:val="2"/>
          <w:sz w:val="24"/>
          <w:szCs w:val="24"/>
          <w:highlight w:val="none"/>
          <w:shd w:val="clear" w:color="auto" w:fill="auto"/>
        </w:rPr>
        <w:t>—大气吸收引起的衰减，</w:t>
      </w:r>
      <w:r>
        <w:rPr>
          <w:rFonts w:hint="default" w:ascii="Times New Roman" w:hAnsi="Times New Roman" w:eastAsia="宋体" w:cs="Times New Roman"/>
          <w:color w:val="auto"/>
          <w:kern w:val="2"/>
          <w:sz w:val="24"/>
          <w:szCs w:val="24"/>
          <w:highlight w:val="none"/>
          <w:shd w:val="clear" w:color="auto" w:fill="auto"/>
          <w:lang w:val="pt-BR"/>
        </w:rPr>
        <w:t>dB；</w:t>
      </w:r>
    </w:p>
    <w:p>
      <w:pPr>
        <w:pageBreakBefore w:val="0"/>
        <w:widowControl w:val="0"/>
        <w:kinsoku/>
        <w:wordWrap/>
        <w:overflowPunct/>
        <w:topLinePunct w:val="0"/>
        <w:autoSpaceDE/>
        <w:autoSpaceDN/>
        <w:bidi w:val="0"/>
        <w:spacing w:line="480" w:lineRule="exact"/>
        <w:ind w:firstLine="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rPr>
        <w:t xml:space="preserve">    </w:t>
      </w:r>
      <w:r>
        <w:rPr>
          <w:rFonts w:hint="eastAsia" w:ascii="Times New Roman" w:hAnsi="Times New Roman" w:eastAsia="宋体" w:cs="Times New Roman"/>
          <w:color w:val="auto"/>
          <w:kern w:val="2"/>
          <w:sz w:val="24"/>
          <w:szCs w:val="24"/>
          <w:highlight w:val="none"/>
          <w:shd w:val="clear" w:color="auto" w:fill="auto"/>
          <w:lang w:val="en-US" w:eastAsia="zh-CN"/>
        </w:rPr>
        <w:t xml:space="preserve">  </w:t>
      </w:r>
      <w:r>
        <w:rPr>
          <w:rFonts w:hint="default" w:ascii="Times New Roman" w:hAnsi="Times New Roman" w:eastAsia="宋体" w:cs="Times New Roman"/>
          <w:color w:val="auto"/>
          <w:kern w:val="2"/>
          <w:sz w:val="24"/>
          <w:szCs w:val="24"/>
          <w:highlight w:val="none"/>
          <w:shd w:val="clear" w:color="auto" w:fill="auto"/>
        </w:rPr>
        <w:t xml:space="preserve">  </w:t>
      </w:r>
      <w:r>
        <w:rPr>
          <w:rFonts w:hint="default" w:ascii="Times New Roman" w:hAnsi="Times New Roman" w:eastAsia="宋体" w:cs="Times New Roman"/>
          <w:color w:val="auto"/>
          <w:kern w:val="2"/>
          <w:position w:val="-14"/>
          <w:sz w:val="24"/>
          <w:szCs w:val="24"/>
          <w:highlight w:val="none"/>
          <w:shd w:val="clear" w:color="auto" w:fill="auto"/>
          <w:lang w:val="pt-BR"/>
        </w:rPr>
        <w:object>
          <v:shape id="_x0000_i1040" o:spt="75" type="#_x0000_t75" style="height:20pt;width:18.5pt;" o:ole="t" filled="f" o:preferrelative="t" stroked="f" coordsize="21600,21600">
            <v:path/>
            <v:fill on="f" focussize="0,0"/>
            <v:stroke on="f" joinstyle="miter"/>
            <v:imagedata r:id="rId44" o:title=""/>
            <o:lock v:ext="edit" aspectratio="t"/>
            <w10:wrap type="none"/>
            <w10:anchorlock/>
          </v:shape>
          <o:OLEObject Type="Embed" ProgID="Equation.3" ShapeID="_x0000_i1040" DrawAspect="Content" ObjectID="_1468075740" r:id="rId57">
            <o:LockedField>false</o:LockedField>
          </o:OLEObject>
        </w:object>
      </w:r>
      <w:r>
        <w:rPr>
          <w:rFonts w:hint="default" w:ascii="Times New Roman" w:hAnsi="Times New Roman" w:eastAsia="宋体" w:cs="Times New Roman"/>
          <w:color w:val="auto"/>
          <w:kern w:val="2"/>
          <w:sz w:val="24"/>
          <w:szCs w:val="24"/>
          <w:highlight w:val="none"/>
          <w:shd w:val="clear" w:color="auto" w:fill="auto"/>
        </w:rPr>
        <w:t>—地面效应引起的衰减，</w:t>
      </w:r>
      <w:r>
        <w:rPr>
          <w:rFonts w:hint="default" w:ascii="Times New Roman" w:hAnsi="Times New Roman" w:eastAsia="宋体" w:cs="Times New Roman"/>
          <w:color w:val="auto"/>
          <w:kern w:val="2"/>
          <w:sz w:val="24"/>
          <w:szCs w:val="24"/>
          <w:highlight w:val="none"/>
          <w:shd w:val="clear" w:color="auto" w:fill="auto"/>
          <w:lang w:val="pt-BR"/>
        </w:rPr>
        <w:t>dB；</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41" o:spt="75" type="#_x0000_t75" style="height:18.5pt;width:22pt;" o:ole="t" filled="f" o:preferrelative="t" stroked="f" coordsize="21600,21600">
            <v:path/>
            <v:fill on="f" focussize="0,0"/>
            <v:stroke on="f" joinstyle="miter"/>
            <v:imagedata r:id="rId46" o:title=""/>
            <o:lock v:ext="edit" aspectratio="t"/>
            <w10:wrap type="none"/>
            <w10:anchorlock/>
          </v:shape>
          <o:OLEObject Type="Embed" ProgID="Equation.3" ShapeID="_x0000_i1041" DrawAspect="Content" ObjectID="_1468075741" r:id="rId58">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障碍物屏蔽引起的衰减，</w:t>
      </w:r>
      <w:r>
        <w:rPr>
          <w:rFonts w:hint="default" w:ascii="Times New Roman" w:hAnsi="Times New Roman" w:eastAsia="宋体" w:cs="Times New Roman"/>
          <w:color w:val="auto"/>
          <w:kern w:val="2"/>
          <w:sz w:val="24"/>
          <w:szCs w:val="24"/>
          <w:highlight w:val="none"/>
          <w:shd w:val="clear" w:color="auto" w:fill="auto"/>
          <w:lang w:val="pt-BR"/>
        </w:rPr>
        <w:t>dB；</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42" o:spt="75" type="#_x0000_t75" style="height:17.5pt;width:25pt;" o:ole="t" filled="f" o:preferrelative="t" stroked="f" coordsize="21600,21600">
            <v:path/>
            <v:fill on="f" focussize="0,0"/>
            <v:stroke on="f" joinstyle="miter"/>
            <v:imagedata r:id="rId48" o:title=""/>
            <o:lock v:ext="edit" aspectratio="t"/>
            <w10:wrap type="none"/>
            <w10:anchorlock/>
          </v:shape>
          <o:OLEObject Type="Embed" ProgID="Equation.3" ShapeID="_x0000_i1042" DrawAspect="Content" ObjectID="_1468075742" r:id="rId59">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其他多方面效应引起的衰减，</w:t>
      </w:r>
      <w:r>
        <w:rPr>
          <w:rFonts w:hint="default" w:ascii="Times New Roman" w:hAnsi="Times New Roman" w:eastAsia="宋体" w:cs="Times New Roman"/>
          <w:color w:val="auto"/>
          <w:kern w:val="2"/>
          <w:sz w:val="24"/>
          <w:szCs w:val="24"/>
          <w:highlight w:val="none"/>
          <w:shd w:val="clear" w:color="auto" w:fill="auto"/>
          <w:lang w:val="pt-BR"/>
        </w:rPr>
        <w:t>dB</w:t>
      </w:r>
      <w:r>
        <w:rPr>
          <w:rFonts w:hint="default" w:ascii="Times New Roman" w:hAnsi="Times New Roman" w:eastAsia="宋体" w:cs="Times New Roman"/>
          <w:color w:val="auto"/>
          <w:kern w:val="2"/>
          <w:sz w:val="24"/>
          <w:szCs w:val="24"/>
          <w:highlight w:val="none"/>
          <w:shd w:val="clear" w:color="auto" w:fill="auto"/>
        </w:rPr>
        <w:t>。</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2</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预测点的A声级</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A</w:t>
      </w:r>
      <w:r>
        <w:rPr>
          <w:rFonts w:hint="default" w:ascii="Times New Roman" w:hAnsi="Times New Roman" w:eastAsia="宋体" w:cs="Times New Roman"/>
          <w:i/>
          <w:iCs/>
          <w:color w:val="auto"/>
          <w:kern w:val="2"/>
          <w:sz w:val="24"/>
          <w:szCs w:val="24"/>
          <w:highlight w:val="none"/>
          <w:shd w:val="clear" w:color="auto" w:fill="auto"/>
          <w:lang w:eastAsia="zh-CN"/>
        </w:rPr>
        <w:t>（</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i/>
          <w:iCs/>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可按下式计算：</w:t>
      </w:r>
    </w:p>
    <w:p>
      <w:pPr>
        <w:pageBreakBefore w:val="0"/>
        <w:widowControl w:val="0"/>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30"/>
          <w:sz w:val="24"/>
          <w:szCs w:val="24"/>
          <w:highlight w:val="none"/>
          <w:shd w:val="clear" w:color="auto" w:fill="auto"/>
        </w:rPr>
        <w:object>
          <v:shape id="_x0000_i1043" o:spt="75" type="#_x0000_t75" style="height:37pt;width:150.5pt;" o:ole="t" filled="f" o:preferrelative="t" stroked="f" coordsize="21600,21600">
            <v:path/>
            <v:fill on="f" focussize="0,0"/>
            <v:stroke on="f" joinstyle="miter"/>
            <v:imagedata r:id="rId61" o:title=""/>
            <o:lock v:ext="edit" aspectratio="t"/>
            <w10:wrap type="none"/>
            <w10:anchorlock/>
          </v:shape>
          <o:OLEObject Type="Embed" ProgID="Equation.3" ShapeID="_x0000_i1043" DrawAspect="Content" ObjectID="_1468075743" r:id="rId60">
            <o:LockedField>false</o:LockedField>
          </o:OLEObject>
        </w:objec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rPr>
        <w:t>式中</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position w:val="-10"/>
          <w:sz w:val="24"/>
          <w:szCs w:val="24"/>
          <w:highlight w:val="none"/>
          <w:shd w:val="clear" w:color="auto" w:fill="auto"/>
          <w:lang w:val="pt-BR"/>
        </w:rPr>
        <w:object>
          <v:shape id="_x0000_i1044" o:spt="75" type="#_x0000_t75" style="height:17.5pt;width:32pt;" o:ole="t" filled="f" o:preferrelative="t" stroked="f" coordsize="21600,21600">
            <v:path/>
            <v:fill on="f" focussize="0,0"/>
            <v:stroke on="f" joinstyle="miter"/>
            <v:imagedata r:id="rId63" o:title=""/>
            <o:lock v:ext="edit" aspectratio="t"/>
            <w10:wrap type="none"/>
            <w10:anchorlock/>
          </v:shape>
          <o:OLEObject Type="Embed" ProgID="Equation.3" ShapeID="_x0000_i1044" DrawAspect="Content" ObjectID="_1468075744" r:id="rId62">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距声源</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color w:val="auto"/>
          <w:kern w:val="2"/>
          <w:sz w:val="24"/>
          <w:szCs w:val="24"/>
          <w:highlight w:val="none"/>
          <w:shd w:val="clear" w:color="auto" w:fill="auto"/>
        </w:rPr>
        <w:t>处的A声级</w:t>
      </w:r>
      <w:r>
        <w:rPr>
          <w:rFonts w:hint="default" w:ascii="Times New Roman" w:hAnsi="Times New Roman" w:eastAsia="宋体" w:cs="Times New Roman"/>
          <w:color w:val="auto"/>
          <w:kern w:val="2"/>
          <w:sz w:val="24"/>
          <w:szCs w:val="24"/>
          <w:highlight w:val="none"/>
          <w:shd w:val="clear" w:color="auto" w:fill="auto"/>
          <w:lang w:val="pt-BR"/>
        </w:rPr>
        <w:t>，dB</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A</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pt-BR"/>
        </w:rPr>
        <w:t>；</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lang w:val="pt-BR"/>
        </w:rPr>
        <w:t xml:space="preserve">      </w:t>
      </w:r>
      <w:r>
        <w:rPr>
          <w:rFonts w:hint="default" w:ascii="Times New Roman" w:hAnsi="Times New Roman" w:eastAsia="宋体" w:cs="Times New Roman"/>
          <w:color w:val="auto"/>
          <w:kern w:val="2"/>
          <w:position w:val="-14"/>
          <w:sz w:val="24"/>
          <w:szCs w:val="24"/>
          <w:highlight w:val="none"/>
          <w:shd w:val="clear" w:color="auto" w:fill="auto"/>
          <w:lang w:val="pt-BR"/>
        </w:rPr>
        <w:object>
          <v:shape id="_x0000_i1045" o:spt="75" type="#_x0000_t75" style="height:18.5pt;width:29.5pt;" o:ole="t" filled="f" o:preferrelative="t" stroked="f" coordsize="21600,21600">
            <v:path/>
            <v:fill on="f" focussize="0,0"/>
            <v:stroke on="f" joinstyle="miter"/>
            <v:imagedata r:id="rId65" o:title=""/>
            <o:lock v:ext="edit" aspectratio="t"/>
            <w10:wrap type="none"/>
            <w10:anchorlock/>
          </v:shape>
          <o:OLEObject Type="Embed" ProgID="Equation.3" ShapeID="_x0000_i1045" DrawAspect="Content" ObjectID="_1468075745" r:id="rId64">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预测点</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处，第</w:t>
      </w:r>
      <w:r>
        <w:rPr>
          <w:rFonts w:hint="default" w:ascii="Times New Roman" w:hAnsi="Times New Roman" w:eastAsia="宋体" w:cs="Times New Roman"/>
          <w:i/>
          <w:iCs/>
          <w:color w:val="auto"/>
          <w:kern w:val="2"/>
          <w:sz w:val="24"/>
          <w:szCs w:val="24"/>
          <w:highlight w:val="none"/>
          <w:shd w:val="clear" w:color="auto" w:fill="auto"/>
        </w:rPr>
        <w:t>i</w:t>
      </w:r>
      <w:r>
        <w:rPr>
          <w:rFonts w:hint="default" w:ascii="Times New Roman" w:hAnsi="Times New Roman" w:eastAsia="宋体" w:cs="Times New Roman"/>
          <w:color w:val="auto"/>
          <w:kern w:val="2"/>
          <w:sz w:val="24"/>
          <w:szCs w:val="24"/>
          <w:highlight w:val="none"/>
          <w:shd w:val="clear" w:color="auto" w:fill="auto"/>
        </w:rPr>
        <w:t>倍频带声压级，</w:t>
      </w:r>
      <w:r>
        <w:rPr>
          <w:rFonts w:hint="default" w:ascii="Times New Roman" w:hAnsi="Times New Roman" w:eastAsia="宋体" w:cs="Times New Roman"/>
          <w:color w:val="auto"/>
          <w:kern w:val="2"/>
          <w:sz w:val="24"/>
          <w:szCs w:val="24"/>
          <w:highlight w:val="none"/>
          <w:shd w:val="clear" w:color="auto" w:fill="auto"/>
          <w:lang w:val="pt-BR"/>
        </w:rPr>
        <w:t>dB；</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rPr>
        <w:t>△</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i</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第</w:t>
      </w:r>
      <w:r>
        <w:rPr>
          <w:rFonts w:hint="default" w:ascii="Times New Roman" w:hAnsi="Times New Roman" w:eastAsia="宋体" w:cs="Times New Roman"/>
          <w:i/>
          <w:iCs/>
          <w:color w:val="auto"/>
          <w:kern w:val="2"/>
          <w:sz w:val="24"/>
          <w:szCs w:val="24"/>
          <w:highlight w:val="none"/>
          <w:shd w:val="clear" w:color="auto" w:fill="auto"/>
        </w:rPr>
        <w:t>i</w:t>
      </w:r>
      <w:r>
        <w:rPr>
          <w:rFonts w:hint="default" w:ascii="Times New Roman" w:hAnsi="Times New Roman" w:eastAsia="宋体" w:cs="Times New Roman"/>
          <w:color w:val="auto"/>
          <w:kern w:val="2"/>
          <w:sz w:val="24"/>
          <w:szCs w:val="24"/>
          <w:highlight w:val="none"/>
          <w:shd w:val="clear" w:color="auto" w:fill="auto"/>
        </w:rPr>
        <w:t>倍频带的A计权网络修正值，dB</w:t>
      </w:r>
      <w:r>
        <w:rPr>
          <w:rFonts w:hint="default" w:ascii="Times New Roman" w:hAnsi="Times New Roman" w:eastAsia="宋体" w:cs="Times New Roman"/>
          <w:color w:val="auto"/>
          <w:kern w:val="2"/>
          <w:sz w:val="24"/>
          <w:szCs w:val="24"/>
          <w:highlight w:val="none"/>
          <w:shd w:val="clear" w:color="auto" w:fill="auto"/>
          <w:lang w:val="pt-BR"/>
        </w:rPr>
        <w:t>；</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3</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在只考虑几何发散衰减时按下式计算：</w:t>
      </w:r>
    </w:p>
    <w:p>
      <w:pPr>
        <w:pageBreakBefore w:val="0"/>
        <w:widowControl w:val="0"/>
        <w:kinsoku/>
        <w:wordWrap/>
        <w:overflowPunct/>
        <w:topLinePunct w:val="0"/>
        <w:autoSpaceDE/>
        <w:autoSpaceDN/>
        <w:bidi w:val="0"/>
        <w:spacing w:line="480" w:lineRule="exact"/>
        <w:ind w:firstLine="480" w:firstLineChars="200"/>
        <w:jc w:val="center"/>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12"/>
          <w:sz w:val="24"/>
          <w:szCs w:val="24"/>
          <w:highlight w:val="none"/>
          <w:shd w:val="clear" w:color="auto" w:fill="auto"/>
        </w:rPr>
        <w:object>
          <v:shape id="_x0000_i1046" o:spt="75" type="#_x0000_t75" style="height:18.5pt;width:94pt;" o:ole="t" filled="f" o:preferrelative="t" stroked="f" coordsize="21600,21600">
            <v:path/>
            <v:fill on="f" focussize="0,0"/>
            <v:stroke on="f" joinstyle="miter"/>
            <v:imagedata r:id="rId67" o:title=""/>
            <o:lock v:ext="edit" aspectratio="t"/>
            <w10:wrap type="none"/>
            <w10:anchorlock/>
          </v:shape>
          <o:OLEObject Type="Embed" ProgID="Equation.3" ShapeID="_x0000_i1046" DrawAspect="Content" ObjectID="_1468075746" r:id="rId66">
            <o:LockedField>false</o:LockedField>
          </o:OLEObject>
        </w:objec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rPr>
        <w:t>式中</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position w:val="-10"/>
          <w:sz w:val="24"/>
          <w:szCs w:val="24"/>
          <w:highlight w:val="none"/>
          <w:shd w:val="clear" w:color="auto" w:fill="auto"/>
          <w:lang w:val="pt-BR"/>
        </w:rPr>
        <w:object>
          <v:shape id="_x0000_i1047" o:spt="75" type="#_x0000_t75" style="height:17.5pt;width:32pt;" o:ole="t" filled="f" o:preferrelative="t" stroked="f" coordsize="21600,21600">
            <v:path/>
            <v:fill on="f" focussize="0,0"/>
            <v:stroke on="f" joinstyle="miter"/>
            <v:imagedata r:id="rId63" o:title=""/>
            <o:lock v:ext="edit" aspectratio="t"/>
            <w10:wrap type="none"/>
            <w10:anchorlock/>
          </v:shape>
          <o:OLEObject Type="Embed" ProgID="Equation.3" ShapeID="_x0000_i1047" DrawAspect="Content" ObjectID="_1468075747" r:id="rId68">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距声源</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color w:val="auto"/>
          <w:kern w:val="2"/>
          <w:sz w:val="24"/>
          <w:szCs w:val="24"/>
          <w:highlight w:val="none"/>
          <w:shd w:val="clear" w:color="auto" w:fill="auto"/>
        </w:rPr>
        <w:t>处的A声级</w:t>
      </w:r>
      <w:r>
        <w:rPr>
          <w:rFonts w:hint="default" w:ascii="Times New Roman" w:hAnsi="Times New Roman" w:eastAsia="宋体" w:cs="Times New Roman"/>
          <w:color w:val="auto"/>
          <w:kern w:val="2"/>
          <w:sz w:val="24"/>
          <w:szCs w:val="24"/>
          <w:highlight w:val="none"/>
          <w:shd w:val="clear" w:color="auto" w:fill="auto"/>
          <w:lang w:val="pt-BR"/>
        </w:rPr>
        <w:t>，dB</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A</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pt-BR"/>
        </w:rPr>
        <w:t>；</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color w:val="auto"/>
          <w:kern w:val="2"/>
          <w:sz w:val="24"/>
          <w:szCs w:val="24"/>
          <w:highlight w:val="none"/>
          <w:shd w:val="clear" w:color="auto" w:fill="auto"/>
          <w:lang w:val="pt-BR"/>
        </w:rPr>
        <w:t xml:space="preserve">      </w:t>
      </w:r>
      <w:r>
        <w:rPr>
          <w:rFonts w:hint="default" w:ascii="Times New Roman" w:hAnsi="Times New Roman" w:eastAsia="宋体" w:cs="Times New Roman"/>
          <w:color w:val="auto"/>
          <w:kern w:val="2"/>
          <w:position w:val="-12"/>
          <w:sz w:val="24"/>
          <w:szCs w:val="24"/>
          <w:highlight w:val="none"/>
          <w:shd w:val="clear" w:color="auto" w:fill="auto"/>
          <w:lang w:val="pt-BR"/>
        </w:rPr>
        <w:object>
          <v:shape id="_x0000_i1048" o:spt="75" type="#_x0000_t75" style="height:18.5pt;width:32pt;" o:ole="t" filled="f" o:preferrelative="t" stroked="f" coordsize="21600,21600">
            <v:path/>
            <v:fill on="f" focussize="0,0"/>
            <v:stroke on="f" joinstyle="miter"/>
            <v:imagedata r:id="rId70" o:title=""/>
            <o:lock v:ext="edit" aspectratio="t"/>
            <w10:wrap type="none"/>
            <w10:anchorlock/>
          </v:shape>
          <o:OLEObject Type="Embed" ProgID="Equation.3" ShapeID="_x0000_i1048" DrawAspect="Content" ObjectID="_1468075748" r:id="rId69">
            <o:LockedField>false</o:LockedField>
          </o:OLEObject>
        </w:objec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参考位置</w:t>
      </w:r>
      <w:r>
        <w:rPr>
          <w:rFonts w:hint="default" w:ascii="Times New Roman" w:hAnsi="Times New Roman" w:eastAsia="宋体" w:cs="Times New Roman"/>
          <w:i/>
          <w:iCs/>
          <w:color w:val="auto"/>
          <w:kern w:val="2"/>
          <w:sz w:val="24"/>
          <w:szCs w:val="24"/>
          <w:highlight w:val="none"/>
          <w:shd w:val="clear" w:color="auto" w:fill="auto"/>
        </w:rPr>
        <w:t>r</w:t>
      </w:r>
      <w:r>
        <w:rPr>
          <w:rFonts w:hint="default" w:ascii="Times New Roman" w:hAnsi="Times New Roman" w:eastAsia="宋体" w:cs="Times New Roman"/>
          <w:i/>
          <w:iCs/>
          <w:color w:val="auto"/>
          <w:kern w:val="2"/>
          <w:sz w:val="24"/>
          <w:szCs w:val="24"/>
          <w:highlight w:val="none"/>
          <w:shd w:val="clear" w:color="auto" w:fill="auto"/>
          <w:vertAlign w:val="subscript"/>
        </w:rPr>
        <w:t>0</w:t>
      </w:r>
      <w:r>
        <w:rPr>
          <w:rFonts w:hint="default" w:ascii="Times New Roman" w:hAnsi="Times New Roman" w:eastAsia="宋体" w:cs="Times New Roman"/>
          <w:color w:val="auto"/>
          <w:kern w:val="2"/>
          <w:sz w:val="24"/>
          <w:szCs w:val="24"/>
          <w:highlight w:val="none"/>
          <w:shd w:val="clear" w:color="auto" w:fill="auto"/>
        </w:rPr>
        <w:t>处的A声级，</w:t>
      </w:r>
      <w:r>
        <w:rPr>
          <w:rFonts w:hint="default" w:ascii="Times New Roman" w:hAnsi="Times New Roman" w:eastAsia="宋体" w:cs="Times New Roman"/>
          <w:color w:val="auto"/>
          <w:kern w:val="2"/>
          <w:sz w:val="24"/>
          <w:szCs w:val="24"/>
          <w:highlight w:val="none"/>
          <w:shd w:val="clear" w:color="auto" w:fill="auto"/>
          <w:lang w:val="pt-BR"/>
        </w:rPr>
        <w:t>dB</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A</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pt-BR"/>
        </w:rPr>
        <w:t>；</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A</w:t>
      </w:r>
      <w:r>
        <w:rPr>
          <w:rFonts w:hint="default" w:ascii="Times New Roman" w:hAnsi="Times New Roman" w:eastAsia="宋体" w:cs="Times New Roman"/>
          <w:i/>
          <w:iCs/>
          <w:color w:val="auto"/>
          <w:kern w:val="2"/>
          <w:sz w:val="24"/>
          <w:szCs w:val="24"/>
          <w:highlight w:val="none"/>
          <w:shd w:val="clear" w:color="auto" w:fill="auto"/>
          <w:vertAlign w:val="subscript"/>
        </w:rPr>
        <w:t>div</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几何发散引起的衰减，dB</w:t>
      </w:r>
      <w:r>
        <w:rPr>
          <w:rFonts w:hint="default" w:ascii="Times New Roman" w:hAnsi="Times New Roman" w:eastAsia="宋体" w:cs="Times New Roman"/>
          <w:color w:val="auto"/>
          <w:kern w:val="2"/>
          <w:sz w:val="24"/>
          <w:szCs w:val="24"/>
          <w:highlight w:val="none"/>
          <w:shd w:val="clear" w:color="auto" w:fill="auto"/>
          <w:lang w:val="pt-BR"/>
        </w:rPr>
        <w:t>；</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4</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工业企业噪声计算</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color w:val="auto"/>
        </w:rPr>
      </w:pPr>
      <w:r>
        <w:rPr>
          <w:rFonts w:hint="default" w:ascii="Times New Roman" w:hAnsi="Times New Roman" w:eastAsia="宋体" w:cs="Times New Roman"/>
          <w:color w:val="auto"/>
          <w:kern w:val="2"/>
          <w:sz w:val="24"/>
          <w:szCs w:val="24"/>
          <w:highlight w:val="none"/>
          <w:shd w:val="clear" w:color="auto" w:fill="auto"/>
        </w:rPr>
        <w:t>设第</w:t>
      </w:r>
      <w:r>
        <w:rPr>
          <w:rFonts w:hint="default" w:ascii="Times New Roman" w:hAnsi="Times New Roman" w:eastAsia="宋体" w:cs="Times New Roman"/>
          <w:i/>
          <w:iCs/>
          <w:color w:val="auto"/>
          <w:kern w:val="2"/>
          <w:sz w:val="24"/>
          <w:szCs w:val="24"/>
          <w:highlight w:val="none"/>
          <w:shd w:val="clear" w:color="auto" w:fill="auto"/>
        </w:rPr>
        <w:t>i</w:t>
      </w:r>
      <w:r>
        <w:rPr>
          <w:rFonts w:hint="default" w:ascii="Times New Roman" w:hAnsi="Times New Roman" w:eastAsia="宋体" w:cs="Times New Roman"/>
          <w:color w:val="auto"/>
          <w:kern w:val="2"/>
          <w:sz w:val="24"/>
          <w:szCs w:val="24"/>
          <w:highlight w:val="none"/>
          <w:shd w:val="clear" w:color="auto" w:fill="auto"/>
        </w:rPr>
        <w:t>个室外声源在预测点产生的A声级为</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Ai</w:t>
      </w:r>
      <w:r>
        <w:rPr>
          <w:rFonts w:hint="default" w:ascii="Times New Roman" w:hAnsi="Times New Roman" w:eastAsia="宋体" w:cs="Times New Roman"/>
          <w:i/>
          <w:iCs/>
          <w:color w:val="auto"/>
          <w:kern w:val="2"/>
          <w:sz w:val="24"/>
          <w:szCs w:val="24"/>
          <w:highlight w:val="none"/>
          <w:shd w:val="clear" w:color="auto" w:fill="auto"/>
        </w:rPr>
        <w:t>，</w:t>
      </w:r>
      <w:r>
        <w:rPr>
          <w:rFonts w:hint="default" w:ascii="Times New Roman" w:hAnsi="Times New Roman" w:eastAsia="宋体" w:cs="Times New Roman"/>
          <w:color w:val="auto"/>
          <w:kern w:val="2"/>
          <w:sz w:val="24"/>
          <w:szCs w:val="24"/>
          <w:highlight w:val="none"/>
          <w:shd w:val="clear" w:color="auto" w:fill="auto"/>
        </w:rPr>
        <w:t>在</w:t>
      </w: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color w:val="auto"/>
          <w:kern w:val="2"/>
          <w:sz w:val="24"/>
          <w:szCs w:val="24"/>
          <w:highlight w:val="none"/>
          <w:shd w:val="clear" w:color="auto" w:fill="auto"/>
        </w:rPr>
        <w:t>时间内该声源工作时间为</w:t>
      </w: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i/>
          <w:iCs/>
          <w:color w:val="auto"/>
          <w:kern w:val="2"/>
          <w:sz w:val="24"/>
          <w:szCs w:val="24"/>
          <w:highlight w:val="none"/>
          <w:shd w:val="clear" w:color="auto" w:fill="auto"/>
          <w:vertAlign w:val="subscript"/>
        </w:rPr>
        <w:t>i</w:t>
      </w:r>
      <w:r>
        <w:rPr>
          <w:rFonts w:hint="default" w:ascii="Times New Roman" w:hAnsi="Times New Roman" w:eastAsia="宋体" w:cs="Times New Roman"/>
          <w:color w:val="auto"/>
          <w:kern w:val="2"/>
          <w:sz w:val="24"/>
          <w:szCs w:val="24"/>
          <w:highlight w:val="none"/>
          <w:shd w:val="clear" w:color="auto" w:fill="auto"/>
        </w:rPr>
        <w:t>；第</w:t>
      </w:r>
      <w:r>
        <w:rPr>
          <w:rFonts w:hint="default" w:ascii="Times New Roman" w:hAnsi="Times New Roman" w:eastAsia="宋体" w:cs="Times New Roman"/>
          <w:i/>
          <w:iCs/>
          <w:color w:val="auto"/>
          <w:kern w:val="2"/>
          <w:sz w:val="24"/>
          <w:szCs w:val="24"/>
          <w:highlight w:val="none"/>
          <w:shd w:val="clear" w:color="auto" w:fill="auto"/>
        </w:rPr>
        <w:t>j</w:t>
      </w:r>
      <w:r>
        <w:rPr>
          <w:rFonts w:hint="default" w:ascii="Times New Roman" w:hAnsi="Times New Roman" w:eastAsia="宋体" w:cs="Times New Roman"/>
          <w:color w:val="auto"/>
          <w:kern w:val="2"/>
          <w:sz w:val="24"/>
          <w:szCs w:val="24"/>
          <w:highlight w:val="none"/>
          <w:shd w:val="clear" w:color="auto" w:fill="auto"/>
        </w:rPr>
        <w:t>个等效室外声源在预测点产生的A声级为</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Aj</w:t>
      </w:r>
      <w:r>
        <w:rPr>
          <w:rFonts w:hint="default" w:ascii="Times New Roman" w:hAnsi="Times New Roman" w:eastAsia="宋体" w:cs="Times New Roman"/>
          <w:color w:val="auto"/>
          <w:kern w:val="2"/>
          <w:sz w:val="24"/>
          <w:szCs w:val="24"/>
          <w:highlight w:val="none"/>
          <w:shd w:val="clear" w:color="auto" w:fill="auto"/>
        </w:rPr>
        <w:t>，在T时间内该声源工作时间为</w:t>
      </w: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i/>
          <w:iCs/>
          <w:color w:val="auto"/>
          <w:kern w:val="2"/>
          <w:sz w:val="24"/>
          <w:szCs w:val="24"/>
          <w:highlight w:val="none"/>
          <w:shd w:val="clear" w:color="auto" w:fill="auto"/>
          <w:vertAlign w:val="subscript"/>
        </w:rPr>
        <w:t>j</w:t>
      </w:r>
      <w:r>
        <w:rPr>
          <w:rFonts w:hint="default" w:ascii="Times New Roman" w:hAnsi="Times New Roman" w:eastAsia="宋体" w:cs="Times New Roman"/>
          <w:color w:val="auto"/>
          <w:kern w:val="2"/>
          <w:sz w:val="24"/>
          <w:szCs w:val="24"/>
          <w:highlight w:val="none"/>
          <w:shd w:val="clear" w:color="auto" w:fill="auto"/>
        </w:rPr>
        <w:t>，则</w:t>
      </w:r>
      <w:r>
        <w:rPr>
          <w:rFonts w:hint="default" w:ascii="Times New Roman" w:hAnsi="Times New Roman" w:eastAsia="宋体" w:cs="Times New Roman"/>
          <w:color w:val="auto"/>
          <w:kern w:val="2"/>
          <w:sz w:val="24"/>
          <w:szCs w:val="24"/>
          <w:highlight w:val="none"/>
          <w:shd w:val="clear" w:color="auto" w:fill="auto"/>
          <w:lang w:eastAsia="zh-CN"/>
        </w:rPr>
        <w:t>本项目</w:t>
      </w:r>
      <w:r>
        <w:rPr>
          <w:rFonts w:hint="default" w:ascii="Times New Roman" w:hAnsi="Times New Roman" w:eastAsia="宋体" w:cs="Times New Roman"/>
          <w:color w:val="auto"/>
          <w:kern w:val="2"/>
          <w:sz w:val="24"/>
          <w:szCs w:val="24"/>
          <w:highlight w:val="none"/>
          <w:shd w:val="clear" w:color="auto" w:fill="auto"/>
        </w:rPr>
        <w:t>声源对预测点产生的贡献值</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eqg</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为：</w:t>
      </w:r>
    </w:p>
    <w:p>
      <w:pPr>
        <w:pageBreakBefore w:val="0"/>
        <w:widowControl w:val="0"/>
        <w:kinsoku/>
        <w:wordWrap/>
        <w:overflowPunct/>
        <w:topLinePunct w:val="0"/>
        <w:autoSpaceDE/>
        <w:autoSpaceDN/>
        <w:bidi w:val="0"/>
        <w:spacing w:line="480" w:lineRule="exact"/>
        <w:ind w:firstLine="42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30"/>
          <w:szCs w:val="24"/>
          <w:highlight w:val="none"/>
          <w:shd w:val="clear" w:color="auto" w:fill="auto"/>
        </w:rPr>
        <w:pict>
          <v:shape id="_x0000_s2050" o:spid="_x0000_s2050" o:spt="75" type="#_x0000_t75" style="position:absolute;left:0pt;margin-left:128.25pt;margin-top:8.2pt;height:34pt;width:192.85pt;mso-wrap-distance-bottom:0pt;mso-wrap-distance-top:0pt;z-index:251687936;mso-width-relative:page;mso-height-relative:page;" o:ole="t" filled="f" o:preferrelative="t" stroked="f" coordsize="21600,21600">
            <v:path/>
            <v:fill on="f" focussize="0,0"/>
            <v:stroke on="f"/>
            <v:imagedata r:id="rId72" o:title=""/>
            <o:lock v:ext="edit" aspectratio="t"/>
            <w10:wrap type="topAndBottom"/>
          </v:shape>
          <o:OLEObject Type="Embed" ProgID="Equation.3" ShapeID="_x0000_s2050" DrawAspect="Content" ObjectID="_1468075749" r:id="rId71">
            <o:LockedField>false</o:LockedField>
          </o:OLEObject>
        </w:pict>
      </w:r>
      <w:r>
        <w:rPr>
          <w:rFonts w:hint="default" w:ascii="Times New Roman" w:hAnsi="Times New Roman" w:eastAsia="宋体" w:cs="Times New Roman"/>
          <w:color w:val="auto"/>
          <w:kern w:val="2"/>
          <w:sz w:val="24"/>
          <w:szCs w:val="24"/>
          <w:highlight w:val="none"/>
          <w:shd w:val="clear" w:color="auto" w:fill="auto"/>
        </w:rPr>
        <w:t>式中：</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eqg</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建设项目声源在预测点产生的噪声贡献值，dB；</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用于计算等效声级的时间，s；</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N</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室外声源个数；</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i/>
          <w:iCs/>
          <w:color w:val="auto"/>
          <w:kern w:val="2"/>
          <w:sz w:val="24"/>
          <w:szCs w:val="24"/>
          <w:highlight w:val="none"/>
          <w:shd w:val="clear" w:color="auto" w:fill="auto"/>
          <w:vertAlign w:val="subscript"/>
        </w:rPr>
        <w:t>i</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在T时间内</w:t>
      </w:r>
      <w:r>
        <w:rPr>
          <w:rFonts w:hint="default" w:ascii="Times New Roman" w:hAnsi="Times New Roman" w:eastAsia="宋体" w:cs="Times New Roman"/>
          <w:i/>
          <w:iCs/>
          <w:color w:val="auto"/>
          <w:kern w:val="2"/>
          <w:sz w:val="24"/>
          <w:szCs w:val="24"/>
          <w:highlight w:val="none"/>
          <w:shd w:val="clear" w:color="auto" w:fill="auto"/>
        </w:rPr>
        <w:t>i</w:t>
      </w:r>
      <w:r>
        <w:rPr>
          <w:rFonts w:hint="default" w:ascii="Times New Roman" w:hAnsi="Times New Roman" w:eastAsia="宋体" w:cs="Times New Roman"/>
          <w:color w:val="auto"/>
          <w:kern w:val="2"/>
          <w:sz w:val="24"/>
          <w:szCs w:val="24"/>
          <w:highlight w:val="none"/>
          <w:shd w:val="clear" w:color="auto" w:fill="auto"/>
        </w:rPr>
        <w:t>声源工作时间，s；</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M</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等效室外声源个数；</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i/>
          <w:iCs/>
          <w:color w:val="auto"/>
          <w:kern w:val="2"/>
          <w:sz w:val="24"/>
          <w:szCs w:val="24"/>
          <w:highlight w:val="none"/>
          <w:shd w:val="clear" w:color="auto" w:fill="auto"/>
        </w:rPr>
        <w:t>t</w:t>
      </w:r>
      <w:r>
        <w:rPr>
          <w:rFonts w:hint="default" w:ascii="Times New Roman" w:hAnsi="Times New Roman" w:eastAsia="宋体" w:cs="Times New Roman"/>
          <w:i/>
          <w:iCs/>
          <w:color w:val="auto"/>
          <w:kern w:val="2"/>
          <w:sz w:val="24"/>
          <w:szCs w:val="24"/>
          <w:highlight w:val="none"/>
          <w:shd w:val="clear" w:color="auto" w:fill="auto"/>
          <w:vertAlign w:val="subscript"/>
        </w:rPr>
        <w:t>j</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在T时间内</w:t>
      </w:r>
      <w:r>
        <w:rPr>
          <w:rFonts w:hint="default" w:ascii="Times New Roman" w:hAnsi="Times New Roman" w:eastAsia="宋体" w:cs="Times New Roman"/>
          <w:i/>
          <w:iCs/>
          <w:color w:val="auto"/>
          <w:kern w:val="2"/>
          <w:sz w:val="24"/>
          <w:szCs w:val="24"/>
          <w:highlight w:val="none"/>
          <w:shd w:val="clear" w:color="auto" w:fill="auto"/>
        </w:rPr>
        <w:t>j</w:t>
      </w:r>
      <w:r>
        <w:rPr>
          <w:rFonts w:hint="default" w:ascii="Times New Roman" w:hAnsi="Times New Roman" w:eastAsia="宋体" w:cs="Times New Roman"/>
          <w:color w:val="auto"/>
          <w:kern w:val="2"/>
          <w:sz w:val="24"/>
          <w:szCs w:val="24"/>
          <w:highlight w:val="none"/>
          <w:shd w:val="clear" w:color="auto" w:fill="auto"/>
        </w:rPr>
        <w:t>声源工作时间，s。</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5</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噪声预测值计算</w:t>
      </w:r>
    </w:p>
    <w:p>
      <w:pPr>
        <w:pageBreakBefore w:val="0"/>
        <w:widowControl w:val="0"/>
        <w:kinsoku/>
        <w:wordWrap/>
        <w:overflowPunct/>
        <w:topLinePunct w:val="0"/>
        <w:autoSpaceDE/>
        <w:autoSpaceDN/>
        <w:bidi w:val="0"/>
        <w:spacing w:line="480" w:lineRule="exact"/>
        <w:jc w:val="center"/>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position w:val="-14"/>
          <w:sz w:val="24"/>
          <w:szCs w:val="24"/>
          <w:highlight w:val="none"/>
          <w:shd w:val="clear" w:color="auto" w:fill="auto"/>
        </w:rPr>
        <w:object>
          <v:shape id="_x0000_i1049" o:spt="75" type="#_x0000_t75" style="height:22pt;width:140.5pt;" o:ole="t" filled="f" o:preferrelative="t" stroked="f" coordsize="21600,21600">
            <v:path/>
            <v:fill on="f" focussize="0,0"/>
            <v:stroke on="f" joinstyle="miter"/>
            <v:imagedata r:id="rId74" o:title=""/>
            <o:lock v:ext="edit" aspectratio="t"/>
            <w10:wrap type="none"/>
            <w10:anchorlock/>
          </v:shape>
          <o:OLEObject Type="Embed" ProgID="Equation.3" ShapeID="_x0000_i1049" DrawAspect="Content" ObjectID="_1468075750" r:id="rId73">
            <o:LockedField>false</o:LockedField>
          </o:OLEObject>
        </w:object>
      </w:r>
    </w:p>
    <w:p>
      <w:pPr>
        <w:pageBreakBefore w:val="0"/>
        <w:widowControl w:val="0"/>
        <w:kinsoku/>
        <w:wordWrap/>
        <w:overflowPunct/>
        <w:topLinePunct w:val="0"/>
        <w:autoSpaceDE/>
        <w:autoSpaceDN/>
        <w:bidi w:val="0"/>
        <w:spacing w:before="240"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rPr>
        <w:t>式中：</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w:t>
      </w:r>
      <w:r>
        <w:rPr>
          <w:rFonts w:hint="default" w:ascii="Times New Roman" w:hAnsi="Times New Roman" w:eastAsia="宋体" w:cs="Times New Roman"/>
          <w:color w:val="auto"/>
          <w:kern w:val="2"/>
          <w:sz w:val="24"/>
          <w:szCs w:val="24"/>
          <w:highlight w:val="none"/>
          <w:shd w:val="clear" w:color="auto" w:fill="auto"/>
          <w:lang w:val="pt-BR"/>
        </w:rPr>
        <w:t>—</w:t>
      </w:r>
      <w:r>
        <w:rPr>
          <w:rFonts w:hint="default" w:ascii="Times New Roman" w:hAnsi="Times New Roman" w:eastAsia="宋体" w:cs="Times New Roman"/>
          <w:color w:val="auto"/>
          <w:kern w:val="2"/>
          <w:sz w:val="24"/>
          <w:szCs w:val="24"/>
          <w:highlight w:val="none"/>
          <w:shd w:val="clear" w:color="auto" w:fill="auto"/>
        </w:rPr>
        <w:t>预测点的噪声预测值，dB；</w:t>
      </w:r>
    </w:p>
    <w:p>
      <w:pPr>
        <w:pageBreakBefore w:val="0"/>
        <w:widowControl w:val="0"/>
        <w:kinsoku/>
        <w:wordWrap/>
        <w:overflowPunct/>
        <w:topLinePunct w:val="0"/>
        <w:autoSpaceDE/>
        <w:autoSpaceDN/>
        <w:bidi w:val="0"/>
        <w:spacing w:line="480" w:lineRule="exact"/>
        <w:ind w:firstLine="1200" w:firstLineChars="500"/>
        <w:jc w:val="both"/>
        <w:textAlignment w:val="auto"/>
        <w:rPr>
          <w:rFonts w:hint="default" w:ascii="Times New Roman" w:hAnsi="Times New Roman" w:eastAsia="宋体" w:cs="Times New Roman"/>
          <w:color w:val="auto"/>
          <w:kern w:val="2"/>
          <w:sz w:val="24"/>
          <w:szCs w:val="24"/>
          <w:highlight w:val="none"/>
          <w:shd w:val="clear" w:color="auto" w:fill="auto"/>
          <w:lang w:val="pt-BR"/>
        </w:rPr>
      </w:pP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eqg</w:t>
      </w:r>
      <w:r>
        <w:rPr>
          <w:rFonts w:hint="default" w:ascii="Times New Roman" w:hAnsi="Times New Roman" w:eastAsia="宋体" w:cs="Times New Roman"/>
          <w:color w:val="auto"/>
          <w:kern w:val="2"/>
          <w:sz w:val="24"/>
          <w:szCs w:val="24"/>
          <w:highlight w:val="none"/>
          <w:shd w:val="clear" w:color="auto" w:fill="auto"/>
          <w:lang w:val="pt-BR"/>
        </w:rPr>
        <w:t>—建设项目声源在预测点</w:t>
      </w:r>
      <w:r>
        <w:rPr>
          <w:rFonts w:hint="default" w:ascii="Times New Roman" w:hAnsi="Times New Roman" w:eastAsia="宋体" w:cs="Times New Roman"/>
          <w:color w:val="auto"/>
          <w:kern w:val="2"/>
          <w:sz w:val="24"/>
          <w:szCs w:val="24"/>
          <w:highlight w:val="none"/>
          <w:shd w:val="clear" w:color="auto" w:fill="auto"/>
        </w:rPr>
        <w:t>产生的噪声贡献值</w:t>
      </w:r>
      <w:r>
        <w:rPr>
          <w:rFonts w:hint="default" w:ascii="Times New Roman" w:hAnsi="Times New Roman" w:eastAsia="宋体" w:cs="Times New Roman"/>
          <w:color w:val="auto"/>
          <w:kern w:val="2"/>
          <w:sz w:val="24"/>
          <w:szCs w:val="24"/>
          <w:highlight w:val="none"/>
          <w:shd w:val="clear" w:color="auto" w:fill="auto"/>
          <w:lang w:val="pt-BR"/>
        </w:rPr>
        <w:t>；</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val="pt-BR"/>
        </w:rPr>
        <w:t xml:space="preserve">      </w:t>
      </w:r>
      <w:r>
        <w:rPr>
          <w:rFonts w:hint="default" w:ascii="Times New Roman" w:hAnsi="Times New Roman" w:eastAsia="宋体" w:cs="Times New Roman"/>
          <w:i/>
          <w:iCs/>
          <w:color w:val="auto"/>
          <w:kern w:val="2"/>
          <w:sz w:val="24"/>
          <w:szCs w:val="24"/>
          <w:highlight w:val="none"/>
          <w:shd w:val="clear" w:color="auto" w:fill="auto"/>
        </w:rPr>
        <w:t>L</w:t>
      </w:r>
      <w:r>
        <w:rPr>
          <w:rFonts w:hint="default" w:ascii="Times New Roman" w:hAnsi="Times New Roman" w:eastAsia="宋体" w:cs="Times New Roman"/>
          <w:i/>
          <w:iCs/>
          <w:color w:val="auto"/>
          <w:kern w:val="2"/>
          <w:sz w:val="24"/>
          <w:szCs w:val="24"/>
          <w:highlight w:val="none"/>
          <w:shd w:val="clear" w:color="auto" w:fill="auto"/>
          <w:vertAlign w:val="subscript"/>
        </w:rPr>
        <w:t>eqb</w:t>
      </w:r>
      <w:r>
        <w:rPr>
          <w:rFonts w:hint="default" w:ascii="Times New Roman" w:hAnsi="Times New Roman" w:eastAsia="宋体" w:cs="Times New Roman"/>
          <w:color w:val="auto"/>
          <w:kern w:val="2"/>
          <w:sz w:val="24"/>
          <w:szCs w:val="24"/>
          <w:highlight w:val="none"/>
          <w:shd w:val="clear" w:color="auto" w:fill="auto"/>
          <w:lang w:val="pt-BR"/>
        </w:rPr>
        <w:t>—预测点的背景</w:t>
      </w:r>
      <w:r>
        <w:rPr>
          <w:rFonts w:hint="default" w:ascii="Times New Roman" w:hAnsi="Times New Roman" w:eastAsia="宋体" w:cs="Times New Roman"/>
          <w:color w:val="auto"/>
          <w:kern w:val="2"/>
          <w:sz w:val="24"/>
          <w:szCs w:val="24"/>
          <w:highlight w:val="none"/>
          <w:shd w:val="clear" w:color="auto" w:fill="auto"/>
        </w:rPr>
        <w:t>噪声</w:t>
      </w:r>
      <w:r>
        <w:rPr>
          <w:rFonts w:hint="default" w:ascii="Times New Roman" w:hAnsi="Times New Roman" w:eastAsia="宋体" w:cs="Times New Roman"/>
          <w:color w:val="auto"/>
          <w:kern w:val="2"/>
          <w:sz w:val="24"/>
          <w:szCs w:val="24"/>
          <w:highlight w:val="none"/>
          <w:shd w:val="clear" w:color="auto" w:fill="auto"/>
          <w:lang w:val="pt-BR"/>
        </w:rPr>
        <w:t>值，dB。</w:t>
      </w:r>
    </w:p>
    <w:p>
      <w:pPr>
        <w:pageBreakBefore w:val="0"/>
        <w:widowControl w:val="0"/>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kern w:val="2"/>
          <w:sz w:val="24"/>
          <w:szCs w:val="24"/>
          <w:highlight w:val="none"/>
          <w:shd w:val="clear" w:color="auto" w:fill="auto"/>
        </w:rPr>
      </w:pP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lang w:val="en-US" w:eastAsia="zh-CN"/>
        </w:rPr>
        <w:t>6</w:t>
      </w:r>
      <w:r>
        <w:rPr>
          <w:rFonts w:hint="default" w:ascii="Times New Roman" w:hAnsi="Times New Roman" w:eastAsia="宋体" w:cs="Times New Roman"/>
          <w:color w:val="auto"/>
          <w:kern w:val="2"/>
          <w:sz w:val="24"/>
          <w:szCs w:val="24"/>
          <w:highlight w:val="none"/>
          <w:shd w:val="clear" w:color="auto" w:fill="auto"/>
          <w:lang w:eastAsia="zh-CN"/>
        </w:rPr>
        <w:t>）</w:t>
      </w:r>
      <w:r>
        <w:rPr>
          <w:rFonts w:hint="default" w:ascii="Times New Roman" w:hAnsi="Times New Roman" w:eastAsia="宋体" w:cs="Times New Roman"/>
          <w:color w:val="auto"/>
          <w:kern w:val="2"/>
          <w:sz w:val="24"/>
          <w:szCs w:val="24"/>
          <w:highlight w:val="none"/>
          <w:shd w:val="clear" w:color="auto" w:fill="auto"/>
        </w:rPr>
        <w:t>噪声预测点位</w:t>
      </w:r>
    </w:p>
    <w:p>
      <w:pPr>
        <w:pStyle w:val="57"/>
        <w:pageBreakBefore w:val="0"/>
        <w:kinsoku/>
        <w:wordWrap/>
        <w:overflowPunct/>
        <w:topLinePunct w:val="0"/>
        <w:autoSpaceDE/>
        <w:autoSpaceDN/>
        <w:bidi w:val="0"/>
        <w:spacing w:line="480" w:lineRule="exact"/>
        <w:ind w:firstLine="1200" w:firstLineChars="500"/>
        <w:rPr>
          <w:color w:val="auto"/>
          <w:sz w:val="24"/>
          <w:szCs w:val="24"/>
          <w:highlight w:val="none"/>
        </w:rPr>
      </w:pPr>
      <w:r>
        <w:rPr>
          <w:rFonts w:hint="default" w:ascii="Times New Roman" w:hAnsi="Times New Roman" w:eastAsia="宋体" w:cs="Times New Roman"/>
          <w:color w:val="auto"/>
          <w:kern w:val="2"/>
          <w:sz w:val="24"/>
          <w:szCs w:val="24"/>
          <w:highlight w:val="none"/>
          <w:shd w:val="clear" w:color="auto" w:fill="auto"/>
        </w:rPr>
        <w:t>本评价预测噪声源对</w:t>
      </w:r>
      <w:r>
        <w:rPr>
          <w:rFonts w:hint="eastAsia" w:ascii="Times New Roman" w:hAnsi="Times New Roman" w:eastAsia="宋体" w:cs="Times New Roman"/>
          <w:color w:val="auto"/>
          <w:kern w:val="2"/>
          <w:sz w:val="24"/>
          <w:szCs w:val="24"/>
          <w:highlight w:val="none"/>
          <w:shd w:val="clear" w:color="auto" w:fill="auto"/>
          <w:lang w:val="en-US" w:eastAsia="zh-CN"/>
        </w:rPr>
        <w:t>井场、站</w:t>
      </w:r>
      <w:r>
        <w:rPr>
          <w:rFonts w:hint="default" w:ascii="Times New Roman" w:hAnsi="Times New Roman" w:eastAsia="宋体" w:cs="Times New Roman"/>
          <w:color w:val="auto"/>
          <w:kern w:val="2"/>
          <w:sz w:val="24"/>
          <w:szCs w:val="24"/>
          <w:highlight w:val="none"/>
          <w:shd w:val="clear" w:color="auto" w:fill="auto"/>
        </w:rPr>
        <w:t>场界四周噪声贡献值</w:t>
      </w:r>
      <w:r>
        <w:rPr>
          <w:rFonts w:hint="default" w:ascii="Times New Roman" w:hAnsi="Times New Roman" w:eastAsia="宋体" w:cs="Times New Roman"/>
          <w:color w:val="auto"/>
          <w:kern w:val="2"/>
          <w:sz w:val="24"/>
          <w:szCs w:val="24"/>
          <w:highlight w:val="none"/>
          <w:shd w:val="clear" w:color="auto" w:fill="auto"/>
          <w:lang w:eastAsia="zh-CN"/>
        </w:rPr>
        <w:t>。</w:t>
      </w:r>
    </w:p>
    <w:p>
      <w:pPr>
        <w:pStyle w:val="5"/>
        <w:pageBreakBefore w:val="0"/>
        <w:kinsoku/>
        <w:wordWrap/>
        <w:overflowPunct/>
        <w:topLinePunct w:val="0"/>
        <w:autoSpaceDE/>
        <w:autoSpaceDN/>
        <w:bidi w:val="0"/>
        <w:spacing w:line="480" w:lineRule="exact"/>
        <w:rPr>
          <w:color w:val="auto"/>
          <w:sz w:val="24"/>
          <w:szCs w:val="24"/>
          <w:highlight w:val="none"/>
        </w:rPr>
      </w:pPr>
      <w:r>
        <w:rPr>
          <w:rFonts w:hint="eastAsia"/>
          <w:color w:val="auto"/>
          <w:sz w:val="24"/>
          <w:szCs w:val="24"/>
          <w:highlight w:val="none"/>
        </w:rPr>
        <w:t>5.6.</w:t>
      </w:r>
      <w:r>
        <w:rPr>
          <w:color w:val="auto"/>
          <w:sz w:val="24"/>
          <w:szCs w:val="24"/>
          <w:highlight w:val="none"/>
        </w:rPr>
        <w:t>2.2 噪声源参数的确定</w:t>
      </w:r>
    </w:p>
    <w:p>
      <w:pPr>
        <w:pStyle w:val="57"/>
        <w:pageBreakBefore w:val="0"/>
        <w:kinsoku/>
        <w:wordWrap/>
        <w:overflowPunct/>
        <w:topLinePunct w:val="0"/>
        <w:autoSpaceDE/>
        <w:autoSpaceDN/>
        <w:bidi w:val="0"/>
        <w:spacing w:line="480" w:lineRule="exact"/>
        <w:rPr>
          <w:color w:val="auto"/>
          <w:sz w:val="24"/>
          <w:szCs w:val="24"/>
          <w:highlight w:val="none"/>
        </w:rPr>
      </w:pPr>
      <w:r>
        <w:rPr>
          <w:rFonts w:hint="eastAsia"/>
          <w:color w:val="auto"/>
          <w:sz w:val="24"/>
          <w:szCs w:val="24"/>
          <w:highlight w:val="none"/>
        </w:rPr>
        <w:t>项目</w:t>
      </w:r>
      <w:r>
        <w:rPr>
          <w:color w:val="auto"/>
          <w:sz w:val="24"/>
          <w:szCs w:val="24"/>
          <w:highlight w:val="none"/>
        </w:rPr>
        <w:t>噪声源参数见表5.</w:t>
      </w:r>
      <w:r>
        <w:rPr>
          <w:rFonts w:hint="eastAsia"/>
          <w:color w:val="auto"/>
          <w:sz w:val="24"/>
          <w:szCs w:val="24"/>
          <w:highlight w:val="none"/>
        </w:rPr>
        <w:t>6</w:t>
      </w:r>
      <w:r>
        <w:rPr>
          <w:color w:val="auto"/>
          <w:sz w:val="24"/>
          <w:szCs w:val="24"/>
          <w:highlight w:val="none"/>
        </w:rPr>
        <w:t>-</w:t>
      </w:r>
      <w:r>
        <w:rPr>
          <w:rFonts w:hint="eastAsia"/>
          <w:color w:val="auto"/>
          <w:sz w:val="24"/>
          <w:szCs w:val="24"/>
          <w:highlight w:val="none"/>
        </w:rPr>
        <w:t>2</w:t>
      </w:r>
      <w:r>
        <w:rPr>
          <w:color w:val="auto"/>
          <w:sz w:val="24"/>
          <w:szCs w:val="24"/>
          <w:highlight w:val="none"/>
        </w:rPr>
        <w:t>。</w:t>
      </w:r>
    </w:p>
    <w:p>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表5.</w:t>
      </w:r>
      <w:r>
        <w:rPr>
          <w:rFonts w:hint="eastAsia"/>
          <w:color w:val="auto"/>
          <w:highlight w:val="none"/>
        </w:rPr>
        <w:t>6</w:t>
      </w:r>
      <w:r>
        <w:rPr>
          <w:color w:val="auto"/>
          <w:highlight w:val="none"/>
        </w:rPr>
        <w:t>-2  噪声源参数一览表</w:t>
      </w:r>
      <w:r>
        <w:rPr>
          <w:rFonts w:hint="eastAsia"/>
          <w:color w:val="auto"/>
          <w:highlight w:val="none"/>
          <w:lang w:eastAsia="zh-CN"/>
        </w:rPr>
        <w:t>（</w:t>
      </w:r>
      <w:r>
        <w:rPr>
          <w:color w:val="auto"/>
          <w:highlight w:val="none"/>
        </w:rPr>
        <w:t>室外声源</w:t>
      </w:r>
      <w:r>
        <w:rPr>
          <w:rFonts w:hint="eastAsia"/>
          <w:color w:val="auto"/>
          <w:highlight w:val="none"/>
          <w:lang w:eastAsia="zh-CN"/>
        </w:rPr>
        <w:t>）</w:t>
      </w:r>
    </w:p>
    <w:tbl>
      <w:tblPr>
        <w:tblStyle w:val="34"/>
        <w:tblW w:w="870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473"/>
        <w:gridCol w:w="726"/>
        <w:gridCol w:w="988"/>
        <w:gridCol w:w="587"/>
        <w:gridCol w:w="525"/>
        <w:gridCol w:w="575"/>
        <w:gridCol w:w="1563"/>
        <w:gridCol w:w="2112"/>
        <w:gridCol w:w="663"/>
        <w:gridCol w:w="49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vMerge w:val="restart"/>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序号</w:t>
            </w:r>
          </w:p>
        </w:tc>
        <w:tc>
          <w:tcPr>
            <w:tcW w:w="1714" w:type="dxa"/>
            <w:gridSpan w:val="2"/>
            <w:vMerge w:val="restart"/>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声源名称</w:t>
            </w:r>
          </w:p>
        </w:tc>
        <w:tc>
          <w:tcPr>
            <w:tcW w:w="1687" w:type="dxa"/>
            <w:gridSpan w:val="3"/>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空间相对位置/m</w:t>
            </w:r>
          </w:p>
        </w:tc>
        <w:tc>
          <w:tcPr>
            <w:tcW w:w="1563" w:type="dxa"/>
            <w:vMerge w:val="restart"/>
            <w:tcBorders>
              <w:tl2br w:val="nil"/>
              <w:tr2bl w:val="nil"/>
            </w:tcBorders>
            <w:noWrap w:val="0"/>
            <w:vAlign w:val="center"/>
          </w:tcPr>
          <w:p>
            <w:pPr>
              <w:pStyle w:val="55"/>
              <w:bidi w:val="0"/>
              <w:rPr>
                <w:rFonts w:hint="default"/>
                <w:color w:val="auto"/>
                <w:highlight w:val="none"/>
                <w:shd w:val="clear" w:color="auto" w:fill="auto"/>
                <w:lang w:eastAsia="zh-CN"/>
              </w:rPr>
            </w:pPr>
            <w:r>
              <w:rPr>
                <w:rFonts w:hint="default"/>
                <w:color w:val="auto"/>
                <w:highlight w:val="none"/>
                <w:shd w:val="clear" w:color="auto" w:fill="auto"/>
              </w:rPr>
              <w:t>声源源强</w:t>
            </w:r>
            <w:r>
              <w:rPr>
                <w:rFonts w:hint="default"/>
                <w:color w:val="auto"/>
                <w:highlight w:val="none"/>
                <w:shd w:val="clear" w:color="auto" w:fill="auto"/>
                <w:lang w:eastAsia="zh-CN"/>
              </w:rPr>
              <w:t>（</w:t>
            </w:r>
            <w:r>
              <w:rPr>
                <w:rFonts w:hint="default"/>
                <w:color w:val="auto"/>
                <w:highlight w:val="none"/>
                <w:shd w:val="clear" w:color="auto" w:fill="auto"/>
              </w:rPr>
              <w:t>声功率级</w:t>
            </w:r>
            <w:r>
              <w:rPr>
                <w:rFonts w:hint="default"/>
                <w:color w:val="auto"/>
                <w:highlight w:val="none"/>
                <w:shd w:val="clear" w:color="auto" w:fill="auto"/>
                <w:lang w:eastAsia="zh-CN"/>
              </w:rPr>
              <w:t>）（</w:t>
            </w:r>
            <w:r>
              <w:rPr>
                <w:rFonts w:hint="default"/>
                <w:color w:val="auto"/>
                <w:highlight w:val="none"/>
                <w:shd w:val="clear" w:color="auto" w:fill="auto"/>
              </w:rPr>
              <w:t>dB</w:t>
            </w:r>
            <w:r>
              <w:rPr>
                <w:rFonts w:hint="default"/>
                <w:color w:val="auto"/>
                <w:highlight w:val="none"/>
                <w:shd w:val="clear" w:color="auto" w:fill="auto"/>
                <w:lang w:eastAsia="zh-CN"/>
              </w:rPr>
              <w:t>（</w:t>
            </w:r>
            <w:r>
              <w:rPr>
                <w:rFonts w:hint="default"/>
                <w:color w:val="auto"/>
                <w:highlight w:val="none"/>
                <w:shd w:val="clear" w:color="auto" w:fill="auto"/>
              </w:rPr>
              <w:t>A</w:t>
            </w:r>
            <w:r>
              <w:rPr>
                <w:rFonts w:hint="default"/>
                <w:color w:val="auto"/>
                <w:highlight w:val="none"/>
                <w:shd w:val="clear" w:color="auto" w:fill="auto"/>
                <w:lang w:eastAsia="zh-CN"/>
              </w:rPr>
              <w:t>））</w:t>
            </w:r>
          </w:p>
        </w:tc>
        <w:tc>
          <w:tcPr>
            <w:tcW w:w="2112" w:type="dxa"/>
            <w:vMerge w:val="restart"/>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声源控制</w:t>
            </w:r>
          </w:p>
          <w:p>
            <w:pPr>
              <w:pStyle w:val="55"/>
              <w:bidi w:val="0"/>
              <w:rPr>
                <w:rFonts w:hint="default"/>
                <w:color w:val="auto"/>
                <w:highlight w:val="none"/>
                <w:shd w:val="clear" w:color="auto" w:fill="auto"/>
              </w:rPr>
            </w:pPr>
            <w:r>
              <w:rPr>
                <w:rFonts w:hint="default"/>
                <w:color w:val="auto"/>
                <w:highlight w:val="none"/>
                <w:shd w:val="clear" w:color="auto" w:fill="auto"/>
              </w:rPr>
              <w:t>措施</w:t>
            </w:r>
          </w:p>
        </w:tc>
        <w:tc>
          <w:tcPr>
            <w:tcW w:w="663" w:type="dxa"/>
            <w:vMerge w:val="restart"/>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运行时段</w:t>
            </w:r>
          </w:p>
        </w:tc>
        <w:tc>
          <w:tcPr>
            <w:tcW w:w="495" w:type="dxa"/>
            <w:vMerge w:val="restart"/>
            <w:tcBorders>
              <w:tl2br w:val="nil"/>
              <w:tr2bl w:val="nil"/>
            </w:tcBorders>
            <w:noWrap w:val="0"/>
            <w:vAlign w:val="center"/>
          </w:tcPr>
          <w:p>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vMerge w:val="continue"/>
            <w:tcBorders>
              <w:tl2br w:val="nil"/>
              <w:tr2bl w:val="nil"/>
            </w:tcBorders>
            <w:noWrap w:val="0"/>
            <w:vAlign w:val="center"/>
          </w:tcPr>
          <w:p>
            <w:pPr>
              <w:pStyle w:val="55"/>
              <w:bidi w:val="0"/>
              <w:rPr>
                <w:rFonts w:hint="default"/>
                <w:color w:val="auto"/>
                <w:highlight w:val="none"/>
                <w:shd w:val="clear" w:color="auto" w:fill="auto"/>
              </w:rPr>
            </w:pPr>
          </w:p>
        </w:tc>
        <w:tc>
          <w:tcPr>
            <w:tcW w:w="1714" w:type="dxa"/>
            <w:gridSpan w:val="2"/>
            <w:vMerge w:val="continue"/>
            <w:tcBorders>
              <w:tl2br w:val="nil"/>
              <w:tr2bl w:val="nil"/>
            </w:tcBorders>
            <w:noWrap w:val="0"/>
            <w:vAlign w:val="center"/>
          </w:tcPr>
          <w:p>
            <w:pPr>
              <w:pStyle w:val="55"/>
              <w:bidi w:val="0"/>
              <w:rPr>
                <w:rFonts w:hint="default"/>
                <w:color w:val="auto"/>
                <w:highlight w:val="none"/>
                <w:shd w:val="clear" w:color="auto" w:fill="auto"/>
              </w:rPr>
            </w:pPr>
          </w:p>
        </w:tc>
        <w:tc>
          <w:tcPr>
            <w:tcW w:w="587"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X</w:t>
            </w:r>
          </w:p>
        </w:tc>
        <w:tc>
          <w:tcPr>
            <w:tcW w:w="525"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Y</w:t>
            </w:r>
          </w:p>
        </w:tc>
        <w:tc>
          <w:tcPr>
            <w:tcW w:w="575"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Z</w:t>
            </w:r>
          </w:p>
        </w:tc>
        <w:tc>
          <w:tcPr>
            <w:tcW w:w="1563" w:type="dxa"/>
            <w:vMerge w:val="continue"/>
            <w:tcBorders>
              <w:tl2br w:val="nil"/>
              <w:tr2bl w:val="nil"/>
            </w:tcBorders>
            <w:noWrap w:val="0"/>
            <w:vAlign w:val="center"/>
          </w:tcPr>
          <w:p>
            <w:pPr>
              <w:pStyle w:val="55"/>
              <w:bidi w:val="0"/>
              <w:rPr>
                <w:rFonts w:hint="default"/>
                <w:color w:val="auto"/>
                <w:highlight w:val="none"/>
                <w:shd w:val="clear" w:color="auto" w:fill="auto"/>
              </w:rPr>
            </w:pPr>
          </w:p>
        </w:tc>
        <w:tc>
          <w:tcPr>
            <w:tcW w:w="2112" w:type="dxa"/>
            <w:vMerge w:val="continue"/>
            <w:tcBorders>
              <w:tl2br w:val="nil"/>
              <w:tr2bl w:val="nil"/>
            </w:tcBorders>
            <w:noWrap w:val="0"/>
            <w:vAlign w:val="center"/>
          </w:tcPr>
          <w:p>
            <w:pPr>
              <w:pStyle w:val="55"/>
              <w:bidi w:val="0"/>
              <w:rPr>
                <w:rFonts w:hint="default"/>
                <w:color w:val="auto"/>
                <w:highlight w:val="none"/>
                <w:shd w:val="clear" w:color="auto" w:fill="auto"/>
              </w:rPr>
            </w:pPr>
          </w:p>
        </w:tc>
        <w:tc>
          <w:tcPr>
            <w:tcW w:w="663" w:type="dxa"/>
            <w:vMerge w:val="continue"/>
            <w:tcBorders>
              <w:tl2br w:val="nil"/>
              <w:tr2bl w:val="nil"/>
            </w:tcBorders>
            <w:noWrap w:val="0"/>
            <w:vAlign w:val="center"/>
          </w:tcPr>
          <w:p>
            <w:pPr>
              <w:pStyle w:val="55"/>
              <w:bidi w:val="0"/>
              <w:rPr>
                <w:rFonts w:hint="default"/>
                <w:color w:val="auto"/>
                <w:highlight w:val="none"/>
                <w:shd w:val="clear" w:color="auto" w:fill="auto"/>
              </w:rPr>
            </w:pPr>
          </w:p>
        </w:tc>
        <w:tc>
          <w:tcPr>
            <w:tcW w:w="495" w:type="dxa"/>
            <w:vMerge w:val="continue"/>
            <w:tcBorders>
              <w:tl2br w:val="nil"/>
              <w:tr2bl w:val="nil"/>
            </w:tcBorders>
            <w:noWrap w:val="0"/>
            <w:vAlign w:val="center"/>
          </w:tcPr>
          <w:p>
            <w:pPr>
              <w:pStyle w:val="55"/>
              <w:bidi w:val="0"/>
              <w:rPr>
                <w:rFonts w:hint="default"/>
                <w:color w:val="auto"/>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1</w:t>
            </w:r>
          </w:p>
        </w:tc>
        <w:tc>
          <w:tcPr>
            <w:tcW w:w="726" w:type="dxa"/>
            <w:tcBorders>
              <w:tl2br w:val="nil"/>
              <w:tr2bl w:val="nil"/>
            </w:tcBorders>
            <w:noWrap w:val="0"/>
            <w:vAlign w:val="center"/>
          </w:tcPr>
          <w:p>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井场</w:t>
            </w:r>
          </w:p>
        </w:tc>
        <w:tc>
          <w:tcPr>
            <w:tcW w:w="988" w:type="dxa"/>
            <w:tcBorders>
              <w:tl2br w:val="nil"/>
              <w:tr2bl w:val="nil"/>
            </w:tcBorders>
            <w:noWrap w:val="0"/>
            <w:vAlign w:val="center"/>
          </w:tcPr>
          <w:p>
            <w:pPr>
              <w:pStyle w:val="55"/>
              <w:bidi w:val="0"/>
              <w:ind w:firstLine="0" w:firstLineChars="0"/>
              <w:rPr>
                <w:rFonts w:hint="eastAsia" w:eastAsia="宋体"/>
                <w:color w:val="auto"/>
                <w:highlight w:val="none"/>
                <w:shd w:val="clear" w:color="auto" w:fill="auto"/>
                <w:lang w:eastAsia="zh-CN"/>
              </w:rPr>
            </w:pPr>
            <w:r>
              <w:rPr>
                <w:rFonts w:hint="eastAsia"/>
                <w:color w:val="auto"/>
                <w:highlight w:val="none"/>
                <w:shd w:val="clear" w:color="auto" w:fill="auto"/>
                <w:lang w:val="en-US" w:eastAsia="zh-CN"/>
              </w:rPr>
              <w:t>抽油机</w:t>
            </w:r>
          </w:p>
        </w:tc>
        <w:tc>
          <w:tcPr>
            <w:tcW w:w="587"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20</w:t>
            </w:r>
          </w:p>
        </w:tc>
        <w:tc>
          <w:tcPr>
            <w:tcW w:w="525"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30</w:t>
            </w:r>
          </w:p>
        </w:tc>
        <w:tc>
          <w:tcPr>
            <w:tcW w:w="575"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1</w:t>
            </w:r>
          </w:p>
        </w:tc>
        <w:tc>
          <w:tcPr>
            <w:tcW w:w="1563"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85</w:t>
            </w:r>
          </w:p>
        </w:tc>
        <w:tc>
          <w:tcPr>
            <w:tcW w:w="2112" w:type="dxa"/>
            <w:tcBorders>
              <w:tl2br w:val="nil"/>
              <w:tr2bl w:val="nil"/>
            </w:tcBorders>
            <w:noWrap w:val="0"/>
            <w:vAlign w:val="center"/>
          </w:tcPr>
          <w:p>
            <w:pPr>
              <w:pStyle w:val="55"/>
              <w:bidi w:val="0"/>
              <w:rPr>
                <w:rFonts w:hint="default"/>
                <w:color w:val="auto"/>
                <w:highlight w:val="none"/>
                <w:shd w:val="clear" w:color="auto" w:fill="auto"/>
                <w:lang w:val="zh-CN"/>
              </w:rPr>
            </w:pPr>
            <w:r>
              <w:rPr>
                <w:rFonts w:hint="default"/>
                <w:color w:val="auto"/>
                <w:highlight w:val="none"/>
                <w:shd w:val="clear" w:color="auto" w:fill="auto"/>
                <w:lang w:val="zh-CN"/>
              </w:rPr>
              <w:t>基础减振</w:t>
            </w:r>
          </w:p>
        </w:tc>
        <w:tc>
          <w:tcPr>
            <w:tcW w:w="663"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昼夜</w:t>
            </w:r>
          </w:p>
        </w:tc>
        <w:tc>
          <w:tcPr>
            <w:tcW w:w="495" w:type="dxa"/>
            <w:tcBorders>
              <w:tl2br w:val="nil"/>
              <w:tr2bl w:val="nil"/>
            </w:tcBorders>
            <w:noWrap w:val="0"/>
            <w:vAlign w:val="center"/>
          </w:tcPr>
          <w:p>
            <w:pPr>
              <w:pStyle w:val="55"/>
              <w:bidi w:val="0"/>
              <w:rPr>
                <w:rFonts w:hint="default"/>
                <w:color w:val="auto"/>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473" w:type="dxa"/>
            <w:tcBorders>
              <w:tl2br w:val="nil"/>
              <w:tr2bl w:val="nil"/>
            </w:tcBorders>
            <w:noWrap w:val="0"/>
            <w:vAlign w:val="center"/>
          </w:tcPr>
          <w:p>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2</w:t>
            </w:r>
          </w:p>
        </w:tc>
        <w:tc>
          <w:tcPr>
            <w:tcW w:w="726" w:type="dxa"/>
            <w:tcBorders>
              <w:tl2br w:val="nil"/>
              <w:tr2bl w:val="nil"/>
            </w:tcBorders>
            <w:noWrap w:val="0"/>
            <w:vAlign w:val="center"/>
          </w:tcPr>
          <w:p>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混输站</w:t>
            </w:r>
          </w:p>
        </w:tc>
        <w:tc>
          <w:tcPr>
            <w:tcW w:w="988" w:type="dxa"/>
            <w:tcBorders>
              <w:tl2br w:val="nil"/>
              <w:tr2bl w:val="nil"/>
            </w:tcBorders>
            <w:noWrap w:val="0"/>
            <w:vAlign w:val="center"/>
          </w:tcPr>
          <w:p>
            <w:pPr>
              <w:pStyle w:val="55"/>
              <w:bidi w:val="0"/>
              <w:rPr>
                <w:rFonts w:hint="default"/>
                <w:color w:val="auto"/>
                <w:highlight w:val="none"/>
                <w:shd w:val="clear" w:color="auto" w:fill="auto"/>
                <w:lang w:val="en-US" w:eastAsia="zh-CN"/>
              </w:rPr>
            </w:pPr>
            <w:r>
              <w:rPr>
                <w:rFonts w:hint="eastAsia"/>
                <w:color w:val="auto"/>
                <w:highlight w:val="none"/>
                <w:shd w:val="clear" w:color="auto" w:fill="auto"/>
                <w:lang w:val="en-US" w:eastAsia="zh-CN"/>
              </w:rPr>
              <w:t>装车泵</w:t>
            </w:r>
          </w:p>
        </w:tc>
        <w:tc>
          <w:tcPr>
            <w:tcW w:w="587" w:type="dxa"/>
            <w:tcBorders>
              <w:tl2br w:val="nil"/>
              <w:tr2bl w:val="nil"/>
            </w:tcBorders>
            <w:noWrap w:val="0"/>
            <w:vAlign w:val="center"/>
          </w:tcPr>
          <w:p>
            <w:pPr>
              <w:pStyle w:val="55"/>
              <w:bidi w:val="0"/>
              <w:ind w:firstLine="0" w:firstLineChars="0"/>
              <w:rPr>
                <w:rFonts w:hint="default" w:ascii="Times New Roman" w:hAnsi="Times New Roman" w:eastAsia="宋体" w:cs="Times New Roman"/>
                <w:color w:val="auto"/>
                <w:kern w:val="0"/>
                <w:sz w:val="21"/>
                <w:szCs w:val="21"/>
                <w:highlight w:val="none"/>
                <w:u w:val="none"/>
                <w:shd w:val="clear" w:color="auto" w:fill="auto"/>
                <w:lang w:val="en-US" w:eastAsia="zh-CN" w:bidi="ar"/>
              </w:rPr>
            </w:pPr>
            <w:r>
              <w:rPr>
                <w:rFonts w:hint="eastAsia"/>
                <w:color w:val="auto"/>
                <w:highlight w:val="none"/>
                <w:shd w:val="clear" w:color="auto" w:fill="auto"/>
                <w:lang w:val="en-US" w:eastAsia="zh-CN"/>
              </w:rPr>
              <w:t>38</w:t>
            </w:r>
          </w:p>
        </w:tc>
        <w:tc>
          <w:tcPr>
            <w:tcW w:w="525" w:type="dxa"/>
            <w:tcBorders>
              <w:tl2br w:val="nil"/>
              <w:tr2bl w:val="nil"/>
            </w:tcBorders>
            <w:noWrap w:val="0"/>
            <w:vAlign w:val="center"/>
          </w:tcPr>
          <w:p>
            <w:pPr>
              <w:pStyle w:val="55"/>
              <w:bidi w:val="0"/>
              <w:ind w:firstLine="0" w:firstLineChars="0"/>
              <w:rPr>
                <w:rFonts w:hint="default" w:ascii="Times New Roman" w:hAnsi="Times New Roman" w:eastAsia="宋体" w:cs="Times New Roman"/>
                <w:color w:val="auto"/>
                <w:kern w:val="0"/>
                <w:sz w:val="21"/>
                <w:szCs w:val="21"/>
                <w:highlight w:val="none"/>
                <w:u w:val="none"/>
                <w:shd w:val="clear" w:color="auto" w:fill="auto"/>
                <w:lang w:val="en-US" w:eastAsia="zh-CN" w:bidi="ar"/>
              </w:rPr>
            </w:pPr>
            <w:r>
              <w:rPr>
                <w:rFonts w:hint="eastAsia"/>
                <w:color w:val="auto"/>
                <w:highlight w:val="none"/>
                <w:shd w:val="clear" w:color="auto" w:fill="auto"/>
                <w:lang w:val="en-US" w:eastAsia="zh-CN"/>
              </w:rPr>
              <w:t>30</w:t>
            </w:r>
          </w:p>
        </w:tc>
        <w:tc>
          <w:tcPr>
            <w:tcW w:w="575" w:type="dxa"/>
            <w:tcBorders>
              <w:tl2br w:val="nil"/>
              <w:tr2bl w:val="nil"/>
            </w:tcBorders>
            <w:noWrap w:val="0"/>
            <w:vAlign w:val="center"/>
          </w:tcPr>
          <w:p>
            <w:pPr>
              <w:pStyle w:val="55"/>
              <w:bidi w:val="0"/>
              <w:rPr>
                <w:rFonts w:hint="eastAsia" w:eastAsia="宋体"/>
                <w:color w:val="auto"/>
                <w:highlight w:val="none"/>
                <w:shd w:val="clear" w:color="auto" w:fill="auto"/>
                <w:lang w:val="en-US" w:eastAsia="zh-CN"/>
              </w:rPr>
            </w:pPr>
            <w:r>
              <w:rPr>
                <w:rFonts w:hint="eastAsia"/>
                <w:color w:val="auto"/>
                <w:highlight w:val="none"/>
                <w:shd w:val="clear" w:color="auto" w:fill="auto"/>
                <w:lang w:val="en-US" w:eastAsia="zh-CN"/>
              </w:rPr>
              <w:t>1</w:t>
            </w:r>
          </w:p>
        </w:tc>
        <w:tc>
          <w:tcPr>
            <w:tcW w:w="1563" w:type="dxa"/>
            <w:tcBorders>
              <w:tl2br w:val="nil"/>
              <w:tr2bl w:val="nil"/>
            </w:tcBorders>
            <w:noWrap w:val="0"/>
            <w:vAlign w:val="center"/>
          </w:tcPr>
          <w:p>
            <w:pPr>
              <w:pStyle w:val="55"/>
              <w:bidi w:val="0"/>
              <w:rPr>
                <w:rFonts w:hint="default" w:eastAsia="宋体"/>
                <w:color w:val="auto"/>
                <w:highlight w:val="none"/>
                <w:shd w:val="clear" w:color="auto" w:fill="auto"/>
                <w:lang w:val="en-US" w:eastAsia="zh-CN"/>
              </w:rPr>
            </w:pPr>
            <w:r>
              <w:rPr>
                <w:rFonts w:hint="eastAsia"/>
                <w:color w:val="auto"/>
                <w:highlight w:val="none"/>
                <w:shd w:val="clear" w:color="auto" w:fill="auto"/>
                <w:lang w:val="en-US" w:eastAsia="zh-CN"/>
              </w:rPr>
              <w:t>90</w:t>
            </w:r>
          </w:p>
        </w:tc>
        <w:tc>
          <w:tcPr>
            <w:tcW w:w="2112" w:type="dxa"/>
            <w:tcBorders>
              <w:tl2br w:val="nil"/>
              <w:tr2bl w:val="nil"/>
            </w:tcBorders>
            <w:noWrap w:val="0"/>
            <w:vAlign w:val="center"/>
          </w:tcPr>
          <w:p>
            <w:pPr>
              <w:pStyle w:val="55"/>
              <w:bidi w:val="0"/>
              <w:rPr>
                <w:rFonts w:hint="default"/>
                <w:color w:val="auto"/>
                <w:highlight w:val="none"/>
                <w:shd w:val="clear" w:color="auto" w:fill="auto"/>
              </w:rPr>
            </w:pPr>
            <w:r>
              <w:rPr>
                <w:rFonts w:hint="eastAsia"/>
                <w:color w:val="auto"/>
                <w:highlight w:val="none"/>
                <w:shd w:val="clear" w:color="auto" w:fill="auto"/>
              </w:rPr>
              <w:t>独立基础，加减震垫，采用软连接</w:t>
            </w:r>
          </w:p>
        </w:tc>
        <w:tc>
          <w:tcPr>
            <w:tcW w:w="663" w:type="dxa"/>
            <w:tcBorders>
              <w:tl2br w:val="nil"/>
              <w:tr2bl w:val="nil"/>
            </w:tcBorders>
            <w:noWrap w:val="0"/>
            <w:vAlign w:val="center"/>
          </w:tcPr>
          <w:p>
            <w:pPr>
              <w:pStyle w:val="55"/>
              <w:bidi w:val="0"/>
              <w:rPr>
                <w:rFonts w:hint="default"/>
                <w:color w:val="auto"/>
                <w:highlight w:val="none"/>
                <w:shd w:val="clear" w:color="auto" w:fill="auto"/>
              </w:rPr>
            </w:pPr>
            <w:r>
              <w:rPr>
                <w:rFonts w:hint="default"/>
                <w:color w:val="auto"/>
                <w:highlight w:val="none"/>
                <w:shd w:val="clear" w:color="auto" w:fill="auto"/>
              </w:rPr>
              <w:t>昼夜</w:t>
            </w:r>
          </w:p>
        </w:tc>
        <w:tc>
          <w:tcPr>
            <w:tcW w:w="495" w:type="dxa"/>
            <w:tcBorders>
              <w:tl2br w:val="nil"/>
              <w:tr2bl w:val="nil"/>
            </w:tcBorders>
            <w:noWrap w:val="0"/>
            <w:vAlign w:val="center"/>
          </w:tcPr>
          <w:p>
            <w:pPr>
              <w:pStyle w:val="55"/>
              <w:bidi w:val="0"/>
              <w:rPr>
                <w:rFonts w:hint="default"/>
                <w:color w:val="auto"/>
                <w:highlight w:val="none"/>
                <w:shd w:val="clear" w:color="auto" w:fill="auto"/>
              </w:rPr>
            </w:pPr>
          </w:p>
        </w:tc>
      </w:tr>
    </w:tbl>
    <w:p>
      <w:pPr>
        <w:pStyle w:val="5"/>
        <w:pageBreakBefore w:val="0"/>
        <w:kinsoku/>
        <w:wordWrap/>
        <w:overflowPunct/>
        <w:topLinePunct w:val="0"/>
        <w:autoSpaceDE/>
        <w:autoSpaceDN/>
        <w:bidi w:val="0"/>
        <w:spacing w:line="480" w:lineRule="exact"/>
        <w:rPr>
          <w:color w:val="auto"/>
          <w:highlight w:val="none"/>
        </w:rPr>
      </w:pPr>
      <w:r>
        <w:rPr>
          <w:rFonts w:hint="eastAsia"/>
          <w:color w:val="auto"/>
          <w:highlight w:val="none"/>
        </w:rPr>
        <w:t>5.6.</w:t>
      </w:r>
      <w:r>
        <w:rPr>
          <w:color w:val="auto"/>
          <w:highlight w:val="none"/>
        </w:rPr>
        <w:t>2.3 预测结果及评价</w:t>
      </w:r>
    </w:p>
    <w:p>
      <w:pPr>
        <w:pStyle w:val="57"/>
        <w:pageBreakBefore w:val="0"/>
        <w:kinsoku/>
        <w:wordWrap/>
        <w:overflowPunct/>
        <w:topLinePunct w:val="0"/>
        <w:autoSpaceDE/>
        <w:autoSpaceDN/>
        <w:bidi w:val="0"/>
        <w:spacing w:line="480" w:lineRule="exact"/>
        <w:rPr>
          <w:color w:val="auto"/>
          <w:highlight w:val="none"/>
        </w:rPr>
      </w:pPr>
      <w:r>
        <w:rPr>
          <w:color w:val="auto"/>
          <w:highlight w:val="none"/>
        </w:rPr>
        <w:t>按照噪声预测模式，结合噪声源到各预测点距离，通过计算，</w:t>
      </w:r>
      <w:r>
        <w:rPr>
          <w:rFonts w:hint="eastAsia"/>
          <w:color w:val="auto"/>
          <w:highlight w:val="none"/>
          <w:lang w:eastAsia="zh-CN"/>
        </w:rPr>
        <w:t>本工程</w:t>
      </w:r>
      <w:r>
        <w:rPr>
          <w:color w:val="auto"/>
          <w:highlight w:val="none"/>
        </w:rPr>
        <w:t>各噪声源对井场、站场四周场界的贡献声级值见表5.</w:t>
      </w:r>
      <w:r>
        <w:rPr>
          <w:rFonts w:hint="eastAsia"/>
          <w:color w:val="auto"/>
          <w:highlight w:val="none"/>
        </w:rPr>
        <w:t>6</w:t>
      </w:r>
      <w:r>
        <w:rPr>
          <w:color w:val="auto"/>
          <w:highlight w:val="none"/>
        </w:rPr>
        <w:t>-</w:t>
      </w:r>
      <w:r>
        <w:rPr>
          <w:rFonts w:hint="eastAsia"/>
          <w:color w:val="auto"/>
          <w:highlight w:val="none"/>
        </w:rPr>
        <w:t>3</w:t>
      </w:r>
      <w:r>
        <w:rPr>
          <w:color w:val="auto"/>
          <w:highlight w:val="none"/>
        </w:rPr>
        <w:t>。</w:t>
      </w:r>
    </w:p>
    <w:p>
      <w:pPr>
        <w:pStyle w:val="54"/>
        <w:pageBreakBefore w:val="0"/>
        <w:kinsoku/>
        <w:wordWrap/>
        <w:overflowPunct/>
        <w:topLinePunct w:val="0"/>
        <w:autoSpaceDE/>
        <w:autoSpaceDN/>
        <w:bidi w:val="0"/>
        <w:spacing w:line="480" w:lineRule="exact"/>
        <w:ind w:firstLine="482"/>
        <w:rPr>
          <w:color w:val="auto"/>
          <w:highlight w:val="none"/>
        </w:rPr>
      </w:pPr>
      <w:r>
        <w:rPr>
          <w:color w:val="auto"/>
          <w:highlight w:val="none"/>
        </w:rPr>
        <w:t>表5.</w:t>
      </w:r>
      <w:r>
        <w:rPr>
          <w:rFonts w:hint="eastAsia"/>
          <w:color w:val="auto"/>
          <w:highlight w:val="none"/>
        </w:rPr>
        <w:t>6</w:t>
      </w:r>
      <w:r>
        <w:rPr>
          <w:color w:val="auto"/>
          <w:highlight w:val="none"/>
        </w:rPr>
        <w:t>-</w:t>
      </w:r>
      <w:r>
        <w:rPr>
          <w:rFonts w:hint="eastAsia"/>
          <w:color w:val="auto"/>
          <w:highlight w:val="none"/>
        </w:rPr>
        <w:t>3</w:t>
      </w:r>
      <w:r>
        <w:rPr>
          <w:color w:val="auto"/>
          <w:highlight w:val="none"/>
        </w:rPr>
        <w:t xml:space="preserve">        噪声预测结果一览表      单位：dB(A)</w:t>
      </w:r>
    </w:p>
    <w:tbl>
      <w:tblPr>
        <w:tblStyle w:val="61"/>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971"/>
        <w:gridCol w:w="865"/>
        <w:gridCol w:w="929"/>
        <w:gridCol w:w="734"/>
        <w:gridCol w:w="734"/>
        <w:gridCol w:w="734"/>
        <w:gridCol w:w="734"/>
        <w:gridCol w:w="734"/>
        <w:gridCol w:w="737"/>
        <w:gridCol w:w="593"/>
        <w:gridCol w:w="59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restart"/>
            <w:tcBorders>
              <w:tl2br w:val="nil"/>
              <w:tr2bl w:val="nil"/>
            </w:tcBorders>
            <w:noWrap w:val="0"/>
            <w:vAlign w:val="center"/>
          </w:tcPr>
          <w:p>
            <w:pPr>
              <w:wordWrap w:val="0"/>
              <w:adjustRightInd/>
              <w:spacing w:line="240" w:lineRule="auto"/>
              <w:ind w:firstLine="0" w:firstLineChars="0"/>
              <w:jc w:val="center"/>
              <w:rPr>
                <w:rFonts w:hint="default"/>
                <w:b w:val="0"/>
                <w:bCs w:val="0"/>
                <w:color w:val="auto"/>
                <w:sz w:val="21"/>
                <w:szCs w:val="21"/>
                <w:highlight w:val="none"/>
                <w:shd w:val="clear" w:color="auto" w:fill="auto"/>
              </w:rPr>
            </w:pPr>
            <w:r>
              <w:rPr>
                <w:rFonts w:hint="eastAsia"/>
                <w:b w:val="0"/>
                <w:bCs w:val="0"/>
                <w:color w:val="auto"/>
                <w:kern w:val="2"/>
                <w:sz w:val="21"/>
                <w:szCs w:val="21"/>
                <w:highlight w:val="none"/>
                <w:shd w:val="clear" w:color="auto" w:fill="auto"/>
              </w:rPr>
              <w:t>预测</w:t>
            </w:r>
            <w:r>
              <w:rPr>
                <w:rFonts w:hint="eastAsia"/>
                <w:b w:val="0"/>
                <w:bCs w:val="0"/>
                <w:color w:val="auto"/>
                <w:sz w:val="21"/>
                <w:szCs w:val="21"/>
                <w:highlight w:val="none"/>
                <w:shd w:val="clear" w:color="auto" w:fill="auto"/>
              </w:rPr>
              <w:t>点</w:t>
            </w:r>
          </w:p>
        </w:tc>
        <w:tc>
          <w:tcPr>
            <w:tcW w:w="865" w:type="dxa"/>
            <w:vMerge w:val="restart"/>
            <w:tcBorders>
              <w:tl2br w:val="nil"/>
              <w:tr2bl w:val="nil"/>
            </w:tcBorders>
            <w:noWrap w:val="0"/>
            <w:vAlign w:val="center"/>
          </w:tcPr>
          <w:p>
            <w:pPr>
              <w:wordWrap w:val="0"/>
              <w:adjustRightInd/>
              <w:spacing w:line="240" w:lineRule="auto"/>
              <w:ind w:firstLine="0" w:firstLineChars="0"/>
              <w:jc w:val="center"/>
              <w:rPr>
                <w:rFonts w:hint="default"/>
                <w:b w:val="0"/>
                <w:bCs w:val="0"/>
                <w:color w:val="auto"/>
                <w:sz w:val="21"/>
                <w:szCs w:val="21"/>
                <w:highlight w:val="none"/>
                <w:shd w:val="clear" w:color="auto" w:fill="auto"/>
              </w:rPr>
            </w:pPr>
            <w:r>
              <w:rPr>
                <w:b w:val="0"/>
                <w:bCs w:val="0"/>
                <w:color w:val="auto"/>
                <w:kern w:val="2"/>
                <w:sz w:val="21"/>
                <w:szCs w:val="21"/>
                <w:highlight w:val="none"/>
                <w:shd w:val="clear" w:color="auto" w:fill="auto"/>
              </w:rPr>
              <w:t>测点</w:t>
            </w:r>
            <w:r>
              <w:rPr>
                <w:b w:val="0"/>
                <w:bCs w:val="0"/>
                <w:color w:val="auto"/>
                <w:sz w:val="21"/>
                <w:szCs w:val="21"/>
                <w:highlight w:val="none"/>
                <w:shd w:val="clear" w:color="auto" w:fill="auto"/>
              </w:rPr>
              <w:t>位置</w:t>
            </w:r>
          </w:p>
        </w:tc>
        <w:tc>
          <w:tcPr>
            <w:tcW w:w="929" w:type="dxa"/>
            <w:vMerge w:val="restart"/>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r>
              <w:rPr>
                <w:rFonts w:hint="default"/>
                <w:b w:val="0"/>
                <w:bCs w:val="0"/>
                <w:color w:val="auto"/>
                <w:sz w:val="21"/>
                <w:szCs w:val="21"/>
                <w:highlight w:val="none"/>
                <w:shd w:val="clear" w:color="auto" w:fill="auto"/>
              </w:rPr>
              <w:t>贡献值</w:t>
            </w:r>
          </w:p>
        </w:tc>
        <w:tc>
          <w:tcPr>
            <w:tcW w:w="1468" w:type="dxa"/>
            <w:gridSpan w:val="2"/>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现状监测值</w:t>
            </w:r>
          </w:p>
        </w:tc>
        <w:tc>
          <w:tcPr>
            <w:tcW w:w="1468" w:type="dxa"/>
            <w:gridSpan w:val="2"/>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r>
              <w:rPr>
                <w:rFonts w:hint="eastAsia"/>
                <w:b w:val="0"/>
                <w:bCs w:val="0"/>
                <w:color w:val="auto"/>
                <w:sz w:val="21"/>
                <w:szCs w:val="21"/>
                <w:highlight w:val="none"/>
                <w:shd w:val="clear" w:color="auto" w:fill="auto"/>
              </w:rPr>
              <w:t>预测</w:t>
            </w:r>
            <w:r>
              <w:rPr>
                <w:b w:val="0"/>
                <w:bCs w:val="0"/>
                <w:color w:val="auto"/>
                <w:sz w:val="21"/>
                <w:szCs w:val="21"/>
                <w:highlight w:val="none"/>
                <w:shd w:val="clear" w:color="auto" w:fill="auto"/>
              </w:rPr>
              <w:t>值</w:t>
            </w:r>
          </w:p>
        </w:tc>
        <w:tc>
          <w:tcPr>
            <w:tcW w:w="1471" w:type="dxa"/>
            <w:gridSpan w:val="2"/>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r>
              <w:rPr>
                <w:rFonts w:hint="default"/>
                <w:b w:val="0"/>
                <w:bCs w:val="0"/>
                <w:color w:val="auto"/>
                <w:sz w:val="21"/>
                <w:szCs w:val="21"/>
                <w:highlight w:val="none"/>
                <w:shd w:val="clear" w:color="auto" w:fill="auto"/>
              </w:rPr>
              <w:t>标准值</w:t>
            </w:r>
          </w:p>
        </w:tc>
        <w:tc>
          <w:tcPr>
            <w:tcW w:w="1186" w:type="dxa"/>
            <w:gridSpan w:val="2"/>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r>
              <w:rPr>
                <w:rFonts w:hint="default"/>
                <w:b w:val="0"/>
                <w:bCs w:val="0"/>
                <w:color w:val="auto"/>
                <w:sz w:val="21"/>
                <w:szCs w:val="21"/>
                <w:highlight w:val="none"/>
                <w:shd w:val="clear" w:color="auto" w:fill="auto"/>
              </w:rPr>
              <w:t>结论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p>
        </w:tc>
        <w:tc>
          <w:tcPr>
            <w:tcW w:w="865" w:type="dxa"/>
            <w:vMerge w:val="continue"/>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p>
        </w:tc>
        <w:tc>
          <w:tcPr>
            <w:tcW w:w="929" w:type="dxa"/>
            <w:vMerge w:val="continue"/>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p>
        </w:tc>
        <w:tc>
          <w:tcPr>
            <w:tcW w:w="734" w:type="dxa"/>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昼</w:t>
            </w:r>
          </w:p>
        </w:tc>
        <w:tc>
          <w:tcPr>
            <w:tcW w:w="734" w:type="dxa"/>
            <w:tcBorders>
              <w:tl2br w:val="nil"/>
              <w:tr2bl w:val="nil"/>
            </w:tcBorders>
            <w:noWrap w:val="0"/>
            <w:vAlign w:val="center"/>
          </w:tcPr>
          <w:p>
            <w:pPr>
              <w:pStyle w:val="55"/>
              <w:bidi w:val="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夜</w:t>
            </w:r>
          </w:p>
        </w:tc>
        <w:tc>
          <w:tcPr>
            <w:tcW w:w="734" w:type="dxa"/>
            <w:tcBorders>
              <w:tl2br w:val="nil"/>
              <w:tr2bl w:val="nil"/>
            </w:tcBorders>
            <w:noWrap w:val="0"/>
            <w:vAlign w:val="center"/>
          </w:tcPr>
          <w:p>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昼</w:t>
            </w:r>
          </w:p>
        </w:tc>
        <w:tc>
          <w:tcPr>
            <w:tcW w:w="734" w:type="dxa"/>
            <w:tcBorders>
              <w:tl2br w:val="nil"/>
              <w:tr2bl w:val="nil"/>
            </w:tcBorders>
            <w:noWrap w:val="0"/>
            <w:vAlign w:val="center"/>
          </w:tcPr>
          <w:p>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夜</w:t>
            </w:r>
          </w:p>
        </w:tc>
        <w:tc>
          <w:tcPr>
            <w:tcW w:w="734" w:type="dxa"/>
            <w:tcBorders>
              <w:tl2br w:val="nil"/>
              <w:tr2bl w:val="nil"/>
            </w:tcBorders>
            <w:noWrap w:val="0"/>
            <w:vAlign w:val="center"/>
          </w:tcPr>
          <w:p>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昼</w:t>
            </w:r>
          </w:p>
        </w:tc>
        <w:tc>
          <w:tcPr>
            <w:tcW w:w="737" w:type="dxa"/>
            <w:tcBorders>
              <w:tl2br w:val="nil"/>
              <w:tr2bl w:val="nil"/>
            </w:tcBorders>
            <w:noWrap w:val="0"/>
            <w:vAlign w:val="center"/>
          </w:tcPr>
          <w:p>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夜</w:t>
            </w:r>
          </w:p>
        </w:tc>
        <w:tc>
          <w:tcPr>
            <w:tcW w:w="593" w:type="dxa"/>
            <w:tcBorders>
              <w:tl2br w:val="nil"/>
              <w:tr2bl w:val="nil"/>
            </w:tcBorders>
            <w:noWrap w:val="0"/>
            <w:vAlign w:val="center"/>
          </w:tcPr>
          <w:p>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昼</w:t>
            </w:r>
          </w:p>
        </w:tc>
        <w:tc>
          <w:tcPr>
            <w:tcW w:w="593" w:type="dxa"/>
            <w:tcBorders>
              <w:tl2br w:val="nil"/>
              <w:tr2bl w:val="nil"/>
            </w:tcBorders>
            <w:noWrap w:val="0"/>
            <w:vAlign w:val="center"/>
          </w:tcPr>
          <w:p>
            <w:pPr>
              <w:pStyle w:val="55"/>
              <w:bidi w:val="0"/>
              <w:ind w:firstLine="0" w:firstLineChars="0"/>
              <w:rPr>
                <w:rFonts w:hint="default"/>
                <w:b w:val="0"/>
                <w:bCs w:val="0"/>
                <w:color w:val="auto"/>
                <w:sz w:val="21"/>
                <w:szCs w:val="21"/>
                <w:highlight w:val="none"/>
                <w:shd w:val="clear" w:color="auto" w:fill="auto"/>
              </w:rPr>
            </w:pPr>
            <w:r>
              <w:rPr>
                <w:b w:val="0"/>
                <w:bCs w:val="0"/>
                <w:color w:val="auto"/>
                <w:sz w:val="21"/>
                <w:szCs w:val="21"/>
                <w:highlight w:val="none"/>
                <w:shd w:val="clear" w:color="auto" w:fill="auto"/>
              </w:rPr>
              <w:t>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restart"/>
            <w:tcBorders>
              <w:tl2br w:val="nil"/>
              <w:tr2bl w:val="nil"/>
            </w:tcBorders>
            <w:noWrap w:val="0"/>
            <w:vAlign w:val="center"/>
          </w:tcPr>
          <w:p>
            <w:pPr>
              <w:pStyle w:val="55"/>
              <w:bidi w:val="0"/>
              <w:rPr>
                <w:rFonts w:hint="default"/>
                <w:color w:val="auto"/>
                <w:sz w:val="21"/>
                <w:szCs w:val="21"/>
                <w:highlight w:val="none"/>
                <w:shd w:val="clear" w:color="auto" w:fill="auto"/>
              </w:rPr>
            </w:pPr>
            <w:bookmarkStart w:id="671" w:name="OLE_LINK152" w:colFirst="3" w:colLast="4"/>
            <w:r>
              <w:rPr>
                <w:rFonts w:hint="default"/>
                <w:color w:val="auto"/>
                <w:sz w:val="21"/>
                <w:szCs w:val="21"/>
                <w:highlight w:val="none"/>
                <w:shd w:val="clear" w:color="auto" w:fill="auto"/>
              </w:rPr>
              <w:t>井场噪声</w:t>
            </w:r>
          </w:p>
        </w:tc>
        <w:tc>
          <w:tcPr>
            <w:tcW w:w="865" w:type="dxa"/>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东</w:t>
            </w:r>
          </w:p>
        </w:tc>
        <w:tc>
          <w:tcPr>
            <w:tcW w:w="929" w:type="dxa"/>
            <w:tcBorders>
              <w:tl2br w:val="nil"/>
              <w:tr2bl w:val="nil"/>
            </w:tcBorders>
            <w:noWrap w:val="0"/>
            <w:vAlign w:val="center"/>
          </w:tcPr>
          <w:p>
            <w:pPr>
              <w:pStyle w:val="55"/>
              <w:bidi w:val="0"/>
              <w:ind w:firstLine="0" w:firstLineChars="0"/>
              <w:rPr>
                <w:rFonts w:hint="default"/>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46</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47 </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s="Times New Roman"/>
                <w:i w:val="0"/>
                <w:iCs w:val="0"/>
                <w:color w:val="auto"/>
                <w:kern w:val="0"/>
                <w:sz w:val="21"/>
                <w:szCs w:val="21"/>
                <w:highlight w:val="none"/>
                <w:u w:val="none"/>
                <w:shd w:val="clear" w:color="auto" w:fill="auto"/>
                <w:lang w:val="en-US" w:eastAsia="zh-CN" w:bidi="ar"/>
              </w:rPr>
              <w:t>46</w:t>
            </w:r>
          </w:p>
        </w:tc>
        <w:tc>
          <w:tcPr>
            <w:tcW w:w="734" w:type="dxa"/>
            <w:vMerge w:val="restart"/>
            <w:tcBorders>
              <w:tl2br w:val="nil"/>
              <w:tr2bl w:val="nil"/>
            </w:tcBorders>
            <w:noWrap w:val="0"/>
            <w:vAlign w:val="center"/>
          </w:tcPr>
          <w:p>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60</w:t>
            </w:r>
          </w:p>
        </w:tc>
        <w:tc>
          <w:tcPr>
            <w:tcW w:w="737" w:type="dxa"/>
            <w:vMerge w:val="restart"/>
            <w:tcBorders>
              <w:tl2br w:val="nil"/>
              <w:tr2bl w:val="nil"/>
            </w:tcBorders>
            <w:noWrap w:val="0"/>
            <w:vAlign w:val="center"/>
          </w:tcPr>
          <w:p>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50</w:t>
            </w:r>
          </w:p>
        </w:tc>
        <w:tc>
          <w:tcPr>
            <w:tcW w:w="1186" w:type="dxa"/>
            <w:gridSpan w:val="2"/>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bookmarkEnd w:id="671"/>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bookmarkStart w:id="672" w:name="OLE_LINK153" w:colFirst="5" w:colLast="6"/>
          </w:p>
        </w:tc>
        <w:tc>
          <w:tcPr>
            <w:tcW w:w="865" w:type="dxa"/>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南</w:t>
            </w:r>
          </w:p>
        </w:tc>
        <w:tc>
          <w:tcPr>
            <w:tcW w:w="929" w:type="dxa"/>
            <w:tcBorders>
              <w:tl2br w:val="nil"/>
              <w:tr2bl w:val="nil"/>
            </w:tcBorders>
            <w:noWrap w:val="0"/>
            <w:vAlign w:val="center"/>
          </w:tcPr>
          <w:p>
            <w:pPr>
              <w:pStyle w:val="55"/>
              <w:bidi w:val="0"/>
              <w:ind w:firstLine="0" w:firstLineChars="0"/>
              <w:rPr>
                <w:rFonts w:hint="default"/>
                <w:color w:val="auto"/>
                <w:sz w:val="21"/>
                <w:szCs w:val="21"/>
                <w:highlight w:val="none"/>
                <w:shd w:val="clear" w:color="auto" w:fill="auto"/>
              </w:rPr>
            </w:pPr>
            <w:r>
              <w:rPr>
                <w:rFonts w:hint="eastAsia"/>
                <w:color w:val="auto"/>
                <w:sz w:val="21"/>
                <w:szCs w:val="21"/>
                <w:highlight w:val="none"/>
                <w:shd w:val="clear" w:color="auto" w:fill="auto"/>
                <w:lang w:val="en-US" w:eastAsia="zh-CN"/>
              </w:rPr>
              <w:t>48</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49 </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48</w:t>
            </w:r>
          </w:p>
        </w:tc>
        <w:tc>
          <w:tcPr>
            <w:tcW w:w="734"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bookmarkEnd w:id="672"/>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西</w:t>
            </w:r>
          </w:p>
        </w:tc>
        <w:tc>
          <w:tcPr>
            <w:tcW w:w="929" w:type="dxa"/>
            <w:tcBorders>
              <w:tl2br w:val="nil"/>
              <w:tr2bl w:val="nil"/>
            </w:tcBorders>
            <w:noWrap w:val="0"/>
            <w:vAlign w:val="center"/>
          </w:tcPr>
          <w:p>
            <w:pPr>
              <w:pStyle w:val="55"/>
              <w:bidi w:val="0"/>
              <w:ind w:firstLine="0" w:firstLineChars="0"/>
              <w:rPr>
                <w:rFonts w:hint="default"/>
                <w:color w:val="auto"/>
                <w:sz w:val="21"/>
                <w:szCs w:val="21"/>
                <w:highlight w:val="none"/>
                <w:shd w:val="clear" w:color="auto" w:fill="auto"/>
              </w:rPr>
            </w:pPr>
            <w:r>
              <w:rPr>
                <w:rFonts w:hint="eastAsia"/>
                <w:color w:val="auto"/>
                <w:sz w:val="21"/>
                <w:szCs w:val="21"/>
                <w:highlight w:val="none"/>
                <w:shd w:val="clear" w:color="auto" w:fill="auto"/>
                <w:lang w:val="en-US" w:eastAsia="zh-CN"/>
              </w:rPr>
              <w:t>44</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45 </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s="Times New Roman"/>
                <w:i w:val="0"/>
                <w:iCs w:val="0"/>
                <w:color w:val="auto"/>
                <w:kern w:val="0"/>
                <w:sz w:val="21"/>
                <w:szCs w:val="21"/>
                <w:highlight w:val="none"/>
                <w:u w:val="none"/>
                <w:shd w:val="clear" w:color="auto" w:fill="auto"/>
                <w:lang w:val="en-US" w:eastAsia="zh-CN" w:bidi="ar"/>
              </w:rPr>
              <w:t>44</w:t>
            </w: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 </w:t>
            </w:r>
          </w:p>
        </w:tc>
        <w:tc>
          <w:tcPr>
            <w:tcW w:w="734"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北</w:t>
            </w:r>
          </w:p>
        </w:tc>
        <w:tc>
          <w:tcPr>
            <w:tcW w:w="929" w:type="dxa"/>
            <w:tcBorders>
              <w:tl2br w:val="nil"/>
              <w:tr2bl w:val="nil"/>
            </w:tcBorders>
            <w:noWrap w:val="0"/>
            <w:vAlign w:val="center"/>
          </w:tcPr>
          <w:p>
            <w:pPr>
              <w:pStyle w:val="55"/>
              <w:bidi w:val="0"/>
              <w:ind w:firstLine="0" w:firstLineChars="0"/>
              <w:rPr>
                <w:rFonts w:hint="default"/>
                <w:color w:val="auto"/>
                <w:sz w:val="21"/>
                <w:szCs w:val="21"/>
                <w:highlight w:val="none"/>
                <w:shd w:val="clear" w:color="auto" w:fill="auto"/>
              </w:rPr>
            </w:pPr>
            <w:r>
              <w:rPr>
                <w:rFonts w:hint="eastAsia"/>
                <w:color w:val="auto"/>
                <w:sz w:val="21"/>
                <w:szCs w:val="21"/>
                <w:highlight w:val="none"/>
                <w:shd w:val="clear" w:color="auto" w:fill="auto"/>
                <w:lang w:val="en-US" w:eastAsia="zh-CN"/>
              </w:rPr>
              <w:t>48</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49 </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eastAsia="zh-CN"/>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48</w:t>
            </w:r>
          </w:p>
        </w:tc>
        <w:tc>
          <w:tcPr>
            <w:tcW w:w="734"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restart"/>
            <w:tcBorders>
              <w:tl2br w:val="nil"/>
              <w:tr2bl w:val="nil"/>
            </w:tcBorders>
            <w:noWrap w:val="0"/>
            <w:vAlign w:val="center"/>
          </w:tcPr>
          <w:p>
            <w:pPr>
              <w:pStyle w:val="55"/>
              <w:bidi w:val="0"/>
              <w:rPr>
                <w:rFonts w:hint="default"/>
                <w:color w:val="auto"/>
                <w:sz w:val="21"/>
                <w:szCs w:val="21"/>
                <w:highlight w:val="none"/>
                <w:shd w:val="clear" w:color="auto" w:fill="auto"/>
                <w:lang w:val="en-US"/>
              </w:rPr>
            </w:pPr>
            <w:r>
              <w:rPr>
                <w:rFonts w:hint="eastAsia"/>
                <w:color w:val="auto"/>
                <w:sz w:val="21"/>
                <w:szCs w:val="21"/>
                <w:highlight w:val="none"/>
                <w:shd w:val="clear" w:color="auto" w:fill="auto"/>
                <w:lang w:val="en-US" w:eastAsia="zh-CN"/>
              </w:rPr>
              <w:t>集中拉油站</w:t>
            </w:r>
          </w:p>
        </w:tc>
        <w:tc>
          <w:tcPr>
            <w:tcW w:w="865" w:type="dxa"/>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东</w:t>
            </w:r>
          </w:p>
        </w:tc>
        <w:tc>
          <w:tcPr>
            <w:tcW w:w="929" w:type="dxa"/>
            <w:tcBorders>
              <w:tl2br w:val="nil"/>
              <w:tr2bl w:val="nil"/>
            </w:tcBorders>
            <w:noWrap w:val="0"/>
            <w:vAlign w:val="center"/>
          </w:tcPr>
          <w:p>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32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s="Times New Roman"/>
                <w:i w:val="0"/>
                <w:iCs w:val="0"/>
                <w:color w:val="auto"/>
                <w:kern w:val="0"/>
                <w:sz w:val="21"/>
                <w:szCs w:val="21"/>
                <w:highlight w:val="none"/>
                <w:u w:val="none"/>
                <w:shd w:val="clear" w:color="auto" w:fill="auto"/>
                <w:lang w:val="en-US" w:eastAsia="zh-CN" w:bidi="ar"/>
              </w:rPr>
              <w:t>40</w:t>
            </w: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 </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s="Times New Roman"/>
                <w:i w:val="0"/>
                <w:iCs w:val="0"/>
                <w:color w:val="auto"/>
                <w:kern w:val="0"/>
                <w:sz w:val="21"/>
                <w:szCs w:val="21"/>
                <w:highlight w:val="none"/>
                <w:u w:val="none"/>
                <w:shd w:val="clear" w:color="auto" w:fill="auto"/>
                <w:lang w:val="en-US" w:eastAsia="zh-CN" w:bidi="ar"/>
              </w:rPr>
              <w:t>35</w:t>
            </w: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 </w:t>
            </w:r>
          </w:p>
        </w:tc>
        <w:tc>
          <w:tcPr>
            <w:tcW w:w="734"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pPr>
              <w:pStyle w:val="55"/>
              <w:bidi w:val="0"/>
              <w:ind w:firstLine="0" w:firstLineChars="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南</w:t>
            </w:r>
          </w:p>
        </w:tc>
        <w:tc>
          <w:tcPr>
            <w:tcW w:w="929" w:type="dxa"/>
            <w:tcBorders>
              <w:tl2br w:val="nil"/>
              <w:tr2bl w:val="nil"/>
            </w:tcBorders>
            <w:noWrap w:val="0"/>
            <w:vAlign w:val="center"/>
          </w:tcPr>
          <w:p>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38</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rPr>
            </w:pPr>
            <w:r>
              <w:rPr>
                <w:rFonts w:hint="eastAsia" w:cs="Times New Roman"/>
                <w:i w:val="0"/>
                <w:iCs w:val="0"/>
                <w:color w:val="auto"/>
                <w:kern w:val="0"/>
                <w:sz w:val="21"/>
                <w:szCs w:val="21"/>
                <w:highlight w:val="none"/>
                <w:u w:val="none"/>
                <w:shd w:val="clear" w:color="auto" w:fill="auto"/>
                <w:lang w:val="en-US" w:eastAsia="zh-CN" w:bidi="ar"/>
              </w:rPr>
              <w:t>42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rPr>
            </w:pPr>
            <w:r>
              <w:rPr>
                <w:rFonts w:hint="eastAsia" w:cs="Times New Roman"/>
                <w:i w:val="0"/>
                <w:iCs w:val="0"/>
                <w:color w:val="auto"/>
                <w:kern w:val="0"/>
                <w:sz w:val="21"/>
                <w:szCs w:val="21"/>
                <w:highlight w:val="none"/>
                <w:u w:val="none"/>
                <w:shd w:val="clear" w:color="auto" w:fill="auto"/>
                <w:lang w:val="en-US" w:eastAsia="zh-CN" w:bidi="ar"/>
              </w:rPr>
              <w:t>39</w:t>
            </w:r>
          </w:p>
        </w:tc>
        <w:tc>
          <w:tcPr>
            <w:tcW w:w="734"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pPr>
              <w:pStyle w:val="55"/>
              <w:bidi w:val="0"/>
              <w:ind w:firstLine="0" w:firstLineChars="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西</w:t>
            </w:r>
          </w:p>
        </w:tc>
        <w:tc>
          <w:tcPr>
            <w:tcW w:w="929" w:type="dxa"/>
            <w:tcBorders>
              <w:tl2br w:val="nil"/>
              <w:tr2bl w:val="nil"/>
            </w:tcBorders>
            <w:noWrap w:val="0"/>
            <w:vAlign w:val="center"/>
          </w:tcPr>
          <w:p>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41</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43 </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42 </w:t>
            </w:r>
          </w:p>
        </w:tc>
        <w:tc>
          <w:tcPr>
            <w:tcW w:w="734"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pPr>
              <w:pStyle w:val="55"/>
              <w:bidi w:val="0"/>
              <w:ind w:firstLine="0" w:firstLineChars="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71"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865" w:type="dxa"/>
            <w:tcBorders>
              <w:tl2br w:val="nil"/>
              <w:tr2bl w:val="nil"/>
            </w:tcBorders>
            <w:noWrap w:val="0"/>
            <w:vAlign w:val="center"/>
          </w:tcPr>
          <w:p>
            <w:pPr>
              <w:pStyle w:val="55"/>
              <w:bidi w:val="0"/>
              <w:rPr>
                <w:rFonts w:hint="default"/>
                <w:color w:val="auto"/>
                <w:sz w:val="21"/>
                <w:szCs w:val="21"/>
                <w:highlight w:val="none"/>
                <w:shd w:val="clear" w:color="auto" w:fill="auto"/>
              </w:rPr>
            </w:pPr>
            <w:r>
              <w:rPr>
                <w:rFonts w:hint="eastAsia"/>
                <w:color w:val="auto"/>
                <w:sz w:val="21"/>
                <w:szCs w:val="21"/>
                <w:highlight w:val="none"/>
                <w:shd w:val="clear" w:color="auto" w:fill="auto"/>
              </w:rPr>
              <w:t>北</w:t>
            </w:r>
          </w:p>
        </w:tc>
        <w:tc>
          <w:tcPr>
            <w:tcW w:w="929" w:type="dxa"/>
            <w:tcBorders>
              <w:tl2br w:val="nil"/>
              <w:tr2bl w:val="nil"/>
            </w:tcBorders>
            <w:noWrap w:val="0"/>
            <w:vAlign w:val="center"/>
          </w:tcPr>
          <w:p>
            <w:pPr>
              <w:pStyle w:val="55"/>
              <w:bidi w:val="0"/>
              <w:rPr>
                <w:rFonts w:hint="default" w:eastAsia="宋体"/>
                <w:color w:val="auto"/>
                <w:sz w:val="21"/>
                <w:szCs w:val="21"/>
                <w:highlight w:val="none"/>
                <w:shd w:val="clear" w:color="auto" w:fill="auto"/>
                <w:lang w:val="en-US" w:eastAsia="zh-CN"/>
              </w:rPr>
            </w:pPr>
            <w:r>
              <w:rPr>
                <w:rFonts w:hint="eastAsia"/>
                <w:color w:val="auto"/>
                <w:sz w:val="21"/>
                <w:szCs w:val="21"/>
                <w:highlight w:val="none"/>
                <w:shd w:val="clear" w:color="auto" w:fill="auto"/>
                <w:lang w:val="en-US" w:eastAsia="zh-CN"/>
              </w:rPr>
              <w:t>36</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39</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eastAsia"/>
                <w:color w:val="auto"/>
                <w:kern w:val="2"/>
                <w:sz w:val="21"/>
                <w:szCs w:val="21"/>
                <w:highlight w:val="none"/>
                <w:shd w:val="clear" w:color="auto" w:fill="auto"/>
                <w:lang w:val="en-US" w:eastAsia="zh-CN"/>
              </w:rPr>
              <w:t>32</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rPr>
            </w:pPr>
            <w:r>
              <w:rPr>
                <w:rFonts w:hint="default" w:ascii="Times New Roman" w:hAnsi="Times New Roman" w:eastAsia="宋体" w:cs="Times New Roman"/>
                <w:i w:val="0"/>
                <w:iCs w:val="0"/>
                <w:color w:val="auto"/>
                <w:kern w:val="0"/>
                <w:sz w:val="21"/>
                <w:szCs w:val="21"/>
                <w:highlight w:val="none"/>
                <w:u w:val="none"/>
                <w:shd w:val="clear" w:color="auto" w:fill="auto"/>
                <w:lang w:val="en-US" w:eastAsia="zh-CN" w:bidi="ar"/>
              </w:rPr>
              <w:t xml:space="preserve">41 </w:t>
            </w:r>
          </w:p>
        </w:tc>
        <w:tc>
          <w:tcPr>
            <w:tcW w:w="734" w:type="dxa"/>
            <w:tcBorders>
              <w:tl2br w:val="nil"/>
              <w:tr2bl w:val="nil"/>
            </w:tcBorders>
            <w:noWrap w:val="0"/>
            <w:vAlign w:val="center"/>
          </w:tcPr>
          <w:p>
            <w:pPr>
              <w:keepNext w:val="0"/>
              <w:keepLines w:val="0"/>
              <w:widowControl/>
              <w:suppressLineNumbers w:val="0"/>
              <w:jc w:val="center"/>
              <w:textAlignment w:val="center"/>
              <w:rPr>
                <w:rFonts w:hint="default"/>
                <w:color w:val="auto"/>
                <w:kern w:val="2"/>
                <w:sz w:val="21"/>
                <w:szCs w:val="21"/>
                <w:highlight w:val="none"/>
                <w:shd w:val="clear" w:color="auto" w:fill="auto"/>
                <w:lang w:val="en-US"/>
              </w:rPr>
            </w:pPr>
            <w:r>
              <w:rPr>
                <w:rFonts w:hint="eastAsia" w:cs="Times New Roman"/>
                <w:i w:val="0"/>
                <w:iCs w:val="0"/>
                <w:color w:val="auto"/>
                <w:kern w:val="0"/>
                <w:sz w:val="21"/>
                <w:szCs w:val="21"/>
                <w:highlight w:val="none"/>
                <w:u w:val="none"/>
                <w:shd w:val="clear" w:color="auto" w:fill="auto"/>
                <w:lang w:val="en-US" w:eastAsia="zh-CN" w:bidi="ar"/>
              </w:rPr>
              <w:t>37</w:t>
            </w:r>
          </w:p>
        </w:tc>
        <w:tc>
          <w:tcPr>
            <w:tcW w:w="734"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737" w:type="dxa"/>
            <w:vMerge w:val="continue"/>
            <w:tcBorders>
              <w:tl2br w:val="nil"/>
              <w:tr2bl w:val="nil"/>
            </w:tcBorders>
            <w:noWrap w:val="0"/>
            <w:vAlign w:val="center"/>
          </w:tcPr>
          <w:p>
            <w:pPr>
              <w:pStyle w:val="55"/>
              <w:bidi w:val="0"/>
              <w:rPr>
                <w:rFonts w:hint="default"/>
                <w:color w:val="auto"/>
                <w:sz w:val="21"/>
                <w:szCs w:val="21"/>
                <w:highlight w:val="none"/>
                <w:shd w:val="clear" w:color="auto" w:fill="auto"/>
              </w:rPr>
            </w:pPr>
          </w:p>
        </w:tc>
        <w:tc>
          <w:tcPr>
            <w:tcW w:w="1186" w:type="dxa"/>
            <w:gridSpan w:val="2"/>
            <w:tcBorders>
              <w:tl2br w:val="nil"/>
              <w:tr2bl w:val="nil"/>
            </w:tcBorders>
            <w:noWrap w:val="0"/>
            <w:vAlign w:val="center"/>
          </w:tcPr>
          <w:p>
            <w:pPr>
              <w:pStyle w:val="55"/>
              <w:bidi w:val="0"/>
              <w:ind w:firstLine="0" w:firstLineChars="0"/>
              <w:rPr>
                <w:rFonts w:hint="default"/>
                <w:color w:val="auto"/>
                <w:sz w:val="21"/>
                <w:szCs w:val="21"/>
                <w:highlight w:val="none"/>
                <w:shd w:val="clear" w:color="auto" w:fill="auto"/>
              </w:rPr>
            </w:pPr>
            <w:r>
              <w:rPr>
                <w:rFonts w:hint="default"/>
                <w:color w:val="auto"/>
                <w:sz w:val="21"/>
                <w:szCs w:val="21"/>
                <w:highlight w:val="none"/>
                <w:shd w:val="clear" w:color="auto" w:fill="auto"/>
              </w:rPr>
              <w:t>达标</w:t>
            </w:r>
          </w:p>
        </w:tc>
      </w:tr>
    </w:tbl>
    <w:p>
      <w:pPr>
        <w:keepNext w:val="0"/>
        <w:keepLines w:val="0"/>
        <w:pageBreakBefore w:val="0"/>
        <w:widowControl/>
        <w:numPr>
          <w:ilvl w:val="0"/>
          <w:numId w:val="0"/>
        </w:numPr>
        <w:kinsoku/>
        <w:wordWrap/>
        <w:overflowPunct/>
        <w:topLinePunct w:val="0"/>
        <w:autoSpaceDE/>
        <w:autoSpaceDN/>
        <w:bidi w:val="0"/>
        <w:spacing w:line="480" w:lineRule="exact"/>
        <w:ind w:firstLine="480" w:firstLineChars="200"/>
        <w:jc w:val="both"/>
        <w:textAlignment w:val="auto"/>
        <w:rPr>
          <w:rFonts w:hint="default" w:ascii="Times New Roman" w:hAnsi="Times New Roman" w:eastAsia="宋体" w:cs="Times New Roman"/>
          <w:color w:val="auto"/>
          <w:sz w:val="24"/>
          <w:szCs w:val="24"/>
          <w:highlight w:val="none"/>
          <w:shd w:val="clear" w:color="auto" w:fill="auto"/>
          <w:lang w:val="en-US" w:eastAsia="zh-CN"/>
        </w:rPr>
      </w:pPr>
      <w:r>
        <w:rPr>
          <w:color w:val="auto"/>
          <w:sz w:val="24"/>
          <w:szCs w:val="24"/>
          <w:highlight w:val="none"/>
        </w:rPr>
        <w:t>由表5.</w:t>
      </w:r>
      <w:r>
        <w:rPr>
          <w:rFonts w:hint="eastAsia"/>
          <w:color w:val="auto"/>
          <w:sz w:val="24"/>
          <w:szCs w:val="24"/>
          <w:highlight w:val="none"/>
        </w:rPr>
        <w:t>6</w:t>
      </w:r>
      <w:r>
        <w:rPr>
          <w:color w:val="auto"/>
          <w:sz w:val="24"/>
          <w:szCs w:val="24"/>
          <w:highlight w:val="none"/>
        </w:rPr>
        <w:t>-</w:t>
      </w:r>
      <w:r>
        <w:rPr>
          <w:rFonts w:hint="eastAsia"/>
          <w:color w:val="auto"/>
          <w:sz w:val="24"/>
          <w:szCs w:val="24"/>
          <w:highlight w:val="none"/>
        </w:rPr>
        <w:t>3</w:t>
      </w:r>
      <w:r>
        <w:rPr>
          <w:color w:val="auto"/>
          <w:sz w:val="24"/>
          <w:szCs w:val="24"/>
          <w:highlight w:val="none"/>
        </w:rPr>
        <w:t>可知，</w:t>
      </w:r>
      <w:r>
        <w:rPr>
          <w:rFonts w:hint="default" w:ascii="Times New Roman" w:hAnsi="Times New Roman" w:eastAsia="宋体" w:cs="Times New Roman"/>
          <w:color w:val="auto"/>
          <w:sz w:val="24"/>
          <w:szCs w:val="24"/>
          <w:highlight w:val="none"/>
          <w:shd w:val="clear" w:color="auto" w:fill="auto"/>
          <w:lang w:val="en-US" w:eastAsia="zh-CN"/>
        </w:rPr>
        <w:t>井场噪声源对场界的噪声预测值为</w:t>
      </w:r>
      <w:r>
        <w:rPr>
          <w:rFonts w:hint="eastAsia" w:cs="Times New Roman"/>
          <w:color w:val="auto"/>
          <w:sz w:val="24"/>
          <w:szCs w:val="24"/>
          <w:highlight w:val="none"/>
          <w:shd w:val="clear" w:color="auto" w:fill="auto"/>
          <w:lang w:val="en-US" w:eastAsia="zh-CN"/>
        </w:rPr>
        <w:t>40</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ascii="Times New Roman" w:hAnsi="Times New Roman" w:eastAsia="宋体" w:cs="Times New Roman"/>
          <w:color w:val="auto"/>
          <w:sz w:val="24"/>
          <w:szCs w:val="24"/>
          <w:highlight w:val="none"/>
          <w:shd w:val="clear" w:color="auto" w:fill="auto"/>
          <w:lang w:val="en-US" w:eastAsia="zh-CN"/>
        </w:rPr>
        <w:t>49</w:t>
      </w:r>
      <w:r>
        <w:rPr>
          <w:rFonts w:hint="default" w:ascii="Times New Roman" w:hAnsi="Times New Roman" w:eastAsia="宋体" w:cs="Times New Roman"/>
          <w:color w:val="auto"/>
          <w:sz w:val="24"/>
          <w:szCs w:val="24"/>
          <w:highlight w:val="none"/>
          <w:shd w:val="clear" w:color="auto" w:fill="auto"/>
          <w:lang w:val="en-US" w:eastAsia="zh-CN"/>
        </w:rPr>
        <w:t>dB（A），</w:t>
      </w:r>
      <w:r>
        <w:rPr>
          <w:rFonts w:hint="eastAsia" w:ascii="Times New Roman" w:hAnsi="Times New Roman" w:eastAsia="宋体" w:cs="Times New Roman"/>
          <w:color w:val="auto"/>
          <w:sz w:val="24"/>
          <w:szCs w:val="24"/>
          <w:highlight w:val="none"/>
          <w:shd w:val="clear" w:color="auto" w:fill="auto"/>
          <w:lang w:val="en-US" w:eastAsia="zh-CN"/>
        </w:rPr>
        <w:t>集中拉油站</w:t>
      </w:r>
      <w:r>
        <w:rPr>
          <w:rFonts w:hint="default" w:ascii="Times New Roman" w:hAnsi="Times New Roman" w:eastAsia="宋体" w:cs="Times New Roman"/>
          <w:color w:val="auto"/>
          <w:sz w:val="24"/>
          <w:szCs w:val="24"/>
          <w:highlight w:val="none"/>
          <w:shd w:val="clear" w:color="auto" w:fill="auto"/>
          <w:lang w:val="en-US" w:eastAsia="zh-CN"/>
        </w:rPr>
        <w:t>噪声源对场界的噪声预测值为</w:t>
      </w:r>
      <w:r>
        <w:rPr>
          <w:rFonts w:hint="eastAsia" w:cs="Times New Roman"/>
          <w:color w:val="auto"/>
          <w:sz w:val="24"/>
          <w:szCs w:val="24"/>
          <w:highlight w:val="none"/>
          <w:shd w:val="clear" w:color="auto" w:fill="auto"/>
          <w:lang w:val="en-US" w:eastAsia="zh-CN"/>
        </w:rPr>
        <w:t>35</w:t>
      </w:r>
      <w:r>
        <w:rPr>
          <w:rFonts w:hint="default" w:ascii="Times New Roman" w:hAnsi="Times New Roman" w:eastAsia="宋体" w:cs="Times New Roman"/>
          <w:color w:val="auto"/>
          <w:sz w:val="24"/>
          <w:szCs w:val="24"/>
          <w:highlight w:val="none"/>
          <w:shd w:val="clear" w:color="auto" w:fill="auto"/>
          <w:lang w:val="en-US" w:eastAsia="zh-CN"/>
        </w:rPr>
        <w:t>～</w:t>
      </w:r>
      <w:r>
        <w:rPr>
          <w:rFonts w:hint="eastAsia" w:cs="Times New Roman"/>
          <w:color w:val="auto"/>
          <w:sz w:val="24"/>
          <w:szCs w:val="24"/>
          <w:highlight w:val="none"/>
          <w:shd w:val="clear" w:color="auto" w:fill="auto"/>
          <w:lang w:val="en-US" w:eastAsia="zh-CN"/>
        </w:rPr>
        <w:t>48</w:t>
      </w:r>
      <w:r>
        <w:rPr>
          <w:rFonts w:hint="default" w:ascii="Times New Roman" w:hAnsi="Times New Roman" w:eastAsia="宋体" w:cs="Times New Roman"/>
          <w:color w:val="auto"/>
          <w:sz w:val="24"/>
          <w:szCs w:val="24"/>
          <w:highlight w:val="none"/>
          <w:shd w:val="clear" w:color="auto" w:fill="auto"/>
          <w:lang w:val="en-US" w:eastAsia="zh-CN"/>
        </w:rPr>
        <w:t>dB（A）</w:t>
      </w:r>
      <w:r>
        <w:rPr>
          <w:rFonts w:hint="eastAsia" w:ascii="Times New Roman" w:hAnsi="Times New Roman" w:eastAsia="宋体" w:cs="Times New Roman"/>
          <w:color w:val="auto"/>
          <w:sz w:val="24"/>
          <w:szCs w:val="24"/>
          <w:highlight w:val="none"/>
          <w:shd w:val="clear" w:color="auto" w:fill="auto"/>
          <w:lang w:val="en-US" w:eastAsia="zh-CN"/>
        </w:rPr>
        <w:t>，均</w:t>
      </w:r>
      <w:r>
        <w:rPr>
          <w:rFonts w:hint="default" w:ascii="Times New Roman" w:hAnsi="Times New Roman" w:eastAsia="宋体" w:cs="Times New Roman"/>
          <w:color w:val="auto"/>
          <w:sz w:val="24"/>
          <w:szCs w:val="24"/>
          <w:highlight w:val="none"/>
          <w:shd w:val="clear" w:color="auto" w:fill="auto"/>
          <w:lang w:val="en-US" w:eastAsia="zh-CN"/>
        </w:rPr>
        <w:t>满足《工业企业厂界环境噪声排放标准》（GB12348-2008）中2类区昼间、夜间标准要求。</w:t>
      </w:r>
    </w:p>
    <w:p>
      <w:pPr>
        <w:pStyle w:val="57"/>
        <w:keepNext w:val="0"/>
        <w:keepLines w:val="0"/>
        <w:pageBreakBefore w:val="0"/>
        <w:widowControl/>
        <w:kinsoku/>
        <w:wordWrap/>
        <w:overflowPunct/>
        <w:topLinePunct w:val="0"/>
        <w:autoSpaceDE/>
        <w:autoSpaceDN/>
        <w:bidi w:val="0"/>
        <w:spacing w:line="480" w:lineRule="atLeast"/>
        <w:textAlignment w:val="auto"/>
        <w:rPr>
          <w:color w:val="auto"/>
          <w:sz w:val="24"/>
          <w:szCs w:val="24"/>
          <w:highlight w:val="none"/>
        </w:rPr>
      </w:pPr>
      <w:r>
        <w:rPr>
          <w:rFonts w:hint="default" w:ascii="Times New Roman" w:hAnsi="Times New Roman" w:eastAsia="宋体" w:cs="Times New Roman"/>
          <w:color w:val="auto"/>
          <w:sz w:val="24"/>
          <w:szCs w:val="24"/>
          <w:highlight w:val="none"/>
          <w:shd w:val="clear" w:color="auto" w:fill="auto"/>
          <w:lang w:eastAsia="zh-CN"/>
        </w:rPr>
        <w:t>综上，本项目实施后不会对周边声环境产生明显影响</w:t>
      </w:r>
      <w:r>
        <w:rPr>
          <w:color w:val="auto"/>
          <w:sz w:val="24"/>
          <w:szCs w:val="24"/>
          <w:highlight w:val="none"/>
        </w:rPr>
        <w:t>。</w:t>
      </w:r>
    </w:p>
    <w:p>
      <w:pPr>
        <w:pStyle w:val="53"/>
        <w:pageBreakBefore w:val="0"/>
        <w:kinsoku/>
        <w:wordWrap/>
        <w:overflowPunct/>
        <w:topLinePunct w:val="0"/>
        <w:autoSpaceDE/>
        <w:autoSpaceDN/>
        <w:bidi w:val="0"/>
        <w:spacing w:line="480" w:lineRule="atLeast"/>
        <w:rPr>
          <w:color w:val="auto"/>
          <w:highlight w:val="none"/>
        </w:rPr>
      </w:pPr>
      <w:bookmarkStart w:id="673" w:name="_Toc173941898"/>
      <w:r>
        <w:rPr>
          <w:rFonts w:hint="eastAsia"/>
          <w:color w:val="auto"/>
          <w:highlight w:val="none"/>
        </w:rPr>
        <w:t>5.6.</w:t>
      </w:r>
      <w:r>
        <w:rPr>
          <w:color w:val="auto"/>
          <w:highlight w:val="none"/>
        </w:rPr>
        <w:t>3</w:t>
      </w:r>
      <w:r>
        <w:rPr>
          <w:rFonts w:hint="eastAsia"/>
          <w:color w:val="auto"/>
          <w:highlight w:val="none"/>
        </w:rPr>
        <w:t>退役期</w:t>
      </w:r>
      <w:r>
        <w:rPr>
          <w:color w:val="auto"/>
          <w:highlight w:val="none"/>
        </w:rPr>
        <w:t>声环境影响分析</w:t>
      </w:r>
      <w:bookmarkEnd w:id="673"/>
    </w:p>
    <w:p>
      <w:pPr>
        <w:pStyle w:val="57"/>
        <w:pageBreakBefore w:val="0"/>
        <w:kinsoku/>
        <w:wordWrap/>
        <w:overflowPunct/>
        <w:topLinePunct w:val="0"/>
        <w:autoSpaceDE/>
        <w:autoSpaceDN/>
        <w:bidi w:val="0"/>
        <w:spacing w:line="480" w:lineRule="atLeast"/>
        <w:rPr>
          <w:color w:val="auto"/>
          <w:highlight w:val="none"/>
        </w:rPr>
      </w:pPr>
      <w:r>
        <w:rPr>
          <w:rFonts w:hint="eastAsia"/>
          <w:color w:val="auto"/>
          <w:highlight w:val="none"/>
        </w:rPr>
        <w:t>本工程退役期</w:t>
      </w:r>
      <w:r>
        <w:rPr>
          <w:color w:val="auto"/>
          <w:highlight w:val="none"/>
        </w:rPr>
        <w:t>，噪声主要源自井场</w:t>
      </w:r>
      <w:r>
        <w:rPr>
          <w:rFonts w:hint="eastAsia"/>
          <w:color w:val="auto"/>
          <w:highlight w:val="none"/>
          <w:lang w:eastAsia="zh-CN"/>
        </w:rPr>
        <w:t>、</w:t>
      </w:r>
      <w:r>
        <w:rPr>
          <w:rFonts w:hint="eastAsia"/>
          <w:color w:val="auto"/>
          <w:highlight w:val="none"/>
          <w:lang w:val="en-US" w:eastAsia="zh-CN"/>
        </w:rPr>
        <w:t>站场</w:t>
      </w:r>
      <w:r>
        <w:rPr>
          <w:color w:val="auto"/>
          <w:highlight w:val="none"/>
        </w:rPr>
        <w:t>设备拆卸，由于油区内声环境影响评价范围内没有居民点，因此，不会产生噪声扰民问题。</w:t>
      </w:r>
    </w:p>
    <w:p>
      <w:pPr>
        <w:pStyle w:val="53"/>
        <w:pageBreakBefore w:val="0"/>
        <w:kinsoku/>
        <w:wordWrap/>
        <w:overflowPunct/>
        <w:topLinePunct w:val="0"/>
        <w:autoSpaceDE/>
        <w:autoSpaceDN/>
        <w:bidi w:val="0"/>
        <w:spacing w:line="480" w:lineRule="atLeast"/>
        <w:rPr>
          <w:rFonts w:eastAsia="宋体"/>
          <w:color w:val="auto"/>
          <w:highlight w:val="none"/>
        </w:rPr>
      </w:pPr>
      <w:bookmarkStart w:id="674" w:name="_Toc173941899"/>
      <w:r>
        <w:rPr>
          <w:rFonts w:hint="eastAsia"/>
          <w:color w:val="auto"/>
          <w:highlight w:val="none"/>
        </w:rPr>
        <w:t>5.6.</w:t>
      </w:r>
      <w:r>
        <w:rPr>
          <w:color w:val="auto"/>
          <w:highlight w:val="none"/>
        </w:rPr>
        <w:t>4</w:t>
      </w:r>
      <w:bookmarkEnd w:id="674"/>
      <w:r>
        <w:rPr>
          <w:rFonts w:hint="eastAsia"/>
          <w:color w:val="auto"/>
          <w:highlight w:val="none"/>
        </w:rPr>
        <w:t>声环境影响评价结论</w:t>
      </w:r>
    </w:p>
    <w:p>
      <w:pPr>
        <w:pStyle w:val="57"/>
        <w:pageBreakBefore w:val="0"/>
        <w:kinsoku/>
        <w:wordWrap/>
        <w:overflowPunct/>
        <w:topLinePunct w:val="0"/>
        <w:autoSpaceDE/>
        <w:autoSpaceDN/>
        <w:bidi w:val="0"/>
        <w:spacing w:line="480" w:lineRule="atLeast"/>
        <w:rPr>
          <w:color w:val="auto"/>
          <w:highlight w:val="none"/>
        </w:rPr>
      </w:pPr>
      <w:r>
        <w:rPr>
          <w:color w:val="auto"/>
          <w:highlight w:val="none"/>
        </w:rPr>
        <w:t>综上所述，</w:t>
      </w:r>
      <w:r>
        <w:rPr>
          <w:rFonts w:hint="eastAsia"/>
          <w:color w:val="auto"/>
          <w:highlight w:val="none"/>
        </w:rPr>
        <w:t>本工程</w:t>
      </w:r>
      <w:r>
        <w:rPr>
          <w:color w:val="auto"/>
          <w:highlight w:val="none"/>
        </w:rPr>
        <w:t>开发建设区域声环境质量现状较好。施工期噪声源均为暂时性的，待施工结束后噪声影响也随之消失，并且项目评价范围内无声环境敏感目标，不会产生噪声扰民问题。运营期，采油井场</w:t>
      </w:r>
      <w:r>
        <w:rPr>
          <w:rFonts w:hint="eastAsia"/>
          <w:color w:val="auto"/>
          <w:highlight w:val="none"/>
          <w:lang w:eastAsia="zh-CN"/>
        </w:rPr>
        <w:t>、</w:t>
      </w:r>
      <w:r>
        <w:rPr>
          <w:rFonts w:hint="eastAsia"/>
          <w:color w:val="auto"/>
          <w:highlight w:val="none"/>
          <w:lang w:val="en-US" w:eastAsia="zh-CN"/>
        </w:rPr>
        <w:t>集中拉油站</w:t>
      </w:r>
      <w:r>
        <w:rPr>
          <w:color w:val="auto"/>
          <w:highlight w:val="none"/>
        </w:rPr>
        <w:t>场界噪声贡献值可满足《工业企业厂界环境噪声排放标准》（GB12348-2008）2类区标准要求。</w:t>
      </w:r>
    </w:p>
    <w:p>
      <w:pPr>
        <w:pStyle w:val="53"/>
        <w:pageBreakBefore w:val="0"/>
        <w:kinsoku/>
        <w:wordWrap/>
        <w:overflowPunct/>
        <w:topLinePunct w:val="0"/>
        <w:autoSpaceDE/>
        <w:autoSpaceDN/>
        <w:bidi w:val="0"/>
        <w:spacing w:line="480" w:lineRule="atLeast"/>
        <w:rPr>
          <w:color w:val="auto"/>
          <w:highlight w:val="none"/>
        </w:rPr>
      </w:pPr>
      <w:r>
        <w:rPr>
          <w:rFonts w:hint="eastAsia"/>
          <w:color w:val="auto"/>
          <w:highlight w:val="none"/>
        </w:rPr>
        <w:t>5.6.5声环境影响评价自查表</w:t>
      </w:r>
    </w:p>
    <w:p>
      <w:pPr>
        <w:pStyle w:val="57"/>
        <w:pageBreakBefore w:val="0"/>
        <w:kinsoku/>
        <w:wordWrap/>
        <w:overflowPunct/>
        <w:topLinePunct w:val="0"/>
        <w:autoSpaceDE/>
        <w:autoSpaceDN/>
        <w:bidi w:val="0"/>
        <w:spacing w:line="480" w:lineRule="atLeast"/>
        <w:rPr>
          <w:color w:val="auto"/>
          <w:highlight w:val="none"/>
        </w:rPr>
      </w:pPr>
      <w:r>
        <w:rPr>
          <w:color w:val="auto"/>
          <w:highlight w:val="none"/>
        </w:rPr>
        <w:t>本工程声环境影响评价自查表见表5.</w:t>
      </w:r>
      <w:r>
        <w:rPr>
          <w:rFonts w:hint="eastAsia"/>
          <w:color w:val="auto"/>
          <w:highlight w:val="none"/>
        </w:rPr>
        <w:t>6</w:t>
      </w:r>
      <w:r>
        <w:rPr>
          <w:color w:val="auto"/>
          <w:highlight w:val="none"/>
        </w:rPr>
        <w:t>-</w:t>
      </w:r>
      <w:r>
        <w:rPr>
          <w:rFonts w:hint="eastAsia"/>
          <w:color w:val="auto"/>
          <w:highlight w:val="none"/>
        </w:rPr>
        <w:t>4</w:t>
      </w:r>
      <w:r>
        <w:rPr>
          <w:color w:val="auto"/>
          <w:highlight w:val="none"/>
        </w:rPr>
        <w:t>。</w:t>
      </w:r>
    </w:p>
    <w:p>
      <w:pPr>
        <w:pStyle w:val="54"/>
        <w:pageBreakBefore w:val="0"/>
        <w:kinsoku/>
        <w:wordWrap/>
        <w:overflowPunct/>
        <w:topLinePunct w:val="0"/>
        <w:autoSpaceDE/>
        <w:autoSpaceDN/>
        <w:bidi w:val="0"/>
        <w:spacing w:line="480" w:lineRule="atLeast"/>
        <w:ind w:firstLine="482"/>
        <w:rPr>
          <w:color w:val="auto"/>
          <w:highlight w:val="none"/>
        </w:rPr>
      </w:pPr>
      <w:r>
        <w:rPr>
          <w:color w:val="auto"/>
          <w:highlight w:val="none"/>
        </w:rPr>
        <w:t>表5.</w:t>
      </w:r>
      <w:r>
        <w:rPr>
          <w:rFonts w:hint="eastAsia"/>
          <w:color w:val="auto"/>
          <w:highlight w:val="none"/>
        </w:rPr>
        <w:t>6</w:t>
      </w:r>
      <w:r>
        <w:rPr>
          <w:color w:val="auto"/>
          <w:highlight w:val="none"/>
        </w:rPr>
        <w:t>-</w:t>
      </w:r>
      <w:r>
        <w:rPr>
          <w:rFonts w:hint="eastAsia"/>
          <w:color w:val="auto"/>
          <w:highlight w:val="none"/>
        </w:rPr>
        <w:t>4</w:t>
      </w:r>
      <w:r>
        <w:rPr>
          <w:color w:val="auto"/>
          <w:highlight w:val="none"/>
        </w:rPr>
        <w:t xml:space="preserve">   声环境影响评价自查表</w:t>
      </w:r>
    </w:p>
    <w:tbl>
      <w:tblPr>
        <w:tblStyle w:val="34"/>
        <w:tblW w:w="851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Layout w:type="fixed"/>
        <w:tblCellMar>
          <w:top w:w="0" w:type="dxa"/>
          <w:left w:w="0" w:type="dxa"/>
          <w:bottom w:w="0" w:type="dxa"/>
          <w:right w:w="0" w:type="dxa"/>
        </w:tblCellMar>
      </w:tblPr>
      <w:tblGrid>
        <w:gridCol w:w="928"/>
        <w:gridCol w:w="1322"/>
        <w:gridCol w:w="1007"/>
        <w:gridCol w:w="532"/>
        <w:gridCol w:w="296"/>
        <w:gridCol w:w="185"/>
        <w:gridCol w:w="1020"/>
        <w:gridCol w:w="16"/>
        <w:gridCol w:w="1046"/>
        <w:gridCol w:w="517"/>
        <w:gridCol w:w="456"/>
        <w:gridCol w:w="37"/>
        <w:gridCol w:w="1157"/>
      </w:tblGrid>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42" w:hRule="atLeast"/>
        </w:trPr>
        <w:tc>
          <w:tcPr>
            <w:tcW w:w="2250" w:type="dxa"/>
            <w:gridSpan w:val="2"/>
            <w:tcBorders>
              <w:tl2br w:val="nil"/>
              <w:tr2bl w:val="nil"/>
            </w:tcBorders>
            <w:vAlign w:val="center"/>
          </w:tcPr>
          <w:p>
            <w:pPr>
              <w:pStyle w:val="41"/>
              <w:rPr>
                <w:color w:val="auto"/>
                <w:highlight w:val="none"/>
              </w:rPr>
            </w:pPr>
            <w:r>
              <w:rPr>
                <w:color w:val="auto"/>
                <w:highlight w:val="none"/>
              </w:rPr>
              <w:t>工作内容</w:t>
            </w:r>
          </w:p>
        </w:tc>
        <w:tc>
          <w:tcPr>
            <w:tcW w:w="6269" w:type="dxa"/>
            <w:gridSpan w:val="11"/>
            <w:tcBorders>
              <w:tl2br w:val="nil"/>
              <w:tr2bl w:val="nil"/>
            </w:tcBorders>
            <w:vAlign w:val="center"/>
          </w:tcPr>
          <w:p>
            <w:pPr>
              <w:pStyle w:val="41"/>
              <w:rPr>
                <w:color w:val="auto"/>
                <w:highlight w:val="none"/>
              </w:rPr>
            </w:pPr>
            <w:r>
              <w:rPr>
                <w:color w:val="auto"/>
                <w:highlight w:val="none"/>
              </w:rPr>
              <w:t>自查项目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48" w:hRule="atLeast"/>
        </w:trPr>
        <w:tc>
          <w:tcPr>
            <w:tcW w:w="928" w:type="dxa"/>
            <w:vMerge w:val="restart"/>
            <w:tcBorders>
              <w:tl2br w:val="nil"/>
              <w:tr2bl w:val="nil"/>
            </w:tcBorders>
            <w:vAlign w:val="center"/>
          </w:tcPr>
          <w:p>
            <w:pPr>
              <w:pStyle w:val="41"/>
              <w:rPr>
                <w:color w:val="auto"/>
                <w:highlight w:val="none"/>
              </w:rPr>
            </w:pPr>
            <w:r>
              <w:rPr>
                <w:color w:val="auto"/>
                <w:highlight w:val="none"/>
              </w:rPr>
              <w:t>评价等级与范围</w:t>
            </w:r>
          </w:p>
        </w:tc>
        <w:tc>
          <w:tcPr>
            <w:tcW w:w="1322" w:type="dxa"/>
            <w:tcBorders>
              <w:tl2br w:val="nil"/>
              <w:tr2bl w:val="nil"/>
            </w:tcBorders>
            <w:vAlign w:val="center"/>
          </w:tcPr>
          <w:p>
            <w:pPr>
              <w:pStyle w:val="41"/>
              <w:rPr>
                <w:color w:val="auto"/>
                <w:highlight w:val="none"/>
              </w:rPr>
            </w:pPr>
            <w:r>
              <w:rPr>
                <w:color w:val="auto"/>
                <w:highlight w:val="none"/>
              </w:rPr>
              <w:t>评价等级</w:t>
            </w:r>
          </w:p>
        </w:tc>
        <w:tc>
          <w:tcPr>
            <w:tcW w:w="6269" w:type="dxa"/>
            <w:gridSpan w:val="11"/>
            <w:tcBorders>
              <w:tl2br w:val="nil"/>
              <w:tr2bl w:val="nil"/>
            </w:tcBorders>
            <w:vAlign w:val="center"/>
          </w:tcPr>
          <w:p>
            <w:pPr>
              <w:pStyle w:val="41"/>
              <w:rPr>
                <w:color w:val="auto"/>
                <w:highlight w:val="none"/>
              </w:rPr>
            </w:pPr>
            <w:r>
              <w:rPr>
                <w:color w:val="auto"/>
                <w:highlight w:val="none"/>
              </w:rPr>
              <w:t>一级□              二级</w:t>
            </w:r>
            <w:r>
              <w:rPr>
                <w:color w:val="auto"/>
                <w:highlight w:val="none"/>
              </w:rPr>
              <w:sym w:font="Wingdings 2" w:char="0052"/>
            </w:r>
            <w:r>
              <w:rPr>
                <w:color w:val="auto"/>
                <w:highlight w:val="none"/>
              </w:rPr>
              <w:t xml:space="preserve">              三级□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70" w:hRule="atLeast"/>
        </w:trPr>
        <w:tc>
          <w:tcPr>
            <w:tcW w:w="928" w:type="dxa"/>
            <w:vMerge w:val="continue"/>
            <w:tcBorders>
              <w:tl2br w:val="nil"/>
              <w:tr2bl w:val="nil"/>
            </w:tcBorders>
            <w:vAlign w:val="center"/>
          </w:tcPr>
          <w:p>
            <w:pPr>
              <w:pStyle w:val="41"/>
              <w:rPr>
                <w:color w:val="auto"/>
                <w:highlight w:val="none"/>
              </w:rPr>
            </w:pPr>
          </w:p>
        </w:tc>
        <w:tc>
          <w:tcPr>
            <w:tcW w:w="1322" w:type="dxa"/>
            <w:tcBorders>
              <w:tl2br w:val="nil"/>
              <w:tr2bl w:val="nil"/>
            </w:tcBorders>
            <w:vAlign w:val="center"/>
          </w:tcPr>
          <w:p>
            <w:pPr>
              <w:pStyle w:val="41"/>
              <w:rPr>
                <w:color w:val="auto"/>
                <w:highlight w:val="none"/>
              </w:rPr>
            </w:pPr>
            <w:r>
              <w:rPr>
                <w:color w:val="auto"/>
                <w:highlight w:val="none"/>
              </w:rPr>
              <w:t>评价范围</w:t>
            </w:r>
          </w:p>
        </w:tc>
        <w:tc>
          <w:tcPr>
            <w:tcW w:w="6269" w:type="dxa"/>
            <w:gridSpan w:val="11"/>
            <w:tcBorders>
              <w:tl2br w:val="nil"/>
              <w:tr2bl w:val="nil"/>
            </w:tcBorders>
            <w:vAlign w:val="center"/>
          </w:tcPr>
          <w:p>
            <w:pPr>
              <w:pStyle w:val="41"/>
              <w:rPr>
                <w:color w:val="auto"/>
                <w:highlight w:val="none"/>
              </w:rPr>
            </w:pPr>
            <w:r>
              <w:rPr>
                <w:color w:val="auto"/>
                <w:highlight w:val="none"/>
              </w:rPr>
              <w:t>200m</w:t>
            </w:r>
            <w:r>
              <w:rPr>
                <w:color w:val="auto"/>
                <w:highlight w:val="none"/>
              </w:rPr>
              <w:sym w:font="Wingdings 2" w:char="0052"/>
            </w:r>
            <w:r>
              <w:rPr>
                <w:color w:val="auto"/>
                <w:highlight w:val="none"/>
              </w:rPr>
              <w:t xml:space="preserve">         大于200m□         小于200m□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11" w:hRule="atLeast"/>
        </w:trPr>
        <w:tc>
          <w:tcPr>
            <w:tcW w:w="928" w:type="dxa"/>
            <w:tcBorders>
              <w:tl2br w:val="nil"/>
              <w:tr2bl w:val="nil"/>
            </w:tcBorders>
            <w:vAlign w:val="center"/>
          </w:tcPr>
          <w:p>
            <w:pPr>
              <w:pStyle w:val="41"/>
              <w:rPr>
                <w:color w:val="auto"/>
                <w:highlight w:val="none"/>
              </w:rPr>
            </w:pPr>
            <w:r>
              <w:rPr>
                <w:color w:val="auto"/>
                <w:highlight w:val="none"/>
              </w:rPr>
              <w:t>评价因子</w:t>
            </w:r>
          </w:p>
        </w:tc>
        <w:tc>
          <w:tcPr>
            <w:tcW w:w="1322" w:type="dxa"/>
            <w:tcBorders>
              <w:tl2br w:val="nil"/>
              <w:tr2bl w:val="nil"/>
            </w:tcBorders>
            <w:vAlign w:val="center"/>
          </w:tcPr>
          <w:p>
            <w:pPr>
              <w:pStyle w:val="41"/>
              <w:rPr>
                <w:color w:val="auto"/>
                <w:highlight w:val="none"/>
              </w:rPr>
            </w:pPr>
            <w:r>
              <w:rPr>
                <w:color w:val="auto"/>
                <w:highlight w:val="none"/>
              </w:rPr>
              <w:t>评价因子</w:t>
            </w:r>
          </w:p>
        </w:tc>
        <w:tc>
          <w:tcPr>
            <w:tcW w:w="6269" w:type="dxa"/>
            <w:gridSpan w:val="11"/>
            <w:tcBorders>
              <w:tl2br w:val="nil"/>
              <w:tr2bl w:val="nil"/>
            </w:tcBorders>
            <w:vAlign w:val="center"/>
          </w:tcPr>
          <w:p>
            <w:pPr>
              <w:pStyle w:val="41"/>
              <w:rPr>
                <w:color w:val="auto"/>
                <w:highlight w:val="none"/>
              </w:rPr>
            </w:pPr>
            <w:r>
              <w:rPr>
                <w:color w:val="auto"/>
                <w:highlight w:val="none"/>
              </w:rPr>
              <w:t>等效连续A声级</w:t>
            </w:r>
            <w:r>
              <w:rPr>
                <w:color w:val="auto"/>
                <w:highlight w:val="none"/>
              </w:rPr>
              <w:sym w:font="Wingdings 2" w:char="0052"/>
            </w:r>
            <w:r>
              <w:rPr>
                <w:color w:val="auto"/>
                <w:highlight w:val="none"/>
              </w:rPr>
              <w:t xml:space="preserve">   最大A声级□   计权等效连续感觉噪声级□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00" w:hRule="atLeast"/>
        </w:trPr>
        <w:tc>
          <w:tcPr>
            <w:tcW w:w="928" w:type="dxa"/>
            <w:tcBorders>
              <w:tl2br w:val="nil"/>
              <w:tr2bl w:val="nil"/>
            </w:tcBorders>
            <w:vAlign w:val="center"/>
          </w:tcPr>
          <w:p>
            <w:pPr>
              <w:pStyle w:val="41"/>
              <w:rPr>
                <w:color w:val="auto"/>
                <w:highlight w:val="none"/>
              </w:rPr>
            </w:pPr>
            <w:r>
              <w:rPr>
                <w:color w:val="auto"/>
                <w:highlight w:val="none"/>
              </w:rPr>
              <w:t>评价标准</w:t>
            </w:r>
          </w:p>
        </w:tc>
        <w:tc>
          <w:tcPr>
            <w:tcW w:w="1322" w:type="dxa"/>
            <w:tcBorders>
              <w:tl2br w:val="nil"/>
              <w:tr2bl w:val="nil"/>
            </w:tcBorders>
            <w:vAlign w:val="center"/>
          </w:tcPr>
          <w:p>
            <w:pPr>
              <w:pStyle w:val="41"/>
              <w:rPr>
                <w:color w:val="auto"/>
                <w:highlight w:val="none"/>
              </w:rPr>
            </w:pPr>
            <w:r>
              <w:rPr>
                <w:color w:val="auto"/>
                <w:highlight w:val="none"/>
              </w:rPr>
              <w:t>评价标准</w:t>
            </w:r>
          </w:p>
        </w:tc>
        <w:tc>
          <w:tcPr>
            <w:tcW w:w="6269" w:type="dxa"/>
            <w:gridSpan w:val="11"/>
            <w:tcBorders>
              <w:tl2br w:val="nil"/>
              <w:tr2bl w:val="nil"/>
            </w:tcBorders>
            <w:vAlign w:val="center"/>
          </w:tcPr>
          <w:p>
            <w:pPr>
              <w:pStyle w:val="41"/>
              <w:rPr>
                <w:color w:val="auto"/>
                <w:highlight w:val="none"/>
              </w:rPr>
            </w:pPr>
            <w:r>
              <w:rPr>
                <w:color w:val="auto"/>
                <w:highlight w:val="none"/>
              </w:rPr>
              <w:t>国家标准</w:t>
            </w:r>
            <w:r>
              <w:rPr>
                <w:color w:val="auto"/>
                <w:highlight w:val="none"/>
              </w:rPr>
              <w:sym w:font="Wingdings 2" w:char="0052"/>
            </w:r>
            <w:r>
              <w:rPr>
                <w:color w:val="auto"/>
                <w:highlight w:val="none"/>
              </w:rPr>
              <w:t xml:space="preserve">           地方标准□            国外标准□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16" w:hRule="atLeast"/>
        </w:trPr>
        <w:tc>
          <w:tcPr>
            <w:tcW w:w="928" w:type="dxa"/>
            <w:vMerge w:val="restart"/>
            <w:tcBorders>
              <w:tl2br w:val="nil"/>
              <w:tr2bl w:val="nil"/>
            </w:tcBorders>
            <w:vAlign w:val="center"/>
          </w:tcPr>
          <w:p>
            <w:pPr>
              <w:pStyle w:val="41"/>
              <w:rPr>
                <w:color w:val="auto"/>
                <w:highlight w:val="none"/>
              </w:rPr>
            </w:pPr>
            <w:r>
              <w:rPr>
                <w:color w:val="auto"/>
                <w:highlight w:val="none"/>
              </w:rPr>
              <w:t>现状评价</w:t>
            </w:r>
          </w:p>
        </w:tc>
        <w:tc>
          <w:tcPr>
            <w:tcW w:w="1322" w:type="dxa"/>
            <w:tcBorders>
              <w:tl2br w:val="nil"/>
              <w:tr2bl w:val="nil"/>
            </w:tcBorders>
            <w:vAlign w:val="center"/>
          </w:tcPr>
          <w:p>
            <w:pPr>
              <w:pStyle w:val="41"/>
              <w:rPr>
                <w:color w:val="auto"/>
                <w:highlight w:val="none"/>
              </w:rPr>
            </w:pPr>
            <w:r>
              <w:rPr>
                <w:color w:val="auto"/>
                <w:highlight w:val="none"/>
              </w:rPr>
              <w:t>环境功能区</w:t>
            </w:r>
          </w:p>
        </w:tc>
        <w:tc>
          <w:tcPr>
            <w:tcW w:w="1007" w:type="dxa"/>
            <w:tcBorders>
              <w:tl2br w:val="nil"/>
              <w:tr2bl w:val="nil"/>
            </w:tcBorders>
            <w:vAlign w:val="center"/>
          </w:tcPr>
          <w:p>
            <w:pPr>
              <w:pStyle w:val="41"/>
              <w:rPr>
                <w:color w:val="auto"/>
                <w:highlight w:val="none"/>
              </w:rPr>
            </w:pPr>
            <w:r>
              <w:rPr>
                <w:color w:val="auto"/>
                <w:highlight w:val="none"/>
              </w:rPr>
              <w:t>0类区□</w:t>
            </w:r>
          </w:p>
        </w:tc>
        <w:tc>
          <w:tcPr>
            <w:tcW w:w="1013" w:type="dxa"/>
            <w:gridSpan w:val="3"/>
            <w:tcBorders>
              <w:tl2br w:val="nil"/>
              <w:tr2bl w:val="nil"/>
            </w:tcBorders>
            <w:vAlign w:val="center"/>
          </w:tcPr>
          <w:p>
            <w:pPr>
              <w:pStyle w:val="41"/>
              <w:rPr>
                <w:color w:val="auto"/>
                <w:highlight w:val="none"/>
              </w:rPr>
            </w:pPr>
            <w:r>
              <w:rPr>
                <w:color w:val="auto"/>
                <w:highlight w:val="none"/>
              </w:rPr>
              <w:t>1类区□</w:t>
            </w:r>
          </w:p>
        </w:tc>
        <w:tc>
          <w:tcPr>
            <w:tcW w:w="1036" w:type="dxa"/>
            <w:gridSpan w:val="2"/>
            <w:tcBorders>
              <w:tl2br w:val="nil"/>
              <w:tr2bl w:val="nil"/>
            </w:tcBorders>
            <w:vAlign w:val="center"/>
          </w:tcPr>
          <w:p>
            <w:pPr>
              <w:pStyle w:val="41"/>
              <w:rPr>
                <w:color w:val="auto"/>
                <w:highlight w:val="none"/>
              </w:rPr>
            </w:pPr>
            <w:r>
              <w:rPr>
                <w:color w:val="auto"/>
                <w:highlight w:val="none"/>
              </w:rPr>
              <w:t>2类区</w:t>
            </w:r>
            <w:r>
              <w:rPr>
                <w:color w:val="auto"/>
                <w:highlight w:val="none"/>
              </w:rPr>
              <w:sym w:font="Wingdings 2" w:char="0052"/>
            </w:r>
          </w:p>
        </w:tc>
        <w:tc>
          <w:tcPr>
            <w:tcW w:w="1046" w:type="dxa"/>
            <w:tcBorders>
              <w:tl2br w:val="nil"/>
              <w:tr2bl w:val="nil"/>
            </w:tcBorders>
            <w:vAlign w:val="center"/>
          </w:tcPr>
          <w:p>
            <w:pPr>
              <w:pStyle w:val="41"/>
              <w:rPr>
                <w:color w:val="auto"/>
                <w:highlight w:val="none"/>
              </w:rPr>
            </w:pPr>
            <w:r>
              <w:rPr>
                <w:color w:val="auto"/>
                <w:highlight w:val="none"/>
              </w:rPr>
              <w:t>3类区□</w:t>
            </w:r>
          </w:p>
        </w:tc>
        <w:tc>
          <w:tcPr>
            <w:tcW w:w="1010" w:type="dxa"/>
            <w:gridSpan w:val="3"/>
            <w:tcBorders>
              <w:tl2br w:val="nil"/>
              <w:tr2bl w:val="nil"/>
            </w:tcBorders>
            <w:vAlign w:val="center"/>
          </w:tcPr>
          <w:p>
            <w:pPr>
              <w:pStyle w:val="41"/>
              <w:rPr>
                <w:color w:val="auto"/>
                <w:highlight w:val="none"/>
              </w:rPr>
            </w:pPr>
            <w:r>
              <w:rPr>
                <w:color w:val="auto"/>
                <w:highlight w:val="none"/>
              </w:rPr>
              <w:t>4a类区□</w:t>
            </w:r>
          </w:p>
        </w:tc>
        <w:tc>
          <w:tcPr>
            <w:tcW w:w="1157" w:type="dxa"/>
            <w:tcBorders>
              <w:tl2br w:val="nil"/>
              <w:tr2bl w:val="nil"/>
            </w:tcBorders>
            <w:vAlign w:val="center"/>
          </w:tcPr>
          <w:p>
            <w:pPr>
              <w:pStyle w:val="41"/>
              <w:rPr>
                <w:color w:val="auto"/>
                <w:highlight w:val="none"/>
              </w:rPr>
            </w:pPr>
            <w:r>
              <w:rPr>
                <w:color w:val="auto"/>
                <w:highlight w:val="none"/>
              </w:rPr>
              <w:t>4b类区□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88" w:hRule="atLeast"/>
        </w:trPr>
        <w:tc>
          <w:tcPr>
            <w:tcW w:w="928" w:type="dxa"/>
            <w:vMerge w:val="continue"/>
            <w:tcBorders>
              <w:tl2br w:val="nil"/>
              <w:tr2bl w:val="nil"/>
            </w:tcBorders>
            <w:vAlign w:val="center"/>
          </w:tcPr>
          <w:p>
            <w:pPr>
              <w:pStyle w:val="41"/>
              <w:rPr>
                <w:color w:val="auto"/>
                <w:highlight w:val="none"/>
              </w:rPr>
            </w:pPr>
          </w:p>
        </w:tc>
        <w:tc>
          <w:tcPr>
            <w:tcW w:w="1322" w:type="dxa"/>
            <w:tcBorders>
              <w:tl2br w:val="nil"/>
              <w:tr2bl w:val="nil"/>
            </w:tcBorders>
            <w:vAlign w:val="center"/>
          </w:tcPr>
          <w:p>
            <w:pPr>
              <w:pStyle w:val="41"/>
              <w:rPr>
                <w:color w:val="auto"/>
                <w:highlight w:val="none"/>
              </w:rPr>
            </w:pPr>
            <w:r>
              <w:rPr>
                <w:color w:val="auto"/>
                <w:highlight w:val="none"/>
              </w:rPr>
              <w:t>评价年度</w:t>
            </w:r>
          </w:p>
        </w:tc>
        <w:tc>
          <w:tcPr>
            <w:tcW w:w="1539" w:type="dxa"/>
            <w:gridSpan w:val="2"/>
            <w:tcBorders>
              <w:tl2br w:val="nil"/>
              <w:tr2bl w:val="nil"/>
            </w:tcBorders>
            <w:vAlign w:val="center"/>
          </w:tcPr>
          <w:p>
            <w:pPr>
              <w:pStyle w:val="41"/>
              <w:rPr>
                <w:color w:val="auto"/>
                <w:highlight w:val="none"/>
              </w:rPr>
            </w:pPr>
            <w:r>
              <w:rPr>
                <w:color w:val="auto"/>
                <w:highlight w:val="none"/>
              </w:rPr>
              <w:t>初期</w:t>
            </w:r>
            <w:r>
              <w:rPr>
                <w:color w:val="auto"/>
                <w:highlight w:val="none"/>
              </w:rPr>
              <w:sym w:font="Wingdings 2" w:char="00A3"/>
            </w:r>
          </w:p>
        </w:tc>
        <w:tc>
          <w:tcPr>
            <w:tcW w:w="1517" w:type="dxa"/>
            <w:gridSpan w:val="4"/>
            <w:tcBorders>
              <w:tl2br w:val="nil"/>
              <w:tr2bl w:val="nil"/>
            </w:tcBorders>
            <w:vAlign w:val="center"/>
          </w:tcPr>
          <w:p>
            <w:pPr>
              <w:pStyle w:val="41"/>
              <w:rPr>
                <w:rFonts w:hint="eastAsia" w:eastAsia="宋体"/>
                <w:color w:val="auto"/>
                <w:highlight w:val="none"/>
                <w:lang w:eastAsia="zh-CN"/>
              </w:rPr>
            </w:pPr>
            <w:r>
              <w:rPr>
                <w:color w:val="auto"/>
                <w:highlight w:val="none"/>
              </w:rPr>
              <w:t>近期</w:t>
            </w:r>
            <w:r>
              <w:rPr>
                <w:rFonts w:hint="eastAsia"/>
                <w:color w:val="auto"/>
                <w:highlight w:val="none"/>
                <w:lang w:eastAsia="zh-CN"/>
              </w:rPr>
              <w:t>☑</w:t>
            </w:r>
          </w:p>
        </w:tc>
        <w:tc>
          <w:tcPr>
            <w:tcW w:w="1563" w:type="dxa"/>
            <w:gridSpan w:val="2"/>
            <w:tcBorders>
              <w:tl2br w:val="nil"/>
              <w:tr2bl w:val="nil"/>
            </w:tcBorders>
            <w:vAlign w:val="center"/>
          </w:tcPr>
          <w:p>
            <w:pPr>
              <w:pStyle w:val="41"/>
              <w:rPr>
                <w:color w:val="auto"/>
                <w:highlight w:val="none"/>
              </w:rPr>
            </w:pPr>
            <w:r>
              <w:rPr>
                <w:color w:val="auto"/>
                <w:highlight w:val="none"/>
              </w:rPr>
              <w:t>中期□</w:t>
            </w:r>
          </w:p>
        </w:tc>
        <w:tc>
          <w:tcPr>
            <w:tcW w:w="1650" w:type="dxa"/>
            <w:gridSpan w:val="3"/>
            <w:tcBorders>
              <w:tl2br w:val="nil"/>
              <w:tr2bl w:val="nil"/>
            </w:tcBorders>
            <w:vAlign w:val="center"/>
          </w:tcPr>
          <w:p>
            <w:pPr>
              <w:pStyle w:val="41"/>
              <w:rPr>
                <w:color w:val="auto"/>
                <w:highlight w:val="none"/>
              </w:rPr>
            </w:pPr>
            <w:r>
              <w:rPr>
                <w:color w:val="auto"/>
                <w:highlight w:val="none"/>
              </w:rPr>
              <w:t>远期□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566" w:hRule="atLeast"/>
        </w:trPr>
        <w:tc>
          <w:tcPr>
            <w:tcW w:w="928" w:type="dxa"/>
            <w:vMerge w:val="continue"/>
            <w:tcBorders>
              <w:tl2br w:val="nil"/>
              <w:tr2bl w:val="nil"/>
            </w:tcBorders>
            <w:vAlign w:val="center"/>
          </w:tcPr>
          <w:p>
            <w:pPr>
              <w:pStyle w:val="41"/>
              <w:rPr>
                <w:color w:val="auto"/>
                <w:highlight w:val="none"/>
              </w:rPr>
            </w:pPr>
          </w:p>
        </w:tc>
        <w:tc>
          <w:tcPr>
            <w:tcW w:w="1322" w:type="dxa"/>
            <w:tcBorders>
              <w:tl2br w:val="nil"/>
              <w:tr2bl w:val="nil"/>
            </w:tcBorders>
            <w:vAlign w:val="center"/>
          </w:tcPr>
          <w:p>
            <w:pPr>
              <w:pStyle w:val="41"/>
              <w:rPr>
                <w:color w:val="auto"/>
                <w:highlight w:val="none"/>
              </w:rPr>
            </w:pPr>
            <w:r>
              <w:rPr>
                <w:color w:val="auto"/>
                <w:highlight w:val="none"/>
              </w:rPr>
              <w:t>现状调查方法</w:t>
            </w:r>
          </w:p>
        </w:tc>
        <w:tc>
          <w:tcPr>
            <w:tcW w:w="6269" w:type="dxa"/>
            <w:gridSpan w:val="11"/>
            <w:tcBorders>
              <w:tl2br w:val="nil"/>
              <w:tr2bl w:val="nil"/>
            </w:tcBorders>
            <w:vAlign w:val="center"/>
          </w:tcPr>
          <w:p>
            <w:pPr>
              <w:pStyle w:val="41"/>
              <w:rPr>
                <w:color w:val="auto"/>
                <w:highlight w:val="none"/>
              </w:rPr>
            </w:pPr>
            <w:r>
              <w:rPr>
                <w:color w:val="auto"/>
                <w:highlight w:val="none"/>
              </w:rPr>
              <w:t>现场实测法</w:t>
            </w:r>
            <w:r>
              <w:rPr>
                <w:rFonts w:hint="eastAsia"/>
                <w:color w:val="auto"/>
                <w:highlight w:val="none"/>
                <w:lang w:eastAsia="zh-CN"/>
              </w:rPr>
              <w:t>☑</w:t>
            </w:r>
            <w:r>
              <w:rPr>
                <w:color w:val="auto"/>
                <w:highlight w:val="none"/>
              </w:rPr>
              <w:t xml:space="preserve">     现场实测加模型计算法</w:t>
            </w:r>
            <w:r>
              <w:rPr>
                <w:color w:val="auto"/>
                <w:highlight w:val="none"/>
              </w:rPr>
              <w:sym w:font="Wingdings 2" w:char="00A3"/>
            </w:r>
            <w:r>
              <w:rPr>
                <w:color w:val="auto"/>
                <w:highlight w:val="none"/>
              </w:rPr>
              <w:t xml:space="preserve">     收集资料□</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09" w:hRule="atLeast"/>
        </w:trPr>
        <w:tc>
          <w:tcPr>
            <w:tcW w:w="928" w:type="dxa"/>
            <w:vMerge w:val="continue"/>
            <w:tcBorders>
              <w:tl2br w:val="nil"/>
              <w:tr2bl w:val="nil"/>
            </w:tcBorders>
            <w:vAlign w:val="center"/>
          </w:tcPr>
          <w:p>
            <w:pPr>
              <w:pStyle w:val="41"/>
              <w:rPr>
                <w:color w:val="auto"/>
                <w:highlight w:val="none"/>
              </w:rPr>
            </w:pPr>
          </w:p>
        </w:tc>
        <w:tc>
          <w:tcPr>
            <w:tcW w:w="1322" w:type="dxa"/>
            <w:tcBorders>
              <w:tl2br w:val="nil"/>
              <w:tr2bl w:val="nil"/>
            </w:tcBorders>
            <w:vAlign w:val="center"/>
          </w:tcPr>
          <w:p>
            <w:pPr>
              <w:pStyle w:val="41"/>
              <w:rPr>
                <w:color w:val="auto"/>
                <w:highlight w:val="none"/>
              </w:rPr>
            </w:pPr>
            <w:r>
              <w:rPr>
                <w:color w:val="auto"/>
                <w:highlight w:val="none"/>
              </w:rPr>
              <w:t>现状评价</w:t>
            </w:r>
          </w:p>
        </w:tc>
        <w:tc>
          <w:tcPr>
            <w:tcW w:w="1835" w:type="dxa"/>
            <w:gridSpan w:val="3"/>
            <w:tcBorders>
              <w:tl2br w:val="nil"/>
              <w:tr2bl w:val="nil"/>
            </w:tcBorders>
            <w:vAlign w:val="center"/>
          </w:tcPr>
          <w:p>
            <w:pPr>
              <w:pStyle w:val="41"/>
              <w:rPr>
                <w:color w:val="auto"/>
                <w:highlight w:val="none"/>
              </w:rPr>
            </w:pPr>
            <w:r>
              <w:rPr>
                <w:color w:val="auto"/>
                <w:highlight w:val="none"/>
              </w:rPr>
              <w:t>达标百分比</w:t>
            </w:r>
          </w:p>
        </w:tc>
        <w:tc>
          <w:tcPr>
            <w:tcW w:w="4434" w:type="dxa"/>
            <w:gridSpan w:val="8"/>
            <w:tcBorders>
              <w:tl2br w:val="nil"/>
              <w:tr2bl w:val="nil"/>
            </w:tcBorders>
            <w:vAlign w:val="center"/>
          </w:tcPr>
          <w:p>
            <w:pPr>
              <w:pStyle w:val="41"/>
              <w:rPr>
                <w:color w:val="auto"/>
                <w:highlight w:val="none"/>
              </w:rPr>
            </w:pPr>
            <w:r>
              <w:rPr>
                <w:color w:val="auto"/>
                <w:highlight w:val="none"/>
              </w:rPr>
              <w:t>100%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566" w:hRule="atLeast"/>
        </w:trPr>
        <w:tc>
          <w:tcPr>
            <w:tcW w:w="928" w:type="dxa"/>
            <w:tcBorders>
              <w:tl2br w:val="nil"/>
              <w:tr2bl w:val="nil"/>
            </w:tcBorders>
            <w:vAlign w:val="center"/>
          </w:tcPr>
          <w:p>
            <w:pPr>
              <w:pStyle w:val="41"/>
              <w:rPr>
                <w:color w:val="auto"/>
                <w:highlight w:val="none"/>
              </w:rPr>
            </w:pPr>
            <w:r>
              <w:rPr>
                <w:color w:val="auto"/>
                <w:highlight w:val="none"/>
              </w:rPr>
              <w:t>噪声源</w:t>
            </w:r>
          </w:p>
          <w:p>
            <w:pPr>
              <w:pStyle w:val="41"/>
              <w:rPr>
                <w:color w:val="auto"/>
                <w:highlight w:val="none"/>
              </w:rPr>
            </w:pPr>
            <w:r>
              <w:rPr>
                <w:color w:val="auto"/>
                <w:highlight w:val="none"/>
              </w:rPr>
              <w:t>调查</w:t>
            </w:r>
          </w:p>
        </w:tc>
        <w:tc>
          <w:tcPr>
            <w:tcW w:w="1322" w:type="dxa"/>
            <w:tcBorders>
              <w:tl2br w:val="nil"/>
              <w:tr2bl w:val="nil"/>
            </w:tcBorders>
            <w:vAlign w:val="center"/>
          </w:tcPr>
          <w:p>
            <w:pPr>
              <w:pStyle w:val="41"/>
              <w:rPr>
                <w:color w:val="auto"/>
                <w:highlight w:val="none"/>
              </w:rPr>
            </w:pPr>
            <w:r>
              <w:rPr>
                <w:color w:val="auto"/>
                <w:highlight w:val="none"/>
              </w:rPr>
              <w:t>噪声源调查方法</w:t>
            </w:r>
          </w:p>
        </w:tc>
        <w:tc>
          <w:tcPr>
            <w:tcW w:w="6269" w:type="dxa"/>
            <w:gridSpan w:val="11"/>
            <w:tcBorders>
              <w:tl2br w:val="nil"/>
              <w:tr2bl w:val="nil"/>
            </w:tcBorders>
            <w:vAlign w:val="center"/>
          </w:tcPr>
          <w:p>
            <w:pPr>
              <w:pStyle w:val="41"/>
              <w:rPr>
                <w:color w:val="auto"/>
                <w:highlight w:val="none"/>
              </w:rPr>
            </w:pPr>
            <w:r>
              <w:rPr>
                <w:color w:val="auto"/>
                <w:highlight w:val="none"/>
              </w:rPr>
              <w:t>现场实测□          已有资料</w:t>
            </w:r>
            <w:r>
              <w:rPr>
                <w:color w:val="auto"/>
                <w:highlight w:val="none"/>
              </w:rPr>
              <w:sym w:font="Wingdings 2" w:char="0052"/>
            </w:r>
            <w:r>
              <w:rPr>
                <w:color w:val="auto"/>
                <w:highlight w:val="none"/>
              </w:rPr>
              <w:t xml:space="preserve">            研究成果□</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61" w:hRule="atLeast"/>
        </w:trPr>
        <w:tc>
          <w:tcPr>
            <w:tcW w:w="928" w:type="dxa"/>
            <w:vMerge w:val="restart"/>
            <w:tcBorders>
              <w:tl2br w:val="nil"/>
              <w:tr2bl w:val="nil"/>
            </w:tcBorders>
            <w:vAlign w:val="center"/>
          </w:tcPr>
          <w:p>
            <w:pPr>
              <w:pStyle w:val="41"/>
              <w:rPr>
                <w:color w:val="auto"/>
                <w:highlight w:val="none"/>
              </w:rPr>
            </w:pPr>
            <w:r>
              <w:rPr>
                <w:color w:val="auto"/>
                <w:highlight w:val="none"/>
              </w:rPr>
              <w:t>声环境影</w:t>
            </w:r>
          </w:p>
          <w:p>
            <w:pPr>
              <w:pStyle w:val="41"/>
              <w:rPr>
                <w:color w:val="auto"/>
                <w:highlight w:val="none"/>
              </w:rPr>
            </w:pPr>
            <w:r>
              <w:rPr>
                <w:color w:val="auto"/>
                <w:highlight w:val="none"/>
              </w:rPr>
              <w:t>响预测与</w:t>
            </w:r>
          </w:p>
          <w:p>
            <w:pPr>
              <w:pStyle w:val="41"/>
              <w:rPr>
                <w:color w:val="auto"/>
                <w:highlight w:val="none"/>
              </w:rPr>
            </w:pPr>
            <w:r>
              <w:rPr>
                <w:color w:val="auto"/>
                <w:highlight w:val="none"/>
              </w:rPr>
              <w:t>评价</w:t>
            </w:r>
          </w:p>
        </w:tc>
        <w:tc>
          <w:tcPr>
            <w:tcW w:w="1322" w:type="dxa"/>
            <w:tcBorders>
              <w:tl2br w:val="nil"/>
              <w:tr2bl w:val="nil"/>
            </w:tcBorders>
            <w:vAlign w:val="center"/>
          </w:tcPr>
          <w:p>
            <w:pPr>
              <w:pStyle w:val="41"/>
              <w:rPr>
                <w:color w:val="auto"/>
                <w:highlight w:val="none"/>
              </w:rPr>
            </w:pPr>
            <w:r>
              <w:rPr>
                <w:color w:val="auto"/>
                <w:highlight w:val="none"/>
              </w:rPr>
              <w:t>预测模型</w:t>
            </w:r>
          </w:p>
        </w:tc>
        <w:tc>
          <w:tcPr>
            <w:tcW w:w="6269" w:type="dxa"/>
            <w:gridSpan w:val="11"/>
            <w:tcBorders>
              <w:tl2br w:val="nil"/>
              <w:tr2bl w:val="nil"/>
            </w:tcBorders>
            <w:vAlign w:val="center"/>
          </w:tcPr>
          <w:p>
            <w:pPr>
              <w:pStyle w:val="41"/>
              <w:rPr>
                <w:color w:val="auto"/>
                <w:highlight w:val="none"/>
              </w:rPr>
            </w:pPr>
            <w:r>
              <w:rPr>
                <w:color w:val="auto"/>
                <w:highlight w:val="none"/>
              </w:rPr>
              <w:t>导则推荐模型</w:t>
            </w:r>
            <w:r>
              <w:rPr>
                <w:color w:val="auto"/>
                <w:highlight w:val="none"/>
              </w:rPr>
              <w:sym w:font="Wingdings 2" w:char="0052"/>
            </w:r>
            <w:r>
              <w:rPr>
                <w:color w:val="auto"/>
                <w:highlight w:val="none"/>
              </w:rPr>
              <w:t xml:space="preserve">                    其他□</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01" w:hRule="atLeast"/>
        </w:trPr>
        <w:tc>
          <w:tcPr>
            <w:tcW w:w="928" w:type="dxa"/>
            <w:vMerge w:val="continue"/>
            <w:tcBorders>
              <w:tl2br w:val="nil"/>
              <w:tr2bl w:val="nil"/>
            </w:tcBorders>
            <w:vAlign w:val="center"/>
          </w:tcPr>
          <w:p>
            <w:pPr>
              <w:pStyle w:val="41"/>
              <w:rPr>
                <w:color w:val="auto"/>
                <w:highlight w:val="none"/>
              </w:rPr>
            </w:pPr>
          </w:p>
        </w:tc>
        <w:tc>
          <w:tcPr>
            <w:tcW w:w="1322" w:type="dxa"/>
            <w:tcBorders>
              <w:tl2br w:val="nil"/>
              <w:tr2bl w:val="nil"/>
            </w:tcBorders>
            <w:vAlign w:val="center"/>
          </w:tcPr>
          <w:p>
            <w:pPr>
              <w:pStyle w:val="41"/>
              <w:rPr>
                <w:color w:val="auto"/>
                <w:highlight w:val="none"/>
              </w:rPr>
            </w:pPr>
            <w:r>
              <w:rPr>
                <w:color w:val="auto"/>
                <w:highlight w:val="none"/>
              </w:rPr>
              <w:t>预测范围</w:t>
            </w:r>
          </w:p>
        </w:tc>
        <w:tc>
          <w:tcPr>
            <w:tcW w:w="6269" w:type="dxa"/>
            <w:gridSpan w:val="11"/>
            <w:tcBorders>
              <w:tl2br w:val="nil"/>
              <w:tr2bl w:val="nil"/>
            </w:tcBorders>
            <w:vAlign w:val="center"/>
          </w:tcPr>
          <w:p>
            <w:pPr>
              <w:pStyle w:val="41"/>
              <w:rPr>
                <w:color w:val="auto"/>
                <w:highlight w:val="none"/>
              </w:rPr>
            </w:pPr>
            <w:r>
              <w:rPr>
                <w:color w:val="auto"/>
                <w:highlight w:val="none"/>
              </w:rPr>
              <w:t>200 m</w:t>
            </w:r>
            <w:r>
              <w:rPr>
                <w:rFonts w:hint="eastAsia"/>
                <w:color w:val="auto"/>
                <w:highlight w:val="none"/>
                <w:lang w:eastAsia="zh-CN"/>
              </w:rPr>
              <w:t>☑</w:t>
            </w:r>
            <w:r>
              <w:rPr>
                <w:color w:val="auto"/>
                <w:highlight w:val="none"/>
              </w:rPr>
              <w:t xml:space="preserve">          大于200 m□          小于200 m</w:t>
            </w:r>
            <w:r>
              <w:rPr>
                <w:color w:val="auto"/>
                <w:highlight w:val="none"/>
              </w:rPr>
              <w:sym w:font="Wingdings 2" w:char="00A3"/>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68" w:hRule="atLeast"/>
        </w:trPr>
        <w:tc>
          <w:tcPr>
            <w:tcW w:w="928" w:type="dxa"/>
            <w:vMerge w:val="continue"/>
            <w:tcBorders>
              <w:tl2br w:val="nil"/>
              <w:tr2bl w:val="nil"/>
            </w:tcBorders>
            <w:vAlign w:val="center"/>
          </w:tcPr>
          <w:p>
            <w:pPr>
              <w:pStyle w:val="41"/>
              <w:rPr>
                <w:color w:val="auto"/>
                <w:highlight w:val="none"/>
              </w:rPr>
            </w:pPr>
          </w:p>
        </w:tc>
        <w:tc>
          <w:tcPr>
            <w:tcW w:w="1322" w:type="dxa"/>
            <w:tcBorders>
              <w:tl2br w:val="nil"/>
              <w:tr2bl w:val="nil"/>
            </w:tcBorders>
            <w:vAlign w:val="center"/>
          </w:tcPr>
          <w:p>
            <w:pPr>
              <w:pStyle w:val="41"/>
              <w:rPr>
                <w:color w:val="auto"/>
                <w:highlight w:val="none"/>
              </w:rPr>
            </w:pPr>
            <w:r>
              <w:rPr>
                <w:color w:val="auto"/>
                <w:highlight w:val="none"/>
              </w:rPr>
              <w:t>预测因子</w:t>
            </w:r>
          </w:p>
        </w:tc>
        <w:tc>
          <w:tcPr>
            <w:tcW w:w="6269" w:type="dxa"/>
            <w:gridSpan w:val="11"/>
            <w:tcBorders>
              <w:tl2br w:val="nil"/>
              <w:tr2bl w:val="nil"/>
            </w:tcBorders>
            <w:vAlign w:val="center"/>
          </w:tcPr>
          <w:p>
            <w:pPr>
              <w:pStyle w:val="41"/>
              <w:rPr>
                <w:color w:val="auto"/>
                <w:highlight w:val="none"/>
              </w:rPr>
            </w:pPr>
            <w:r>
              <w:rPr>
                <w:color w:val="auto"/>
                <w:highlight w:val="none"/>
              </w:rPr>
              <w:t>等效连续A声级</w:t>
            </w:r>
            <w:r>
              <w:rPr>
                <w:color w:val="auto"/>
                <w:highlight w:val="none"/>
              </w:rPr>
              <w:sym w:font="Wingdings 2" w:char="0052"/>
            </w:r>
            <w:r>
              <w:rPr>
                <w:color w:val="auto"/>
                <w:highlight w:val="none"/>
              </w:rPr>
              <w:t xml:space="preserve">    最大A声级□   计权等效连续感觉噪声级□</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571" w:hRule="atLeast"/>
        </w:trPr>
        <w:tc>
          <w:tcPr>
            <w:tcW w:w="928" w:type="dxa"/>
            <w:vMerge w:val="continue"/>
            <w:tcBorders>
              <w:tl2br w:val="nil"/>
              <w:tr2bl w:val="nil"/>
            </w:tcBorders>
            <w:vAlign w:val="center"/>
          </w:tcPr>
          <w:p>
            <w:pPr>
              <w:pStyle w:val="41"/>
              <w:rPr>
                <w:color w:val="auto"/>
                <w:highlight w:val="none"/>
              </w:rPr>
            </w:pPr>
          </w:p>
        </w:tc>
        <w:tc>
          <w:tcPr>
            <w:tcW w:w="1322" w:type="dxa"/>
            <w:tcBorders>
              <w:tl2br w:val="nil"/>
              <w:tr2bl w:val="nil"/>
            </w:tcBorders>
            <w:vAlign w:val="center"/>
          </w:tcPr>
          <w:p>
            <w:pPr>
              <w:pStyle w:val="41"/>
              <w:rPr>
                <w:color w:val="auto"/>
                <w:highlight w:val="none"/>
              </w:rPr>
            </w:pPr>
            <w:r>
              <w:rPr>
                <w:color w:val="auto"/>
                <w:highlight w:val="none"/>
              </w:rPr>
              <w:t>厂界噪声贡献值</w:t>
            </w:r>
          </w:p>
        </w:tc>
        <w:tc>
          <w:tcPr>
            <w:tcW w:w="6269" w:type="dxa"/>
            <w:gridSpan w:val="11"/>
            <w:tcBorders>
              <w:tl2br w:val="nil"/>
              <w:tr2bl w:val="nil"/>
            </w:tcBorders>
            <w:vAlign w:val="center"/>
          </w:tcPr>
          <w:p>
            <w:pPr>
              <w:pStyle w:val="41"/>
              <w:rPr>
                <w:color w:val="auto"/>
                <w:highlight w:val="none"/>
              </w:rPr>
            </w:pPr>
            <w:r>
              <w:rPr>
                <w:color w:val="auto"/>
                <w:highlight w:val="none"/>
              </w:rPr>
              <w:t>达标</w:t>
            </w:r>
            <w:r>
              <w:rPr>
                <w:color w:val="auto"/>
                <w:highlight w:val="none"/>
              </w:rPr>
              <w:sym w:font="Wingdings 2" w:char="0052"/>
            </w:r>
            <w:r>
              <w:rPr>
                <w:color w:val="auto"/>
                <w:highlight w:val="none"/>
              </w:rPr>
              <w:t xml:space="preserve">                         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605" w:hRule="atLeast"/>
        </w:trPr>
        <w:tc>
          <w:tcPr>
            <w:tcW w:w="928" w:type="dxa"/>
            <w:vMerge w:val="continue"/>
            <w:tcBorders>
              <w:tl2br w:val="nil"/>
              <w:tr2bl w:val="nil"/>
            </w:tcBorders>
            <w:vAlign w:val="center"/>
          </w:tcPr>
          <w:p>
            <w:pPr>
              <w:pStyle w:val="41"/>
              <w:rPr>
                <w:color w:val="auto"/>
                <w:highlight w:val="none"/>
              </w:rPr>
            </w:pPr>
          </w:p>
        </w:tc>
        <w:tc>
          <w:tcPr>
            <w:tcW w:w="1322" w:type="dxa"/>
            <w:tcBorders>
              <w:tl2br w:val="nil"/>
              <w:tr2bl w:val="nil"/>
            </w:tcBorders>
            <w:vAlign w:val="center"/>
          </w:tcPr>
          <w:p>
            <w:pPr>
              <w:pStyle w:val="41"/>
              <w:rPr>
                <w:color w:val="auto"/>
                <w:highlight w:val="none"/>
              </w:rPr>
            </w:pPr>
            <w:r>
              <w:rPr>
                <w:color w:val="auto"/>
                <w:highlight w:val="none"/>
              </w:rPr>
              <w:t>声环境保护目标处噪声值</w:t>
            </w:r>
          </w:p>
        </w:tc>
        <w:tc>
          <w:tcPr>
            <w:tcW w:w="6269" w:type="dxa"/>
            <w:gridSpan w:val="11"/>
            <w:tcBorders>
              <w:tl2br w:val="nil"/>
              <w:tr2bl w:val="nil"/>
            </w:tcBorders>
            <w:vAlign w:val="center"/>
          </w:tcPr>
          <w:p>
            <w:pPr>
              <w:pStyle w:val="41"/>
              <w:rPr>
                <w:color w:val="auto"/>
                <w:highlight w:val="none"/>
              </w:rPr>
            </w:pPr>
            <w:r>
              <w:rPr>
                <w:color w:val="auto"/>
                <w:highlight w:val="none"/>
              </w:rPr>
              <w:t>达标</w:t>
            </w:r>
            <w:r>
              <w:rPr>
                <w:color w:val="auto"/>
                <w:highlight w:val="none"/>
              </w:rPr>
              <w:sym w:font="Wingdings 2" w:char="00A3"/>
            </w:r>
            <w:r>
              <w:rPr>
                <w:color w:val="auto"/>
                <w:highlight w:val="none"/>
              </w:rPr>
              <w:t xml:space="preserve">                        不达标□</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414" w:hRule="atLeast"/>
        </w:trPr>
        <w:tc>
          <w:tcPr>
            <w:tcW w:w="928" w:type="dxa"/>
            <w:vMerge w:val="restart"/>
            <w:tcBorders>
              <w:tl2br w:val="nil"/>
              <w:tr2bl w:val="nil"/>
            </w:tcBorders>
            <w:vAlign w:val="center"/>
          </w:tcPr>
          <w:p>
            <w:pPr>
              <w:pStyle w:val="41"/>
              <w:rPr>
                <w:color w:val="auto"/>
                <w:highlight w:val="none"/>
              </w:rPr>
            </w:pPr>
            <w:r>
              <w:rPr>
                <w:color w:val="auto"/>
                <w:highlight w:val="none"/>
              </w:rPr>
              <w:t>环境监测计划</w:t>
            </w:r>
          </w:p>
        </w:tc>
        <w:tc>
          <w:tcPr>
            <w:tcW w:w="1322" w:type="dxa"/>
            <w:tcBorders>
              <w:tl2br w:val="nil"/>
              <w:tr2bl w:val="nil"/>
            </w:tcBorders>
            <w:vAlign w:val="center"/>
          </w:tcPr>
          <w:p>
            <w:pPr>
              <w:pStyle w:val="41"/>
              <w:rPr>
                <w:color w:val="auto"/>
                <w:highlight w:val="none"/>
              </w:rPr>
            </w:pPr>
            <w:r>
              <w:rPr>
                <w:color w:val="auto"/>
                <w:highlight w:val="none"/>
              </w:rPr>
              <w:t>排放监测</w:t>
            </w:r>
          </w:p>
        </w:tc>
        <w:tc>
          <w:tcPr>
            <w:tcW w:w="6269" w:type="dxa"/>
            <w:gridSpan w:val="11"/>
            <w:tcBorders>
              <w:tl2br w:val="nil"/>
              <w:tr2bl w:val="nil"/>
            </w:tcBorders>
            <w:vAlign w:val="center"/>
          </w:tcPr>
          <w:p>
            <w:pPr>
              <w:pStyle w:val="41"/>
              <w:rPr>
                <w:color w:val="auto"/>
                <w:highlight w:val="none"/>
              </w:rPr>
            </w:pPr>
            <w:r>
              <w:rPr>
                <w:color w:val="auto"/>
                <w:highlight w:val="none"/>
              </w:rPr>
              <w:t>厂界监测</w:t>
            </w:r>
            <w:r>
              <w:rPr>
                <w:color w:val="auto"/>
                <w:highlight w:val="none"/>
              </w:rPr>
              <w:sym w:font="Wingdings 2" w:char="0052"/>
            </w:r>
            <w:r>
              <w:rPr>
                <w:color w:val="auto"/>
                <w:highlight w:val="none"/>
              </w:rPr>
              <w:t xml:space="preserve">  固定位置监测□  自动监测□  手动监测□  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647" w:hRule="atLeast"/>
        </w:trPr>
        <w:tc>
          <w:tcPr>
            <w:tcW w:w="928" w:type="dxa"/>
            <w:vMerge w:val="continue"/>
            <w:tcBorders>
              <w:tl2br w:val="nil"/>
              <w:tr2bl w:val="nil"/>
            </w:tcBorders>
            <w:vAlign w:val="center"/>
          </w:tcPr>
          <w:p>
            <w:pPr>
              <w:pStyle w:val="41"/>
              <w:rPr>
                <w:color w:val="auto"/>
                <w:highlight w:val="none"/>
              </w:rPr>
            </w:pPr>
          </w:p>
        </w:tc>
        <w:tc>
          <w:tcPr>
            <w:tcW w:w="1322" w:type="dxa"/>
            <w:tcBorders>
              <w:tl2br w:val="nil"/>
              <w:tr2bl w:val="nil"/>
            </w:tcBorders>
            <w:vAlign w:val="center"/>
          </w:tcPr>
          <w:p>
            <w:pPr>
              <w:pStyle w:val="41"/>
              <w:rPr>
                <w:color w:val="auto"/>
                <w:highlight w:val="none"/>
              </w:rPr>
            </w:pPr>
            <w:r>
              <w:rPr>
                <w:color w:val="auto"/>
                <w:highlight w:val="none"/>
              </w:rPr>
              <w:t>声环境保护目标处噪声监测</w:t>
            </w:r>
          </w:p>
        </w:tc>
        <w:tc>
          <w:tcPr>
            <w:tcW w:w="3040" w:type="dxa"/>
            <w:gridSpan w:val="5"/>
            <w:tcBorders>
              <w:tl2br w:val="nil"/>
              <w:tr2bl w:val="nil"/>
            </w:tcBorders>
            <w:vAlign w:val="center"/>
          </w:tcPr>
          <w:p>
            <w:pPr>
              <w:pStyle w:val="41"/>
              <w:rPr>
                <w:color w:val="auto"/>
                <w:highlight w:val="none"/>
              </w:rPr>
            </w:pPr>
            <w:r>
              <w:rPr>
                <w:color w:val="auto"/>
                <w:highlight w:val="none"/>
              </w:rPr>
              <w:t>监测因子：</w:t>
            </w:r>
            <w:r>
              <w:rPr>
                <w:rFonts w:hint="eastAsia"/>
                <w:color w:val="auto"/>
                <w:highlight w:val="none"/>
                <w:lang w:eastAsia="zh-CN"/>
              </w:rPr>
              <w:t>（</w:t>
            </w:r>
            <w:r>
              <w:rPr>
                <w:color w:val="auto"/>
                <w:highlight w:val="none"/>
              </w:rPr>
              <w:t xml:space="preserve">     </w:t>
            </w:r>
            <w:r>
              <w:rPr>
                <w:rFonts w:hint="eastAsia"/>
                <w:color w:val="auto"/>
                <w:highlight w:val="none"/>
                <w:lang w:eastAsia="zh-CN"/>
              </w:rPr>
              <w:t>）</w:t>
            </w:r>
          </w:p>
        </w:tc>
        <w:tc>
          <w:tcPr>
            <w:tcW w:w="2035" w:type="dxa"/>
            <w:gridSpan w:val="4"/>
            <w:tcBorders>
              <w:tl2br w:val="nil"/>
              <w:tr2bl w:val="nil"/>
            </w:tcBorders>
            <w:vAlign w:val="center"/>
          </w:tcPr>
          <w:p>
            <w:pPr>
              <w:pStyle w:val="41"/>
              <w:rPr>
                <w:color w:val="auto"/>
                <w:highlight w:val="none"/>
              </w:rPr>
            </w:pPr>
            <w:r>
              <w:rPr>
                <w:color w:val="auto"/>
                <w:highlight w:val="none"/>
              </w:rPr>
              <w:t>监测点位数</w:t>
            </w:r>
            <w:r>
              <w:rPr>
                <w:rFonts w:hint="eastAsia"/>
                <w:color w:val="auto"/>
                <w:highlight w:val="none"/>
                <w:lang w:eastAsia="zh-CN"/>
              </w:rPr>
              <w:t>（</w:t>
            </w:r>
            <w:r>
              <w:rPr>
                <w:color w:val="auto"/>
                <w:highlight w:val="none"/>
              </w:rPr>
              <w:t xml:space="preserve">     </w:t>
            </w:r>
            <w:r>
              <w:rPr>
                <w:rFonts w:hint="eastAsia"/>
                <w:color w:val="auto"/>
                <w:highlight w:val="none"/>
                <w:lang w:eastAsia="zh-CN"/>
              </w:rPr>
              <w:t>）</w:t>
            </w:r>
          </w:p>
        </w:tc>
        <w:tc>
          <w:tcPr>
            <w:tcW w:w="1194" w:type="dxa"/>
            <w:gridSpan w:val="2"/>
            <w:tcBorders>
              <w:tl2br w:val="nil"/>
              <w:tr2bl w:val="nil"/>
            </w:tcBorders>
            <w:vAlign w:val="center"/>
          </w:tcPr>
          <w:p>
            <w:pPr>
              <w:pStyle w:val="41"/>
              <w:rPr>
                <w:color w:val="auto"/>
                <w:highlight w:val="none"/>
              </w:rPr>
            </w:pPr>
            <w:r>
              <w:rPr>
                <w:color w:val="auto"/>
                <w:highlight w:val="none"/>
              </w:rPr>
              <w:t>无监测□</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68" w:hRule="atLeast"/>
        </w:trPr>
        <w:tc>
          <w:tcPr>
            <w:tcW w:w="928" w:type="dxa"/>
            <w:tcBorders>
              <w:tl2br w:val="nil"/>
              <w:tr2bl w:val="nil"/>
            </w:tcBorders>
            <w:vAlign w:val="center"/>
          </w:tcPr>
          <w:p>
            <w:pPr>
              <w:pStyle w:val="41"/>
              <w:rPr>
                <w:color w:val="auto"/>
                <w:highlight w:val="none"/>
              </w:rPr>
            </w:pPr>
            <w:r>
              <w:rPr>
                <w:color w:val="auto"/>
                <w:highlight w:val="none"/>
              </w:rPr>
              <w:t>评价结论</w:t>
            </w:r>
          </w:p>
        </w:tc>
        <w:tc>
          <w:tcPr>
            <w:tcW w:w="1322" w:type="dxa"/>
            <w:tcBorders>
              <w:tl2br w:val="nil"/>
              <w:tr2bl w:val="nil"/>
            </w:tcBorders>
            <w:vAlign w:val="center"/>
          </w:tcPr>
          <w:p>
            <w:pPr>
              <w:pStyle w:val="41"/>
              <w:rPr>
                <w:color w:val="auto"/>
                <w:highlight w:val="none"/>
              </w:rPr>
            </w:pPr>
            <w:r>
              <w:rPr>
                <w:color w:val="auto"/>
                <w:highlight w:val="none"/>
              </w:rPr>
              <w:t>环境影响</w:t>
            </w:r>
          </w:p>
        </w:tc>
        <w:tc>
          <w:tcPr>
            <w:tcW w:w="6269" w:type="dxa"/>
            <w:gridSpan w:val="11"/>
            <w:tcBorders>
              <w:tl2br w:val="nil"/>
              <w:tr2bl w:val="nil"/>
            </w:tcBorders>
            <w:vAlign w:val="center"/>
          </w:tcPr>
          <w:p>
            <w:pPr>
              <w:pStyle w:val="41"/>
              <w:rPr>
                <w:color w:val="auto"/>
                <w:highlight w:val="none"/>
              </w:rPr>
            </w:pPr>
            <w:r>
              <w:rPr>
                <w:color w:val="auto"/>
                <w:highlight w:val="none"/>
              </w:rPr>
              <w:t>可行</w:t>
            </w:r>
            <w:r>
              <w:rPr>
                <w:color w:val="auto"/>
                <w:highlight w:val="none"/>
              </w:rPr>
              <w:sym w:font="Wingdings 2" w:char="0052"/>
            </w:r>
            <w:r>
              <w:rPr>
                <w:color w:val="auto"/>
                <w:highlight w:val="none"/>
              </w:rPr>
              <w:t xml:space="preserve">       不可行□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000000" w:sz="2" w:space="0"/>
          </w:tblBorders>
          <w:tblCellMar>
            <w:top w:w="0" w:type="dxa"/>
            <w:left w:w="0" w:type="dxa"/>
            <w:bottom w:w="0" w:type="dxa"/>
            <w:right w:w="0" w:type="dxa"/>
          </w:tblCellMar>
        </w:tblPrEx>
        <w:trPr>
          <w:trHeight w:val="387" w:hRule="atLeast"/>
        </w:trPr>
        <w:tc>
          <w:tcPr>
            <w:tcW w:w="8519" w:type="dxa"/>
            <w:gridSpan w:val="13"/>
            <w:tcBorders>
              <w:tl2br w:val="nil"/>
              <w:tr2bl w:val="nil"/>
            </w:tcBorders>
            <w:vAlign w:val="center"/>
          </w:tcPr>
          <w:p>
            <w:pPr>
              <w:pStyle w:val="41"/>
              <w:rPr>
                <w:color w:val="auto"/>
                <w:highlight w:val="none"/>
              </w:rPr>
            </w:pPr>
            <w:r>
              <w:rPr>
                <w:color w:val="auto"/>
                <w:highlight w:val="none"/>
              </w:rPr>
              <w:t>注：“□”为勾选项，可 √ ；“</w:t>
            </w:r>
            <w:r>
              <w:rPr>
                <w:rFonts w:hint="eastAsia"/>
                <w:color w:val="auto"/>
                <w:highlight w:val="none"/>
                <w:lang w:eastAsia="zh-CN"/>
              </w:rPr>
              <w:t>（</w:t>
            </w:r>
            <w:r>
              <w:rPr>
                <w:color w:val="auto"/>
                <w:highlight w:val="none"/>
              </w:rPr>
              <w:t xml:space="preserve">   </w:t>
            </w:r>
            <w:r>
              <w:rPr>
                <w:rFonts w:hint="eastAsia"/>
                <w:color w:val="auto"/>
                <w:highlight w:val="none"/>
                <w:lang w:eastAsia="zh-CN"/>
              </w:rPr>
              <w:t>）</w:t>
            </w:r>
            <w:r>
              <w:rPr>
                <w:color w:val="auto"/>
                <w:highlight w:val="none"/>
              </w:rPr>
              <w:t>”为内容填写项。</w:t>
            </w:r>
          </w:p>
        </w:tc>
      </w:tr>
    </w:tbl>
    <w:p>
      <w:pPr>
        <w:pStyle w:val="49"/>
        <w:pageBreakBefore w:val="0"/>
        <w:kinsoku/>
        <w:overflowPunct/>
        <w:topLinePunct w:val="0"/>
        <w:autoSpaceDE/>
        <w:autoSpaceDN/>
        <w:bidi w:val="0"/>
        <w:spacing w:line="480" w:lineRule="exact"/>
        <w:textAlignment w:val="auto"/>
        <w:rPr>
          <w:color w:val="auto"/>
          <w:highlight w:val="none"/>
        </w:rPr>
      </w:pPr>
      <w:bookmarkStart w:id="675" w:name="_Toc17693"/>
      <w:bookmarkStart w:id="676" w:name="_Toc173941910"/>
      <w:bookmarkStart w:id="677" w:name="_Toc173941740"/>
      <w:bookmarkStart w:id="678" w:name="_Toc25074"/>
      <w:bookmarkStart w:id="679" w:name="_Toc28750"/>
      <w:bookmarkStart w:id="680" w:name="_Toc173942694"/>
      <w:r>
        <w:rPr>
          <w:rFonts w:hint="eastAsia"/>
          <w:color w:val="auto"/>
          <w:highlight w:val="none"/>
        </w:rPr>
        <w:t>5.7</w:t>
      </w:r>
      <w:r>
        <w:rPr>
          <w:color w:val="auto"/>
          <w:highlight w:val="none"/>
        </w:rPr>
        <w:t>固体废物影响分析</w:t>
      </w:r>
      <w:bookmarkEnd w:id="675"/>
      <w:bookmarkEnd w:id="676"/>
      <w:bookmarkEnd w:id="677"/>
      <w:bookmarkEnd w:id="678"/>
      <w:bookmarkEnd w:id="679"/>
      <w:bookmarkEnd w:id="680"/>
    </w:p>
    <w:p>
      <w:pPr>
        <w:pStyle w:val="53"/>
        <w:pageBreakBefore w:val="0"/>
        <w:kinsoku/>
        <w:overflowPunct/>
        <w:topLinePunct w:val="0"/>
        <w:autoSpaceDE/>
        <w:autoSpaceDN/>
        <w:bidi w:val="0"/>
        <w:spacing w:line="480" w:lineRule="exact"/>
        <w:textAlignment w:val="auto"/>
        <w:rPr>
          <w:color w:val="auto"/>
          <w:highlight w:val="none"/>
        </w:rPr>
      </w:pPr>
      <w:bookmarkStart w:id="681" w:name="_Toc173941911"/>
      <w:bookmarkStart w:id="682" w:name="_Toc212280213"/>
      <w:bookmarkStart w:id="683" w:name="_Toc125468031"/>
      <w:bookmarkStart w:id="684" w:name="_Toc246160433"/>
      <w:r>
        <w:rPr>
          <w:rFonts w:hint="eastAsia"/>
          <w:color w:val="auto"/>
          <w:highlight w:val="none"/>
        </w:rPr>
        <w:t>5.7</w:t>
      </w:r>
      <w:r>
        <w:rPr>
          <w:color w:val="auto"/>
          <w:highlight w:val="none"/>
        </w:rPr>
        <w:t>.1施工期固体废物影响</w:t>
      </w:r>
      <w:bookmarkEnd w:id="681"/>
    </w:p>
    <w:p>
      <w:pPr>
        <w:pStyle w:val="57"/>
        <w:pageBreakBefore w:val="0"/>
        <w:kinsoku/>
        <w:overflowPunct/>
        <w:topLinePunct w:val="0"/>
        <w:autoSpaceDE/>
        <w:autoSpaceDN/>
        <w:bidi w:val="0"/>
        <w:spacing w:line="480" w:lineRule="exact"/>
        <w:ind w:firstLine="500"/>
        <w:textAlignment w:val="auto"/>
        <w:rPr>
          <w:rFonts w:hint="eastAsia"/>
          <w:color w:val="auto"/>
          <w:sz w:val="24"/>
          <w:szCs w:val="24"/>
          <w:highlight w:val="none"/>
        </w:rPr>
      </w:pPr>
      <w:r>
        <w:rPr>
          <w:rFonts w:hint="eastAsia"/>
          <w:color w:val="auto"/>
          <w:sz w:val="24"/>
          <w:szCs w:val="24"/>
          <w:highlight w:val="none"/>
          <w:shd w:val="clear" w:color="auto" w:fill="auto"/>
        </w:rPr>
        <w:t>本工程在开发期产生的固体废物主要包括钻井泥浆、岩屑、施工废料、施工人员产生的生活垃圾、废油和含油废弃物、</w:t>
      </w:r>
      <w:r>
        <w:rPr>
          <w:rFonts w:hint="eastAsia"/>
          <w:color w:val="auto"/>
          <w:sz w:val="24"/>
          <w:szCs w:val="24"/>
          <w:highlight w:val="none"/>
          <w:shd w:val="clear" w:color="auto" w:fill="auto"/>
          <w:lang w:eastAsia="zh-CN"/>
        </w:rPr>
        <w:t>废纯碱、膨润土、水泥等包装袋、</w:t>
      </w:r>
      <w:r>
        <w:rPr>
          <w:rFonts w:hint="eastAsia"/>
          <w:color w:val="auto"/>
          <w:sz w:val="24"/>
          <w:szCs w:val="24"/>
          <w:highlight w:val="none"/>
          <w:shd w:val="clear" w:color="auto" w:fill="auto"/>
        </w:rPr>
        <w:t>施工废弃土石方。</w:t>
      </w:r>
    </w:p>
    <w:p>
      <w:pPr>
        <w:pStyle w:val="75"/>
        <w:pageBreakBefore w:val="0"/>
        <w:kinsoku/>
        <w:overflowPunct/>
        <w:topLinePunct w:val="0"/>
        <w:autoSpaceDE/>
        <w:autoSpaceDN/>
        <w:bidi w:val="0"/>
        <w:spacing w:line="480" w:lineRule="exact"/>
        <w:jc w:val="both"/>
        <w:textAlignment w:val="auto"/>
        <w:rPr>
          <w:color w:val="auto"/>
          <w:sz w:val="24"/>
          <w:szCs w:val="24"/>
          <w:highlight w:val="none"/>
          <w:shd w:val="clear" w:color="auto" w:fill="auto"/>
        </w:rPr>
      </w:pPr>
      <w:r>
        <w:rPr>
          <w:rFonts w:hint="eastAsia"/>
          <w:color w:val="auto"/>
          <w:sz w:val="24"/>
          <w:szCs w:val="24"/>
          <w:highlight w:val="none"/>
          <w:shd w:val="clear" w:color="auto" w:fill="auto"/>
        </w:rPr>
        <w:t>本工程新钻井井身结构为</w:t>
      </w:r>
      <w:r>
        <w:rPr>
          <w:rFonts w:hint="eastAsia"/>
          <w:color w:val="auto"/>
          <w:sz w:val="24"/>
          <w:szCs w:val="24"/>
          <w:highlight w:val="none"/>
          <w:shd w:val="clear" w:color="auto" w:fill="auto"/>
          <w:lang w:val="en-US" w:eastAsia="zh-CN"/>
        </w:rPr>
        <w:t>三</w:t>
      </w:r>
      <w:r>
        <w:rPr>
          <w:rFonts w:hint="eastAsia"/>
          <w:color w:val="auto"/>
          <w:sz w:val="24"/>
          <w:szCs w:val="24"/>
          <w:highlight w:val="none"/>
          <w:shd w:val="clear" w:color="auto" w:fill="auto"/>
        </w:rPr>
        <w:t>开，</w:t>
      </w:r>
      <w:r>
        <w:rPr>
          <w:rFonts w:hint="eastAsia"/>
          <w:color w:val="auto"/>
          <w:spacing w:val="-6"/>
          <w:sz w:val="24"/>
          <w:highlight w:val="none"/>
          <w:shd w:val="clear" w:color="auto" w:fill="auto"/>
          <w:lang w:val="en-US" w:eastAsia="zh-CN"/>
        </w:rPr>
        <w:t>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r>
        <w:rPr>
          <w:rFonts w:hint="eastAsia"/>
          <w:color w:val="auto"/>
          <w:sz w:val="24"/>
          <w:szCs w:val="24"/>
          <w:highlight w:val="none"/>
          <w:shd w:val="clear" w:color="auto" w:fill="auto"/>
          <w:lang w:eastAsia="zh-CN"/>
        </w:rPr>
        <w:t>。</w:t>
      </w:r>
    </w:p>
    <w:p>
      <w:pPr>
        <w:pStyle w:val="75"/>
        <w:pageBreakBefore w:val="0"/>
        <w:kinsoku/>
        <w:wordWrap/>
        <w:overflowPunct/>
        <w:topLinePunct w:val="0"/>
        <w:autoSpaceDE/>
        <w:autoSpaceDN/>
        <w:bidi w:val="0"/>
        <w:spacing w:line="480" w:lineRule="exact"/>
        <w:jc w:val="both"/>
        <w:textAlignment w:val="auto"/>
        <w:rPr>
          <w:color w:val="auto"/>
          <w:sz w:val="24"/>
          <w:szCs w:val="24"/>
          <w:highlight w:val="none"/>
          <w:shd w:val="clear" w:color="auto" w:fill="auto"/>
        </w:rPr>
      </w:pPr>
      <w:r>
        <w:rPr>
          <w:color w:val="auto"/>
          <w:sz w:val="24"/>
          <w:szCs w:val="24"/>
          <w:highlight w:val="none"/>
          <w:shd w:val="clear" w:color="auto" w:fill="auto"/>
        </w:rPr>
        <w:t>施工废料主要包括管材边角料、焊接作业中产生的废焊渣等</w:t>
      </w:r>
      <w:r>
        <w:rPr>
          <w:rFonts w:hint="eastAsia"/>
          <w:color w:val="auto"/>
          <w:sz w:val="24"/>
          <w:szCs w:val="24"/>
          <w:highlight w:val="none"/>
          <w:shd w:val="clear" w:color="auto" w:fill="auto"/>
        </w:rPr>
        <w:t>，</w:t>
      </w:r>
      <w:r>
        <w:rPr>
          <w:color w:val="auto"/>
          <w:sz w:val="24"/>
          <w:szCs w:val="24"/>
          <w:highlight w:val="none"/>
          <w:shd w:val="clear" w:color="auto" w:fill="auto"/>
        </w:rPr>
        <w:t>产生量约为</w:t>
      </w:r>
      <w:r>
        <w:rPr>
          <w:rFonts w:hint="eastAsia"/>
          <w:color w:val="auto"/>
          <w:sz w:val="24"/>
          <w:szCs w:val="24"/>
          <w:highlight w:val="none"/>
          <w:shd w:val="clear" w:color="auto" w:fill="auto"/>
          <w:lang w:val="en-US" w:eastAsia="zh-CN"/>
        </w:rPr>
        <w:t>5.25</w:t>
      </w:r>
      <w:r>
        <w:rPr>
          <w:color w:val="auto"/>
          <w:sz w:val="24"/>
          <w:szCs w:val="24"/>
          <w:highlight w:val="none"/>
          <w:shd w:val="clear" w:color="auto" w:fill="auto"/>
        </w:rPr>
        <w:t>t。首先考虑回收利用，不可回收利用部分拉运至</w:t>
      </w:r>
      <w:r>
        <w:rPr>
          <w:rFonts w:hint="eastAsia" w:ascii="Times New Roman" w:hAnsi="Times New Roman" w:cs="Times New Roman"/>
          <w:color w:val="auto"/>
          <w:sz w:val="24"/>
          <w:szCs w:val="24"/>
          <w:highlight w:val="none"/>
          <w:shd w:val="clear" w:color="auto" w:fill="auto"/>
          <w:lang w:eastAsia="zh-CN"/>
        </w:rPr>
        <w:t>克拉玛依市建筑垃圾填埋场填埋处置</w:t>
      </w:r>
      <w:r>
        <w:rPr>
          <w:color w:val="auto"/>
          <w:sz w:val="24"/>
          <w:szCs w:val="24"/>
          <w:highlight w:val="none"/>
          <w:shd w:val="clear" w:color="auto" w:fill="auto"/>
        </w:rPr>
        <w:t>。</w:t>
      </w:r>
    </w:p>
    <w:p>
      <w:pPr>
        <w:pStyle w:val="75"/>
        <w:pageBreakBefore w:val="0"/>
        <w:kinsoku/>
        <w:wordWrap/>
        <w:overflowPunct/>
        <w:topLinePunct w:val="0"/>
        <w:autoSpaceDE/>
        <w:autoSpaceDN/>
        <w:bidi w:val="0"/>
        <w:spacing w:line="480" w:lineRule="exact"/>
        <w:jc w:val="both"/>
        <w:textAlignment w:val="auto"/>
        <w:rPr>
          <w:color w:val="auto"/>
          <w:sz w:val="24"/>
          <w:szCs w:val="24"/>
          <w:highlight w:val="none"/>
          <w:shd w:val="clear" w:color="auto" w:fill="auto"/>
        </w:rPr>
      </w:pPr>
      <w:r>
        <w:rPr>
          <w:color w:val="auto"/>
          <w:sz w:val="24"/>
          <w:szCs w:val="24"/>
          <w:highlight w:val="none"/>
          <w:shd w:val="clear" w:color="auto" w:fill="auto"/>
        </w:rPr>
        <w:t>施工期间施工人员生活垃圾总产生量为</w:t>
      </w:r>
      <w:r>
        <w:rPr>
          <w:rFonts w:hint="eastAsia"/>
          <w:color w:val="auto"/>
          <w:sz w:val="24"/>
          <w:szCs w:val="24"/>
          <w:highlight w:val="none"/>
          <w:shd w:val="clear" w:color="auto" w:fill="auto"/>
          <w:lang w:val="en-US" w:eastAsia="zh-CN"/>
        </w:rPr>
        <w:t>16.2</w:t>
      </w:r>
      <w:r>
        <w:rPr>
          <w:color w:val="auto"/>
          <w:sz w:val="24"/>
          <w:szCs w:val="24"/>
          <w:highlight w:val="none"/>
          <w:shd w:val="clear" w:color="auto" w:fill="auto"/>
        </w:rPr>
        <w:t>t，集中收集后运至</w:t>
      </w:r>
      <w:r>
        <w:rPr>
          <w:rFonts w:hint="eastAsia"/>
          <w:color w:val="auto"/>
          <w:sz w:val="24"/>
          <w:szCs w:val="24"/>
          <w:highlight w:val="none"/>
          <w:shd w:val="clear" w:color="auto" w:fill="auto"/>
          <w:lang w:eastAsia="zh-CN"/>
        </w:rPr>
        <w:t>乌尔禾区生活垃圾填埋场</w:t>
      </w:r>
      <w:r>
        <w:rPr>
          <w:rFonts w:hint="eastAsia"/>
          <w:color w:val="auto"/>
          <w:sz w:val="24"/>
          <w:szCs w:val="24"/>
          <w:highlight w:val="none"/>
          <w:shd w:val="clear" w:color="auto" w:fill="auto"/>
        </w:rPr>
        <w:t>进行处置</w:t>
      </w:r>
      <w:r>
        <w:rPr>
          <w:color w:val="auto"/>
          <w:sz w:val="24"/>
          <w:szCs w:val="24"/>
          <w:highlight w:val="none"/>
          <w:shd w:val="clear" w:color="auto" w:fill="auto"/>
        </w:rPr>
        <w:t>。</w:t>
      </w:r>
    </w:p>
    <w:p>
      <w:pPr>
        <w:pStyle w:val="75"/>
        <w:pageBreakBefore w:val="0"/>
        <w:kinsoku/>
        <w:wordWrap/>
        <w:overflowPunct/>
        <w:topLinePunct w:val="0"/>
        <w:autoSpaceDE/>
        <w:autoSpaceDN/>
        <w:bidi w:val="0"/>
        <w:spacing w:line="480" w:lineRule="exact"/>
        <w:jc w:val="both"/>
        <w:textAlignment w:val="auto"/>
        <w:rPr>
          <w:color w:val="auto"/>
          <w:sz w:val="24"/>
          <w:szCs w:val="24"/>
          <w:highlight w:val="none"/>
          <w:shd w:val="clear" w:color="auto" w:fill="auto"/>
        </w:rPr>
      </w:pPr>
      <w:r>
        <w:rPr>
          <w:rFonts w:hint="eastAsia" w:ascii="Times New Roman" w:hAnsi="Times New Roman" w:eastAsia="宋体" w:cs="Times New Roman"/>
          <w:color w:val="auto"/>
          <w:sz w:val="24"/>
          <w:szCs w:val="24"/>
          <w:highlight w:val="none"/>
          <w:shd w:val="clear" w:color="auto" w:fill="auto"/>
          <w:lang w:eastAsia="zh-CN"/>
        </w:rPr>
        <w:t>钻井过程中，会产生废纯碱、膨润土、水泥等包装袋。本</w:t>
      </w:r>
      <w:r>
        <w:rPr>
          <w:rFonts w:hint="eastAsia" w:ascii="Times New Roman" w:hAnsi="Times New Roman" w:eastAsia="宋体" w:cs="Times New Roman"/>
          <w:color w:val="auto"/>
          <w:sz w:val="24"/>
          <w:szCs w:val="24"/>
          <w:highlight w:val="none"/>
          <w:shd w:val="clear" w:color="auto" w:fill="auto"/>
          <w:lang w:val="en-US" w:eastAsia="zh-CN"/>
        </w:rPr>
        <w:t>工程</w:t>
      </w:r>
      <w:r>
        <w:rPr>
          <w:rFonts w:hint="eastAsia" w:ascii="Times New Roman" w:hAnsi="Times New Roman" w:eastAsia="宋体" w:cs="Times New Roman"/>
          <w:color w:val="auto"/>
          <w:sz w:val="24"/>
          <w:szCs w:val="24"/>
          <w:highlight w:val="none"/>
          <w:shd w:val="clear" w:color="auto" w:fill="auto"/>
          <w:lang w:eastAsia="zh-CN"/>
        </w:rPr>
        <w:t>新钻</w:t>
      </w:r>
      <w:r>
        <w:rPr>
          <w:rFonts w:hint="eastAsia" w:ascii="Times New Roman" w:hAnsi="Times New Roman" w:eastAsia="宋体" w:cs="Times New Roman"/>
          <w:color w:val="auto"/>
          <w:sz w:val="24"/>
          <w:szCs w:val="24"/>
          <w:highlight w:val="none"/>
          <w:shd w:val="clear" w:color="auto" w:fill="auto"/>
          <w:lang w:val="en-US" w:eastAsia="zh-CN"/>
        </w:rPr>
        <w:t>7</w:t>
      </w:r>
      <w:r>
        <w:rPr>
          <w:rFonts w:hint="eastAsia" w:ascii="Times New Roman" w:hAnsi="Times New Roman" w:eastAsia="宋体" w:cs="Times New Roman"/>
          <w:color w:val="auto"/>
          <w:sz w:val="24"/>
          <w:szCs w:val="24"/>
          <w:highlight w:val="none"/>
          <w:shd w:val="clear" w:color="auto" w:fill="auto"/>
          <w:lang w:eastAsia="zh-CN"/>
        </w:rPr>
        <w:t>口井，因此，项目施工期</w:t>
      </w:r>
      <w:r>
        <w:rPr>
          <w:rFonts w:hint="eastAsia" w:ascii="Times New Roman" w:hAnsi="Times New Roman" w:eastAsia="宋体" w:cs="Times New Roman"/>
          <w:color w:val="auto"/>
          <w:sz w:val="24"/>
          <w:szCs w:val="24"/>
          <w:highlight w:val="none"/>
          <w:shd w:val="clear" w:color="auto" w:fill="auto"/>
          <w:lang w:val="en-US" w:eastAsia="zh-CN"/>
        </w:rPr>
        <w:t>废纯碱、膨润土、水泥等包装袋</w:t>
      </w:r>
      <w:r>
        <w:rPr>
          <w:rFonts w:hint="eastAsia" w:ascii="Times New Roman" w:hAnsi="Times New Roman" w:eastAsia="宋体" w:cs="Times New Roman"/>
          <w:color w:val="auto"/>
          <w:sz w:val="24"/>
          <w:szCs w:val="24"/>
          <w:highlight w:val="none"/>
          <w:shd w:val="clear" w:color="auto" w:fill="auto"/>
          <w:lang w:eastAsia="zh-CN"/>
        </w:rPr>
        <w:t>产生量约为</w:t>
      </w:r>
      <w:r>
        <w:rPr>
          <w:rFonts w:hint="eastAsia" w:ascii="Times New Roman" w:hAnsi="Times New Roman" w:eastAsia="宋体" w:cs="Times New Roman"/>
          <w:color w:val="auto"/>
          <w:sz w:val="24"/>
          <w:szCs w:val="24"/>
          <w:highlight w:val="none"/>
          <w:shd w:val="clear" w:color="auto" w:fill="auto"/>
          <w:lang w:val="en-US" w:eastAsia="zh-CN"/>
        </w:rPr>
        <w:t>0.14</w:t>
      </w:r>
      <w:r>
        <w:rPr>
          <w:rFonts w:hint="eastAsia" w:ascii="Times New Roman" w:hAnsi="Times New Roman" w:eastAsia="宋体" w:cs="Times New Roman"/>
          <w:color w:val="auto"/>
          <w:sz w:val="24"/>
          <w:szCs w:val="24"/>
          <w:highlight w:val="none"/>
          <w:shd w:val="clear" w:color="auto" w:fill="auto"/>
          <w:lang w:eastAsia="zh-CN"/>
        </w:rPr>
        <w:t>t，属于一般工业固体废物，参照执行《一般工业固体废物贮存和填埋污染控制标准》（GB18599-2020）要求，由钻井施工单位集中收集后统一回收处置</w:t>
      </w:r>
      <w:r>
        <w:rPr>
          <w:rFonts w:hint="eastAsia" w:ascii="Times New Roman" w:hAnsi="Times New Roman" w:eastAsia="宋体" w:cs="Times New Roman"/>
          <w:bCs/>
          <w:snapToGrid w:val="0"/>
          <w:color w:val="auto"/>
          <w:sz w:val="24"/>
          <w:szCs w:val="24"/>
          <w:highlight w:val="none"/>
          <w:shd w:val="clear" w:color="auto" w:fill="auto"/>
          <w:lang w:val="en-US" w:eastAsia="zh-CN"/>
        </w:rPr>
        <w:t>。</w:t>
      </w:r>
    </w:p>
    <w:p>
      <w:pPr>
        <w:pStyle w:val="86"/>
        <w:pageBreakBefore w:val="0"/>
        <w:kinsoku/>
        <w:overflowPunct/>
        <w:topLinePunct w:val="0"/>
        <w:autoSpaceDE/>
        <w:autoSpaceDN/>
        <w:bidi w:val="0"/>
        <w:spacing w:line="480" w:lineRule="exact"/>
        <w:ind w:firstLine="480" w:firstLineChars="200"/>
        <w:jc w:val="both"/>
        <w:textAlignment w:val="auto"/>
        <w:rPr>
          <w:color w:val="auto"/>
          <w:sz w:val="24"/>
          <w:szCs w:val="24"/>
          <w:highlight w:val="none"/>
          <w:shd w:val="clear" w:color="auto" w:fill="auto"/>
        </w:rPr>
      </w:pPr>
      <w:r>
        <w:rPr>
          <w:rFonts w:hint="eastAsia"/>
          <w:color w:val="auto"/>
          <w:sz w:val="24"/>
          <w:szCs w:val="24"/>
          <w:highlight w:val="none"/>
          <w:shd w:val="clear" w:color="auto" w:fill="auto"/>
          <w:lang w:eastAsia="zh-CN"/>
        </w:rPr>
        <w:t>本工程</w:t>
      </w:r>
      <w:r>
        <w:rPr>
          <w:color w:val="auto"/>
          <w:sz w:val="24"/>
          <w:szCs w:val="24"/>
          <w:highlight w:val="none"/>
          <w:shd w:val="clear" w:color="auto" w:fill="auto"/>
        </w:rPr>
        <w:t>施工期共产生机械设备废油和含油废弃物约</w:t>
      </w:r>
      <w:r>
        <w:rPr>
          <w:rFonts w:hint="eastAsia"/>
          <w:color w:val="auto"/>
          <w:sz w:val="24"/>
          <w:szCs w:val="24"/>
          <w:highlight w:val="none"/>
          <w:shd w:val="clear" w:color="auto" w:fill="auto"/>
          <w:lang w:val="en-US" w:eastAsia="zh-CN"/>
        </w:rPr>
        <w:t>1.8</w:t>
      </w:r>
      <w:r>
        <w:rPr>
          <w:color w:val="auto"/>
          <w:sz w:val="24"/>
          <w:szCs w:val="24"/>
          <w:highlight w:val="none"/>
          <w:shd w:val="clear" w:color="auto" w:fill="auto"/>
        </w:rPr>
        <w:t>t，</w:t>
      </w:r>
      <w:r>
        <w:rPr>
          <w:rFonts w:hint="eastAsia"/>
          <w:color w:val="auto"/>
          <w:sz w:val="24"/>
          <w:szCs w:val="24"/>
          <w:highlight w:val="none"/>
          <w:shd w:val="clear" w:color="auto" w:fill="auto"/>
        </w:rPr>
        <w:t>废油划分为废矿物油与含矿物油废物类，其危险废物编号为HW08，</w:t>
      </w:r>
      <w:r>
        <w:rPr>
          <w:rFonts w:hint="eastAsia"/>
          <w:color w:val="auto"/>
          <w:sz w:val="24"/>
          <w:szCs w:val="24"/>
          <w:highlight w:val="none"/>
          <w:shd w:val="clear" w:color="auto" w:fill="auto"/>
          <w:lang w:val="en-US" w:eastAsia="zh-CN"/>
        </w:rPr>
        <w:t>采</w:t>
      </w:r>
      <w:r>
        <w:rPr>
          <w:rFonts w:hint="eastAsia"/>
          <w:color w:val="auto"/>
          <w:sz w:val="24"/>
          <w:szCs w:val="24"/>
          <w:highlight w:val="none"/>
          <w:shd w:val="clear" w:color="auto" w:fill="auto"/>
        </w:rPr>
        <w:t>用专用罐集中收集后</w:t>
      </w:r>
      <w:r>
        <w:rPr>
          <w:rFonts w:hint="eastAsia"/>
          <w:color w:val="auto"/>
          <w:sz w:val="24"/>
          <w:szCs w:val="24"/>
          <w:highlight w:val="none"/>
          <w:shd w:val="clear" w:color="auto" w:fill="auto"/>
          <w:lang w:val="en-US" w:eastAsia="zh-CN"/>
        </w:rPr>
        <w:t>暂存于撬装式危废暂存点</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lang w:val="en-US" w:eastAsia="zh-CN"/>
        </w:rPr>
        <w:t>作业施工结束后</w:t>
      </w:r>
      <w:r>
        <w:rPr>
          <w:rFonts w:hint="eastAsia"/>
          <w:color w:val="auto"/>
          <w:sz w:val="24"/>
          <w:szCs w:val="24"/>
          <w:highlight w:val="none"/>
          <w:shd w:val="clear" w:color="auto" w:fill="auto"/>
          <w:lang w:eastAsia="zh-CN"/>
        </w:rPr>
        <w:t>，</w:t>
      </w:r>
      <w:r>
        <w:rPr>
          <w:rFonts w:hint="eastAsia" w:ascii="Times New Roman" w:hAnsi="Times New Roman" w:cs="Times New Roman"/>
          <w:color w:val="auto"/>
          <w:sz w:val="24"/>
          <w:szCs w:val="24"/>
          <w:highlight w:val="none"/>
          <w:shd w:val="clear" w:color="auto" w:fill="auto"/>
          <w:lang w:val="en-US" w:eastAsia="zh-CN"/>
        </w:rPr>
        <w:t>委托克拉玛依顺通环保科技有限责任公司或其他有危废处置资质单位接收处置</w:t>
      </w:r>
      <w:r>
        <w:rPr>
          <w:color w:val="auto"/>
          <w:sz w:val="24"/>
          <w:szCs w:val="24"/>
          <w:highlight w:val="none"/>
          <w:shd w:val="clear" w:color="auto" w:fill="auto"/>
        </w:rPr>
        <w:t>。考虑到转运期间的时间间隔，钻井场地应设置</w:t>
      </w:r>
      <w:r>
        <w:rPr>
          <w:rFonts w:hint="eastAsia"/>
          <w:color w:val="auto"/>
          <w:sz w:val="24"/>
          <w:szCs w:val="24"/>
          <w:highlight w:val="none"/>
          <w:shd w:val="clear" w:color="auto" w:fill="auto"/>
        </w:rPr>
        <w:t>撬装式</w:t>
      </w:r>
      <w:r>
        <w:rPr>
          <w:color w:val="auto"/>
          <w:sz w:val="24"/>
          <w:szCs w:val="24"/>
          <w:highlight w:val="none"/>
          <w:shd w:val="clear" w:color="auto" w:fill="auto"/>
        </w:rPr>
        <w:t>危险废物临时贮存间，危险废物临时贮存间须严格按照</w:t>
      </w:r>
      <w:r>
        <w:rPr>
          <w:rFonts w:hint="eastAsia"/>
          <w:color w:val="auto"/>
          <w:sz w:val="24"/>
          <w:szCs w:val="24"/>
          <w:highlight w:val="none"/>
          <w:shd w:val="clear" w:color="auto" w:fill="auto"/>
        </w:rPr>
        <w:t>《危险废物贮存污染控制标准》（GB18597-2023</w:t>
      </w:r>
      <w:r>
        <w:rPr>
          <w:rFonts w:hint="eastAsia"/>
          <w:color w:val="auto"/>
          <w:sz w:val="24"/>
          <w:szCs w:val="24"/>
          <w:highlight w:val="none"/>
          <w:shd w:val="clear" w:color="auto" w:fill="auto"/>
          <w:lang w:eastAsia="zh-CN"/>
        </w:rPr>
        <w:t>）</w:t>
      </w:r>
      <w:r>
        <w:rPr>
          <w:color w:val="auto"/>
          <w:sz w:val="24"/>
          <w:szCs w:val="24"/>
          <w:highlight w:val="none"/>
          <w:shd w:val="clear" w:color="auto" w:fill="auto"/>
        </w:rPr>
        <w:t>的相关要求建设</w:t>
      </w:r>
      <w:r>
        <w:rPr>
          <w:rFonts w:hint="eastAsia"/>
          <w:color w:val="auto"/>
          <w:sz w:val="24"/>
          <w:szCs w:val="24"/>
          <w:highlight w:val="none"/>
          <w:shd w:val="clear" w:color="auto" w:fill="auto"/>
        </w:rPr>
        <w:t>。危险废物转运过程中由专用运输车辆进行运输、转移，按照危险废物收集贮存运输技术规范</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HJ2025-2012</w:t>
      </w:r>
      <w:r>
        <w:rPr>
          <w:rFonts w:hint="eastAsia"/>
          <w:color w:val="auto"/>
          <w:sz w:val="24"/>
          <w:szCs w:val="24"/>
          <w:highlight w:val="none"/>
          <w:shd w:val="clear" w:color="auto" w:fill="auto"/>
          <w:lang w:eastAsia="zh-CN"/>
        </w:rPr>
        <w:t>）</w:t>
      </w:r>
      <w:r>
        <w:rPr>
          <w:rFonts w:hint="eastAsia"/>
          <w:color w:val="auto"/>
          <w:sz w:val="24"/>
          <w:szCs w:val="24"/>
          <w:highlight w:val="none"/>
          <w:shd w:val="clear" w:color="auto" w:fill="auto"/>
        </w:rPr>
        <w:t>，并严格按照《危险废物转移管理办法》，对危险废物实行全过程管理。具体措施详见固体废物污染防治措施章节。</w:t>
      </w:r>
    </w:p>
    <w:p>
      <w:pPr>
        <w:pStyle w:val="57"/>
        <w:pageBreakBefore w:val="0"/>
        <w:kinsoku/>
        <w:wordWrap/>
        <w:overflowPunct/>
        <w:topLinePunct w:val="0"/>
        <w:autoSpaceDE/>
        <w:autoSpaceDN/>
        <w:bidi w:val="0"/>
        <w:spacing w:line="480" w:lineRule="exact"/>
        <w:jc w:val="left"/>
        <w:textAlignment w:val="auto"/>
        <w:rPr>
          <w:color w:val="auto"/>
          <w:sz w:val="24"/>
          <w:szCs w:val="24"/>
          <w:highlight w:val="none"/>
        </w:rPr>
      </w:pPr>
      <w:r>
        <w:rPr>
          <w:rFonts w:hint="eastAsia"/>
          <w:color w:val="auto"/>
          <w:sz w:val="24"/>
          <w:szCs w:val="24"/>
          <w:highlight w:val="none"/>
          <w:shd w:val="clear" w:color="auto" w:fill="auto"/>
          <w:lang w:val="en-US" w:eastAsia="zh-CN"/>
        </w:rPr>
        <w:t>本工程</w:t>
      </w:r>
      <w:r>
        <w:rPr>
          <w:rFonts w:hint="eastAsia"/>
          <w:color w:val="auto"/>
          <w:sz w:val="24"/>
          <w:szCs w:val="24"/>
          <w:highlight w:val="none"/>
          <w:shd w:val="clear" w:color="auto" w:fill="auto"/>
          <w:lang w:val="en-US"/>
        </w:rPr>
        <w:t>开挖土方主要为管沟开挖产生土方，回填土方主要为管沟回填，可以做到“取弃平衡”</w:t>
      </w:r>
      <w:r>
        <w:rPr>
          <w:color w:val="auto"/>
          <w:sz w:val="24"/>
          <w:szCs w:val="24"/>
          <w:highlight w:val="none"/>
        </w:rPr>
        <w:t>。</w:t>
      </w:r>
    </w:p>
    <w:p>
      <w:pPr>
        <w:pStyle w:val="53"/>
        <w:pageBreakBefore w:val="0"/>
        <w:kinsoku/>
        <w:wordWrap/>
        <w:overflowPunct/>
        <w:autoSpaceDE/>
        <w:autoSpaceDN/>
        <w:bidi w:val="0"/>
        <w:spacing w:line="480" w:lineRule="exact"/>
        <w:jc w:val="left"/>
        <w:textAlignment w:val="auto"/>
        <w:rPr>
          <w:color w:val="auto"/>
          <w:highlight w:val="none"/>
        </w:rPr>
      </w:pPr>
      <w:bookmarkStart w:id="685" w:name="_Toc173941912"/>
      <w:r>
        <w:rPr>
          <w:rFonts w:hint="eastAsia"/>
          <w:color w:val="auto"/>
          <w:highlight w:val="none"/>
        </w:rPr>
        <w:t>5.7</w:t>
      </w:r>
      <w:r>
        <w:rPr>
          <w:color w:val="auto"/>
          <w:highlight w:val="none"/>
        </w:rPr>
        <w:t>.2运营期固体废物影响</w:t>
      </w:r>
      <w:bookmarkEnd w:id="685"/>
    </w:p>
    <w:bookmarkEnd w:id="682"/>
    <w:bookmarkEnd w:id="683"/>
    <w:bookmarkEnd w:id="684"/>
    <w:p>
      <w:pPr>
        <w:pStyle w:val="5"/>
        <w:pageBreakBefore w:val="0"/>
        <w:kinsoku/>
        <w:wordWrap/>
        <w:overflowPunct/>
        <w:autoSpaceDE/>
        <w:autoSpaceDN/>
        <w:bidi w:val="0"/>
        <w:spacing w:line="480" w:lineRule="exact"/>
        <w:jc w:val="left"/>
        <w:textAlignment w:val="auto"/>
        <w:rPr>
          <w:color w:val="auto"/>
          <w:highlight w:val="none"/>
        </w:rPr>
      </w:pPr>
      <w:r>
        <w:rPr>
          <w:rFonts w:hint="eastAsia"/>
          <w:color w:val="auto"/>
          <w:highlight w:val="none"/>
        </w:rPr>
        <w:t>5.7</w:t>
      </w:r>
      <w:r>
        <w:rPr>
          <w:color w:val="auto"/>
          <w:highlight w:val="none"/>
        </w:rPr>
        <w:t>.2.1</w:t>
      </w:r>
      <w:r>
        <w:rPr>
          <w:rFonts w:hint="eastAsia"/>
          <w:color w:val="auto"/>
          <w:highlight w:val="none"/>
        </w:rPr>
        <w:t>固体废物</w:t>
      </w:r>
      <w:r>
        <w:rPr>
          <w:color w:val="auto"/>
          <w:highlight w:val="none"/>
        </w:rPr>
        <w:t>产生种类及数量</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color w:val="auto"/>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1）油泥（砂）</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根据产排污系数计算，本工程油泥（砂）最大产生量为</w:t>
      </w:r>
      <w:r>
        <w:rPr>
          <w:rFonts w:hint="eastAsia" w:cs="Times New Roman"/>
          <w:color w:val="auto"/>
          <w:highlight w:val="none"/>
          <w:shd w:val="clear" w:color="auto" w:fill="auto"/>
          <w:lang w:val="en-US" w:eastAsia="zh-CN"/>
        </w:rPr>
        <w:t>1406.78</w:t>
      </w:r>
      <w:r>
        <w:rPr>
          <w:rFonts w:hint="eastAsia" w:ascii="Times New Roman" w:hAnsi="Times New Roman" w:eastAsia="宋体" w:cs="Times New Roman"/>
          <w:color w:val="auto"/>
          <w:sz w:val="24"/>
          <w:szCs w:val="24"/>
          <w:highlight w:val="none"/>
          <w:shd w:val="clear" w:color="auto" w:fill="auto"/>
          <w:lang w:val="en-US" w:eastAsia="zh-CN"/>
        </w:rPr>
        <w:t>t/a。委托克拉玛依顺通环保科技有限责任公司或其他有危废处置资质单位接收处置。</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对照《国家危险废物名录（2021年版）》，油泥（砂）危险废物类别为HW08废矿物油与含矿物油废物中071-001-08石油开采和联合站贮存产生的油泥和油脚。含油污泥由专用运输车辆进行运输、转移，并严格按照《危险废物转移管理办法》（生态环境部、公安部、交通运输部令第23号），实施危险废物转移管理制度。本工程产生的油泥（砂）桶装收集后委托克拉玛依顺通环保科技有限责任公司或其他有危废处置资质单位接收处置，基本不会对环境产生不利影响。</w:t>
      </w:r>
    </w:p>
    <w:p>
      <w:pPr>
        <w:pStyle w:val="57"/>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（2）清管废渣</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eastAsia="zh-CN"/>
        </w:rPr>
      </w:pPr>
      <w:r>
        <w:rPr>
          <w:rFonts w:hint="eastAsia" w:ascii="Times New Roman" w:hAnsi="Times New Roman" w:eastAsia="宋体" w:cs="Times New Roman"/>
          <w:color w:val="auto"/>
          <w:highlight w:val="none"/>
          <w:shd w:val="clear" w:color="auto" w:fill="auto"/>
          <w:lang w:eastAsia="zh-CN"/>
        </w:rPr>
        <w:t>集输管线清管作业产生清管废渣，每2年清管1次。根据类别调查，本工程清管废渣产生量</w:t>
      </w:r>
      <w:r>
        <w:rPr>
          <w:rFonts w:hint="eastAsia" w:ascii="Times New Roman" w:hAnsi="Times New Roman" w:eastAsia="宋体" w:cs="Times New Roman"/>
          <w:color w:val="auto"/>
          <w:highlight w:val="none"/>
          <w:shd w:val="clear" w:color="auto" w:fill="auto"/>
          <w:lang w:val="en-US" w:eastAsia="zh-CN"/>
        </w:rPr>
        <w:t>为</w:t>
      </w:r>
      <w:r>
        <w:rPr>
          <w:rFonts w:hint="eastAsia" w:cs="Times New Roman"/>
          <w:color w:val="auto"/>
          <w:sz w:val="24"/>
          <w:szCs w:val="24"/>
          <w:highlight w:val="none"/>
          <w:shd w:val="clear" w:color="auto" w:fill="auto"/>
          <w:lang w:val="en-US" w:eastAsia="zh-CN"/>
        </w:rPr>
        <w:t>0.02</w:t>
      </w:r>
      <w:r>
        <w:rPr>
          <w:rFonts w:hint="default" w:ascii="Times New Roman" w:hAnsi="Times New Roman" w:cs="Times New Roman"/>
          <w:color w:val="auto"/>
          <w:sz w:val="24"/>
          <w:szCs w:val="24"/>
          <w:highlight w:val="none"/>
          <w:shd w:val="clear" w:color="auto" w:fill="auto"/>
        </w:rPr>
        <w:t>t/a</w:t>
      </w:r>
      <w:r>
        <w:rPr>
          <w:rFonts w:hint="eastAsia" w:ascii="Times New Roman" w:hAnsi="Times New Roman" w:eastAsia="宋体" w:cs="Times New Roman"/>
          <w:color w:val="auto"/>
          <w:highlight w:val="none"/>
          <w:shd w:val="clear" w:color="auto" w:fill="auto"/>
          <w:lang w:eastAsia="zh-CN"/>
        </w:rPr>
        <w:t>。清管废渣的主要成分为石油类、SS和氧化铁等，属于危险废物HW08（071-001-08）。清管时在收球装置的四周铺设土工布，严格按照危险废物相关技术要求和管理规定进行收集与贮存，</w:t>
      </w:r>
      <w:r>
        <w:rPr>
          <w:rFonts w:hint="eastAsia" w:ascii="Times New Roman" w:hAnsi="Times New Roman" w:eastAsia="宋体" w:cs="Times New Roman"/>
          <w:color w:val="auto"/>
          <w:highlight w:val="none"/>
          <w:shd w:val="clear" w:color="auto" w:fill="auto"/>
          <w:lang w:val="en-US" w:eastAsia="zh-CN"/>
        </w:rPr>
        <w:t>委托克拉玛依顺通环保科技有限责任公司或其他有危废处置资质单位接收处置</w:t>
      </w:r>
      <w:r>
        <w:rPr>
          <w:rFonts w:hint="eastAsia" w:ascii="Times New Roman" w:hAnsi="Times New Roman" w:eastAsia="宋体" w:cs="Times New Roman"/>
          <w:color w:val="auto"/>
          <w:highlight w:val="none"/>
          <w:shd w:val="clear" w:color="auto" w:fill="auto"/>
          <w:lang w:eastAsia="zh-CN"/>
        </w:rPr>
        <w:t>，基本不会对环境产生不利影响。</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（3）废防渗膜</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本工程井下作业完成后，进行场地清理时产生的废弃防渗材料最大量约</w:t>
      </w:r>
      <w:r>
        <w:rPr>
          <w:rFonts w:hint="eastAsia" w:cs="Times New Roman"/>
          <w:color w:val="auto"/>
          <w:sz w:val="24"/>
          <w:szCs w:val="24"/>
          <w:highlight w:val="none"/>
          <w:shd w:val="clear" w:color="auto" w:fill="auto"/>
          <w:lang w:val="en-US" w:eastAsia="zh-CN"/>
        </w:rPr>
        <w:t>4.5</w:t>
      </w:r>
      <w:r>
        <w:rPr>
          <w:rFonts w:hint="default" w:ascii="Times New Roman" w:hAnsi="Times New Roman" w:cs="Times New Roman"/>
          <w:color w:val="auto"/>
          <w:sz w:val="24"/>
          <w:szCs w:val="24"/>
          <w:highlight w:val="none"/>
          <w:shd w:val="clear" w:color="auto" w:fill="auto"/>
        </w:rPr>
        <w:t>t/a</w:t>
      </w:r>
      <w:r>
        <w:rPr>
          <w:rFonts w:hint="eastAsia" w:ascii="Times New Roman" w:hAnsi="Times New Roman" w:eastAsia="宋体" w:cs="Times New Roman"/>
          <w:color w:val="auto"/>
          <w:highlight w:val="none"/>
          <w:shd w:val="clear" w:color="auto" w:fill="auto"/>
          <w:lang w:val="en-US" w:eastAsia="zh-CN"/>
        </w:rPr>
        <w:t>，为HW08类危险废物（废物代码900-249-08）。作业施工结束后，由施工单位将废弃的含油防渗布集中收集，委托克拉玛依顺</w:t>
      </w:r>
      <w:r>
        <w:rPr>
          <w:rFonts w:hint="eastAsia"/>
          <w:color w:val="auto"/>
          <w:highlight w:val="none"/>
          <w:shd w:val="clear" w:color="auto" w:fill="auto"/>
          <w:lang w:eastAsia="zh-CN"/>
        </w:rPr>
        <w:t>通环保科技有限责任公司</w:t>
      </w:r>
      <w:r>
        <w:rPr>
          <w:rFonts w:hint="eastAsia"/>
          <w:color w:val="auto"/>
          <w:highlight w:val="none"/>
          <w:shd w:val="clear" w:color="auto" w:fill="auto"/>
        </w:rPr>
        <w:t>处置</w:t>
      </w:r>
      <w:r>
        <w:rPr>
          <w:rFonts w:ascii="Times New Roman" w:hAnsi="Times New Roman" w:cs="Times New Roman"/>
          <w:color w:val="auto"/>
          <w:highlight w:val="none"/>
          <w:shd w:val="clear" w:color="auto" w:fill="auto"/>
        </w:rPr>
        <w:t>，拉运过</w:t>
      </w:r>
      <w:r>
        <w:rPr>
          <w:rFonts w:hint="eastAsia" w:ascii="Times New Roman" w:hAnsi="Times New Roman" w:eastAsia="宋体" w:cs="Times New Roman"/>
          <w:color w:val="auto"/>
          <w:highlight w:val="none"/>
          <w:shd w:val="clear" w:color="auto" w:fill="auto"/>
          <w:lang w:val="en-US" w:eastAsia="zh-CN"/>
        </w:rPr>
        <w:t>程中资质单位应使用专车、按照指定的拉运路线。</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（4）落地原油</w:t>
      </w:r>
    </w:p>
    <w:p>
      <w:pPr>
        <w:pStyle w:val="57"/>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highlight w:val="none"/>
          <w:shd w:val="clear" w:color="auto" w:fill="auto"/>
          <w:lang w:val="en-US" w:eastAsia="zh-CN"/>
        </w:rPr>
        <w:t>落地原油主要产生于油井采油树的阀门、法兰</w:t>
      </w:r>
      <w:r>
        <w:rPr>
          <w:rFonts w:hint="eastAsia" w:cs="Times New Roman"/>
          <w:color w:val="auto"/>
          <w:highlight w:val="none"/>
          <w:shd w:val="clear" w:color="auto" w:fill="auto"/>
          <w:lang w:val="en-US" w:eastAsia="zh-CN"/>
        </w:rPr>
        <w:t>等</w:t>
      </w:r>
      <w:r>
        <w:rPr>
          <w:rFonts w:hint="default" w:ascii="Times New Roman" w:hAnsi="Times New Roman" w:eastAsia="宋体" w:cs="Times New Roman"/>
          <w:color w:val="auto"/>
          <w:highlight w:val="none"/>
          <w:shd w:val="clear" w:color="auto" w:fill="auto"/>
          <w:lang w:val="en-US" w:eastAsia="zh-CN"/>
        </w:rPr>
        <w:t>事故状态下的泄漏、管线破损以及井下作业产生的落地原油。根据工程分析，本工程运行后落地油总产生量约</w:t>
      </w:r>
      <w:r>
        <w:rPr>
          <w:rFonts w:hint="eastAsia" w:cs="Times New Roman"/>
          <w:snapToGrid w:val="0"/>
          <w:color w:val="auto"/>
          <w:kern w:val="2"/>
          <w:sz w:val="24"/>
          <w:szCs w:val="24"/>
          <w:highlight w:val="none"/>
          <w:shd w:val="clear" w:color="auto" w:fill="auto"/>
          <w:lang w:val="en-US" w:eastAsia="zh-CN" w:bidi="ar-SA"/>
        </w:rPr>
        <w:t>1.8</w:t>
      </w:r>
      <w:r>
        <w:rPr>
          <w:rFonts w:hint="default" w:ascii="Times New Roman" w:hAnsi="Times New Roman" w:eastAsia="宋体" w:cs="Times New Roman"/>
          <w:snapToGrid w:val="0"/>
          <w:color w:val="auto"/>
          <w:kern w:val="2"/>
          <w:sz w:val="24"/>
          <w:szCs w:val="24"/>
          <w:highlight w:val="none"/>
          <w:shd w:val="clear" w:color="auto" w:fill="auto"/>
          <w:lang w:val="en-US" w:eastAsia="zh-CN" w:bidi="ar-SA"/>
        </w:rPr>
        <w:t>t/a</w:t>
      </w:r>
      <w:r>
        <w:rPr>
          <w:rFonts w:hint="default" w:ascii="Times New Roman" w:hAnsi="Times New Roman" w:eastAsia="宋体" w:cs="Times New Roman"/>
          <w:color w:val="auto"/>
          <w:highlight w:val="none"/>
          <w:shd w:val="clear" w:color="auto" w:fill="auto"/>
          <w:lang w:val="en-US" w:eastAsia="zh-CN"/>
        </w:rPr>
        <w:t>。根据</w:t>
      </w:r>
      <w:r>
        <w:rPr>
          <w:rFonts w:hint="eastAsia" w:ascii="Times New Roman" w:hAnsi="Times New Roman" w:eastAsia="宋体" w:cs="Times New Roman"/>
          <w:color w:val="auto"/>
          <w:highlight w:val="none"/>
          <w:shd w:val="clear" w:color="auto" w:fill="auto"/>
          <w:lang w:val="en-US" w:eastAsia="zh-CN"/>
        </w:rPr>
        <w:t>中国石油新疆油田分公司</w:t>
      </w:r>
      <w:r>
        <w:rPr>
          <w:rFonts w:hint="default" w:ascii="Times New Roman" w:hAnsi="Times New Roman" w:eastAsia="宋体" w:cs="Times New Roman"/>
          <w:color w:val="auto"/>
          <w:highlight w:val="none"/>
          <w:shd w:val="clear" w:color="auto" w:fill="auto"/>
          <w:lang w:val="en-US" w:eastAsia="zh-CN"/>
        </w:rPr>
        <w:t>环境保护管理制度规定，不允许产生落地油。因此，本工程井下作业时带罐作业，落地油100%回收，回收后的落地原油委托</w:t>
      </w:r>
      <w:r>
        <w:rPr>
          <w:rFonts w:hint="eastAsia" w:ascii="Times New Roman" w:hAnsi="Times New Roman" w:eastAsia="宋体" w:cs="Times New Roman"/>
          <w:color w:val="auto"/>
          <w:highlight w:val="none"/>
          <w:shd w:val="clear" w:color="auto" w:fill="auto"/>
          <w:lang w:val="en-US" w:eastAsia="zh-CN"/>
        </w:rPr>
        <w:t>克拉玛依顺通环保科技有限责任公司</w:t>
      </w:r>
      <w:r>
        <w:rPr>
          <w:rFonts w:hint="default" w:ascii="Times New Roman" w:hAnsi="Times New Roman" w:eastAsia="宋体" w:cs="Times New Roman"/>
          <w:color w:val="auto"/>
          <w:highlight w:val="none"/>
          <w:shd w:val="clear" w:color="auto" w:fill="auto"/>
          <w:lang w:val="en-US" w:eastAsia="zh-CN"/>
        </w:rPr>
        <w:t>进行处理。</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（5）废润滑油</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运营期废润滑油主要是井下作业和采油过程中机械设备维修中产生的。经类比估算设备维修每次产生废润滑油约</w:t>
      </w:r>
      <w:r>
        <w:rPr>
          <w:rFonts w:hint="eastAsia" w:cs="Times New Roman"/>
          <w:color w:val="auto"/>
          <w:sz w:val="24"/>
          <w:szCs w:val="24"/>
          <w:highlight w:val="none"/>
          <w:shd w:val="clear" w:color="auto" w:fill="auto"/>
          <w:lang w:val="en-US" w:eastAsia="zh-CN"/>
        </w:rPr>
        <w:t>0.9</w:t>
      </w:r>
      <w:r>
        <w:rPr>
          <w:rFonts w:hint="default" w:ascii="Times New Roman" w:hAnsi="Times New Roman" w:cs="Times New Roman"/>
          <w:color w:val="auto"/>
          <w:sz w:val="24"/>
          <w:szCs w:val="24"/>
          <w:highlight w:val="none"/>
          <w:shd w:val="clear" w:color="auto" w:fill="auto"/>
          <w:lang w:eastAsia="zh-CN"/>
        </w:rPr>
        <w:t>t</w:t>
      </w:r>
      <w:r>
        <w:rPr>
          <w:rFonts w:hint="eastAsia" w:ascii="Times New Roman" w:hAnsi="Times New Roman" w:eastAsia="宋体" w:cs="Times New Roman"/>
          <w:color w:val="auto"/>
          <w:highlight w:val="none"/>
          <w:shd w:val="clear" w:color="auto" w:fill="auto"/>
          <w:lang w:val="en-US" w:eastAsia="zh-CN"/>
        </w:rPr>
        <w:t>，其危险废物类别为HW08中900-214-08车辆、轮船及其他机械维修过程中产生的废发动机油、制动器油、自动变速器油、齿轮油等废润滑油，委托克拉玛依顺通环保科技有限责任公司或其他有危废处置资质单位接收处置。</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（6）清罐底泥</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default" w:ascii="Times New Roman" w:hAnsi="Times New Roman" w:eastAsia="宋体" w:cs="Times New Roman"/>
          <w:color w:val="auto"/>
          <w:sz w:val="24"/>
          <w:szCs w:val="24"/>
          <w:highlight w:val="none"/>
          <w:shd w:val="clear" w:color="auto" w:fill="auto"/>
          <w:lang w:eastAsia="zh-CN"/>
        </w:rPr>
        <w:t>本工程</w:t>
      </w:r>
      <w:r>
        <w:rPr>
          <w:rFonts w:hint="eastAsia" w:cs="Times New Roman"/>
          <w:color w:val="auto"/>
          <w:sz w:val="24"/>
          <w:szCs w:val="24"/>
          <w:highlight w:val="none"/>
          <w:shd w:val="clear" w:color="auto" w:fill="auto"/>
          <w:lang w:val="en-US" w:eastAsia="zh-CN"/>
        </w:rPr>
        <w:t>8座单井拉油井场内高架罐和</w:t>
      </w:r>
      <w:r>
        <w:rPr>
          <w:rFonts w:hint="eastAsia" w:ascii="Times New Roman" w:hAnsi="Times New Roman" w:eastAsia="宋体" w:cs="Times New Roman"/>
          <w:color w:val="auto"/>
          <w:sz w:val="24"/>
          <w:szCs w:val="24"/>
          <w:highlight w:val="none"/>
          <w:shd w:val="clear" w:color="auto" w:fill="auto"/>
          <w:lang w:val="en-US" w:eastAsia="zh-CN"/>
        </w:rPr>
        <w:t>集中拉油站内拉油</w:t>
      </w:r>
      <w:r>
        <w:rPr>
          <w:rFonts w:hint="default" w:ascii="Times New Roman" w:hAnsi="Times New Roman" w:eastAsia="宋体" w:cs="Times New Roman"/>
          <w:color w:val="auto"/>
          <w:sz w:val="24"/>
          <w:szCs w:val="24"/>
          <w:highlight w:val="none"/>
          <w:shd w:val="clear" w:color="auto" w:fill="auto"/>
          <w:lang w:eastAsia="zh-CN"/>
        </w:rPr>
        <w:t>罐等会定期产生一定量的油泥，预计年回收油泥0.1t。含油污泥属危险废物，收集后分类储存至作业现场危险废物贮存点后，委托有危废处置资质单位接收处置</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（7）生活垃圾</w:t>
      </w:r>
    </w:p>
    <w:p>
      <w:pPr>
        <w:pStyle w:val="57"/>
        <w:pageBreakBefore w:val="0"/>
        <w:kinsoku/>
        <w:wordWrap/>
        <w:overflowPunct/>
        <w:topLinePunct w:val="0"/>
        <w:autoSpaceDE/>
        <w:autoSpaceDN/>
        <w:bidi w:val="0"/>
        <w:spacing w:line="480" w:lineRule="exact"/>
        <w:jc w:val="left"/>
        <w:textAlignment w:val="auto"/>
        <w:rPr>
          <w:rFonts w:hint="eastAsia"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运营期工作人员由百口泉采油厂内部调剂解决，故不新增生活垃圾。</w:t>
      </w:r>
    </w:p>
    <w:p>
      <w:pPr>
        <w:pStyle w:val="5"/>
        <w:pageBreakBefore w:val="0"/>
        <w:kinsoku/>
        <w:wordWrap/>
        <w:overflowPunct/>
        <w:autoSpaceDE/>
        <w:autoSpaceDN/>
        <w:bidi w:val="0"/>
        <w:spacing w:line="480" w:lineRule="exact"/>
        <w:textAlignment w:val="auto"/>
        <w:rPr>
          <w:color w:val="auto"/>
          <w:highlight w:val="none"/>
        </w:rPr>
      </w:pPr>
      <w:r>
        <w:rPr>
          <w:rFonts w:hint="eastAsia"/>
          <w:color w:val="auto"/>
          <w:highlight w:val="none"/>
        </w:rPr>
        <w:t>5.7</w:t>
      </w:r>
      <w:r>
        <w:rPr>
          <w:color w:val="auto"/>
          <w:highlight w:val="none"/>
        </w:rPr>
        <w:t>.2.2 危险废物环境影响分析</w:t>
      </w:r>
    </w:p>
    <w:p>
      <w:pPr>
        <w:pStyle w:val="57"/>
        <w:pageBreakBefore w:val="0"/>
        <w:kinsoku/>
        <w:wordWrap/>
        <w:overflowPunct/>
        <w:topLinePunct w:val="0"/>
        <w:autoSpaceDE/>
        <w:autoSpaceDN/>
        <w:bidi w:val="0"/>
        <w:spacing w:line="480" w:lineRule="exact"/>
        <w:jc w:val="left"/>
        <w:textAlignment w:val="auto"/>
        <w:rPr>
          <w:rFonts w:hint="default" w:ascii="Times New Roman" w:hAnsi="Times New Roman" w:eastAsia="宋体" w:cs="Times New Roman"/>
          <w:color w:val="auto"/>
          <w:highlight w:val="none"/>
          <w:shd w:val="clear" w:color="auto" w:fill="auto"/>
          <w:lang w:val="en-US" w:eastAsia="zh-CN"/>
        </w:rPr>
      </w:pPr>
      <w:r>
        <w:rPr>
          <w:rFonts w:hint="eastAsia" w:ascii="Times New Roman" w:hAnsi="Times New Roman" w:eastAsia="宋体" w:cs="Times New Roman"/>
          <w:color w:val="auto"/>
          <w:highlight w:val="none"/>
          <w:shd w:val="clear" w:color="auto" w:fill="auto"/>
          <w:lang w:val="en-US" w:eastAsia="zh-CN"/>
        </w:rPr>
        <w:t>（1）</w:t>
      </w:r>
      <w:r>
        <w:rPr>
          <w:rFonts w:hint="default" w:ascii="Times New Roman" w:hAnsi="Times New Roman" w:eastAsia="宋体" w:cs="Times New Roman"/>
          <w:color w:val="auto"/>
          <w:highlight w:val="none"/>
          <w:shd w:val="clear" w:color="auto" w:fill="auto"/>
          <w:lang w:val="en-US" w:eastAsia="zh-CN"/>
        </w:rPr>
        <w:t>危险废物收集</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2"/>
          <w:highlight w:val="none"/>
          <w:shd w:val="clear" w:color="auto" w:fill="auto"/>
        </w:rPr>
      </w:pPr>
      <w:r>
        <w:rPr>
          <w:rFonts w:hint="default" w:ascii="Times New Roman" w:hAnsi="Times New Roman" w:eastAsia="宋体" w:cs="Times New Roman"/>
          <w:color w:val="auto"/>
          <w:sz w:val="24"/>
          <w:szCs w:val="22"/>
          <w:highlight w:val="none"/>
          <w:shd w:val="clear" w:color="auto" w:fill="auto"/>
        </w:rPr>
        <w:t>本工程产生的危险废物按照《危险废物环境管理指南 陆上石油天然气开采》</w:t>
      </w:r>
      <w:r>
        <w:rPr>
          <w:rFonts w:hint="eastAsia" w:ascii="Times New Roman" w:hAnsi="Times New Roman" w:eastAsia="宋体"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生态环境部公告 2021年 第74号</w:t>
      </w:r>
      <w:r>
        <w:rPr>
          <w:rFonts w:hint="eastAsia" w:ascii="Times New Roman" w:hAnsi="Times New Roman" w:eastAsia="宋体"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中相关管理要求，落实危险废物识别标志制度，对危险废物的容器和包装物以及收集、运输危险废物的设施设置危险废物识别标志。填写危险废物的收集记录、转运记录表，并将记录表作为危险废物管理的重要档案妥善保存。落实环境保护标准制度，按照国家有关规定和环境保护标准要求贮存、利用、处置危险废物，不得将其擅自倾倒处置。危险废物收集和运输过程的污染控制执行《危险废物收集 贮存 运输技术规范》</w:t>
      </w:r>
      <w:r>
        <w:rPr>
          <w:rFonts w:hint="eastAsia" w:ascii="Times New Roman" w:hAnsi="Times New Roman" w:eastAsia="宋体"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HJ2025-2012</w:t>
      </w:r>
      <w:r>
        <w:rPr>
          <w:rFonts w:hint="eastAsia" w:ascii="Times New Roman" w:hAnsi="Times New Roman" w:eastAsia="宋体"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等有关规定。</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default" w:ascii="Times New Roman" w:hAnsi="Times New Roman" w:eastAsia="宋体" w:cs="Times New Roman"/>
          <w:color w:val="auto"/>
          <w:sz w:val="24"/>
          <w:szCs w:val="22"/>
          <w:highlight w:val="none"/>
          <w:shd w:val="clear" w:color="auto" w:fill="auto"/>
        </w:rPr>
        <w:t>根据《危险废物识别标志设置技术规范》</w:t>
      </w:r>
      <w:r>
        <w:rPr>
          <w:rFonts w:hint="eastAsia"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HJ1276-2022</w:t>
      </w:r>
      <w:r>
        <w:rPr>
          <w:rFonts w:hint="eastAsia" w:cs="Times New Roman"/>
          <w:color w:val="auto"/>
          <w:sz w:val="24"/>
          <w:szCs w:val="22"/>
          <w:highlight w:val="none"/>
          <w:shd w:val="clear" w:color="auto" w:fill="auto"/>
          <w:lang w:eastAsia="zh-CN"/>
        </w:rPr>
        <w:t>）</w:t>
      </w:r>
      <w:r>
        <w:rPr>
          <w:rFonts w:hint="default" w:ascii="Times New Roman" w:hAnsi="Times New Roman" w:eastAsia="宋体" w:cs="Times New Roman"/>
          <w:color w:val="auto"/>
          <w:sz w:val="24"/>
          <w:szCs w:val="22"/>
          <w:highlight w:val="none"/>
          <w:shd w:val="clear" w:color="auto" w:fill="auto"/>
        </w:rPr>
        <w:t>，收集危险废物的硬质桶应按要求设置明显的表明危险废物相关信息的标签，标签信息应填写完整详实。</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b/>
          <w:color w:val="auto"/>
          <w:highlight w:val="none"/>
          <w:shd w:val="clear" w:color="auto" w:fill="auto"/>
        </w:rPr>
      </w:pPr>
      <w:r>
        <w:rPr>
          <w:rFonts w:hint="eastAsia" w:ascii="Times New Roman" w:hAnsi="Times New Roman" w:eastAsia="宋体" w:cs="Times New Roman"/>
          <w:color w:val="auto"/>
          <w:sz w:val="24"/>
          <w:szCs w:val="22"/>
          <w:highlight w:val="none"/>
          <w:shd w:val="clear" w:color="auto" w:fill="auto"/>
          <w:lang w:val="en-US" w:eastAsia="zh-CN"/>
        </w:rPr>
        <w:t>（2）</w:t>
      </w:r>
      <w:r>
        <w:rPr>
          <w:rFonts w:hint="default" w:ascii="Times New Roman" w:hAnsi="Times New Roman" w:eastAsia="宋体" w:cs="Times New Roman"/>
          <w:color w:val="auto"/>
          <w:sz w:val="24"/>
          <w:szCs w:val="22"/>
          <w:highlight w:val="none"/>
          <w:shd w:val="clear" w:color="auto" w:fill="auto"/>
          <w:lang w:val="en-US" w:eastAsia="zh-CN"/>
        </w:rPr>
        <w:t>危险废物暂存</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highlight w:val="none"/>
          <w:shd w:val="clear" w:color="auto" w:fill="auto"/>
        </w:rPr>
      </w:pPr>
      <w:r>
        <w:rPr>
          <w:rFonts w:hint="eastAsia" w:ascii="Times New Roman" w:hAnsi="Times New Roman" w:eastAsia="宋体" w:cs="Times New Roman"/>
          <w:color w:val="auto"/>
          <w:sz w:val="24"/>
          <w:szCs w:val="22"/>
          <w:highlight w:val="none"/>
          <w:shd w:val="clear" w:color="auto" w:fill="auto"/>
          <w:lang w:val="en-US" w:eastAsia="zh-CN"/>
        </w:rPr>
        <w:t>拟建工程运营期产生的危险废物桶装收集后暂存在井场暂存间内，施工结束后委托克拉玛依顺通环保科技有限责任公司或其他有危废处置资质单位接收处置。依照《危险废物贮存污染控制标准》</w:t>
      </w:r>
      <w:r>
        <w:rPr>
          <w:rFonts w:hint="eastAsia" w:ascii="Times New Roman" w:hAnsi="Times New Roman" w:cs="Times New Roman"/>
          <w:color w:val="auto"/>
          <w:sz w:val="24"/>
          <w:szCs w:val="22"/>
          <w:highlight w:val="none"/>
          <w:shd w:val="clear" w:color="auto" w:fill="auto"/>
          <w:lang w:val="en-US" w:eastAsia="zh-CN"/>
        </w:rPr>
        <w:t>（</w:t>
      </w:r>
      <w:r>
        <w:rPr>
          <w:rFonts w:hint="eastAsia" w:ascii="Times New Roman" w:hAnsi="Times New Roman" w:eastAsia="宋体" w:cs="Times New Roman"/>
          <w:color w:val="auto"/>
          <w:sz w:val="24"/>
          <w:szCs w:val="22"/>
          <w:highlight w:val="none"/>
          <w:shd w:val="clear" w:color="auto" w:fill="auto"/>
          <w:lang w:val="en-US" w:eastAsia="zh-CN"/>
        </w:rPr>
        <w:t>GB18597-2023</w:t>
      </w:r>
      <w:r>
        <w:rPr>
          <w:rFonts w:hint="eastAsia" w:ascii="Times New Roman" w:hAnsi="Times New Roman" w:cs="Times New Roman"/>
          <w:color w:val="auto"/>
          <w:sz w:val="24"/>
          <w:szCs w:val="22"/>
          <w:highlight w:val="none"/>
          <w:shd w:val="clear" w:color="auto" w:fill="auto"/>
          <w:lang w:val="en-US" w:eastAsia="zh-CN"/>
        </w:rPr>
        <w:t>）</w:t>
      </w:r>
      <w:r>
        <w:rPr>
          <w:rFonts w:hint="eastAsia" w:ascii="Times New Roman" w:hAnsi="Times New Roman" w:eastAsia="宋体" w:cs="Times New Roman"/>
          <w:color w:val="auto"/>
          <w:sz w:val="24"/>
          <w:szCs w:val="22"/>
          <w:highlight w:val="none"/>
          <w:shd w:val="clear" w:color="auto" w:fill="auto"/>
          <w:lang w:val="en-US" w:eastAsia="zh-CN"/>
        </w:rPr>
        <w:t>的贮存设施的分类，本工程</w:t>
      </w:r>
      <w:r>
        <w:rPr>
          <w:rFonts w:hint="default" w:ascii="Times New Roman" w:hAnsi="Times New Roman" w:cs="Times New Roman"/>
          <w:color w:val="auto"/>
          <w:highlight w:val="none"/>
          <w:shd w:val="clear" w:color="auto" w:fill="auto"/>
        </w:rPr>
        <w:t>危险废物暂存</w:t>
      </w:r>
      <w:r>
        <w:rPr>
          <w:rFonts w:hint="eastAsia" w:ascii="Times New Roman" w:hAnsi="Times New Roman" w:cs="Times New Roman"/>
          <w:color w:val="auto"/>
          <w:highlight w:val="none"/>
          <w:shd w:val="clear" w:color="auto" w:fill="auto"/>
          <w:lang w:val="en-US" w:eastAsia="zh-CN"/>
        </w:rPr>
        <w:t>间属于贮存库，</w:t>
      </w:r>
      <w:r>
        <w:rPr>
          <w:rFonts w:hint="default" w:ascii="Times New Roman" w:hAnsi="Times New Roman" w:cs="Times New Roman"/>
          <w:color w:val="auto"/>
          <w:highlight w:val="none"/>
          <w:shd w:val="clear" w:color="auto" w:fill="auto"/>
        </w:rPr>
        <w:t>按照《危险废物贮存污染控制标</w:t>
      </w:r>
      <w:r>
        <w:rPr>
          <w:rFonts w:hint="default" w:ascii="Times New Roman" w:hAnsi="Times New Roman" w:eastAsia="宋体" w:cs="Times New Roman"/>
          <w:color w:val="auto"/>
          <w:highlight w:val="none"/>
          <w:shd w:val="clear" w:color="auto" w:fill="auto"/>
        </w:rPr>
        <w:t>准》</w:t>
      </w:r>
      <w:r>
        <w:rPr>
          <w:rFonts w:hint="eastAsia"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lang w:val="en-US" w:eastAsia="zh-CN"/>
        </w:rPr>
        <w:t>GB18597-2023</w:t>
      </w:r>
      <w:r>
        <w:rPr>
          <w:rFonts w:hint="eastAsia" w:ascii="Times New Roman" w:hAnsi="Times New Roman" w:eastAsia="宋体" w:cs="Times New Roman"/>
          <w:color w:val="auto"/>
          <w:highlight w:val="none"/>
          <w:shd w:val="clear" w:color="auto" w:fill="auto"/>
          <w:lang w:val="en-US" w:eastAsia="zh-CN"/>
        </w:rPr>
        <w:t>）</w:t>
      </w:r>
      <w:r>
        <w:rPr>
          <w:rFonts w:hint="default" w:ascii="Times New Roman" w:hAnsi="Times New Roman" w:eastAsia="宋体" w:cs="Times New Roman"/>
          <w:color w:val="auto"/>
          <w:highlight w:val="none"/>
          <w:shd w:val="clear" w:color="auto" w:fill="auto"/>
        </w:rPr>
        <w:t>建造</w:t>
      </w:r>
      <w:r>
        <w:rPr>
          <w:rFonts w:hint="eastAsia" w:ascii="Times New Roman" w:hAnsi="Times New Roman" w:eastAsia="宋体" w:cs="Times New Roman"/>
          <w:color w:val="auto"/>
          <w:highlight w:val="none"/>
          <w:shd w:val="clear" w:color="auto" w:fill="auto"/>
          <w:lang w:eastAsia="zh-CN"/>
        </w:rPr>
        <w:t>，</w:t>
      </w:r>
      <w:r>
        <w:rPr>
          <w:rFonts w:hint="default" w:ascii="Times New Roman" w:hAnsi="Times New Roman" w:eastAsia="宋体" w:cs="Times New Roman"/>
          <w:color w:val="auto"/>
          <w:highlight w:val="none"/>
          <w:shd w:val="clear" w:color="auto" w:fill="auto"/>
        </w:rPr>
        <w:t>具体要求为：</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①暂存</w:t>
      </w:r>
      <w:r>
        <w:rPr>
          <w:rFonts w:hint="eastAsia" w:ascii="Times New Roman" w:hAnsi="Times New Roman" w:cs="Times New Roman"/>
          <w:color w:val="auto"/>
          <w:highlight w:val="none"/>
          <w:shd w:val="clear" w:color="auto" w:fill="auto"/>
          <w:lang w:val="en-US" w:eastAsia="zh-CN"/>
        </w:rPr>
        <w:t>间</w:t>
      </w:r>
      <w:r>
        <w:rPr>
          <w:rFonts w:hint="default" w:ascii="Times New Roman" w:hAnsi="Times New Roman" w:cs="Times New Roman"/>
          <w:color w:val="auto"/>
          <w:highlight w:val="none"/>
          <w:shd w:val="clear" w:color="auto" w:fill="auto"/>
        </w:rPr>
        <w:t>地面与裙脚要用坚固、防渗的材料建造，建筑材料必须与危险废物不相容，防渗系数要求≤10</w:t>
      </w:r>
      <w:r>
        <w:rPr>
          <w:rFonts w:hint="default" w:ascii="Times New Roman" w:hAnsi="Times New Roman" w:cs="Times New Roman"/>
          <w:color w:val="auto"/>
          <w:highlight w:val="none"/>
          <w:shd w:val="clear" w:color="auto" w:fill="auto"/>
          <w:vertAlign w:val="superscript"/>
        </w:rPr>
        <w:t>-10</w:t>
      </w:r>
      <w:r>
        <w:rPr>
          <w:rFonts w:hint="default" w:ascii="Times New Roman" w:hAnsi="Times New Roman" w:cs="Times New Roman"/>
          <w:color w:val="auto"/>
          <w:highlight w:val="none"/>
          <w:shd w:val="clear" w:color="auto" w:fill="auto"/>
        </w:rPr>
        <w:t>cm/s。</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②暂存</w:t>
      </w:r>
      <w:r>
        <w:rPr>
          <w:rFonts w:hint="eastAsia" w:ascii="Times New Roman" w:hAnsi="Times New Roman" w:cs="Times New Roman"/>
          <w:color w:val="auto"/>
          <w:highlight w:val="none"/>
          <w:shd w:val="clear" w:color="auto" w:fill="auto"/>
          <w:lang w:val="en-US" w:eastAsia="zh-CN"/>
        </w:rPr>
        <w:t>间</w:t>
      </w:r>
      <w:r>
        <w:rPr>
          <w:rFonts w:hint="default" w:ascii="Times New Roman" w:hAnsi="Times New Roman" w:cs="Times New Roman"/>
          <w:color w:val="auto"/>
          <w:highlight w:val="none"/>
          <w:shd w:val="clear" w:color="auto" w:fill="auto"/>
        </w:rPr>
        <w:t>要有足够地面承载能力，并能确保雨水不会流至贮存设施内，贮存设施应封闭，以防风、防雨、防晒</w:t>
      </w:r>
      <w:r>
        <w:rPr>
          <w:rFonts w:hint="eastAsia" w:ascii="Times New Roman" w:hAnsi="Times New Roman" w:cs="Times New Roman"/>
          <w:color w:val="auto"/>
          <w:highlight w:val="none"/>
          <w:shd w:val="clear" w:color="auto" w:fill="auto"/>
          <w:lang w:eastAsia="zh-CN"/>
        </w:rPr>
        <w:t>、</w:t>
      </w:r>
      <w:r>
        <w:rPr>
          <w:rFonts w:hint="eastAsia" w:ascii="Times New Roman" w:hAnsi="Times New Roman" w:cs="Times New Roman"/>
          <w:color w:val="auto"/>
          <w:highlight w:val="none"/>
          <w:shd w:val="clear" w:color="auto" w:fill="auto"/>
          <w:lang w:val="en-US" w:eastAsia="zh-CN"/>
        </w:rPr>
        <w:t>防渗、防腐、防漏以及其他环境污染防治措施</w:t>
      </w:r>
      <w:r>
        <w:rPr>
          <w:rFonts w:hint="default" w:ascii="Times New Roman" w:hAnsi="Times New Roman" w:cs="Times New Roman"/>
          <w:color w:val="auto"/>
          <w:highlight w:val="none"/>
          <w:shd w:val="clear" w:color="auto" w:fill="auto"/>
        </w:rPr>
        <w:t>。</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③暂存</w:t>
      </w:r>
      <w:r>
        <w:rPr>
          <w:rFonts w:hint="eastAsia" w:ascii="Times New Roman" w:hAnsi="Times New Roman" w:cs="Times New Roman"/>
          <w:color w:val="auto"/>
          <w:highlight w:val="none"/>
          <w:shd w:val="clear" w:color="auto" w:fill="auto"/>
          <w:lang w:val="en-US" w:eastAsia="zh-CN"/>
        </w:rPr>
        <w:t>间</w:t>
      </w:r>
      <w:r>
        <w:rPr>
          <w:rFonts w:hint="default" w:ascii="Times New Roman" w:hAnsi="Times New Roman" w:cs="Times New Roman"/>
          <w:color w:val="auto"/>
          <w:highlight w:val="none"/>
          <w:shd w:val="clear" w:color="auto" w:fill="auto"/>
        </w:rPr>
        <w:t>内要有安全照明设施和安全防护设施。</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④暂存</w:t>
      </w:r>
      <w:r>
        <w:rPr>
          <w:rFonts w:hint="eastAsia" w:ascii="Times New Roman" w:hAnsi="Times New Roman" w:cs="Times New Roman"/>
          <w:color w:val="auto"/>
          <w:highlight w:val="none"/>
          <w:shd w:val="clear" w:color="auto" w:fill="auto"/>
          <w:lang w:val="en-US" w:eastAsia="zh-CN"/>
        </w:rPr>
        <w:t>间</w:t>
      </w:r>
      <w:r>
        <w:rPr>
          <w:rFonts w:hint="default" w:ascii="Times New Roman" w:hAnsi="Times New Roman" w:cs="Times New Roman"/>
          <w:color w:val="auto"/>
          <w:highlight w:val="none"/>
          <w:shd w:val="clear" w:color="auto" w:fill="auto"/>
        </w:rPr>
        <w:t>内危废堆放处必须有耐腐蚀的硬化地面，且表面无裂隙。</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⑤不相容的危险废物必须分开存放，并设有隔离间隔断。</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cs="Times New Roman"/>
          <w:color w:val="auto"/>
          <w:highlight w:val="none"/>
          <w:shd w:val="clear" w:color="auto" w:fill="auto"/>
        </w:rPr>
      </w:pPr>
      <w:r>
        <w:rPr>
          <w:rFonts w:hint="default" w:ascii="Times New Roman" w:hAnsi="Times New Roman" w:cs="Times New Roman"/>
          <w:color w:val="auto"/>
          <w:highlight w:val="none"/>
          <w:shd w:val="clear" w:color="auto" w:fill="auto"/>
        </w:rPr>
        <w:t>⑥对贮存设施及危险废物进行定期检查。</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⑦</w:t>
      </w:r>
      <w:r>
        <w:rPr>
          <w:rFonts w:hint="default" w:ascii="Times New Roman" w:hAnsi="Times New Roman" w:eastAsia="宋体" w:cs="Times New Roman"/>
          <w:color w:val="auto"/>
          <w:sz w:val="24"/>
          <w:szCs w:val="24"/>
          <w:highlight w:val="none"/>
          <w:shd w:val="clear" w:color="auto" w:fill="auto"/>
        </w:rPr>
        <w:t>贮存设施应根据危险废物的形态、物理化学性质、包装形式和污染物迁移途径，采取必要的防风、防晒、防雨、防漏、防渗、防腐以及其他环境污染防治措施，不应露天堆放危险废物。</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default" w:ascii="Times New Roman" w:hAnsi="Times New Roman" w:eastAsia="宋体" w:cs="Times New Roman"/>
          <w:color w:val="auto"/>
          <w:sz w:val="24"/>
          <w:szCs w:val="24"/>
          <w:highlight w:val="none"/>
          <w:shd w:val="clear" w:color="auto" w:fill="auto"/>
        </w:rPr>
      </w:pPr>
      <w:r>
        <w:rPr>
          <w:rFonts w:hint="eastAsia" w:ascii="Times New Roman" w:hAnsi="Times New Roman" w:eastAsia="宋体" w:cs="Times New Roman"/>
          <w:color w:val="auto"/>
          <w:highlight w:val="none"/>
          <w:shd w:val="clear" w:color="auto" w:fill="auto"/>
          <w:lang w:val="en-US" w:eastAsia="zh-CN"/>
        </w:rPr>
        <w:t>⑧</w:t>
      </w:r>
      <w:r>
        <w:rPr>
          <w:rFonts w:hint="default" w:ascii="Times New Roman" w:hAnsi="Times New Roman" w:eastAsia="宋体" w:cs="Times New Roman"/>
          <w:color w:val="auto"/>
          <w:sz w:val="24"/>
          <w:szCs w:val="24"/>
          <w:highlight w:val="none"/>
          <w:shd w:val="clear" w:color="auto" w:fill="auto"/>
        </w:rPr>
        <w:t>贮存库内不同贮存分区之间应采取隔离措施。隔离措施可根据危险废物特性采用过道、隔板或隔墙等方式。</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⑨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p>
      <w:pPr>
        <w:pStyle w:val="31"/>
        <w:pageBreakBefore w:val="0"/>
        <w:widowControl w:val="0"/>
        <w:kinsoku/>
        <w:wordWrap/>
        <w:overflowPunct/>
        <w:topLinePunct/>
        <w:autoSpaceDE/>
        <w:autoSpaceDN/>
        <w:bidi w:val="0"/>
        <w:spacing w:before="0" w:beforeAutospacing="0" w:after="0" w:afterAutospacing="0"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val="en-US" w:eastAsia="zh-CN"/>
        </w:rPr>
      </w:pPr>
      <w:r>
        <w:rPr>
          <w:rFonts w:hint="eastAsia" w:ascii="Times New Roman" w:hAnsi="Times New Roman" w:eastAsia="宋体" w:cs="Times New Roman"/>
          <w:color w:val="auto"/>
          <w:sz w:val="24"/>
          <w:szCs w:val="24"/>
          <w:highlight w:val="none"/>
          <w:shd w:val="clear" w:color="auto" w:fill="auto"/>
          <w:lang w:val="en-US" w:eastAsia="zh-CN"/>
        </w:rPr>
        <w:t>⑩贮存易产生粉尘、VOCs、酸雾、有毒有害大气污染物和刺激性气味气体的危险废物贮存库，应设置气体收集装置和气体净化设施；气体净化设施的排气筒高度应符合GB16297要求。</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（3）危险废物运输过程影响分析</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拟建工程产生的危险废物应按照《危险废物环境管理指南 陆上石油天然气开采》（生态环境部公告 2021年 第74号）中相关要求，运输危险废物，应当采取防止污染环境的措施，并遵守国家有关危险货物运输管理的规定。</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both"/>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拟建工程运营期产生的危险废物桶装收集后暂存在井场暂存间内，施工结束后委托克拉玛依顺通环保科技有限责任公司或其他有危废处置资质单位接收处置。运输过程中严格遵守相关规定，产生的危险废</w:t>
      </w:r>
      <w:r>
        <w:rPr>
          <w:rFonts w:hint="eastAsia" w:cs="Times New Roman"/>
          <w:color w:val="auto"/>
          <w:sz w:val="24"/>
          <w:szCs w:val="22"/>
          <w:highlight w:val="none"/>
          <w:shd w:val="clear" w:color="auto" w:fill="auto"/>
          <w:lang w:val="en-US" w:eastAsia="zh-CN"/>
        </w:rPr>
        <w:t>物在</w:t>
      </w:r>
      <w:r>
        <w:rPr>
          <w:rFonts w:hint="eastAsia" w:ascii="Times New Roman" w:hAnsi="Times New Roman" w:eastAsia="宋体" w:cs="Times New Roman"/>
          <w:color w:val="auto"/>
          <w:sz w:val="24"/>
          <w:szCs w:val="22"/>
          <w:highlight w:val="none"/>
          <w:shd w:val="clear" w:color="auto" w:fill="auto"/>
          <w:lang w:val="en-US" w:eastAsia="zh-CN"/>
        </w:rPr>
        <w:t>运输过程中全部采用密闭容器收集储存，转运结束后及时对转运路线进行检查和清理，确保无危险废物散落或泄漏在转运路线上，危险废物运输过程符合《危险废物收集 贮存 运输技术规范》（HJ2025-2012）中的相关要求。</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（4）危险废物委托处置环境影响分析</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拟建工程产生的危险废物应按照</w:t>
      </w:r>
      <w:r>
        <w:rPr>
          <w:rFonts w:hint="default" w:ascii="Times New Roman" w:hAnsi="Times New Roman" w:eastAsia="宋体" w:cs="Times New Roman"/>
          <w:color w:val="auto"/>
          <w:sz w:val="24"/>
          <w:szCs w:val="22"/>
          <w:highlight w:val="none"/>
          <w:shd w:val="clear" w:color="auto" w:fill="auto"/>
          <w:lang w:val="en-US" w:eastAsia="zh-CN"/>
        </w:rPr>
        <w:t>《危险废物环境管理指南</w:t>
      </w:r>
      <w:r>
        <w:rPr>
          <w:rFonts w:hint="eastAsia" w:ascii="Times New Roman" w:hAnsi="Times New Roman" w:eastAsia="宋体" w:cs="Times New Roman"/>
          <w:color w:val="auto"/>
          <w:sz w:val="24"/>
          <w:szCs w:val="22"/>
          <w:highlight w:val="none"/>
          <w:shd w:val="clear" w:color="auto" w:fill="auto"/>
          <w:lang w:val="en-US" w:eastAsia="zh-CN"/>
        </w:rPr>
        <w:t xml:space="preserve"> </w:t>
      </w:r>
      <w:r>
        <w:rPr>
          <w:rFonts w:hint="default" w:ascii="Times New Roman" w:hAnsi="Times New Roman" w:eastAsia="宋体" w:cs="Times New Roman"/>
          <w:color w:val="auto"/>
          <w:sz w:val="24"/>
          <w:szCs w:val="22"/>
          <w:highlight w:val="none"/>
          <w:shd w:val="clear" w:color="auto" w:fill="auto"/>
          <w:lang w:val="en-US" w:eastAsia="zh-CN"/>
        </w:rPr>
        <w:t>陆上石油天然气开采》</w:t>
      </w:r>
      <w:r>
        <w:rPr>
          <w:rFonts w:hint="eastAsia" w:ascii="Times New Roman" w:hAnsi="Times New Roman" w:eastAsia="宋体" w:cs="Times New Roman"/>
          <w:color w:val="auto"/>
          <w:sz w:val="24"/>
          <w:szCs w:val="22"/>
          <w:highlight w:val="none"/>
          <w:shd w:val="clear" w:color="auto" w:fill="auto"/>
          <w:lang w:val="en-US" w:eastAsia="zh-CN"/>
        </w:rPr>
        <w:t>（</w:t>
      </w:r>
      <w:r>
        <w:rPr>
          <w:rFonts w:hint="default" w:ascii="Times New Roman" w:hAnsi="Times New Roman" w:eastAsia="宋体" w:cs="Times New Roman"/>
          <w:color w:val="auto"/>
          <w:sz w:val="24"/>
          <w:szCs w:val="22"/>
          <w:highlight w:val="none"/>
          <w:shd w:val="clear" w:color="auto" w:fill="auto"/>
          <w:lang w:val="en-US" w:eastAsia="zh-CN"/>
        </w:rPr>
        <w:t>生态环境部公告</w:t>
      </w:r>
      <w:r>
        <w:rPr>
          <w:rFonts w:hint="eastAsia" w:ascii="Times New Roman" w:hAnsi="Times New Roman" w:eastAsia="宋体" w:cs="Times New Roman"/>
          <w:color w:val="auto"/>
          <w:sz w:val="24"/>
          <w:szCs w:val="22"/>
          <w:highlight w:val="none"/>
          <w:shd w:val="clear" w:color="auto" w:fill="auto"/>
          <w:lang w:val="en-US" w:eastAsia="zh-CN"/>
        </w:rPr>
        <w:t xml:space="preserve"> </w:t>
      </w:r>
      <w:r>
        <w:rPr>
          <w:rFonts w:hint="default" w:ascii="Times New Roman" w:hAnsi="Times New Roman" w:eastAsia="宋体" w:cs="Times New Roman"/>
          <w:color w:val="auto"/>
          <w:sz w:val="24"/>
          <w:szCs w:val="22"/>
          <w:highlight w:val="none"/>
          <w:shd w:val="clear" w:color="auto" w:fill="auto"/>
          <w:lang w:val="en-US" w:eastAsia="zh-CN"/>
        </w:rPr>
        <w:t>2021年</w:t>
      </w:r>
      <w:r>
        <w:rPr>
          <w:rFonts w:hint="eastAsia" w:ascii="Times New Roman" w:hAnsi="Times New Roman" w:eastAsia="宋体" w:cs="Times New Roman"/>
          <w:color w:val="auto"/>
          <w:sz w:val="24"/>
          <w:szCs w:val="22"/>
          <w:highlight w:val="none"/>
          <w:shd w:val="clear" w:color="auto" w:fill="auto"/>
          <w:lang w:val="en-US" w:eastAsia="zh-CN"/>
        </w:rPr>
        <w:t xml:space="preserve"> </w:t>
      </w:r>
      <w:r>
        <w:rPr>
          <w:rFonts w:hint="default" w:ascii="Times New Roman" w:hAnsi="Times New Roman" w:eastAsia="宋体" w:cs="Times New Roman"/>
          <w:color w:val="auto"/>
          <w:sz w:val="24"/>
          <w:szCs w:val="22"/>
          <w:highlight w:val="none"/>
          <w:shd w:val="clear" w:color="auto" w:fill="auto"/>
          <w:lang w:val="en-US" w:eastAsia="zh-CN"/>
        </w:rPr>
        <w:t>第74号</w:t>
      </w:r>
      <w:r>
        <w:rPr>
          <w:rFonts w:hint="eastAsia" w:ascii="Times New Roman" w:hAnsi="Times New Roman" w:eastAsia="宋体" w:cs="Times New Roman"/>
          <w:color w:val="auto"/>
          <w:sz w:val="24"/>
          <w:szCs w:val="22"/>
          <w:highlight w:val="none"/>
          <w:shd w:val="clear" w:color="auto" w:fill="auto"/>
          <w:lang w:val="en-US" w:eastAsia="zh-CN"/>
        </w:rPr>
        <w:t>）中相关要求，落实危险废物经营许可证制度，禁止将危险废物提供或委托给无危险废物经营许可证的单位或者其他生产经营者从事收集、贮存、利用、处置活动。</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cs="Times New Roman"/>
          <w:color w:val="auto"/>
          <w:sz w:val="24"/>
          <w:szCs w:val="22"/>
          <w:highlight w:val="none"/>
          <w:shd w:val="clear" w:color="auto" w:fill="auto"/>
        </w:rPr>
      </w:pPr>
      <w:r>
        <w:rPr>
          <w:rFonts w:hint="eastAsia" w:ascii="Times New Roman" w:hAnsi="Times New Roman" w:eastAsia="宋体" w:cs="Times New Roman"/>
          <w:color w:val="auto"/>
          <w:sz w:val="24"/>
          <w:szCs w:val="22"/>
          <w:highlight w:val="none"/>
          <w:shd w:val="clear" w:color="auto" w:fill="auto"/>
          <w:lang w:val="en-US" w:eastAsia="zh-CN"/>
        </w:rPr>
        <w:t>拟建工程落地油、废防渗材料、油泥（砂）、清管废渣等危废可委托克拉玛依顺通环保科技有限责任公司或其他有危废处置资质单位接收处置。</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eastAsia="zh-CN"/>
        </w:rPr>
      </w:pPr>
      <w:r>
        <w:rPr>
          <w:rFonts w:hint="eastAsia" w:ascii="Times New Roman" w:hAnsi="Times New Roman" w:cs="Times New Roman"/>
          <w:color w:val="auto"/>
          <w:sz w:val="24"/>
          <w:szCs w:val="22"/>
          <w:highlight w:val="none"/>
          <w:shd w:val="clear" w:color="auto" w:fill="auto"/>
          <w:lang w:eastAsia="zh-CN"/>
        </w:rPr>
        <w:t>（</w:t>
      </w:r>
      <w:r>
        <w:rPr>
          <w:rFonts w:hint="eastAsia" w:ascii="Times New Roman" w:hAnsi="Times New Roman" w:cs="Times New Roman"/>
          <w:color w:val="auto"/>
          <w:sz w:val="24"/>
          <w:szCs w:val="22"/>
          <w:highlight w:val="none"/>
          <w:shd w:val="clear" w:color="auto" w:fill="auto"/>
          <w:lang w:val="en-US" w:eastAsia="zh-CN"/>
        </w:rPr>
        <w:t>5</w:t>
      </w:r>
      <w:r>
        <w:rPr>
          <w:rFonts w:hint="eastAsia" w:ascii="Times New Roman" w:hAnsi="Times New Roman" w:cs="Times New Roman"/>
          <w:color w:val="auto"/>
          <w:sz w:val="24"/>
          <w:szCs w:val="22"/>
          <w:highlight w:val="none"/>
          <w:shd w:val="clear" w:color="auto" w:fill="auto"/>
          <w:lang w:eastAsia="zh-CN"/>
        </w:rPr>
        <w:t>）运输过程的污染防治措施</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eastAsia"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zh-CN" w:eastAsia="zh-CN"/>
        </w:rPr>
        <w:t>运输过程严格按照</w:t>
      </w:r>
      <w:r>
        <w:rPr>
          <w:rFonts w:hint="eastAsia" w:ascii="Times New Roman" w:hAnsi="Times New Roman" w:eastAsia="宋体" w:cs="Times New Roman"/>
          <w:color w:val="auto"/>
          <w:sz w:val="24"/>
          <w:szCs w:val="22"/>
          <w:highlight w:val="none"/>
          <w:shd w:val="clear" w:color="auto" w:fill="auto"/>
          <w:lang w:val="en-US" w:eastAsia="zh-CN"/>
        </w:rPr>
        <w:t>《危险废物转移管理办法》（生态环境部部令第23号）、《危险废物收集 贮存 运输技术规范》（HJ2025-2012）</w:t>
      </w:r>
      <w:r>
        <w:rPr>
          <w:rFonts w:hint="eastAsia" w:ascii="Times New Roman" w:hAnsi="Times New Roman" w:eastAsia="宋体" w:cs="Times New Roman"/>
          <w:color w:val="auto"/>
          <w:sz w:val="24"/>
          <w:szCs w:val="22"/>
          <w:highlight w:val="none"/>
          <w:shd w:val="clear" w:color="auto" w:fill="auto"/>
          <w:lang w:val="zh-CN" w:eastAsia="zh-CN"/>
        </w:rPr>
        <w:t>执行。</w:t>
      </w:r>
      <w:r>
        <w:rPr>
          <w:rFonts w:hint="eastAsia" w:ascii="Times New Roman" w:hAnsi="Times New Roman" w:eastAsia="宋体" w:cs="Times New Roman"/>
          <w:color w:val="auto"/>
          <w:sz w:val="24"/>
          <w:szCs w:val="22"/>
          <w:highlight w:val="none"/>
          <w:shd w:val="clear" w:color="auto" w:fill="auto"/>
          <w:lang w:val="en-US" w:eastAsia="zh-CN"/>
        </w:rPr>
        <w:t>危险废物转移过程应采取防扬散、防流失、防渗漏措施，不得擅自倾倒、堆放、丢弃、遗撒；制定危险废物突发环境事件的防范措施和应急预案，发生危险废物突发环境事件时，采取有效措施消除或者减轻对环境的污染危害；制定危险废物管理计划，结合自身的实际情况，与生产记录相衔接，建立危险废物管理台账记录，如实记载产生危险废物的种类、数量、流向、贮存、利用处置等信息，并填写、运行危险废物转移联单。</w:t>
      </w:r>
    </w:p>
    <w:p>
      <w:pPr>
        <w:keepNext w:val="0"/>
        <w:keepLines w:val="0"/>
        <w:pageBreakBefore w:val="0"/>
        <w:widowControl/>
        <w:kinsoku/>
        <w:wordWrap/>
        <w:overflowPunct/>
        <w:topLinePunct w:val="0"/>
        <w:autoSpaceDE/>
        <w:autoSpaceDN/>
        <w:bidi w:val="0"/>
        <w:adjustRightInd w:val="0"/>
        <w:snapToGrid w:val="0"/>
        <w:spacing w:line="480" w:lineRule="exact"/>
        <w:ind w:firstLine="480" w:firstLineChars="200"/>
        <w:jc w:val="left"/>
        <w:textAlignment w:val="auto"/>
        <w:rPr>
          <w:rFonts w:hint="default" w:ascii="Times New Roman" w:hAnsi="Times New Roman" w:eastAsia="宋体" w:cs="Times New Roman"/>
          <w:color w:val="auto"/>
          <w:sz w:val="24"/>
          <w:szCs w:val="22"/>
          <w:highlight w:val="none"/>
          <w:shd w:val="clear" w:color="auto" w:fill="auto"/>
          <w:lang w:val="en-US" w:eastAsia="zh-CN"/>
        </w:rPr>
      </w:pPr>
      <w:r>
        <w:rPr>
          <w:rFonts w:hint="eastAsia" w:ascii="Times New Roman" w:hAnsi="Times New Roman" w:eastAsia="宋体" w:cs="Times New Roman"/>
          <w:color w:val="auto"/>
          <w:sz w:val="24"/>
          <w:szCs w:val="22"/>
          <w:highlight w:val="none"/>
          <w:shd w:val="clear" w:color="auto" w:fill="auto"/>
          <w:lang w:val="en-US" w:eastAsia="zh-CN"/>
        </w:rPr>
        <w:t>拟建工程所产生的危险废物道路运输委托持有危险废物经营许可证的单位，按照其许可证的经营范围组织实施，并在当地生态环境部门批准后进行危险废物的转移。危险废物公路运输应按照《道路危险货物运输管理规定》（</w:t>
      </w:r>
      <w:r>
        <w:rPr>
          <w:rFonts w:hint="eastAsia" w:cs="Times New Roman"/>
          <w:color w:val="auto"/>
          <w:sz w:val="24"/>
          <w:szCs w:val="22"/>
          <w:highlight w:val="none"/>
          <w:shd w:val="clear" w:color="auto" w:fill="auto"/>
          <w:lang w:val="en-US" w:eastAsia="zh-CN"/>
        </w:rPr>
        <w:t>交通运输部</w:t>
      </w:r>
      <w:r>
        <w:rPr>
          <w:rFonts w:hint="eastAsia" w:ascii="Times New Roman" w:hAnsi="Times New Roman" w:eastAsia="宋体" w:cs="Times New Roman"/>
          <w:color w:val="auto"/>
          <w:sz w:val="24"/>
          <w:szCs w:val="22"/>
          <w:highlight w:val="none"/>
          <w:shd w:val="clear" w:color="auto" w:fill="auto"/>
          <w:lang w:val="en-US" w:eastAsia="zh-CN"/>
        </w:rPr>
        <w:t>令〔2005年〕第9号）、</w:t>
      </w:r>
      <w:r>
        <w:rPr>
          <w:rFonts w:hint="eastAsia" w:cs="Times New Roman"/>
          <w:color w:val="auto"/>
          <w:sz w:val="24"/>
          <w:szCs w:val="22"/>
          <w:highlight w:val="none"/>
          <w:shd w:val="clear" w:color="auto" w:fill="auto"/>
          <w:lang w:val="en-US" w:eastAsia="zh-CN"/>
        </w:rPr>
        <w:t>JT/T 617-2018</w:t>
      </w:r>
      <w:r>
        <w:rPr>
          <w:rFonts w:hint="eastAsia" w:ascii="Times New Roman" w:hAnsi="Times New Roman" w:eastAsia="宋体" w:cs="Times New Roman"/>
          <w:color w:val="auto"/>
          <w:sz w:val="24"/>
          <w:szCs w:val="22"/>
          <w:highlight w:val="none"/>
          <w:shd w:val="clear" w:color="auto" w:fill="auto"/>
          <w:lang w:val="en-US" w:eastAsia="zh-CN"/>
        </w:rPr>
        <w:t>以及</w:t>
      </w:r>
      <w:r>
        <w:rPr>
          <w:rFonts w:hint="eastAsia" w:cs="Times New Roman"/>
          <w:color w:val="auto"/>
          <w:sz w:val="24"/>
          <w:szCs w:val="22"/>
          <w:highlight w:val="none"/>
          <w:shd w:val="clear" w:color="auto" w:fill="auto"/>
          <w:lang w:val="en-US" w:eastAsia="zh-CN"/>
        </w:rPr>
        <w:t>JT/T 617-2018</w:t>
      </w:r>
      <w:r>
        <w:rPr>
          <w:rFonts w:hint="eastAsia" w:ascii="Times New Roman" w:hAnsi="Times New Roman" w:eastAsia="宋体" w:cs="Times New Roman"/>
          <w:color w:val="auto"/>
          <w:sz w:val="24"/>
          <w:szCs w:val="22"/>
          <w:highlight w:val="none"/>
          <w:shd w:val="clear" w:color="auto" w:fill="auto"/>
          <w:lang w:val="en-US" w:eastAsia="zh-CN"/>
        </w:rPr>
        <w:t>执行；运输单位承运危险废物时，应在危险废物包装上按照GB18597附录A设置标志；危险废物公路运输时，运输车辆应按GB13392设置车辆标志；运输过程中全部采用密闭容器收集储存，转运结束后及时对转运路线进行检查和清理，确保无危险废物散落或泄漏在转运路线上，危险废物运输过程符合《危险废物收集 贮存 运输技术规范》（HJ2025-2012）中的相关要求。综上，拟建工程危险废物</w:t>
      </w:r>
      <w:r>
        <w:rPr>
          <w:rFonts w:hint="eastAsia" w:ascii="Times New Roman" w:hAnsi="Times New Roman" w:eastAsia="宋体" w:cs="Times New Roman"/>
          <w:color w:val="auto"/>
          <w:sz w:val="24"/>
          <w:szCs w:val="22"/>
          <w:highlight w:val="none"/>
          <w:shd w:val="clear" w:color="auto" w:fill="auto"/>
          <w:lang w:val="zh-CN" w:eastAsia="zh-CN"/>
        </w:rPr>
        <w:t>运输过程的污染防治措施</w:t>
      </w:r>
      <w:r>
        <w:rPr>
          <w:rFonts w:hint="eastAsia" w:ascii="Times New Roman" w:hAnsi="Times New Roman" w:eastAsia="宋体" w:cs="Times New Roman"/>
          <w:color w:val="auto"/>
          <w:sz w:val="24"/>
          <w:szCs w:val="22"/>
          <w:highlight w:val="none"/>
          <w:shd w:val="clear" w:color="auto" w:fill="auto"/>
          <w:lang w:val="en-US" w:eastAsia="zh-CN"/>
        </w:rPr>
        <w:t>可行。</w:t>
      </w:r>
    </w:p>
    <w:p>
      <w:pPr>
        <w:pStyle w:val="57"/>
        <w:pageBreakBefore w:val="0"/>
        <w:widowControl/>
        <w:kinsoku/>
        <w:wordWrap/>
        <w:overflowPunct/>
        <w:topLinePunct w:val="0"/>
        <w:autoSpaceDE/>
        <w:autoSpaceDN/>
        <w:bidi w:val="0"/>
        <w:spacing w:line="480" w:lineRule="exact"/>
        <w:jc w:val="left"/>
        <w:textAlignment w:val="auto"/>
        <w:rPr>
          <w:rFonts w:hint="eastAsia" w:eastAsia="宋体"/>
          <w:color w:val="auto"/>
          <w:highlight w:val="none"/>
          <w:lang w:eastAsia="zh-CN"/>
        </w:rPr>
      </w:pPr>
      <w:r>
        <w:rPr>
          <w:rFonts w:hint="default" w:ascii="Times New Roman" w:hAnsi="Times New Roman" w:eastAsia="宋体" w:cs="Times New Roman"/>
          <w:color w:val="auto"/>
          <w:sz w:val="24"/>
          <w:szCs w:val="22"/>
          <w:highlight w:val="none"/>
          <w:shd w:val="clear" w:color="auto" w:fill="auto"/>
        </w:rPr>
        <w:t>综上，本工程产生的危险废物收集、转移、运输过程中按照《危险废物收集 贮存 运输技术规范》（HJ2025-2012）和《危险废物转移管理办法》要求进行运输，并由有资质的单位进行处置，对环境的影响很小</w:t>
      </w:r>
      <w:r>
        <w:rPr>
          <w:rFonts w:hint="eastAsia" w:ascii="Times New Roman" w:hAnsi="Times New Roman" w:eastAsia="宋体" w:cs="Times New Roman"/>
          <w:color w:val="auto"/>
          <w:sz w:val="24"/>
          <w:szCs w:val="22"/>
          <w:highlight w:val="none"/>
          <w:shd w:val="clear" w:color="auto" w:fill="auto"/>
          <w:lang w:eastAsia="zh-CN"/>
        </w:rPr>
        <w:t>。</w:t>
      </w:r>
    </w:p>
    <w:p>
      <w:pPr>
        <w:pStyle w:val="53"/>
        <w:pageBreakBefore w:val="0"/>
        <w:widowControl/>
        <w:kinsoku/>
        <w:wordWrap/>
        <w:overflowPunct/>
        <w:topLinePunct w:val="0"/>
        <w:autoSpaceDE/>
        <w:autoSpaceDN/>
        <w:bidi w:val="0"/>
        <w:spacing w:line="480" w:lineRule="exact"/>
        <w:textAlignment w:val="auto"/>
        <w:rPr>
          <w:color w:val="auto"/>
          <w:highlight w:val="none"/>
        </w:rPr>
      </w:pPr>
      <w:bookmarkStart w:id="686" w:name="_Toc173941913"/>
      <w:r>
        <w:rPr>
          <w:rFonts w:hint="eastAsia"/>
          <w:color w:val="auto"/>
          <w:highlight w:val="none"/>
        </w:rPr>
        <w:t>5.7</w:t>
      </w:r>
      <w:r>
        <w:rPr>
          <w:color w:val="auto"/>
          <w:highlight w:val="none"/>
        </w:rPr>
        <w:t>.3退役期固体废物影响分析</w:t>
      </w:r>
      <w:bookmarkEnd w:id="686"/>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本工程退役期</w:t>
      </w:r>
      <w:r>
        <w:rPr>
          <w:color w:val="auto"/>
          <w:highlight w:val="none"/>
        </w:rPr>
        <w:t>井场拆除的井架、集输设施、井</w:t>
      </w:r>
      <w:r>
        <w:rPr>
          <w:rFonts w:hint="eastAsia"/>
          <w:color w:val="auto"/>
          <w:highlight w:val="none"/>
          <w:lang w:eastAsia="zh-CN"/>
        </w:rPr>
        <w:t>（</w:t>
      </w:r>
      <w:r>
        <w:rPr>
          <w:rFonts w:hint="eastAsia"/>
          <w:color w:val="auto"/>
          <w:highlight w:val="none"/>
          <w:lang w:val="en-US" w:eastAsia="zh-CN"/>
        </w:rPr>
        <w:t>站</w:t>
      </w:r>
      <w:r>
        <w:rPr>
          <w:rFonts w:hint="eastAsia"/>
          <w:color w:val="auto"/>
          <w:highlight w:val="none"/>
          <w:lang w:eastAsia="zh-CN"/>
        </w:rPr>
        <w:t>）</w:t>
      </w:r>
      <w:r>
        <w:rPr>
          <w:color w:val="auto"/>
          <w:highlight w:val="none"/>
        </w:rPr>
        <w:t>构筑物等为钢制材料，清洗油污后可回收利用。</w:t>
      </w:r>
    </w:p>
    <w:p>
      <w:pPr>
        <w:pStyle w:val="53"/>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5.7.4固废环境影响评价小结</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w:t>
      </w:r>
      <w:r>
        <w:rPr>
          <w:color w:val="auto"/>
          <w:highlight w:val="none"/>
        </w:rPr>
        <w:t>施工期、运营期和退役期产生的固体废物能够通过有效的途径得到较好</w:t>
      </w:r>
      <w:r>
        <w:rPr>
          <w:rFonts w:hint="eastAsia"/>
          <w:color w:val="auto"/>
          <w:highlight w:val="none"/>
          <w:lang w:eastAsia="zh-CN"/>
        </w:rPr>
        <w:t>地</w:t>
      </w:r>
      <w:r>
        <w:rPr>
          <w:color w:val="auto"/>
          <w:highlight w:val="none"/>
        </w:rPr>
        <w:t>处置，对评价区环境影响较小。</w:t>
      </w:r>
    </w:p>
    <w:p>
      <w:pPr>
        <w:pStyle w:val="49"/>
        <w:rPr>
          <w:rFonts w:ascii="Times New Roman" w:hAnsi="Times New Roman" w:eastAsia="宋体"/>
          <w:color w:val="auto"/>
          <w:highlight w:val="none"/>
        </w:rPr>
      </w:pPr>
      <w:bookmarkStart w:id="687" w:name="_Toc9667"/>
      <w:bookmarkStart w:id="688" w:name="_Toc7188"/>
      <w:bookmarkStart w:id="689" w:name="_Toc5391"/>
      <w:bookmarkStart w:id="690" w:name="_Toc173941747"/>
      <w:bookmarkStart w:id="691" w:name="_Toc27188"/>
      <w:bookmarkStart w:id="692" w:name="_Toc173942701"/>
      <w:bookmarkStart w:id="693" w:name="_Toc173941945"/>
      <w:bookmarkStart w:id="694" w:name="_Toc173941742"/>
      <w:bookmarkStart w:id="695" w:name="_Toc173941917"/>
      <w:bookmarkStart w:id="696" w:name="_Toc173942696"/>
      <w:bookmarkStart w:id="697" w:name="_Toc23267"/>
      <w:r>
        <w:rPr>
          <w:rFonts w:hint="eastAsia"/>
          <w:color w:val="auto"/>
          <w:sz w:val="24"/>
          <w:highlight w:val="none"/>
        </w:rPr>
        <w:t>5.8</w:t>
      </w:r>
      <w:r>
        <w:rPr>
          <w:rFonts w:hint="eastAsia" w:ascii="Times New Roman" w:hAnsi="Times New Roman" w:eastAsia="宋体"/>
          <w:color w:val="auto"/>
          <w:highlight w:val="none"/>
        </w:rPr>
        <w:t>环境风险评价</w:t>
      </w:r>
      <w:bookmarkEnd w:id="687"/>
      <w:bookmarkEnd w:id="688"/>
      <w:bookmarkEnd w:id="689"/>
      <w:bookmarkEnd w:id="690"/>
      <w:bookmarkEnd w:id="691"/>
      <w:bookmarkEnd w:id="692"/>
      <w:bookmarkEnd w:id="693"/>
    </w:p>
    <w:p>
      <w:pPr>
        <w:pStyle w:val="53"/>
        <w:rPr>
          <w:color w:val="auto"/>
          <w:highlight w:val="none"/>
        </w:rPr>
      </w:pPr>
      <w:r>
        <w:rPr>
          <w:color w:val="auto"/>
          <w:highlight w:val="none"/>
        </w:rPr>
        <w:fldChar w:fldCharType="begin"/>
      </w:r>
      <w:r>
        <w:rPr>
          <w:color w:val="auto"/>
          <w:highlight w:val="none"/>
        </w:rPr>
        <w:instrText xml:space="preserve"> HYPERLINK \l "_Toc25455" </w:instrText>
      </w:r>
      <w:r>
        <w:rPr>
          <w:color w:val="auto"/>
          <w:highlight w:val="none"/>
        </w:rPr>
        <w:fldChar w:fldCharType="separate"/>
      </w:r>
      <w:r>
        <w:rPr>
          <w:rFonts w:hint="eastAsia"/>
          <w:color w:val="auto"/>
          <w:highlight w:val="none"/>
        </w:rPr>
        <w:t>5.8.1 风险</w:t>
      </w:r>
      <w:r>
        <w:rPr>
          <w:rFonts w:hint="eastAsia"/>
          <w:color w:val="auto"/>
          <w:highlight w:val="none"/>
        </w:rPr>
        <w:fldChar w:fldCharType="end"/>
      </w:r>
      <w:r>
        <w:rPr>
          <w:rFonts w:hint="eastAsia"/>
          <w:color w:val="auto"/>
          <w:highlight w:val="none"/>
        </w:rPr>
        <w:t>调查</w:t>
      </w:r>
    </w:p>
    <w:p>
      <w:pPr>
        <w:pStyle w:val="5"/>
        <w:bidi w:val="0"/>
        <w:rPr>
          <w:color w:val="auto"/>
          <w:highlight w:val="none"/>
        </w:rPr>
      </w:pPr>
      <w:r>
        <w:rPr>
          <w:rFonts w:hint="eastAsia"/>
          <w:color w:val="auto"/>
          <w:highlight w:val="none"/>
        </w:rPr>
        <w:t>5.8.1.1危险物质调查</w:t>
      </w:r>
    </w:p>
    <w:p>
      <w:pPr>
        <w:pStyle w:val="57"/>
        <w:bidi w:val="0"/>
        <w:rPr>
          <w:rFonts w:hint="eastAsia"/>
          <w:color w:val="auto"/>
          <w:highlight w:val="none"/>
        </w:rPr>
      </w:pPr>
      <w:r>
        <w:rPr>
          <w:rFonts w:hint="eastAsia"/>
          <w:color w:val="auto"/>
          <w:highlight w:val="none"/>
        </w:rPr>
        <w:t>根据工程可研及工程分析以及《建设项目环境风险评价技术导则》（HJ 169-2018）附录B，本工程施工期</w:t>
      </w:r>
      <w:r>
        <w:rPr>
          <w:rFonts w:hint="eastAsia"/>
          <w:color w:val="auto"/>
          <w:highlight w:val="none"/>
          <w:lang w:val="en-US" w:eastAsia="zh-CN"/>
        </w:rPr>
        <w:t>涉及的危险物质主要为柴油；</w:t>
      </w:r>
      <w:r>
        <w:rPr>
          <w:rFonts w:hint="eastAsia"/>
          <w:color w:val="auto"/>
          <w:highlight w:val="none"/>
        </w:rPr>
        <w:t>运营期涉及的危险物质主要为</w:t>
      </w:r>
      <w:r>
        <w:rPr>
          <w:rFonts w:hint="eastAsia"/>
          <w:color w:val="auto"/>
          <w:highlight w:val="none"/>
          <w:lang w:val="en-US" w:eastAsia="zh-CN"/>
        </w:rPr>
        <w:t>原油、天然气</w:t>
      </w:r>
      <w:r>
        <w:rPr>
          <w:rFonts w:hint="eastAsia"/>
          <w:color w:val="auto"/>
          <w:highlight w:val="none"/>
          <w:lang w:eastAsia="zh-CN"/>
        </w:rPr>
        <w:t>；</w:t>
      </w:r>
      <w:r>
        <w:rPr>
          <w:rFonts w:hint="eastAsia"/>
          <w:color w:val="auto"/>
          <w:highlight w:val="none"/>
        </w:rPr>
        <w:t>退役期不涉及危险物质。</w:t>
      </w:r>
    </w:p>
    <w:p>
      <w:pPr>
        <w:pStyle w:val="57"/>
        <w:bidi w:val="0"/>
        <w:rPr>
          <w:color w:val="auto"/>
          <w:highlight w:val="none"/>
        </w:rPr>
      </w:pPr>
      <w:r>
        <w:rPr>
          <w:rFonts w:hint="eastAsia"/>
          <w:color w:val="auto"/>
          <w:highlight w:val="none"/>
          <w:lang w:val="en-US" w:eastAsia="zh-CN"/>
        </w:rPr>
        <w:t>施工期柴油主要存储于井场柴油罐内；运营期原油主要存储于新建的</w:t>
      </w:r>
      <w:r>
        <w:rPr>
          <w:rFonts w:hint="eastAsia"/>
          <w:color w:val="auto"/>
          <w:szCs w:val="24"/>
          <w:highlight w:val="none"/>
          <w:lang w:val="en-US" w:eastAsia="zh-CN"/>
        </w:rPr>
        <w:t>单井拉油井场、</w:t>
      </w:r>
      <w:r>
        <w:rPr>
          <w:rFonts w:hint="eastAsia"/>
          <w:color w:val="auto"/>
          <w:highlight w:val="none"/>
          <w:lang w:val="en-US" w:eastAsia="zh-CN"/>
        </w:rPr>
        <w:t>集中拉油站、单井集输管线、集油支线、净化油外输管线内；</w:t>
      </w:r>
      <w:r>
        <w:rPr>
          <w:rFonts w:hint="eastAsia"/>
          <w:color w:val="auto"/>
          <w:highlight w:val="none"/>
        </w:rPr>
        <w:t>天然气主要存在于新建的</w:t>
      </w:r>
      <w:r>
        <w:rPr>
          <w:rFonts w:hint="eastAsia"/>
          <w:color w:val="auto"/>
          <w:highlight w:val="none"/>
          <w:lang w:val="en-US" w:eastAsia="zh-CN"/>
        </w:rPr>
        <w:t>单井集输管线、集中拉油站</w:t>
      </w:r>
      <w:r>
        <w:rPr>
          <w:rFonts w:hint="eastAsia" w:ascii="Times New Roman" w:hAnsi="Times New Roman" w:cs="Times New Roman"/>
          <w:color w:val="auto"/>
          <w:highlight w:val="none"/>
          <w:lang w:val="en-US" w:eastAsia="zh-CN"/>
        </w:rPr>
        <w:t>内的</w:t>
      </w:r>
      <w:r>
        <w:rPr>
          <w:rFonts w:hint="default" w:ascii="Times New Roman" w:hAnsi="Times New Roman" w:cs="Times New Roman"/>
          <w:color w:val="auto"/>
          <w:highlight w:val="none"/>
          <w:lang w:val="en-US" w:eastAsia="zh-CN"/>
        </w:rPr>
        <w:t>生产分离器</w:t>
      </w:r>
      <w:r>
        <w:rPr>
          <w:rFonts w:hint="eastAsia"/>
          <w:color w:val="auto"/>
          <w:highlight w:val="none"/>
          <w:lang w:val="en-US" w:eastAsia="zh-CN"/>
        </w:rPr>
        <w:t>以及新建的输</w:t>
      </w:r>
      <w:r>
        <w:rPr>
          <w:rFonts w:hint="eastAsia"/>
          <w:color w:val="auto"/>
          <w:highlight w:val="none"/>
        </w:rPr>
        <w:t>气管线</w:t>
      </w:r>
      <w:r>
        <w:rPr>
          <w:rFonts w:hint="eastAsia"/>
          <w:color w:val="auto"/>
          <w:highlight w:val="none"/>
          <w:lang w:val="en-US" w:eastAsia="zh-CN"/>
        </w:rPr>
        <w:t>内</w:t>
      </w:r>
      <w:r>
        <w:rPr>
          <w:rFonts w:hint="eastAsia" w:ascii="Times New Roman" w:hAnsi="Times New Roman" w:cs="Times New Roman"/>
          <w:color w:val="auto"/>
          <w:highlight w:val="none"/>
          <w:lang w:val="en-US" w:eastAsia="zh-CN"/>
        </w:rPr>
        <w:t>。</w:t>
      </w:r>
    </w:p>
    <w:p>
      <w:pPr>
        <w:pStyle w:val="57"/>
        <w:bidi w:val="0"/>
        <w:rPr>
          <w:color w:val="auto"/>
          <w:highlight w:val="none"/>
        </w:rPr>
      </w:pPr>
      <w:r>
        <w:rPr>
          <w:rFonts w:hint="eastAsia"/>
          <w:color w:val="auto"/>
          <w:highlight w:val="none"/>
        </w:rPr>
        <w:t>本工程井场</w:t>
      </w:r>
      <w:r>
        <w:rPr>
          <w:rFonts w:hint="eastAsia"/>
          <w:color w:val="auto"/>
          <w:highlight w:val="none"/>
          <w:lang w:val="en-US" w:eastAsia="zh-CN"/>
        </w:rPr>
        <w:t>与</w:t>
      </w:r>
      <w:r>
        <w:rPr>
          <w:rFonts w:hint="eastAsia"/>
          <w:color w:val="auto"/>
          <w:highlight w:val="none"/>
        </w:rPr>
        <w:t>站场之间距离均较远，新建</w:t>
      </w:r>
      <w:r>
        <w:rPr>
          <w:rFonts w:hint="eastAsia"/>
          <w:color w:val="auto"/>
          <w:highlight w:val="none"/>
          <w:lang w:val="en-US" w:eastAsia="zh-CN"/>
        </w:rPr>
        <w:t>单井集输管线</w:t>
      </w:r>
      <w:r>
        <w:rPr>
          <w:rFonts w:hint="eastAsia"/>
          <w:color w:val="auto"/>
          <w:highlight w:val="none"/>
        </w:rPr>
        <w:t>主要为单井至站场的集输管线，各站场和井场均有控制（截断）阀，发生泄漏时，可通过控制（截断）阀进行紧急切断。本次将井场、站场、</w:t>
      </w:r>
      <w:r>
        <w:rPr>
          <w:rFonts w:hint="eastAsia"/>
          <w:color w:val="auto"/>
          <w:highlight w:val="none"/>
          <w:lang w:val="en-US" w:eastAsia="zh-CN"/>
        </w:rPr>
        <w:t>各类</w:t>
      </w:r>
      <w:r>
        <w:rPr>
          <w:rFonts w:hint="eastAsia"/>
          <w:color w:val="auto"/>
          <w:highlight w:val="none"/>
        </w:rPr>
        <w:t>管线分别划分为独立的危险单元，评价</w:t>
      </w:r>
      <w:r>
        <w:rPr>
          <w:rFonts w:hint="eastAsia"/>
          <w:color w:val="auto"/>
          <w:highlight w:val="none"/>
          <w:lang w:val="en-US" w:eastAsia="zh-CN"/>
        </w:rPr>
        <w:t>各</w:t>
      </w:r>
      <w:r>
        <w:rPr>
          <w:rFonts w:hint="eastAsia"/>
          <w:color w:val="auto"/>
          <w:highlight w:val="none"/>
        </w:rPr>
        <w:t>危险单元内危险物质的最大存在量。</w:t>
      </w:r>
    </w:p>
    <w:p>
      <w:pPr>
        <w:pStyle w:val="57"/>
        <w:bidi w:val="0"/>
        <w:rPr>
          <w:color w:val="auto"/>
          <w:highlight w:val="none"/>
        </w:rPr>
      </w:pPr>
      <w:r>
        <w:rPr>
          <w:color w:val="auto"/>
          <w:highlight w:val="none"/>
        </w:rPr>
        <w:t>根据克拉伯龙方程，计算管道带压运行状态下的气体质量：</w:t>
      </w:r>
    </w:p>
    <w:p>
      <w:pPr>
        <w:pStyle w:val="57"/>
        <w:ind w:firstLine="3840" w:firstLineChars="1600"/>
        <w:rPr>
          <w:color w:val="auto"/>
          <w:highlight w:val="none"/>
        </w:rPr>
      </w:pPr>
      <w:r>
        <w:rPr>
          <w:color w:val="auto"/>
          <w:highlight w:val="none"/>
        </w:rPr>
        <w:t>pV=nRT</w:t>
      </w:r>
    </w:p>
    <w:p>
      <w:pPr>
        <w:pStyle w:val="57"/>
        <w:bidi w:val="0"/>
        <w:rPr>
          <w:color w:val="auto"/>
          <w:highlight w:val="none"/>
        </w:rPr>
      </w:pPr>
      <w:r>
        <w:rPr>
          <w:color w:val="auto"/>
          <w:highlight w:val="none"/>
        </w:rPr>
        <w:t>p：气体压强，标况压强0.101325Mpa；</w:t>
      </w:r>
    </w:p>
    <w:p>
      <w:pPr>
        <w:pStyle w:val="57"/>
        <w:bidi w:val="0"/>
        <w:rPr>
          <w:color w:val="auto"/>
          <w:highlight w:val="none"/>
        </w:rPr>
      </w:pPr>
      <w:r>
        <w:rPr>
          <w:color w:val="auto"/>
          <w:highlight w:val="none"/>
        </w:rPr>
        <w:t>V：气体体积，管道体积；</w:t>
      </w:r>
    </w:p>
    <w:p>
      <w:pPr>
        <w:pStyle w:val="57"/>
        <w:bidi w:val="0"/>
        <w:rPr>
          <w:color w:val="auto"/>
          <w:highlight w:val="none"/>
        </w:rPr>
      </w:pPr>
      <w:r>
        <w:rPr>
          <w:color w:val="auto"/>
          <w:highlight w:val="none"/>
        </w:rPr>
        <w:t>n：气体的物质的量，单位mol；</w:t>
      </w:r>
    </w:p>
    <w:p>
      <w:pPr>
        <w:pStyle w:val="57"/>
        <w:bidi w:val="0"/>
        <w:rPr>
          <w:color w:val="auto"/>
          <w:highlight w:val="none"/>
        </w:rPr>
      </w:pPr>
      <w:r>
        <w:rPr>
          <w:color w:val="auto"/>
          <w:highlight w:val="none"/>
        </w:rPr>
        <w:t>T：绝对温度，293.15K；</w:t>
      </w:r>
    </w:p>
    <w:p>
      <w:pPr>
        <w:pStyle w:val="57"/>
        <w:bidi w:val="0"/>
        <w:rPr>
          <w:color w:val="auto"/>
          <w:highlight w:val="none"/>
        </w:rPr>
      </w:pPr>
      <w:r>
        <w:rPr>
          <w:color w:val="auto"/>
          <w:highlight w:val="none"/>
        </w:rPr>
        <w:t>R：气体常数。</w:t>
      </w:r>
    </w:p>
    <w:p>
      <w:pPr>
        <w:pStyle w:val="57"/>
        <w:bidi w:val="0"/>
        <w:rPr>
          <w:color w:val="auto"/>
          <w:highlight w:val="none"/>
        </w:rPr>
      </w:pPr>
      <w:r>
        <w:rPr>
          <w:rFonts w:hint="eastAsia"/>
          <w:color w:val="auto"/>
          <w:highlight w:val="none"/>
        </w:rPr>
        <w:t>经计算，本工程危险物质数量及分布情况见表5.8-</w:t>
      </w:r>
      <w:r>
        <w:rPr>
          <w:color w:val="auto"/>
          <w:highlight w:val="none"/>
        </w:rPr>
        <w:t>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w:t>
      </w:r>
      <w:r>
        <w:rPr>
          <w:rFonts w:hint="eastAsia"/>
          <w:color w:val="auto"/>
          <w:highlight w:val="none"/>
        </w:rPr>
        <w:t>5.8-1   本工程</w:t>
      </w:r>
      <w:r>
        <w:rPr>
          <w:color w:val="auto"/>
          <w:highlight w:val="none"/>
        </w:rPr>
        <w:t>危险物质分布情况一览表</w:t>
      </w:r>
    </w:p>
    <w:tbl>
      <w:tblPr>
        <w:tblStyle w:val="34"/>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1009"/>
        <w:gridCol w:w="1009"/>
        <w:gridCol w:w="1134"/>
        <w:gridCol w:w="2401"/>
        <w:gridCol w:w="1009"/>
        <w:gridCol w:w="1145"/>
        <w:gridCol w:w="112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时期</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序号</w:t>
            </w:r>
          </w:p>
        </w:tc>
        <w:tc>
          <w:tcPr>
            <w:tcW w:w="642"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危险单元</w:t>
            </w:r>
          </w:p>
        </w:tc>
        <w:tc>
          <w:tcPr>
            <w:tcW w:w="1359"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存储装置参数</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危险物质名称</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CAS</w:t>
            </w:r>
            <w:r>
              <w:rPr>
                <w:rFonts w:hint="eastAsia"/>
                <w:color w:val="auto"/>
                <w:lang w:val="en-US" w:eastAsia="zh-CN"/>
              </w:rPr>
              <w:t>号</w:t>
            </w:r>
          </w:p>
        </w:tc>
        <w:tc>
          <w:tcPr>
            <w:tcW w:w="634"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最大存在量（</w:t>
            </w:r>
            <w:r>
              <w:rPr>
                <w:rFonts w:hint="default"/>
                <w:color w:val="auto"/>
                <w:lang w:val="en-US" w:eastAsia="zh-CN"/>
              </w:rPr>
              <w:t>t</w:t>
            </w:r>
            <w:r>
              <w:rPr>
                <w:rFonts w:hint="eastAsia"/>
                <w:color w:val="auto"/>
                <w:lang w:val="en-US"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施工期</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1</w:t>
            </w:r>
          </w:p>
        </w:tc>
        <w:tc>
          <w:tcPr>
            <w:tcW w:w="642"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井场</w:t>
            </w:r>
          </w:p>
        </w:tc>
        <w:tc>
          <w:tcPr>
            <w:tcW w:w="1359"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20m</w:t>
            </w:r>
            <w:r>
              <w:rPr>
                <w:rFonts w:hint="eastAsia"/>
                <w:color w:val="auto"/>
                <w:vertAlign w:val="superscript"/>
                <w:lang w:val="en-US" w:eastAsia="zh-CN"/>
              </w:rPr>
              <w:t>3</w:t>
            </w:r>
            <w:r>
              <w:rPr>
                <w:rFonts w:hint="eastAsia"/>
                <w:color w:val="auto"/>
                <w:lang w:val="en-US" w:eastAsia="zh-CN"/>
              </w:rPr>
              <w:t>柴油罐</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柴油</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17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71" w:type="pct"/>
            <w:vMerge w:val="restart"/>
            <w:tcBorders>
              <w:tl2br w:val="nil"/>
              <w:tr2bl w:val="nil"/>
            </w:tcBorders>
            <w:shd w:val="clear" w:color="auto" w:fill="auto"/>
            <w:vAlign w:val="center"/>
          </w:tcPr>
          <w:p>
            <w:pPr>
              <w:pStyle w:val="41"/>
              <w:bidi w:val="0"/>
              <w:jc w:val="center"/>
              <w:rPr>
                <w:rFonts w:hint="eastAsia"/>
                <w:color w:val="auto"/>
                <w:lang w:val="en-US" w:eastAsia="zh-CN"/>
              </w:rPr>
            </w:pPr>
            <w:r>
              <w:rPr>
                <w:rFonts w:hint="eastAsia"/>
                <w:color w:val="auto"/>
                <w:lang w:val="en-US" w:eastAsia="zh-CN"/>
              </w:rPr>
              <w:t>运营期</w:t>
            </w:r>
          </w:p>
        </w:tc>
        <w:tc>
          <w:tcPr>
            <w:tcW w:w="571" w:type="pct"/>
            <w:tcBorders>
              <w:tl2br w:val="nil"/>
              <w:tr2bl w:val="nil"/>
            </w:tcBorders>
            <w:shd w:val="clear" w:color="auto" w:fill="auto"/>
            <w:vAlign w:val="center"/>
          </w:tcPr>
          <w:p>
            <w:pPr>
              <w:pStyle w:val="41"/>
              <w:bidi w:val="0"/>
              <w:ind w:firstLine="0" w:firstLineChars="0"/>
              <w:jc w:val="center"/>
              <w:rPr>
                <w:rFonts w:hint="default"/>
                <w:color w:val="auto"/>
                <w:lang w:val="en-US" w:eastAsia="zh-CN"/>
              </w:rPr>
            </w:pPr>
            <w:r>
              <w:rPr>
                <w:rFonts w:hint="eastAsia"/>
                <w:color w:val="auto"/>
                <w:lang w:val="en-US" w:eastAsia="zh-CN"/>
              </w:rPr>
              <w:t>1</w:t>
            </w:r>
          </w:p>
        </w:tc>
        <w:tc>
          <w:tcPr>
            <w:tcW w:w="642" w:type="pct"/>
            <w:tcBorders>
              <w:tl2br w:val="nil"/>
              <w:tr2bl w:val="nil"/>
            </w:tcBorders>
            <w:shd w:val="clear" w:color="auto" w:fill="auto"/>
            <w:vAlign w:val="center"/>
          </w:tcPr>
          <w:p>
            <w:pPr>
              <w:pStyle w:val="41"/>
              <w:bidi w:val="0"/>
              <w:jc w:val="center"/>
              <w:rPr>
                <w:rFonts w:hint="default"/>
                <w:color w:val="auto"/>
                <w:lang w:val="en-US" w:eastAsia="zh-CN"/>
              </w:rPr>
            </w:pPr>
            <w:r>
              <w:rPr>
                <w:rFonts w:hint="eastAsia"/>
                <w:color w:val="auto"/>
                <w:szCs w:val="24"/>
                <w:highlight w:val="none"/>
                <w:lang w:val="en-US" w:eastAsia="zh-CN"/>
              </w:rPr>
              <w:t>单井拉油井场</w:t>
            </w:r>
          </w:p>
        </w:tc>
        <w:tc>
          <w:tcPr>
            <w:tcW w:w="1359" w:type="pct"/>
            <w:tcBorders>
              <w:tl2br w:val="nil"/>
              <w:tr2bl w:val="nil"/>
            </w:tcBorders>
            <w:shd w:val="clear" w:color="auto" w:fill="auto"/>
            <w:vAlign w:val="center"/>
          </w:tcPr>
          <w:p>
            <w:pPr>
              <w:pStyle w:val="41"/>
              <w:bidi w:val="0"/>
              <w:jc w:val="center"/>
              <w:rPr>
                <w:rFonts w:hint="eastAsia"/>
                <w:color w:val="auto"/>
                <w:lang w:val="en-US" w:eastAsia="zh-CN"/>
              </w:rPr>
            </w:pPr>
            <w:r>
              <w:rPr>
                <w:rFonts w:hint="eastAsia"/>
                <w:color w:val="auto"/>
                <w:szCs w:val="24"/>
                <w:highlight w:val="none"/>
                <w:lang w:val="en-US" w:eastAsia="zh-CN"/>
              </w:rPr>
              <w:t>2座60方高架罐</w:t>
            </w:r>
          </w:p>
        </w:tc>
        <w:tc>
          <w:tcPr>
            <w:tcW w:w="571" w:type="pct"/>
            <w:tcBorders>
              <w:tl2br w:val="nil"/>
              <w:tr2bl w:val="nil"/>
            </w:tcBorders>
            <w:shd w:val="clear" w:color="auto" w:fill="auto"/>
            <w:vAlign w:val="center"/>
          </w:tcPr>
          <w:p>
            <w:pPr>
              <w:pStyle w:val="41"/>
              <w:bidi w:val="0"/>
              <w:ind w:firstLine="0" w:firstLineChars="0"/>
              <w:jc w:val="center"/>
              <w:rPr>
                <w:rFonts w:hint="eastAsia" w:ascii="Times New Roman" w:hAnsi="Times New Roman" w:eastAsia="宋体" w:cs="Times New Roman"/>
                <w:color w:val="auto"/>
                <w:sz w:val="21"/>
                <w:szCs w:val="20"/>
                <w:lang w:val="en-US" w:eastAsia="zh-CN" w:bidi="ar-SA"/>
              </w:rPr>
            </w:pPr>
            <w:r>
              <w:rPr>
                <w:rFonts w:hint="eastAsia"/>
                <w:color w:val="auto"/>
                <w:lang w:val="en-US" w:eastAsia="zh-CN"/>
              </w:rPr>
              <w:t>原油</w:t>
            </w:r>
          </w:p>
        </w:tc>
        <w:tc>
          <w:tcPr>
            <w:tcW w:w="648"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0"/>
                <w:lang w:val="en-US" w:eastAsia="zh-CN" w:bidi="ar-SA"/>
              </w:rPr>
            </w:pPr>
            <w:r>
              <w:rPr>
                <w:rFonts w:hint="default"/>
                <w:color w:val="auto"/>
                <w:lang w:val="en-US" w:eastAsia="zh-CN"/>
              </w:rPr>
              <w:t>-</w:t>
            </w:r>
          </w:p>
        </w:tc>
        <w:tc>
          <w:tcPr>
            <w:tcW w:w="634" w:type="pct"/>
            <w:tcBorders>
              <w:tl2br w:val="nil"/>
              <w:tr2bl w:val="nil"/>
            </w:tcBorders>
            <w:shd w:val="clear" w:color="auto" w:fill="auto"/>
            <w:vAlign w:val="center"/>
          </w:tcPr>
          <w:p>
            <w:pPr>
              <w:pStyle w:val="41"/>
              <w:bidi w:val="0"/>
              <w:ind w:firstLine="0" w:firstLineChars="0"/>
              <w:jc w:val="center"/>
              <w:rPr>
                <w:rFonts w:hint="default" w:ascii="Times New Roman" w:hAnsi="Times New Roman" w:eastAsia="宋体" w:cs="Times New Roman"/>
                <w:color w:val="auto"/>
                <w:sz w:val="21"/>
                <w:szCs w:val="20"/>
                <w:lang w:val="en-US" w:eastAsia="zh-CN" w:bidi="ar-SA"/>
              </w:rPr>
            </w:pPr>
            <w:r>
              <w:rPr>
                <w:rFonts w:hint="eastAsia" w:cs="Times New Roman"/>
                <w:color w:val="auto"/>
                <w:sz w:val="21"/>
                <w:szCs w:val="20"/>
                <w:lang w:val="en-US" w:eastAsia="zh-CN" w:bidi="ar-SA"/>
              </w:rPr>
              <w:t>104.16</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571" w:type="pct"/>
            <w:vMerge w:val="restart"/>
            <w:tcBorders>
              <w:tl2br w:val="nil"/>
              <w:tr2bl w:val="nil"/>
            </w:tcBorders>
            <w:shd w:val="clear" w:color="auto" w:fill="auto"/>
            <w:vAlign w:val="center"/>
          </w:tcPr>
          <w:p>
            <w:pPr>
              <w:pStyle w:val="41"/>
              <w:bidi w:val="0"/>
              <w:ind w:firstLine="0" w:firstLineChars="0"/>
              <w:jc w:val="center"/>
              <w:rPr>
                <w:rFonts w:hint="eastAsia"/>
                <w:color w:val="auto"/>
              </w:rPr>
            </w:pPr>
            <w:r>
              <w:rPr>
                <w:rFonts w:hint="eastAsia"/>
                <w:color w:val="auto"/>
                <w:lang w:val="en-US" w:eastAsia="zh-CN"/>
              </w:rPr>
              <w:t>2</w:t>
            </w:r>
          </w:p>
        </w:tc>
        <w:tc>
          <w:tcPr>
            <w:tcW w:w="642" w:type="pct"/>
            <w:vMerge w:val="restar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集中拉油站</w:t>
            </w:r>
          </w:p>
        </w:tc>
        <w:tc>
          <w:tcPr>
            <w:tcW w:w="1359" w:type="pct"/>
            <w:vMerge w:val="restar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生产分离器（</w:t>
            </w:r>
            <w:r>
              <w:rPr>
                <w:rFonts w:hint="default"/>
                <w:color w:val="auto"/>
                <w:lang w:val="en-US" w:eastAsia="zh-CN"/>
              </w:rPr>
              <w:t>Φ3.0m×9.0m</w:t>
            </w:r>
            <w:r>
              <w:rPr>
                <w:rFonts w:hint="eastAsia"/>
                <w:color w:val="auto"/>
                <w:lang w:val="en-US" w:eastAsia="zh-CN"/>
              </w:rPr>
              <w:t>，</w:t>
            </w:r>
            <w:r>
              <w:rPr>
                <w:rFonts w:hint="default"/>
                <w:color w:val="auto"/>
                <w:lang w:val="en-US" w:eastAsia="zh-CN"/>
              </w:rPr>
              <w:t>0.6Mpa</w:t>
            </w:r>
            <w:r>
              <w:rPr>
                <w:rFonts w:hint="eastAsia"/>
                <w:color w:val="auto"/>
                <w:lang w:val="en-US" w:eastAsia="zh-CN"/>
              </w:rPr>
              <w:t>）</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55.55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642" w:type="pct"/>
            <w:vMerge w:val="continue"/>
            <w:tcBorders>
              <w:tl2br w:val="nil"/>
              <w:tr2bl w:val="nil"/>
            </w:tcBorders>
            <w:shd w:val="clear" w:color="auto" w:fill="auto"/>
            <w:vAlign w:val="center"/>
          </w:tcPr>
          <w:p>
            <w:pPr>
              <w:pStyle w:val="41"/>
              <w:bidi w:val="0"/>
              <w:jc w:val="center"/>
              <w:rPr>
                <w:rFonts w:hint="eastAsia"/>
                <w:color w:val="auto"/>
              </w:rPr>
            </w:pPr>
          </w:p>
        </w:tc>
        <w:tc>
          <w:tcPr>
            <w:tcW w:w="1359" w:type="pct"/>
            <w:vMerge w:val="continue"/>
            <w:tcBorders>
              <w:tl2br w:val="nil"/>
              <w:tr2bl w:val="nil"/>
            </w:tcBorders>
            <w:shd w:val="clear" w:color="auto" w:fill="auto"/>
            <w:vAlign w:val="center"/>
          </w:tcPr>
          <w:p>
            <w:pPr>
              <w:pStyle w:val="41"/>
              <w:bidi w:val="0"/>
              <w:jc w:val="center"/>
              <w:rPr>
                <w:rFonts w:hint="default"/>
                <w:color w:val="auto"/>
              </w:rPr>
            </w:pP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天然气</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74-82-8</w:t>
            </w:r>
          </w:p>
        </w:tc>
        <w:tc>
          <w:tcPr>
            <w:tcW w:w="634"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0.05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642" w:type="pct"/>
            <w:vMerge w:val="continue"/>
            <w:tcBorders>
              <w:tl2br w:val="nil"/>
              <w:tr2bl w:val="nil"/>
            </w:tcBorders>
            <w:shd w:val="clear" w:color="auto" w:fill="auto"/>
            <w:vAlign w:val="center"/>
          </w:tcPr>
          <w:p>
            <w:pPr>
              <w:pStyle w:val="41"/>
              <w:bidi w:val="0"/>
              <w:jc w:val="center"/>
              <w:rPr>
                <w:rFonts w:hint="eastAsia"/>
                <w:color w:val="auto"/>
              </w:rPr>
            </w:pPr>
          </w:p>
        </w:tc>
        <w:tc>
          <w:tcPr>
            <w:tcW w:w="1359"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1000m</w:t>
            </w:r>
            <w:r>
              <w:rPr>
                <w:rFonts w:hint="default"/>
                <w:color w:val="auto"/>
                <w:vertAlign w:val="superscript"/>
                <w:lang w:val="en-US" w:eastAsia="zh-CN"/>
              </w:rPr>
              <w:t>3</w:t>
            </w:r>
            <w:r>
              <w:rPr>
                <w:rFonts w:hint="eastAsia"/>
                <w:color w:val="auto"/>
                <w:lang w:val="en-US" w:eastAsia="zh-CN"/>
              </w:rPr>
              <w:t>拉油罐</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868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571" w:type="pct"/>
            <w:vMerge w:val="restart"/>
            <w:tcBorders>
              <w:tl2br w:val="nil"/>
              <w:tr2bl w:val="nil"/>
            </w:tcBorders>
            <w:shd w:val="clear" w:color="auto" w:fill="auto"/>
            <w:vAlign w:val="center"/>
          </w:tcPr>
          <w:p>
            <w:pPr>
              <w:pStyle w:val="41"/>
              <w:bidi w:val="0"/>
              <w:ind w:firstLine="0" w:firstLineChars="0"/>
              <w:jc w:val="center"/>
              <w:rPr>
                <w:rFonts w:hint="eastAsia"/>
                <w:color w:val="auto"/>
              </w:rPr>
            </w:pPr>
            <w:r>
              <w:rPr>
                <w:rFonts w:hint="eastAsia"/>
                <w:color w:val="auto"/>
                <w:lang w:val="en-US" w:eastAsia="zh-CN"/>
              </w:rPr>
              <w:t>3</w:t>
            </w:r>
          </w:p>
        </w:tc>
        <w:tc>
          <w:tcPr>
            <w:tcW w:w="642" w:type="pct"/>
            <w:vMerge w:val="restar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单井集输管线</w:t>
            </w:r>
          </w:p>
        </w:tc>
        <w:tc>
          <w:tcPr>
            <w:tcW w:w="1359" w:type="pct"/>
            <w:vMerge w:val="restar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DN65</w:t>
            </w:r>
            <w:r>
              <w:rPr>
                <w:rFonts w:hint="eastAsia"/>
                <w:color w:val="auto"/>
                <w:lang w:val="en-US" w:eastAsia="zh-CN"/>
              </w:rPr>
              <w:t>,</w:t>
            </w:r>
            <w:r>
              <w:rPr>
                <w:rFonts w:hint="default"/>
                <w:color w:val="auto"/>
                <w:lang w:val="en-US" w:eastAsia="zh-CN"/>
              </w:rPr>
              <w:t>2.5MPa</w:t>
            </w:r>
            <w:r>
              <w:rPr>
                <w:rFonts w:hint="eastAsia"/>
                <w:color w:val="auto"/>
                <w:lang w:val="en-US" w:eastAsia="zh-CN"/>
              </w:rPr>
              <w:t>,</w:t>
            </w:r>
            <w:r>
              <w:rPr>
                <w:rFonts w:hint="default"/>
                <w:color w:val="auto"/>
                <w:lang w:val="en-US" w:eastAsia="zh-CN"/>
              </w:rPr>
              <w:t>2km</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6.08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642" w:type="pct"/>
            <w:vMerge w:val="continue"/>
            <w:tcBorders>
              <w:tl2br w:val="nil"/>
              <w:tr2bl w:val="nil"/>
            </w:tcBorders>
            <w:shd w:val="clear" w:color="auto" w:fill="auto"/>
            <w:vAlign w:val="center"/>
          </w:tcPr>
          <w:p>
            <w:pPr>
              <w:pStyle w:val="41"/>
              <w:bidi w:val="0"/>
              <w:jc w:val="center"/>
              <w:rPr>
                <w:rFonts w:hint="eastAsia"/>
                <w:color w:val="auto"/>
              </w:rPr>
            </w:pPr>
          </w:p>
        </w:tc>
        <w:tc>
          <w:tcPr>
            <w:tcW w:w="1359" w:type="pct"/>
            <w:vMerge w:val="continue"/>
            <w:tcBorders>
              <w:tl2br w:val="nil"/>
              <w:tr2bl w:val="nil"/>
            </w:tcBorders>
            <w:shd w:val="clear" w:color="auto" w:fill="auto"/>
            <w:vAlign w:val="center"/>
          </w:tcPr>
          <w:p>
            <w:pPr>
              <w:pStyle w:val="41"/>
              <w:bidi w:val="0"/>
              <w:jc w:val="center"/>
              <w:rPr>
                <w:rFonts w:hint="default"/>
                <w:color w:val="auto"/>
              </w:rPr>
            </w:pP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天然气</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74-82-8</w:t>
            </w:r>
          </w:p>
        </w:tc>
        <w:tc>
          <w:tcPr>
            <w:tcW w:w="634" w:type="pct"/>
            <w:tcBorders>
              <w:tl2br w:val="nil"/>
              <w:tr2bl w:val="nil"/>
            </w:tcBorders>
            <w:shd w:val="clear" w:color="auto" w:fill="auto"/>
            <w:vAlign w:val="center"/>
          </w:tcPr>
          <w:p>
            <w:pPr>
              <w:pStyle w:val="41"/>
              <w:bidi w:val="0"/>
              <w:jc w:val="center"/>
              <w:rPr>
                <w:rFonts w:hint="eastAsia"/>
                <w:color w:val="auto"/>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571" w:type="pct"/>
            <w:tcBorders>
              <w:tl2br w:val="nil"/>
              <w:tr2bl w:val="nil"/>
            </w:tcBorders>
            <w:shd w:val="clear" w:color="auto" w:fill="auto"/>
            <w:vAlign w:val="center"/>
          </w:tcPr>
          <w:p>
            <w:pPr>
              <w:pStyle w:val="41"/>
              <w:bidi w:val="0"/>
              <w:ind w:firstLine="0" w:firstLineChars="0"/>
              <w:jc w:val="center"/>
              <w:rPr>
                <w:rFonts w:hint="eastAsia"/>
                <w:color w:val="auto"/>
              </w:rPr>
            </w:pPr>
            <w:r>
              <w:rPr>
                <w:rFonts w:hint="eastAsia"/>
                <w:color w:val="auto"/>
                <w:lang w:val="en-US" w:eastAsia="zh-CN"/>
              </w:rPr>
              <w:t>4</w:t>
            </w:r>
          </w:p>
        </w:tc>
        <w:tc>
          <w:tcPr>
            <w:tcW w:w="642"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集油支线</w:t>
            </w:r>
          </w:p>
        </w:tc>
        <w:tc>
          <w:tcPr>
            <w:tcW w:w="1359"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DN150</w:t>
            </w:r>
            <w:r>
              <w:rPr>
                <w:rFonts w:hint="eastAsia"/>
                <w:color w:val="auto"/>
                <w:lang w:val="en-US" w:eastAsia="zh-CN"/>
              </w:rPr>
              <w:t>,</w:t>
            </w:r>
            <w:r>
              <w:rPr>
                <w:rFonts w:hint="default"/>
                <w:color w:val="auto"/>
                <w:lang w:val="en-US" w:eastAsia="zh-CN"/>
              </w:rPr>
              <w:t>3.52MPa</w:t>
            </w:r>
            <w:r>
              <w:rPr>
                <w:rFonts w:hint="eastAsia"/>
                <w:color w:val="auto"/>
                <w:lang w:val="en-US" w:eastAsia="zh-CN"/>
              </w:rPr>
              <w:t>,</w:t>
            </w:r>
            <w:r>
              <w:rPr>
                <w:rFonts w:hint="default"/>
                <w:color w:val="auto"/>
                <w:lang w:val="en-US" w:eastAsia="zh-CN"/>
              </w:rPr>
              <w:t>3.5km</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53.82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571" w:type="pct"/>
            <w:tcBorders>
              <w:tl2br w:val="nil"/>
              <w:tr2bl w:val="nil"/>
            </w:tcBorders>
            <w:shd w:val="clear" w:color="auto" w:fill="auto"/>
            <w:vAlign w:val="center"/>
          </w:tcPr>
          <w:p>
            <w:pPr>
              <w:pStyle w:val="41"/>
              <w:bidi w:val="0"/>
              <w:ind w:firstLine="0" w:firstLineChars="0"/>
              <w:jc w:val="center"/>
              <w:rPr>
                <w:rFonts w:hint="eastAsia"/>
                <w:color w:val="auto"/>
              </w:rPr>
            </w:pPr>
            <w:r>
              <w:rPr>
                <w:rFonts w:hint="default"/>
                <w:color w:val="auto"/>
                <w:lang w:val="en-US" w:eastAsia="zh-CN"/>
              </w:rPr>
              <w:t>5</w:t>
            </w:r>
          </w:p>
        </w:tc>
        <w:tc>
          <w:tcPr>
            <w:tcW w:w="642"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净化油外输管线</w:t>
            </w:r>
          </w:p>
        </w:tc>
        <w:tc>
          <w:tcPr>
            <w:tcW w:w="1359"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D219×6</w:t>
            </w:r>
            <w:r>
              <w:rPr>
                <w:rFonts w:hint="eastAsia"/>
                <w:color w:val="auto"/>
                <w:lang w:val="en-US" w:eastAsia="zh-CN"/>
              </w:rPr>
              <w:t>,</w:t>
            </w:r>
            <w:r>
              <w:rPr>
                <w:rFonts w:hint="default"/>
                <w:color w:val="auto"/>
                <w:lang w:val="en-US" w:eastAsia="zh-CN"/>
              </w:rPr>
              <w:t>3.5MPa</w:t>
            </w:r>
            <w:r>
              <w:rPr>
                <w:rFonts w:hint="eastAsia"/>
                <w:color w:val="auto"/>
                <w:lang w:val="en-US" w:eastAsia="zh-CN"/>
              </w:rPr>
              <w:t>,15.5</w:t>
            </w:r>
            <w:r>
              <w:rPr>
                <w:rFonts w:hint="default"/>
                <w:color w:val="auto"/>
                <w:lang w:val="en-US" w:eastAsia="zh-CN"/>
              </w:rPr>
              <w:t>km</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原油</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w:t>
            </w:r>
          </w:p>
        </w:tc>
        <w:tc>
          <w:tcPr>
            <w:tcW w:w="634" w:type="pct"/>
            <w:tcBorders>
              <w:tl2br w:val="nil"/>
              <w:tr2bl w:val="nil"/>
            </w:tcBorders>
            <w:shd w:val="clear" w:color="auto" w:fill="auto"/>
            <w:vAlign w:val="center"/>
          </w:tcPr>
          <w:p>
            <w:pPr>
              <w:pStyle w:val="41"/>
              <w:bidi w:val="0"/>
              <w:jc w:val="center"/>
              <w:rPr>
                <w:rFonts w:hint="default"/>
                <w:color w:val="auto"/>
                <w:lang w:val="en-US"/>
              </w:rPr>
            </w:pPr>
            <w:r>
              <w:rPr>
                <w:rFonts w:hint="eastAsia"/>
                <w:color w:val="auto"/>
                <w:lang w:val="en-US" w:eastAsia="zh-CN"/>
              </w:rPr>
              <w:t>506.91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7" w:hRule="atLeast"/>
        </w:trPr>
        <w:tc>
          <w:tcPr>
            <w:tcW w:w="571" w:type="pct"/>
            <w:vMerge w:val="continue"/>
            <w:tcBorders>
              <w:tl2br w:val="nil"/>
              <w:tr2bl w:val="nil"/>
            </w:tcBorders>
            <w:shd w:val="clear" w:color="auto" w:fill="auto"/>
            <w:vAlign w:val="center"/>
          </w:tcPr>
          <w:p>
            <w:pPr>
              <w:pStyle w:val="41"/>
              <w:bidi w:val="0"/>
              <w:jc w:val="center"/>
              <w:rPr>
                <w:rFonts w:hint="eastAsia"/>
                <w:color w:val="auto"/>
              </w:rPr>
            </w:pPr>
          </w:p>
        </w:tc>
        <w:tc>
          <w:tcPr>
            <w:tcW w:w="571" w:type="pct"/>
            <w:tcBorders>
              <w:tl2br w:val="nil"/>
              <w:tr2bl w:val="nil"/>
            </w:tcBorders>
            <w:shd w:val="clear" w:color="auto" w:fill="auto"/>
            <w:vAlign w:val="center"/>
          </w:tcPr>
          <w:p>
            <w:pPr>
              <w:pStyle w:val="41"/>
              <w:bidi w:val="0"/>
              <w:jc w:val="center"/>
              <w:rPr>
                <w:rFonts w:hint="eastAsia" w:eastAsia="宋体"/>
                <w:color w:val="auto"/>
                <w:lang w:val="en-US" w:eastAsia="zh-CN"/>
              </w:rPr>
            </w:pPr>
            <w:r>
              <w:rPr>
                <w:rFonts w:hint="eastAsia"/>
                <w:color w:val="auto"/>
                <w:lang w:val="en-US" w:eastAsia="zh-CN"/>
              </w:rPr>
              <w:t>6</w:t>
            </w:r>
          </w:p>
        </w:tc>
        <w:tc>
          <w:tcPr>
            <w:tcW w:w="642"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输气管线</w:t>
            </w:r>
          </w:p>
        </w:tc>
        <w:tc>
          <w:tcPr>
            <w:tcW w:w="1359"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D219</w:t>
            </w:r>
            <w:r>
              <w:rPr>
                <w:rFonts w:hint="eastAsia"/>
                <w:color w:val="auto"/>
                <w:lang w:val="en-US" w:eastAsia="zh-CN"/>
              </w:rPr>
              <w:t>×</w:t>
            </w:r>
            <w:r>
              <w:rPr>
                <w:rFonts w:hint="default"/>
                <w:color w:val="auto"/>
                <w:lang w:val="en-US" w:eastAsia="zh-CN"/>
              </w:rPr>
              <w:t>5</w:t>
            </w:r>
            <w:r>
              <w:rPr>
                <w:rFonts w:hint="eastAsia"/>
                <w:color w:val="auto"/>
                <w:lang w:val="en-US" w:eastAsia="zh-CN"/>
              </w:rPr>
              <w:t>,</w:t>
            </w:r>
            <w:r>
              <w:rPr>
                <w:rFonts w:hint="default"/>
                <w:color w:val="auto"/>
                <w:lang w:val="en-US" w:eastAsia="zh-CN"/>
              </w:rPr>
              <w:t>0.3MPa</w:t>
            </w:r>
            <w:r>
              <w:rPr>
                <w:rFonts w:hint="eastAsia"/>
                <w:color w:val="auto"/>
                <w:lang w:val="en-US" w:eastAsia="zh-CN"/>
              </w:rPr>
              <w:t>,</w:t>
            </w:r>
            <w:r>
              <w:rPr>
                <w:rFonts w:hint="default"/>
                <w:color w:val="auto"/>
                <w:lang w:val="en-US" w:eastAsia="zh-CN"/>
              </w:rPr>
              <w:t>0.25km</w:t>
            </w:r>
          </w:p>
        </w:tc>
        <w:tc>
          <w:tcPr>
            <w:tcW w:w="571" w:type="pct"/>
            <w:tcBorders>
              <w:tl2br w:val="nil"/>
              <w:tr2bl w:val="nil"/>
            </w:tcBorders>
            <w:shd w:val="clear" w:color="auto" w:fill="auto"/>
            <w:vAlign w:val="center"/>
          </w:tcPr>
          <w:p>
            <w:pPr>
              <w:pStyle w:val="41"/>
              <w:bidi w:val="0"/>
              <w:jc w:val="center"/>
              <w:rPr>
                <w:rFonts w:hint="eastAsia"/>
                <w:color w:val="auto"/>
              </w:rPr>
            </w:pPr>
            <w:r>
              <w:rPr>
                <w:rFonts w:hint="eastAsia"/>
                <w:color w:val="auto"/>
                <w:lang w:val="en-US" w:eastAsia="zh-CN"/>
              </w:rPr>
              <w:t>天然气</w:t>
            </w:r>
          </w:p>
        </w:tc>
        <w:tc>
          <w:tcPr>
            <w:tcW w:w="648"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74-82-8</w:t>
            </w:r>
          </w:p>
        </w:tc>
        <w:tc>
          <w:tcPr>
            <w:tcW w:w="634" w:type="pct"/>
            <w:tcBorders>
              <w:tl2br w:val="nil"/>
              <w:tr2bl w:val="nil"/>
            </w:tcBorders>
            <w:shd w:val="clear" w:color="auto" w:fill="auto"/>
            <w:vAlign w:val="center"/>
          </w:tcPr>
          <w:p>
            <w:pPr>
              <w:pStyle w:val="41"/>
              <w:bidi w:val="0"/>
              <w:jc w:val="center"/>
              <w:rPr>
                <w:rFonts w:hint="default"/>
                <w:color w:val="auto"/>
              </w:rPr>
            </w:pPr>
            <w:r>
              <w:rPr>
                <w:rFonts w:hint="default"/>
                <w:color w:val="auto"/>
                <w:lang w:val="en-US" w:eastAsia="zh-CN"/>
              </w:rPr>
              <w:t>0.013</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firstLine="0" w:firstLineChars="0"/>
        <w:jc w:val="both"/>
        <w:textAlignment w:val="baseline"/>
        <w:rPr>
          <w:rFonts w:hint="default" w:eastAsia="黑体"/>
          <w:color w:val="auto"/>
          <w:sz w:val="21"/>
          <w:highlight w:val="none"/>
          <w:lang w:val="en-US" w:eastAsia="zh-CN"/>
        </w:rPr>
      </w:pPr>
      <w:r>
        <w:rPr>
          <w:rFonts w:hint="eastAsia"/>
          <w:color w:val="auto"/>
          <w:sz w:val="21"/>
          <w:highlight w:val="none"/>
        </w:rPr>
        <w:t>注：</w:t>
      </w:r>
      <w:r>
        <w:rPr>
          <w:rFonts w:hint="eastAsia"/>
          <w:color w:val="auto"/>
          <w:sz w:val="21"/>
          <w:highlight w:val="none"/>
          <w:lang w:val="en-US" w:eastAsia="zh-CN"/>
        </w:rPr>
        <w:t>根据提供的区域油气资源参数，原油密度平均0.868g/cm</w:t>
      </w:r>
      <w:r>
        <w:rPr>
          <w:rFonts w:hint="eastAsia"/>
          <w:color w:val="auto"/>
          <w:sz w:val="21"/>
          <w:highlight w:val="none"/>
          <w:vertAlign w:val="superscript"/>
          <w:lang w:val="en-US" w:eastAsia="zh-CN"/>
        </w:rPr>
        <w:t>3</w:t>
      </w:r>
      <w:r>
        <w:rPr>
          <w:rFonts w:hint="eastAsia"/>
          <w:color w:val="auto"/>
          <w:sz w:val="21"/>
          <w:highlight w:val="none"/>
        </w:rPr>
        <w:t>天然气相对密度为</w:t>
      </w:r>
      <w:r>
        <w:rPr>
          <w:rFonts w:hint="eastAsia"/>
          <w:color w:val="auto"/>
          <w:highlight w:val="none"/>
        </w:rPr>
        <w:t>0.774</w:t>
      </w:r>
      <w:r>
        <w:rPr>
          <w:color w:val="auto"/>
          <w:sz w:val="21"/>
          <w:highlight w:val="none"/>
        </w:rPr>
        <w:t>kg/Nm</w:t>
      </w:r>
      <w:r>
        <w:rPr>
          <w:rFonts w:ascii="Calibri" w:hAnsi="Calibri" w:cs="Calibri"/>
          <w:color w:val="auto"/>
          <w:sz w:val="21"/>
          <w:highlight w:val="none"/>
        </w:rPr>
        <w:t>³</w:t>
      </w:r>
      <w:r>
        <w:rPr>
          <w:rFonts w:hint="eastAsia" w:ascii="Calibri" w:hAnsi="Calibri" w:cs="Calibri"/>
          <w:color w:val="auto"/>
          <w:sz w:val="21"/>
          <w:highlight w:val="none"/>
          <w:lang w:eastAsia="zh-CN"/>
        </w:rPr>
        <w:t>。</w:t>
      </w:r>
      <w:r>
        <w:rPr>
          <w:rFonts w:hint="eastAsia" w:ascii="Calibri" w:hAnsi="Calibri" w:cs="Calibri"/>
          <w:color w:val="auto"/>
          <w:sz w:val="21"/>
          <w:highlight w:val="none"/>
          <w:lang w:val="en-US" w:eastAsia="zh-CN"/>
        </w:rPr>
        <w:t>柴油</w:t>
      </w:r>
      <w:r>
        <w:rPr>
          <w:rFonts w:hint="eastAsia"/>
          <w:color w:val="auto"/>
        </w:rPr>
        <w:t>密度</w:t>
      </w:r>
      <w:r>
        <w:rPr>
          <w:rFonts w:hint="eastAsia" w:ascii="Calibri" w:hAnsi="Calibri" w:cs="Calibri"/>
          <w:color w:val="auto"/>
          <w:sz w:val="21"/>
          <w:highlight w:val="none"/>
          <w:lang w:val="en-US" w:eastAsia="zh-CN"/>
        </w:rPr>
        <w:t>按</w:t>
      </w:r>
      <w:r>
        <w:rPr>
          <w:color w:val="auto"/>
        </w:rPr>
        <w:t>0.8</w:t>
      </w:r>
      <w:r>
        <w:rPr>
          <w:rFonts w:hint="eastAsia"/>
          <w:color w:val="auto"/>
          <w:lang w:val="en-US" w:eastAsia="zh-CN"/>
        </w:rPr>
        <w:t>5</w:t>
      </w:r>
      <w:r>
        <w:rPr>
          <w:color w:val="auto"/>
        </w:rPr>
        <w:t xml:space="preserve"> t/m</w:t>
      </w:r>
      <w:r>
        <w:rPr>
          <w:color w:val="auto"/>
          <w:vertAlign w:val="superscript"/>
        </w:rPr>
        <w:t>3</w:t>
      </w:r>
      <w:r>
        <w:rPr>
          <w:rFonts w:hint="eastAsia"/>
          <w:color w:val="auto"/>
          <w:vertAlign w:val="baseline"/>
          <w:lang w:val="en-US" w:eastAsia="zh-CN"/>
        </w:rPr>
        <w:t>计。单井集输管线以单根管线最长计。</w:t>
      </w:r>
    </w:p>
    <w:p>
      <w:pPr>
        <w:pStyle w:val="5"/>
        <w:bidi w:val="0"/>
        <w:rPr>
          <w:color w:val="auto"/>
          <w:highlight w:val="none"/>
        </w:rPr>
      </w:pPr>
      <w:r>
        <w:rPr>
          <w:rFonts w:hint="eastAsia"/>
          <w:color w:val="auto"/>
          <w:highlight w:val="none"/>
        </w:rPr>
        <w:t>5.8.1.2环境敏感目标调查</w:t>
      </w:r>
    </w:p>
    <w:p>
      <w:pPr>
        <w:pStyle w:val="57"/>
        <w:rPr>
          <w:color w:val="auto"/>
          <w:highlight w:val="none"/>
        </w:rPr>
      </w:pPr>
      <w:r>
        <w:rPr>
          <w:rFonts w:hint="eastAsia"/>
          <w:color w:val="auto"/>
          <w:highlight w:val="none"/>
        </w:rPr>
        <w:t>根据章节2.5.7环境风险环境影响评价等级和评价范围，本工程风险潜势为Ⅰ，可开展简单评价，不设置评价范围，本次风险评价环境敏感目标与各要素环境保护目标一致，具体见表2.6-1。</w:t>
      </w:r>
    </w:p>
    <w:p>
      <w:pPr>
        <w:pStyle w:val="53"/>
        <w:rPr>
          <w:color w:val="auto"/>
          <w:highlight w:val="none"/>
        </w:rPr>
      </w:pPr>
      <w:r>
        <w:rPr>
          <w:color w:val="auto"/>
          <w:highlight w:val="none"/>
        </w:rPr>
        <w:fldChar w:fldCharType="begin"/>
      </w:r>
      <w:r>
        <w:rPr>
          <w:color w:val="auto"/>
          <w:highlight w:val="none"/>
        </w:rPr>
        <w:instrText xml:space="preserve"> HYPERLINK \l "_Toc24975" </w:instrText>
      </w:r>
      <w:r>
        <w:rPr>
          <w:color w:val="auto"/>
          <w:highlight w:val="none"/>
        </w:rPr>
        <w:fldChar w:fldCharType="separate"/>
      </w:r>
      <w:r>
        <w:rPr>
          <w:rFonts w:hint="eastAsia"/>
          <w:color w:val="auto"/>
          <w:highlight w:val="none"/>
        </w:rPr>
        <w:t>5.8.2 环境风险潜势初判</w:t>
      </w:r>
      <w:r>
        <w:rPr>
          <w:rFonts w:hint="eastAsia"/>
          <w:color w:val="auto"/>
          <w:highlight w:val="none"/>
        </w:rPr>
        <w:fldChar w:fldCharType="end"/>
      </w:r>
    </w:p>
    <w:p>
      <w:pPr>
        <w:pStyle w:val="57"/>
        <w:bidi w:val="0"/>
        <w:rPr>
          <w:color w:val="auto"/>
          <w:highlight w:val="none"/>
        </w:rPr>
      </w:pPr>
      <w:r>
        <w:rPr>
          <w:rFonts w:hint="eastAsia"/>
          <w:color w:val="auto"/>
          <w:highlight w:val="none"/>
        </w:rPr>
        <w:t>根据章节2.5.7环境风险环境影响评价等级和评价范围，本工程</w:t>
      </w:r>
      <w:r>
        <w:rPr>
          <w:color w:val="auto"/>
          <w:highlight w:val="none"/>
        </w:rPr>
        <w:t>Q</w:t>
      </w:r>
      <w:r>
        <w:rPr>
          <w:rFonts w:hint="eastAsia"/>
          <w:color w:val="auto"/>
          <w:highlight w:val="none"/>
        </w:rPr>
        <w:t>＜</w:t>
      </w:r>
      <w:r>
        <w:rPr>
          <w:color w:val="auto"/>
          <w:highlight w:val="none"/>
        </w:rPr>
        <w:t>1</w:t>
      </w:r>
      <w:r>
        <w:rPr>
          <w:rFonts w:hint="eastAsia"/>
          <w:color w:val="auto"/>
          <w:highlight w:val="none"/>
        </w:rPr>
        <w:t>，判断项目风险潜势为Ⅰ。根据《建设项目环境风险评价技术导则》（HJ 169-2018）相关要求，风险潜势为Ⅰ的建设项目可开展简单评价，不定评价等级。因此，本次评价仅对建设项目可能存在的环境风险进行简单分析。</w:t>
      </w:r>
    </w:p>
    <w:p>
      <w:pPr>
        <w:pStyle w:val="53"/>
        <w:rPr>
          <w:color w:val="auto"/>
          <w:highlight w:val="none"/>
        </w:rPr>
      </w:pPr>
      <w:r>
        <w:rPr>
          <w:color w:val="auto"/>
          <w:highlight w:val="none"/>
        </w:rPr>
        <w:fldChar w:fldCharType="begin"/>
      </w:r>
      <w:r>
        <w:rPr>
          <w:color w:val="auto"/>
          <w:highlight w:val="none"/>
        </w:rPr>
        <w:instrText xml:space="preserve"> HYPERLINK \l "_Toc27368" </w:instrText>
      </w:r>
      <w:r>
        <w:rPr>
          <w:color w:val="auto"/>
          <w:highlight w:val="none"/>
        </w:rPr>
        <w:fldChar w:fldCharType="separate"/>
      </w:r>
      <w:r>
        <w:rPr>
          <w:rFonts w:hint="eastAsia"/>
          <w:color w:val="auto"/>
          <w:highlight w:val="none"/>
        </w:rPr>
        <w:t>5.8.3环境风险识别</w:t>
      </w:r>
      <w:r>
        <w:rPr>
          <w:rFonts w:hint="eastAsia"/>
          <w:color w:val="auto"/>
          <w:highlight w:val="none"/>
        </w:rPr>
        <w:fldChar w:fldCharType="end"/>
      </w:r>
    </w:p>
    <w:p>
      <w:pPr>
        <w:pStyle w:val="6"/>
        <w:rPr>
          <w:color w:val="auto"/>
          <w:highlight w:val="none"/>
        </w:rPr>
      </w:pPr>
      <w:r>
        <w:rPr>
          <w:rFonts w:hint="eastAsia"/>
          <w:color w:val="auto"/>
          <w:highlight w:val="none"/>
        </w:rPr>
        <w:t>5.8.3.1物质危险性识别</w:t>
      </w:r>
    </w:p>
    <w:p>
      <w:pPr>
        <w:pStyle w:val="57"/>
        <w:bidi w:val="0"/>
        <w:rPr>
          <w:color w:val="auto"/>
          <w:highlight w:val="none"/>
        </w:rPr>
      </w:pPr>
      <w:r>
        <w:rPr>
          <w:color w:val="auto"/>
        </w:rPr>
        <w:t>根据《建设项目环境风险评价技术导则》（HJ169-2018），拟建项目钻井期所涉及危险物质主要是柴油</w:t>
      </w:r>
      <w:r>
        <w:rPr>
          <w:rFonts w:hint="eastAsia"/>
          <w:color w:val="auto"/>
          <w:lang w:eastAsia="zh-CN"/>
        </w:rPr>
        <w:t>，</w:t>
      </w:r>
      <w:r>
        <w:rPr>
          <w:color w:val="auto"/>
        </w:rPr>
        <w:t>运营期所涉及危险物质</w:t>
      </w:r>
      <w:r>
        <w:rPr>
          <w:rFonts w:hint="eastAsia"/>
          <w:color w:val="auto"/>
          <w:lang w:val="en-US" w:eastAsia="zh-CN"/>
        </w:rPr>
        <w:t>主要是</w:t>
      </w:r>
      <w:r>
        <w:rPr>
          <w:color w:val="auto"/>
        </w:rPr>
        <w:t>原油、天然气（伴生气）等</w:t>
      </w:r>
      <w:r>
        <w:rPr>
          <w:rFonts w:hint="eastAsia"/>
          <w:color w:val="auto"/>
          <w:lang w:val="en-US" w:eastAsia="zh-CN"/>
        </w:rPr>
        <w:t>以及火灾爆炸产生的</w:t>
      </w:r>
      <w:r>
        <w:rPr>
          <w:color w:val="auto"/>
        </w:rPr>
        <w:t>次生污染物CO，另外</w:t>
      </w:r>
      <w:r>
        <w:rPr>
          <w:rFonts w:hint="eastAsia"/>
          <w:color w:val="auto"/>
          <w:lang w:val="en-US" w:eastAsia="zh-CN"/>
        </w:rPr>
        <w:t>还有</w:t>
      </w:r>
      <w:r>
        <w:rPr>
          <w:color w:val="auto"/>
        </w:rPr>
        <w:t>生产运行中产生的危险废物，主要有落地油、清罐底泥、废沾油防渗材料、废润滑油</w:t>
      </w:r>
      <w:r>
        <w:rPr>
          <w:rFonts w:hint="eastAsia"/>
          <w:color w:val="auto"/>
          <w:lang w:val="en-US" w:eastAsia="zh-CN"/>
        </w:rPr>
        <w:t>等</w:t>
      </w:r>
      <w:r>
        <w:rPr>
          <w:rFonts w:hint="eastAsia"/>
          <w:color w:val="auto"/>
        </w:rPr>
        <w:t>。各风险物质危险特性见表5.8-2。</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cs="Times New Roman"/>
          <w:color w:val="auto"/>
          <w:highlight w:val="none"/>
        </w:rPr>
      </w:pPr>
      <w:r>
        <w:rPr>
          <w:rFonts w:hint="eastAsia" w:cs="Times New Roman"/>
          <w:color w:val="auto"/>
          <w:highlight w:val="none"/>
        </w:rPr>
        <w:t xml:space="preserve">表5.8-2  </w:t>
      </w:r>
      <w:r>
        <w:rPr>
          <w:rFonts w:hint="eastAsia" w:cs="Times New Roman"/>
          <w:color w:val="auto"/>
          <w:highlight w:val="none"/>
          <w:lang w:val="en-US" w:eastAsia="zh-CN"/>
        </w:rPr>
        <w:t>本工程涉及的环境风险物质</w:t>
      </w:r>
      <w:r>
        <w:rPr>
          <w:rFonts w:hint="eastAsia" w:cs="Times New Roman"/>
          <w:color w:val="auto"/>
          <w:highlight w:val="none"/>
        </w:rPr>
        <w:t>危险特性表</w:t>
      </w:r>
    </w:p>
    <w:tbl>
      <w:tblPr>
        <w:tblStyle w:val="62"/>
        <w:tblW w:w="8307" w:type="dxa"/>
        <w:tblInd w:w="31"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444"/>
        <w:gridCol w:w="636"/>
        <w:gridCol w:w="1477"/>
        <w:gridCol w:w="1051"/>
        <w:gridCol w:w="3839"/>
        <w:gridCol w:w="86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vAlign w:val="center"/>
          </w:tcPr>
          <w:p>
            <w:pPr>
              <w:pStyle w:val="41"/>
              <w:bidi w:val="0"/>
              <w:jc w:val="center"/>
              <w:rPr>
                <w:color w:val="auto"/>
              </w:rPr>
            </w:pPr>
            <w:r>
              <w:rPr>
                <w:color w:val="auto"/>
              </w:rPr>
              <w:t>序号</w:t>
            </w:r>
          </w:p>
        </w:tc>
        <w:tc>
          <w:tcPr>
            <w:tcW w:w="636" w:type="dxa"/>
            <w:tcBorders>
              <w:tl2br w:val="nil"/>
              <w:tr2bl w:val="nil"/>
            </w:tcBorders>
            <w:vAlign w:val="center"/>
          </w:tcPr>
          <w:p>
            <w:pPr>
              <w:pStyle w:val="41"/>
              <w:bidi w:val="0"/>
              <w:jc w:val="center"/>
              <w:rPr>
                <w:color w:val="auto"/>
              </w:rPr>
            </w:pPr>
            <w:r>
              <w:rPr>
                <w:color w:val="auto"/>
              </w:rPr>
              <w:t>物料名称</w:t>
            </w:r>
          </w:p>
        </w:tc>
        <w:tc>
          <w:tcPr>
            <w:tcW w:w="1477" w:type="dxa"/>
            <w:tcBorders>
              <w:tl2br w:val="nil"/>
              <w:tr2bl w:val="nil"/>
            </w:tcBorders>
            <w:vAlign w:val="center"/>
          </w:tcPr>
          <w:p>
            <w:pPr>
              <w:pStyle w:val="41"/>
              <w:bidi w:val="0"/>
              <w:jc w:val="center"/>
              <w:rPr>
                <w:color w:val="auto"/>
              </w:rPr>
            </w:pPr>
            <w:r>
              <w:rPr>
                <w:color w:val="auto"/>
              </w:rPr>
              <w:t>理化性质</w:t>
            </w:r>
          </w:p>
        </w:tc>
        <w:tc>
          <w:tcPr>
            <w:tcW w:w="1051" w:type="dxa"/>
            <w:tcBorders>
              <w:tl2br w:val="nil"/>
              <w:tr2bl w:val="nil"/>
            </w:tcBorders>
            <w:vAlign w:val="center"/>
          </w:tcPr>
          <w:p>
            <w:pPr>
              <w:pStyle w:val="41"/>
              <w:bidi w:val="0"/>
              <w:jc w:val="center"/>
              <w:rPr>
                <w:color w:val="auto"/>
              </w:rPr>
            </w:pPr>
            <w:r>
              <w:rPr>
                <w:color w:val="auto"/>
              </w:rPr>
              <w:t>物质类型</w:t>
            </w:r>
          </w:p>
        </w:tc>
        <w:tc>
          <w:tcPr>
            <w:tcW w:w="3839" w:type="dxa"/>
            <w:tcBorders>
              <w:tl2br w:val="nil"/>
              <w:tr2bl w:val="nil"/>
            </w:tcBorders>
            <w:vAlign w:val="center"/>
          </w:tcPr>
          <w:p>
            <w:pPr>
              <w:pStyle w:val="41"/>
              <w:bidi w:val="0"/>
              <w:jc w:val="center"/>
              <w:rPr>
                <w:color w:val="auto"/>
              </w:rPr>
            </w:pPr>
            <w:r>
              <w:rPr>
                <w:color w:val="auto"/>
              </w:rPr>
              <w:t>危险性描述</w:t>
            </w:r>
          </w:p>
        </w:tc>
        <w:tc>
          <w:tcPr>
            <w:tcW w:w="860" w:type="dxa"/>
            <w:tcBorders>
              <w:tl2br w:val="nil"/>
              <w:tr2bl w:val="nil"/>
            </w:tcBorders>
            <w:vAlign w:val="center"/>
          </w:tcPr>
          <w:p>
            <w:pPr>
              <w:pStyle w:val="41"/>
              <w:bidi w:val="0"/>
              <w:jc w:val="center"/>
              <w:rPr>
                <w:color w:val="auto"/>
              </w:rPr>
            </w:pPr>
            <w:r>
              <w:rPr>
                <w:color w:val="auto"/>
              </w:rPr>
              <w:t>产生或使用环节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vAlign w:val="center"/>
          </w:tcPr>
          <w:p>
            <w:pPr>
              <w:pStyle w:val="41"/>
              <w:bidi w:val="0"/>
              <w:jc w:val="center"/>
              <w:rPr>
                <w:color w:val="auto"/>
              </w:rPr>
            </w:pPr>
            <w:r>
              <w:rPr>
                <w:color w:val="auto"/>
              </w:rPr>
              <w:t>1</w:t>
            </w:r>
          </w:p>
        </w:tc>
        <w:tc>
          <w:tcPr>
            <w:tcW w:w="636" w:type="dxa"/>
            <w:tcBorders>
              <w:tl2br w:val="nil"/>
              <w:tr2bl w:val="nil"/>
            </w:tcBorders>
            <w:vAlign w:val="center"/>
          </w:tcPr>
          <w:p>
            <w:pPr>
              <w:pStyle w:val="41"/>
              <w:bidi w:val="0"/>
              <w:jc w:val="center"/>
              <w:rPr>
                <w:color w:val="auto"/>
              </w:rPr>
            </w:pPr>
            <w:r>
              <w:rPr>
                <w:color w:val="auto"/>
              </w:rPr>
              <w:t>天然气（原 油伴生气）</w:t>
            </w:r>
          </w:p>
        </w:tc>
        <w:tc>
          <w:tcPr>
            <w:tcW w:w="1477" w:type="dxa"/>
            <w:tcBorders>
              <w:tl2br w:val="nil"/>
              <w:tr2bl w:val="nil"/>
            </w:tcBorders>
            <w:vAlign w:val="center"/>
          </w:tcPr>
          <w:p>
            <w:pPr>
              <w:pStyle w:val="41"/>
              <w:bidi w:val="0"/>
              <w:jc w:val="center"/>
              <w:rPr>
                <w:color w:val="auto"/>
              </w:rPr>
            </w:pPr>
            <w:r>
              <w:rPr>
                <w:color w:val="auto"/>
              </w:rPr>
              <w:t>常温下为无色无臭气体，沸点：-160℃</w:t>
            </w:r>
            <w:r>
              <w:rPr>
                <w:rFonts w:hint="eastAsia"/>
                <w:color w:val="auto"/>
                <w:lang w:eastAsia="zh-CN"/>
              </w:rPr>
              <w:t>，</w:t>
            </w:r>
            <w:r>
              <w:rPr>
                <w:color w:val="auto"/>
              </w:rPr>
              <w:t>闪点：-190℃</w:t>
            </w:r>
            <w:r>
              <w:rPr>
                <w:rFonts w:hint="eastAsia"/>
                <w:color w:val="auto"/>
                <w:lang w:eastAsia="zh-CN"/>
              </w:rPr>
              <w:t>，</w:t>
            </w:r>
            <w:r>
              <w:rPr>
                <w:color w:val="auto"/>
              </w:rPr>
              <w:t>相对密度：0.45（液化）</w:t>
            </w:r>
            <w:r>
              <w:rPr>
                <w:rFonts w:hint="eastAsia"/>
                <w:color w:val="auto"/>
                <w:lang w:eastAsia="zh-CN"/>
              </w:rPr>
              <w:t>，</w:t>
            </w:r>
            <w:r>
              <w:rPr>
                <w:color w:val="auto"/>
              </w:rPr>
              <w:t>微溶于水，自燃温度：482℃~632℃</w:t>
            </w:r>
            <w:r>
              <w:rPr>
                <w:rFonts w:hint="eastAsia"/>
                <w:color w:val="auto"/>
                <w:lang w:eastAsia="zh-CN"/>
              </w:rPr>
              <w:t>，</w:t>
            </w:r>
            <w:r>
              <w:rPr>
                <w:color w:val="auto"/>
              </w:rPr>
              <w:t>爆炸极限（V%）：5～14，燃烧分解产物为一氧化碳、二氧化碳、二氧化</w:t>
            </w:r>
          </w:p>
          <w:p>
            <w:pPr>
              <w:pStyle w:val="41"/>
              <w:bidi w:val="0"/>
              <w:jc w:val="center"/>
              <w:rPr>
                <w:color w:val="auto"/>
              </w:rPr>
            </w:pPr>
            <w:r>
              <w:rPr>
                <w:color w:val="auto"/>
              </w:rPr>
              <w:t>硫。</w:t>
            </w:r>
          </w:p>
        </w:tc>
        <w:tc>
          <w:tcPr>
            <w:tcW w:w="1051" w:type="dxa"/>
            <w:tcBorders>
              <w:tl2br w:val="nil"/>
              <w:tr2bl w:val="nil"/>
            </w:tcBorders>
            <w:vAlign w:val="center"/>
          </w:tcPr>
          <w:p>
            <w:pPr>
              <w:pStyle w:val="41"/>
              <w:bidi w:val="0"/>
              <w:jc w:val="center"/>
              <w:rPr>
                <w:color w:val="auto"/>
              </w:rPr>
            </w:pPr>
            <w:r>
              <w:rPr>
                <w:color w:val="auto"/>
              </w:rPr>
              <w:t>2.3毒性气体、2.1易燃气体</w:t>
            </w:r>
          </w:p>
        </w:tc>
        <w:tc>
          <w:tcPr>
            <w:tcW w:w="3839" w:type="dxa"/>
            <w:tcBorders>
              <w:tl2br w:val="nil"/>
              <w:tr2bl w:val="nil"/>
            </w:tcBorders>
            <w:vAlign w:val="center"/>
          </w:tcPr>
          <w:p>
            <w:pPr>
              <w:pStyle w:val="41"/>
              <w:bidi w:val="0"/>
              <w:jc w:val="center"/>
              <w:rPr>
                <w:color w:val="auto"/>
              </w:rPr>
            </w:pPr>
            <w:r>
              <w:rPr>
                <w:color w:val="auto"/>
              </w:rPr>
              <w:t>健康危害：天然气、原油伴生气扩散和不完全燃烧产生的一氧化碳、二氧化硫对人体有毒害作用。急性中毒时，可有头昏、头痛、呕吐、乏力甚至昏迷。病程中尚可出现精神症状，步态不稳，昏迷久者，醒后可有运动性失语及偏瘫。长期接触原油伴生气者可出现神经衰弱综合症。</w:t>
            </w:r>
          </w:p>
        </w:tc>
        <w:tc>
          <w:tcPr>
            <w:tcW w:w="860" w:type="dxa"/>
            <w:tcBorders>
              <w:tl2br w:val="nil"/>
              <w:tr2bl w:val="nil"/>
            </w:tcBorders>
            <w:vAlign w:val="center"/>
          </w:tcPr>
          <w:p>
            <w:pPr>
              <w:pStyle w:val="41"/>
              <w:bidi w:val="0"/>
              <w:jc w:val="center"/>
              <w:rPr>
                <w:color w:val="auto"/>
              </w:rPr>
            </w:pPr>
            <w:r>
              <w:rPr>
                <w:color w:val="auto"/>
              </w:rPr>
              <w:t>采油过程产 生</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vAlign w:val="center"/>
          </w:tcPr>
          <w:p>
            <w:pPr>
              <w:pStyle w:val="41"/>
              <w:bidi w:val="0"/>
              <w:jc w:val="center"/>
              <w:rPr>
                <w:color w:val="auto"/>
              </w:rPr>
            </w:pPr>
            <w:r>
              <w:rPr>
                <w:color w:val="auto"/>
              </w:rPr>
              <w:t>2</w:t>
            </w:r>
          </w:p>
        </w:tc>
        <w:tc>
          <w:tcPr>
            <w:tcW w:w="636" w:type="dxa"/>
            <w:tcBorders>
              <w:tl2br w:val="nil"/>
              <w:tr2bl w:val="nil"/>
            </w:tcBorders>
            <w:vAlign w:val="center"/>
          </w:tcPr>
          <w:p>
            <w:pPr>
              <w:pStyle w:val="41"/>
              <w:bidi w:val="0"/>
              <w:jc w:val="center"/>
              <w:rPr>
                <w:color w:val="auto"/>
              </w:rPr>
            </w:pPr>
            <w:r>
              <w:rPr>
                <w:color w:val="auto"/>
              </w:rPr>
              <w:t>原油</w:t>
            </w:r>
          </w:p>
        </w:tc>
        <w:tc>
          <w:tcPr>
            <w:tcW w:w="1477" w:type="dxa"/>
            <w:tcBorders>
              <w:tl2br w:val="nil"/>
              <w:tr2bl w:val="nil"/>
            </w:tcBorders>
            <w:vAlign w:val="center"/>
          </w:tcPr>
          <w:p>
            <w:pPr>
              <w:pStyle w:val="41"/>
              <w:bidi w:val="0"/>
              <w:jc w:val="center"/>
              <w:rPr>
                <w:color w:val="auto"/>
              </w:rPr>
            </w:pPr>
            <w:r>
              <w:rPr>
                <w:color w:val="auto"/>
              </w:rPr>
              <w:t>外观为黑褐色，具有特殊气味的黏稠性油状液体；相对密度0.86~0.98，分子量280~300，凝固点-8～41℃</w:t>
            </w:r>
          </w:p>
        </w:tc>
        <w:tc>
          <w:tcPr>
            <w:tcW w:w="1051" w:type="dxa"/>
            <w:tcBorders>
              <w:tl2br w:val="nil"/>
              <w:tr2bl w:val="nil"/>
            </w:tcBorders>
            <w:vAlign w:val="center"/>
          </w:tcPr>
          <w:p>
            <w:pPr>
              <w:pStyle w:val="41"/>
              <w:bidi w:val="0"/>
              <w:jc w:val="both"/>
              <w:rPr>
                <w:color w:val="auto"/>
              </w:rPr>
            </w:pPr>
            <w:r>
              <w:rPr>
                <w:color w:val="auto"/>
              </w:rPr>
              <w:t>第3类：易燃液体</w:t>
            </w:r>
          </w:p>
        </w:tc>
        <w:tc>
          <w:tcPr>
            <w:tcW w:w="3839" w:type="dxa"/>
            <w:tcBorders>
              <w:tl2br w:val="nil"/>
              <w:tr2bl w:val="nil"/>
            </w:tcBorders>
            <w:vAlign w:val="center"/>
          </w:tcPr>
          <w:p>
            <w:pPr>
              <w:pStyle w:val="41"/>
              <w:bidi w:val="0"/>
              <w:jc w:val="center"/>
              <w:rPr>
                <w:color w:val="auto"/>
              </w:rPr>
            </w:pPr>
            <w:r>
              <w:rPr>
                <w:color w:val="auto"/>
              </w:rPr>
              <w:t>危险毒性：原油本身无明显毒性。遇热分解释放出有毒的烟雾，吸入大量引起危害；有刺激和麻醉作用，吸入急性中毒者有上呼吸道刺激症状。流泪，随之出现头昏、头痛、恶心、运动失调及酒醉样症状。</w:t>
            </w:r>
          </w:p>
          <w:p>
            <w:pPr>
              <w:pStyle w:val="41"/>
              <w:bidi w:val="0"/>
              <w:jc w:val="center"/>
              <w:rPr>
                <w:color w:val="auto"/>
              </w:rPr>
            </w:pPr>
            <w:r>
              <w:rPr>
                <w:color w:val="auto"/>
              </w:rPr>
              <w:t>燃烧特性：原油是由多种碳氢化合物组成的可燃性液体，在一定温度条件下可以燃烧。闪点、燃点和自燃点是衡量物质易燃性的三个基本条件，原油具有较低的闪点、燃点和自燃点， 具有很大的火灾危险性。</w:t>
            </w:r>
          </w:p>
        </w:tc>
        <w:tc>
          <w:tcPr>
            <w:tcW w:w="860" w:type="dxa"/>
            <w:tcBorders>
              <w:tl2br w:val="nil"/>
              <w:tr2bl w:val="nil"/>
            </w:tcBorders>
            <w:vAlign w:val="center"/>
          </w:tcPr>
          <w:p>
            <w:pPr>
              <w:pStyle w:val="41"/>
              <w:bidi w:val="0"/>
              <w:jc w:val="center"/>
              <w:rPr>
                <w:color w:val="auto"/>
              </w:rPr>
            </w:pPr>
            <w:r>
              <w:rPr>
                <w:color w:val="auto"/>
              </w:rPr>
              <w:t>原油开采主要产品、产生危废主要成分</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vAlign w:val="center"/>
          </w:tcPr>
          <w:p>
            <w:pPr>
              <w:pStyle w:val="41"/>
              <w:bidi w:val="0"/>
              <w:jc w:val="center"/>
              <w:rPr>
                <w:color w:val="auto"/>
              </w:rPr>
            </w:pPr>
            <w:r>
              <w:rPr>
                <w:color w:val="auto"/>
              </w:rPr>
              <w:t>3</w:t>
            </w:r>
          </w:p>
        </w:tc>
        <w:tc>
          <w:tcPr>
            <w:tcW w:w="636" w:type="dxa"/>
            <w:tcBorders>
              <w:tl2br w:val="nil"/>
              <w:tr2bl w:val="nil"/>
            </w:tcBorders>
            <w:vAlign w:val="center"/>
          </w:tcPr>
          <w:p>
            <w:pPr>
              <w:pStyle w:val="41"/>
              <w:bidi w:val="0"/>
              <w:jc w:val="center"/>
              <w:rPr>
                <w:color w:val="auto"/>
              </w:rPr>
            </w:pPr>
            <w:r>
              <w:rPr>
                <w:color w:val="auto"/>
              </w:rPr>
              <w:t>CO</w:t>
            </w:r>
          </w:p>
        </w:tc>
        <w:tc>
          <w:tcPr>
            <w:tcW w:w="1477" w:type="dxa"/>
            <w:tcBorders>
              <w:tl2br w:val="nil"/>
              <w:tr2bl w:val="nil"/>
            </w:tcBorders>
            <w:vAlign w:val="center"/>
          </w:tcPr>
          <w:p>
            <w:pPr>
              <w:pStyle w:val="41"/>
              <w:bidi w:val="0"/>
              <w:jc w:val="center"/>
              <w:rPr>
                <w:color w:val="auto"/>
              </w:rPr>
            </w:pPr>
            <w:r>
              <w:rPr>
                <w:color w:val="auto"/>
              </w:rPr>
              <w:t>常温下为无色无味气体；沸点：-191.5℃</w:t>
            </w:r>
            <w:r>
              <w:rPr>
                <w:rFonts w:hint="eastAsia"/>
                <w:color w:val="auto"/>
                <w:lang w:eastAsia="zh-CN"/>
              </w:rPr>
              <w:t>，</w:t>
            </w:r>
            <w:r>
              <w:rPr>
                <w:color w:val="auto"/>
              </w:rPr>
              <w:t>难溶于水，爆炸极限（V%）：12.5～74.2，燃烧产物为二氧化碳。</w:t>
            </w:r>
          </w:p>
        </w:tc>
        <w:tc>
          <w:tcPr>
            <w:tcW w:w="1051" w:type="dxa"/>
            <w:tcBorders>
              <w:tl2br w:val="nil"/>
              <w:tr2bl w:val="nil"/>
            </w:tcBorders>
            <w:vAlign w:val="center"/>
          </w:tcPr>
          <w:p>
            <w:pPr>
              <w:pStyle w:val="41"/>
              <w:bidi w:val="0"/>
              <w:jc w:val="center"/>
              <w:rPr>
                <w:color w:val="auto"/>
              </w:rPr>
            </w:pPr>
            <w:r>
              <w:rPr>
                <w:color w:val="auto"/>
              </w:rPr>
              <w:t>2.1易燃气体</w:t>
            </w:r>
          </w:p>
        </w:tc>
        <w:tc>
          <w:tcPr>
            <w:tcW w:w="3839" w:type="dxa"/>
            <w:tcBorders>
              <w:tl2br w:val="nil"/>
              <w:tr2bl w:val="nil"/>
            </w:tcBorders>
            <w:vAlign w:val="center"/>
          </w:tcPr>
          <w:p>
            <w:pPr>
              <w:pStyle w:val="41"/>
              <w:bidi w:val="0"/>
              <w:jc w:val="center"/>
              <w:rPr>
                <w:color w:val="auto"/>
              </w:rPr>
            </w:pPr>
            <w:r>
              <w:rPr>
                <w:color w:val="auto"/>
              </w:rPr>
              <w:t>危险特性：是一种易燃易爆气体。与空气混合能形成爆炸性混合物，遇明火、高热能引起燃烧爆炸。健康危害： 一氧化碳在血中与血红蛋白结合而造成组织缺氧。急性中毒：轻度中毒者出现头痛、耳鸣、心悸、呕吐、无力，血液碳氧血红蛋白浓度可高于10%；中度中毒者除上述症状外，还有皮肤黏膜呈樱红色、脉快、烦躁、步态不稳、浅至中度昏迷，血液碳氧血红蛋白浓度可高于30%；重度患者深度昏迷、瞳孔缩小、肌张力增强、频繁抽搐、大小便失禁、休克、严重心肌损害等，血液碳氧血红蛋白可高</w:t>
            </w:r>
          </w:p>
          <w:p>
            <w:pPr>
              <w:pStyle w:val="41"/>
              <w:bidi w:val="0"/>
              <w:jc w:val="center"/>
              <w:rPr>
                <w:color w:val="auto"/>
              </w:rPr>
            </w:pPr>
            <w:r>
              <w:rPr>
                <w:color w:val="auto"/>
              </w:rPr>
              <w:t>于 50%。慢性影响：能否造成慢性 中毒及对心血管影响无定论。</w:t>
            </w:r>
          </w:p>
        </w:tc>
        <w:tc>
          <w:tcPr>
            <w:tcW w:w="860" w:type="dxa"/>
            <w:tcBorders>
              <w:tl2br w:val="nil"/>
              <w:tr2bl w:val="nil"/>
            </w:tcBorders>
            <w:vAlign w:val="center"/>
          </w:tcPr>
          <w:p>
            <w:pPr>
              <w:pStyle w:val="41"/>
              <w:bidi w:val="0"/>
              <w:jc w:val="center"/>
              <w:rPr>
                <w:color w:val="auto"/>
              </w:rPr>
            </w:pPr>
            <w:r>
              <w:rPr>
                <w:color w:val="auto"/>
              </w:rPr>
              <w:t>火灾事故时产生的特征污染物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44" w:type="dxa"/>
            <w:tcBorders>
              <w:tl2br w:val="nil"/>
              <w:tr2bl w:val="nil"/>
            </w:tcBorders>
            <w:shd w:val="clear" w:color="auto" w:fill="auto"/>
            <w:vAlign w:val="center"/>
          </w:tcPr>
          <w:p>
            <w:pPr>
              <w:pStyle w:val="41"/>
              <w:bidi w:val="0"/>
              <w:jc w:val="center"/>
              <w:rPr>
                <w:color w:val="auto"/>
                <w:lang w:val="en-US" w:eastAsia="en-US"/>
              </w:rPr>
            </w:pPr>
            <w:r>
              <w:rPr>
                <w:color w:val="auto"/>
              </w:rPr>
              <w:t>4</w:t>
            </w:r>
          </w:p>
        </w:tc>
        <w:tc>
          <w:tcPr>
            <w:tcW w:w="636" w:type="dxa"/>
            <w:tcBorders>
              <w:tl2br w:val="nil"/>
              <w:tr2bl w:val="nil"/>
            </w:tcBorders>
            <w:shd w:val="clear" w:color="auto" w:fill="auto"/>
            <w:vAlign w:val="center"/>
          </w:tcPr>
          <w:p>
            <w:pPr>
              <w:pStyle w:val="41"/>
              <w:bidi w:val="0"/>
              <w:jc w:val="center"/>
              <w:rPr>
                <w:color w:val="auto"/>
                <w:lang w:val="en-US" w:eastAsia="en-US"/>
              </w:rPr>
            </w:pPr>
            <w:r>
              <w:rPr>
                <w:color w:val="auto"/>
              </w:rPr>
              <w:t>柴油</w:t>
            </w:r>
          </w:p>
        </w:tc>
        <w:tc>
          <w:tcPr>
            <w:tcW w:w="1477" w:type="dxa"/>
            <w:tcBorders>
              <w:tl2br w:val="nil"/>
              <w:tr2bl w:val="nil"/>
            </w:tcBorders>
            <w:shd w:val="clear" w:color="auto" w:fill="auto"/>
            <w:vAlign w:val="center"/>
          </w:tcPr>
          <w:p>
            <w:pPr>
              <w:pStyle w:val="41"/>
              <w:bidi w:val="0"/>
              <w:jc w:val="center"/>
              <w:rPr>
                <w:color w:val="auto"/>
                <w:lang w:val="en-US" w:eastAsia="en-US"/>
              </w:rPr>
            </w:pPr>
            <w:r>
              <w:rPr>
                <w:color w:val="auto"/>
              </w:rPr>
              <w:t>外观稍有黏性的棕色液体；熔点-18℃</w:t>
            </w:r>
            <w:r>
              <w:rPr>
                <w:rFonts w:hint="eastAsia"/>
                <w:color w:val="auto"/>
                <w:lang w:eastAsia="zh-CN"/>
              </w:rPr>
              <w:t>，</w:t>
            </w:r>
            <w:r>
              <w:rPr>
                <w:color w:val="auto"/>
              </w:rPr>
              <w:t>沸点282～338℃</w:t>
            </w:r>
            <w:r>
              <w:rPr>
                <w:rFonts w:hint="eastAsia"/>
                <w:color w:val="auto"/>
                <w:lang w:eastAsia="zh-CN"/>
              </w:rPr>
              <w:t>，</w:t>
            </w:r>
            <w:r>
              <w:rPr>
                <w:color w:val="auto"/>
              </w:rPr>
              <w:t>相对密度（水＝1）0.87～0.9。</w:t>
            </w:r>
          </w:p>
        </w:tc>
        <w:tc>
          <w:tcPr>
            <w:tcW w:w="1051" w:type="dxa"/>
            <w:tcBorders>
              <w:tl2br w:val="nil"/>
              <w:tr2bl w:val="nil"/>
            </w:tcBorders>
            <w:shd w:val="clear" w:color="auto" w:fill="auto"/>
            <w:vAlign w:val="center"/>
          </w:tcPr>
          <w:p>
            <w:pPr>
              <w:pStyle w:val="41"/>
              <w:bidi w:val="0"/>
              <w:jc w:val="center"/>
              <w:rPr>
                <w:color w:val="auto"/>
                <w:lang w:val="en-US" w:eastAsia="en-US"/>
              </w:rPr>
            </w:pPr>
            <w:r>
              <w:rPr>
                <w:color w:val="auto"/>
              </w:rPr>
              <w:t>第3类：易燃液体</w:t>
            </w:r>
          </w:p>
        </w:tc>
        <w:tc>
          <w:tcPr>
            <w:tcW w:w="3839" w:type="dxa"/>
            <w:tcBorders>
              <w:tl2br w:val="nil"/>
              <w:tr2bl w:val="nil"/>
            </w:tcBorders>
            <w:shd w:val="clear" w:color="auto" w:fill="auto"/>
            <w:vAlign w:val="center"/>
          </w:tcPr>
          <w:p>
            <w:pPr>
              <w:pStyle w:val="41"/>
              <w:bidi w:val="0"/>
              <w:jc w:val="center"/>
              <w:rPr>
                <w:color w:val="auto"/>
                <w:lang w:val="en-US" w:eastAsia="en-US"/>
              </w:rPr>
            </w:pPr>
            <w:r>
              <w:rPr>
                <w:color w:val="auto"/>
              </w:rPr>
              <w:t>遇明火、高热或与氧化剂接触，有引起燃烧爆炸的危险。若遇高热，容器内压增大，有开裂和爆炸的危险。对环境有危害，对水体和大气可造成污染。本品易燃，具刺激性。</w:t>
            </w:r>
          </w:p>
        </w:tc>
        <w:tc>
          <w:tcPr>
            <w:tcW w:w="860" w:type="dxa"/>
            <w:tcBorders>
              <w:tl2br w:val="nil"/>
              <w:tr2bl w:val="nil"/>
            </w:tcBorders>
            <w:shd w:val="clear" w:color="auto" w:fill="auto"/>
            <w:vAlign w:val="center"/>
          </w:tcPr>
          <w:p>
            <w:pPr>
              <w:pStyle w:val="41"/>
              <w:bidi w:val="0"/>
              <w:jc w:val="center"/>
              <w:rPr>
                <w:color w:val="auto"/>
                <w:lang w:val="en-US" w:eastAsia="en-US"/>
              </w:rPr>
            </w:pPr>
            <w:r>
              <w:rPr>
                <w:color w:val="auto"/>
              </w:rPr>
              <w:t>施工期</w:t>
            </w:r>
          </w:p>
        </w:tc>
      </w:tr>
    </w:tbl>
    <w:p>
      <w:pPr>
        <w:pStyle w:val="6"/>
        <w:rPr>
          <w:color w:val="auto"/>
          <w:highlight w:val="none"/>
        </w:rPr>
      </w:pPr>
      <w:r>
        <w:rPr>
          <w:rFonts w:hint="eastAsia"/>
          <w:color w:val="auto"/>
          <w:highlight w:val="none"/>
        </w:rPr>
        <w:t>5.8.3.2生产系统危险性识别</w:t>
      </w:r>
    </w:p>
    <w:p>
      <w:pPr>
        <w:pStyle w:val="57"/>
        <w:rPr>
          <w:color w:val="auto"/>
          <w:highlight w:val="none"/>
        </w:rPr>
      </w:pPr>
      <w:r>
        <w:rPr>
          <w:rFonts w:hint="eastAsia"/>
          <w:color w:val="auto"/>
          <w:highlight w:val="none"/>
        </w:rPr>
        <w:t>（1）井场</w:t>
      </w:r>
    </w:p>
    <w:p>
      <w:pPr>
        <w:pStyle w:val="57"/>
        <w:rPr>
          <w:color w:val="auto"/>
          <w:highlight w:val="none"/>
        </w:rPr>
      </w:pPr>
      <w:r>
        <w:rPr>
          <w:rFonts w:hint="eastAsia"/>
          <w:color w:val="auto"/>
          <w:highlight w:val="none"/>
        </w:rPr>
        <w:t>①井喷</w:t>
      </w:r>
    </w:p>
    <w:p>
      <w:pPr>
        <w:pStyle w:val="57"/>
        <w:rPr>
          <w:color w:val="auto"/>
          <w:kern w:val="24"/>
          <w:highlight w:val="none"/>
        </w:rPr>
      </w:pPr>
      <w:r>
        <w:rPr>
          <w:color w:val="auto"/>
          <w:kern w:val="24"/>
          <w:highlight w:val="none"/>
        </w:rPr>
        <w:t>井喷事故最根本的原因是井底压力不平衡，地层压力大于井底压力，导致井喷事故。发生井喷事故后，有可能进一步引发火灾爆炸事故，包括井喷时井口的铁件或井内钻具与井架碰撞起火，在井场进行带电作业或使用明火操作，井口装置设备失灵和处置不当造成压井破坏地层，引起四周冒气着火。</w:t>
      </w:r>
    </w:p>
    <w:p>
      <w:pPr>
        <w:pStyle w:val="57"/>
        <w:rPr>
          <w:color w:val="auto"/>
          <w:highlight w:val="none"/>
        </w:rPr>
      </w:pPr>
      <w:r>
        <w:rPr>
          <w:color w:val="auto"/>
          <w:highlight w:val="none"/>
        </w:rPr>
        <w:t>井喷会引发油气泄漏及火灾爆炸，对空气环境、水环境及生态环境造成危害，致使人员伤亡、财产损失。</w:t>
      </w:r>
      <w:r>
        <w:rPr>
          <w:rFonts w:hint="eastAsia"/>
          <w:color w:val="auto"/>
          <w:highlight w:val="none"/>
          <w:lang w:val="en-US" w:eastAsia="zh-CN"/>
        </w:rPr>
        <w:t>本工程在</w:t>
      </w:r>
      <w:r>
        <w:rPr>
          <w:rFonts w:hint="eastAsia"/>
          <w:color w:val="auto"/>
          <w:highlight w:val="none"/>
        </w:rPr>
        <w:t>井场</w:t>
      </w:r>
      <w:r>
        <w:rPr>
          <w:color w:val="auto"/>
          <w:highlight w:val="none"/>
        </w:rPr>
        <w:t>设置</w:t>
      </w:r>
      <w:r>
        <w:rPr>
          <w:rFonts w:hint="eastAsia"/>
          <w:color w:val="auto"/>
          <w:highlight w:val="none"/>
        </w:rPr>
        <w:t>了</w:t>
      </w:r>
      <w:r>
        <w:rPr>
          <w:color w:val="auto"/>
          <w:highlight w:val="none"/>
        </w:rPr>
        <w:t>可燃气体检测报警仪，设置</w:t>
      </w:r>
      <w:r>
        <w:rPr>
          <w:rFonts w:hint="eastAsia"/>
          <w:color w:val="auto"/>
          <w:highlight w:val="none"/>
        </w:rPr>
        <w:t>了</w:t>
      </w:r>
      <w:r>
        <w:rPr>
          <w:color w:val="auto"/>
          <w:highlight w:val="none"/>
        </w:rPr>
        <w:t>工业电视监视系统，</w:t>
      </w:r>
      <w:r>
        <w:rPr>
          <w:rFonts w:hint="eastAsia"/>
          <w:color w:val="auto"/>
          <w:highlight w:val="none"/>
        </w:rPr>
        <w:t>采取了合格防喷措施后，</w:t>
      </w:r>
      <w:r>
        <w:rPr>
          <w:color w:val="auto"/>
          <w:highlight w:val="none"/>
        </w:rPr>
        <w:t>井喷的可能性很小，在上述安全措施的前提下，</w:t>
      </w:r>
      <w:r>
        <w:rPr>
          <w:rFonts w:hint="eastAsia"/>
          <w:color w:val="auto"/>
          <w:highlight w:val="none"/>
        </w:rPr>
        <w:t>井场还</w:t>
      </w:r>
      <w:r>
        <w:rPr>
          <w:color w:val="auto"/>
          <w:highlight w:val="none"/>
        </w:rPr>
        <w:t>设置了放空系统，在发生异常超压的情况下，超压气体可通过</w:t>
      </w:r>
      <w:r>
        <w:rPr>
          <w:rFonts w:hint="eastAsia"/>
          <w:color w:val="auto"/>
          <w:highlight w:val="none"/>
          <w:lang w:val="en-US" w:eastAsia="zh-CN"/>
        </w:rPr>
        <w:t>放喷管线</w:t>
      </w:r>
      <w:r>
        <w:rPr>
          <w:rFonts w:hint="eastAsia"/>
          <w:color w:val="auto"/>
          <w:highlight w:val="none"/>
        </w:rPr>
        <w:t>通往</w:t>
      </w:r>
      <w:r>
        <w:rPr>
          <w:rFonts w:hint="eastAsia"/>
          <w:color w:val="auto"/>
          <w:highlight w:val="none"/>
          <w:lang w:val="en-US" w:eastAsia="zh-CN"/>
        </w:rPr>
        <w:t>放喷</w:t>
      </w:r>
      <w:r>
        <w:rPr>
          <w:rFonts w:hint="eastAsia"/>
          <w:color w:val="auto"/>
          <w:highlight w:val="none"/>
        </w:rPr>
        <w:t>池进行</w:t>
      </w:r>
      <w:r>
        <w:rPr>
          <w:rFonts w:hint="eastAsia"/>
          <w:color w:val="auto"/>
          <w:highlight w:val="none"/>
          <w:lang w:val="en-US" w:eastAsia="zh-CN"/>
        </w:rPr>
        <w:t>燃</w:t>
      </w:r>
      <w:r>
        <w:rPr>
          <w:rFonts w:hint="eastAsia"/>
          <w:color w:val="auto"/>
          <w:highlight w:val="none"/>
        </w:rPr>
        <w:t>烧</w:t>
      </w:r>
      <w:r>
        <w:rPr>
          <w:color w:val="auto"/>
          <w:highlight w:val="none"/>
        </w:rPr>
        <w:t>。采取上述措施后，可有效降低</w:t>
      </w:r>
      <w:r>
        <w:rPr>
          <w:rFonts w:hint="eastAsia"/>
          <w:color w:val="auto"/>
          <w:highlight w:val="none"/>
        </w:rPr>
        <w:t>井场</w:t>
      </w:r>
      <w:r>
        <w:rPr>
          <w:color w:val="auto"/>
          <w:highlight w:val="none"/>
        </w:rPr>
        <w:t>的事故风险。从最不利的角度，本次评价依然将其作为一种风险事故考虑。</w:t>
      </w:r>
    </w:p>
    <w:p>
      <w:pPr>
        <w:pStyle w:val="57"/>
        <w:rPr>
          <w:color w:val="auto"/>
          <w:highlight w:val="none"/>
        </w:rPr>
      </w:pPr>
      <w:r>
        <w:rPr>
          <w:rFonts w:hint="eastAsia"/>
          <w:color w:val="auto"/>
          <w:highlight w:val="none"/>
        </w:rPr>
        <w:t>②井漏</w:t>
      </w:r>
    </w:p>
    <w:p>
      <w:pPr>
        <w:pStyle w:val="57"/>
        <w:rPr>
          <w:snapToGrid w:val="0"/>
          <w:color w:val="auto"/>
        </w:rPr>
      </w:pPr>
      <w:bookmarkStart w:id="698" w:name="OLE_LINK426"/>
      <w:bookmarkStart w:id="699" w:name="OLE_LINK427"/>
      <w:r>
        <w:rPr>
          <w:snapToGrid w:val="0"/>
          <w:color w:val="auto"/>
        </w:rPr>
        <w:t>钻井施工表层套管下入深度不够或固井质量不好可能引发污染地下水事故，如油气上窜造成地下水污染，采出液漏失于地下水含水层中，采出液中含石油类，会造成地下含水层水质污染。</w:t>
      </w:r>
    </w:p>
    <w:bookmarkEnd w:id="698"/>
    <w:bookmarkEnd w:id="699"/>
    <w:p>
      <w:pPr>
        <w:pStyle w:val="57"/>
        <w:rPr>
          <w:color w:val="auto"/>
          <w:highlight w:val="none"/>
        </w:rPr>
      </w:pPr>
      <w:r>
        <w:rPr>
          <w:rFonts w:hint="eastAsia"/>
          <w:color w:val="auto"/>
          <w:highlight w:val="none"/>
        </w:rPr>
        <w:t>（2）</w:t>
      </w:r>
      <w:r>
        <w:rPr>
          <w:rFonts w:hint="eastAsia"/>
          <w:color w:val="auto"/>
          <w:highlight w:val="none"/>
          <w:lang w:val="en-US" w:eastAsia="zh-CN"/>
        </w:rPr>
        <w:t>单井拉油井场、</w:t>
      </w:r>
      <w:r>
        <w:rPr>
          <w:rFonts w:hint="eastAsia"/>
          <w:color w:val="auto"/>
          <w:highlight w:val="none"/>
        </w:rPr>
        <w:t>站场</w:t>
      </w:r>
    </w:p>
    <w:p>
      <w:pPr>
        <w:pStyle w:val="57"/>
        <w:rPr>
          <w:color w:val="auto"/>
          <w:highlight w:val="none"/>
        </w:rPr>
      </w:pPr>
      <w:r>
        <w:rPr>
          <w:rFonts w:hint="eastAsia"/>
          <w:color w:val="auto"/>
        </w:rPr>
        <w:t>本工程</w:t>
      </w:r>
      <w:r>
        <w:rPr>
          <w:rFonts w:hint="eastAsia"/>
          <w:color w:val="auto"/>
          <w:lang w:val="en-US" w:eastAsia="zh-CN"/>
        </w:rPr>
        <w:t>包含8座</w:t>
      </w:r>
      <w:r>
        <w:rPr>
          <w:rFonts w:hint="eastAsia"/>
          <w:color w:val="auto"/>
          <w:szCs w:val="24"/>
          <w:highlight w:val="none"/>
          <w:lang w:val="en-US" w:eastAsia="zh-CN"/>
        </w:rPr>
        <w:t>单井拉油井场、在丰探1井区新建12井式计量站一座（丰探1计量站），</w:t>
      </w:r>
      <w:r>
        <w:rPr>
          <w:rFonts w:hint="default" w:ascii="Times New Roman" w:hAnsi="Times New Roman" w:cs="Times New Roman"/>
          <w:color w:val="auto"/>
          <w:szCs w:val="24"/>
          <w:highlight w:val="none"/>
          <w:lang w:val="en-US" w:eastAsia="zh-CN"/>
        </w:rPr>
        <w:t>在丰探1井区新建集中拉油站一座</w:t>
      </w:r>
      <w:r>
        <w:rPr>
          <w:rFonts w:hint="eastAsia" w:ascii="Times New Roman" w:hAnsi="Times New Roman" w:cs="Times New Roman"/>
          <w:color w:val="auto"/>
          <w:szCs w:val="24"/>
          <w:highlight w:val="none"/>
          <w:lang w:val="en-US" w:eastAsia="zh-CN"/>
        </w:rPr>
        <w:t>。</w:t>
      </w:r>
      <w:r>
        <w:rPr>
          <w:rFonts w:hint="eastAsia"/>
          <w:color w:val="auto"/>
        </w:rPr>
        <w:t>可能发生风险主要为</w:t>
      </w:r>
      <w:r>
        <w:rPr>
          <w:rFonts w:hint="eastAsia"/>
          <w:color w:val="auto"/>
          <w:lang w:val="en-US" w:eastAsia="zh-CN"/>
        </w:rPr>
        <w:t>井场、</w:t>
      </w:r>
      <w:r>
        <w:rPr>
          <w:rFonts w:hint="eastAsia"/>
          <w:color w:val="auto"/>
        </w:rPr>
        <w:t>站内设备穿孔、破裂，导致油气泄漏进而可能</w:t>
      </w:r>
      <w:r>
        <w:rPr>
          <w:rFonts w:hint="eastAsia"/>
          <w:color w:val="auto"/>
          <w:lang w:eastAsia="zh-CN"/>
        </w:rPr>
        <w:t>引发</w:t>
      </w:r>
      <w:r>
        <w:rPr>
          <w:rFonts w:hint="eastAsia"/>
          <w:color w:val="auto"/>
        </w:rPr>
        <w:t>火灾、爆炸事故，导致环境污染。</w:t>
      </w:r>
    </w:p>
    <w:p>
      <w:pPr>
        <w:pStyle w:val="57"/>
        <w:rPr>
          <w:color w:val="auto"/>
        </w:rPr>
      </w:pPr>
      <w:r>
        <w:rPr>
          <w:rFonts w:hint="eastAsia"/>
          <w:color w:val="auto"/>
          <w:highlight w:val="none"/>
        </w:rPr>
        <w:t>（3）</w:t>
      </w:r>
      <w:r>
        <w:rPr>
          <w:rFonts w:hint="eastAsia"/>
          <w:color w:val="auto"/>
        </w:rPr>
        <w:t>集输系统</w:t>
      </w:r>
    </w:p>
    <w:p>
      <w:pPr>
        <w:pStyle w:val="57"/>
        <w:bidi w:val="0"/>
        <w:rPr>
          <w:rFonts w:hint="eastAsia"/>
          <w:color w:val="auto"/>
        </w:rPr>
      </w:pPr>
      <w:r>
        <w:rPr>
          <w:rFonts w:hint="eastAsia"/>
          <w:color w:val="auto"/>
          <w:highlight w:val="none"/>
        </w:rPr>
        <w:t>单井气液通过新建集输管线混输至计量站计量后，通过新建集输支线自压输送至新建集中拉油站，采出气液在新建集中拉油站内进行分离，采出液通过拉油方式输至风城二号稠油处理站处理，天然气密闭集输至夏子街增压站处。</w:t>
      </w:r>
      <w:r>
        <w:rPr>
          <w:rFonts w:hint="eastAsia"/>
          <w:color w:val="auto"/>
          <w:lang w:val="en-US" w:eastAsia="zh-CN"/>
        </w:rPr>
        <w:t>各类</w:t>
      </w:r>
      <w:r>
        <w:rPr>
          <w:rFonts w:hint="eastAsia"/>
          <w:color w:val="auto"/>
        </w:rPr>
        <w:t>集输管线</w:t>
      </w:r>
      <w:r>
        <w:rPr>
          <w:rFonts w:hint="eastAsia"/>
          <w:color w:val="auto"/>
          <w:lang w:val="en-US" w:eastAsia="zh-CN"/>
        </w:rPr>
        <w:t>均</w:t>
      </w:r>
      <w:r>
        <w:rPr>
          <w:rFonts w:hint="eastAsia"/>
          <w:color w:val="auto"/>
        </w:rPr>
        <w:t>采用埋地敷设方式。集输过程中常见的事故有</w:t>
      </w:r>
      <w:r>
        <w:rPr>
          <w:rFonts w:hint="eastAsia"/>
          <w:color w:val="auto"/>
          <w:lang w:val="en-US" w:eastAsia="zh-CN"/>
        </w:rPr>
        <w:t>集输</w:t>
      </w:r>
      <w:r>
        <w:rPr>
          <w:rFonts w:hint="eastAsia"/>
          <w:color w:val="auto"/>
        </w:rPr>
        <w:t>管线因腐蚀穿孔而造成</w:t>
      </w:r>
      <w:r>
        <w:rPr>
          <w:rFonts w:hint="eastAsia"/>
          <w:color w:val="auto"/>
          <w:lang w:val="en-US" w:eastAsia="zh-CN"/>
        </w:rPr>
        <w:t>油气</w:t>
      </w:r>
      <w:r>
        <w:rPr>
          <w:rFonts w:hint="eastAsia"/>
          <w:color w:val="auto"/>
        </w:rPr>
        <w:t>泄漏；冬季运行时管线因保温性能差等原因发生冻堵、管线破裂；人为破坏导致管道泄漏。发生的事故主要为管线破裂造成的</w:t>
      </w:r>
      <w:r>
        <w:rPr>
          <w:rFonts w:hint="eastAsia"/>
          <w:color w:val="auto"/>
          <w:lang w:val="en-US" w:eastAsia="zh-CN"/>
        </w:rPr>
        <w:t>油气</w:t>
      </w:r>
      <w:r>
        <w:rPr>
          <w:rFonts w:hint="eastAsia"/>
          <w:color w:val="auto"/>
        </w:rPr>
        <w:t>泄漏，</w:t>
      </w:r>
      <w:r>
        <w:rPr>
          <w:rFonts w:hint="eastAsia"/>
          <w:color w:val="auto"/>
          <w:lang w:val="en-US" w:eastAsia="zh-CN"/>
        </w:rPr>
        <w:t>会</w:t>
      </w:r>
      <w:r>
        <w:rPr>
          <w:rFonts w:hint="eastAsia"/>
          <w:color w:val="auto"/>
        </w:rPr>
        <w:t>直接污染周围</w:t>
      </w:r>
      <w:r>
        <w:rPr>
          <w:rFonts w:hint="eastAsia"/>
          <w:color w:val="auto"/>
          <w:lang w:val="en-US" w:eastAsia="zh-CN"/>
        </w:rPr>
        <w:t>大气和</w:t>
      </w:r>
      <w:r>
        <w:rPr>
          <w:rFonts w:hint="eastAsia"/>
          <w:color w:val="auto"/>
        </w:rPr>
        <w:t>土壤，还可能对区域地下水造成污染。</w:t>
      </w:r>
    </w:p>
    <w:p>
      <w:pPr>
        <w:pStyle w:val="53"/>
        <w:rPr>
          <w:color w:val="auto"/>
          <w:highlight w:val="none"/>
        </w:rPr>
      </w:pPr>
      <w:r>
        <w:rPr>
          <w:color w:val="auto"/>
          <w:highlight w:val="none"/>
        </w:rPr>
        <w:fldChar w:fldCharType="begin"/>
      </w:r>
      <w:r>
        <w:rPr>
          <w:color w:val="auto"/>
          <w:highlight w:val="none"/>
        </w:rPr>
        <w:instrText xml:space="preserve"> HYPERLINK \l "_Toc23901" </w:instrText>
      </w:r>
      <w:r>
        <w:rPr>
          <w:color w:val="auto"/>
          <w:highlight w:val="none"/>
        </w:rPr>
        <w:fldChar w:fldCharType="separate"/>
      </w:r>
      <w:r>
        <w:rPr>
          <w:rFonts w:hint="eastAsia"/>
          <w:color w:val="auto"/>
          <w:highlight w:val="none"/>
        </w:rPr>
        <w:t>5.8.4 环境风险事故情形分析</w:t>
      </w:r>
      <w:r>
        <w:rPr>
          <w:rFonts w:hint="eastAsia"/>
          <w:color w:val="auto"/>
          <w:highlight w:val="none"/>
        </w:rPr>
        <w:fldChar w:fldCharType="end"/>
      </w:r>
    </w:p>
    <w:p>
      <w:pPr>
        <w:pStyle w:val="57"/>
        <w:rPr>
          <w:rFonts w:hint="eastAsia" w:cs="Times New Roman"/>
          <w:color w:val="auto"/>
          <w:highlight w:val="none"/>
        </w:rPr>
      </w:pPr>
      <w:r>
        <w:rPr>
          <w:color w:val="auto"/>
          <w:highlight w:val="none"/>
        </w:rPr>
        <w:t>通过</w:t>
      </w:r>
      <w:r>
        <w:rPr>
          <w:rFonts w:hint="eastAsia"/>
          <w:color w:val="auto"/>
          <w:highlight w:val="none"/>
        </w:rPr>
        <w:t>分析</w:t>
      </w:r>
      <w:r>
        <w:rPr>
          <w:color w:val="auto"/>
          <w:highlight w:val="none"/>
        </w:rPr>
        <w:t>本工程可能涉及的危险物质及危险场所及危险特性，本工程可能发生的环境风险主要包括井喷、井漏、</w:t>
      </w:r>
      <w:r>
        <w:rPr>
          <w:rFonts w:hint="eastAsia"/>
          <w:color w:val="auto"/>
          <w:highlight w:val="none"/>
          <w:lang w:val="en-US" w:eastAsia="zh-CN"/>
        </w:rPr>
        <w:t>井场、站场工艺设备和集输管线</w:t>
      </w:r>
      <w:r>
        <w:rPr>
          <w:rFonts w:hint="eastAsia"/>
          <w:color w:val="auto"/>
          <w:highlight w:val="none"/>
        </w:rPr>
        <w:t>发生</w:t>
      </w:r>
      <w:r>
        <w:rPr>
          <w:rFonts w:hint="eastAsia"/>
          <w:color w:val="auto"/>
          <w:highlight w:val="none"/>
          <w:lang w:val="en-US" w:eastAsia="zh-CN"/>
        </w:rPr>
        <w:t>油气</w:t>
      </w:r>
      <w:r>
        <w:rPr>
          <w:rFonts w:hint="eastAsia"/>
          <w:color w:val="auto"/>
          <w:highlight w:val="none"/>
          <w:lang w:eastAsia="zh-CN"/>
        </w:rPr>
        <w:t>泄漏</w:t>
      </w:r>
      <w:r>
        <w:rPr>
          <w:color w:val="auto"/>
          <w:highlight w:val="none"/>
        </w:rPr>
        <w:t>以及</w:t>
      </w:r>
      <w:r>
        <w:rPr>
          <w:rFonts w:hint="eastAsia"/>
          <w:color w:val="auto"/>
          <w:highlight w:val="none"/>
          <w:lang w:val="en-US" w:eastAsia="zh-CN"/>
        </w:rPr>
        <w:t>原油、天然气泄漏</w:t>
      </w:r>
      <w:r>
        <w:rPr>
          <w:color w:val="auto"/>
          <w:highlight w:val="none"/>
        </w:rPr>
        <w:t>后遇明火引发的火灾、爆炸</w:t>
      </w:r>
      <w:r>
        <w:rPr>
          <w:rFonts w:hint="eastAsia"/>
          <w:color w:val="auto"/>
          <w:highlight w:val="none"/>
        </w:rPr>
        <w:t>次生污染物</w:t>
      </w:r>
      <w:r>
        <w:rPr>
          <w:color w:val="auto"/>
          <w:highlight w:val="none"/>
        </w:rPr>
        <w:t>等</w:t>
      </w:r>
      <w:r>
        <w:rPr>
          <w:rFonts w:hint="eastAsia"/>
          <w:color w:val="auto"/>
          <w:highlight w:val="none"/>
        </w:rPr>
        <w:t>。</w:t>
      </w:r>
      <w:r>
        <w:rPr>
          <w:rFonts w:hint="eastAsia"/>
          <w:color w:val="auto"/>
          <w:szCs w:val="20"/>
          <w:highlight w:val="none"/>
        </w:rPr>
        <w:t>井喷、</w:t>
      </w:r>
      <w:r>
        <w:rPr>
          <w:rFonts w:hint="eastAsia"/>
          <w:color w:val="auto"/>
          <w:highlight w:val="none"/>
          <w:lang w:val="en-US" w:eastAsia="zh-CN"/>
        </w:rPr>
        <w:t>站场工艺设备和</w:t>
      </w:r>
      <w:r>
        <w:rPr>
          <w:rFonts w:hint="eastAsia"/>
          <w:color w:val="auto"/>
          <w:szCs w:val="20"/>
          <w:highlight w:val="none"/>
          <w:lang w:val="en-US" w:eastAsia="zh-CN"/>
        </w:rPr>
        <w:t>集输</w:t>
      </w:r>
      <w:r>
        <w:rPr>
          <w:rFonts w:hint="eastAsia"/>
          <w:color w:val="auto"/>
          <w:szCs w:val="20"/>
          <w:highlight w:val="none"/>
        </w:rPr>
        <w:t>管线</w:t>
      </w:r>
      <w:r>
        <w:rPr>
          <w:rFonts w:hint="eastAsia"/>
          <w:color w:val="auto"/>
          <w:highlight w:val="none"/>
        </w:rPr>
        <w:t>泄漏会对大气产生的直接影响以及火灾、爆炸等引发的伴生/次生污染物排放，</w:t>
      </w:r>
      <w:r>
        <w:rPr>
          <w:rFonts w:hint="eastAsia"/>
          <w:color w:val="auto"/>
          <w:highlight w:val="none"/>
          <w:lang w:val="en-US" w:eastAsia="zh-CN"/>
        </w:rPr>
        <w:t>油罐</w:t>
      </w:r>
      <w:r>
        <w:rPr>
          <w:rFonts w:hint="eastAsia"/>
          <w:color w:val="auto"/>
          <w:highlight w:val="none"/>
        </w:rPr>
        <w:t>发生</w:t>
      </w:r>
      <w:r>
        <w:rPr>
          <w:rFonts w:hint="eastAsia"/>
          <w:color w:val="auto"/>
          <w:szCs w:val="20"/>
          <w:highlight w:val="none"/>
        </w:rPr>
        <w:t>泄漏会对大气、土壤、地下水产生的直接影响以及遇明火后发生火灾、爆炸等引发的伴生/次生污染物排放，</w:t>
      </w:r>
      <w:r>
        <w:rPr>
          <w:rFonts w:hint="eastAsia"/>
          <w:color w:val="auto"/>
          <w:highlight w:val="none"/>
        </w:rPr>
        <w:t>井漏会对地下水造成影响。</w:t>
      </w:r>
      <w:r>
        <w:rPr>
          <w:color w:val="auto"/>
          <w:highlight w:val="none"/>
        </w:rPr>
        <w:t>具体危害和环境影响可见表</w:t>
      </w:r>
      <w:r>
        <w:rPr>
          <w:rFonts w:hint="eastAsia"/>
          <w:color w:val="auto"/>
          <w:highlight w:val="none"/>
        </w:rPr>
        <w:t>5.8-</w:t>
      </w:r>
      <w:r>
        <w:rPr>
          <w:rFonts w:hint="eastAsia"/>
          <w:color w:val="auto"/>
          <w:highlight w:val="none"/>
          <w:lang w:val="en-US" w:eastAsia="zh-CN"/>
        </w:rPr>
        <w:t>3</w:t>
      </w:r>
      <w:r>
        <w:rPr>
          <w:color w:val="auto"/>
          <w:highlight w:val="none"/>
        </w:rPr>
        <w:t>。</w:t>
      </w:r>
      <w:bookmarkStart w:id="700" w:name="_Toc11532"/>
      <w:bookmarkStart w:id="701" w:name="_Toc180591696"/>
      <w:bookmarkStart w:id="702" w:name="_Toc19752"/>
      <w:bookmarkStart w:id="703" w:name="_Toc27017"/>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表5.8-</w:t>
      </w:r>
      <w:r>
        <w:rPr>
          <w:rFonts w:hint="eastAsia" w:cs="Times New Roman"/>
          <w:color w:val="auto"/>
          <w:highlight w:val="none"/>
          <w:lang w:val="en-US" w:eastAsia="zh-CN"/>
        </w:rPr>
        <w:t>3</w:t>
      </w:r>
      <w:r>
        <w:rPr>
          <w:rFonts w:hint="eastAsia" w:cs="Times New Roman"/>
          <w:color w:val="auto"/>
          <w:highlight w:val="none"/>
        </w:rPr>
        <w:t xml:space="preserve"> 危险物质向环境转移的途径识别</w:t>
      </w:r>
      <w:bookmarkEnd w:id="700"/>
      <w:bookmarkEnd w:id="701"/>
      <w:bookmarkEnd w:id="702"/>
      <w:bookmarkEnd w:id="703"/>
      <w:r>
        <w:rPr>
          <w:rFonts w:hint="eastAsia" w:cs="Times New Roman"/>
          <w:color w:val="auto"/>
          <w:highlight w:val="none"/>
        </w:rPr>
        <w:t xml:space="preserve"> </w:t>
      </w:r>
    </w:p>
    <w:tbl>
      <w:tblPr>
        <w:tblStyle w:val="35"/>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735"/>
        <w:gridCol w:w="737"/>
        <w:gridCol w:w="1175"/>
        <w:gridCol w:w="3966"/>
        <w:gridCol w:w="137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tcBorders>
              <w:tl2br w:val="nil"/>
              <w:tr2bl w:val="nil"/>
            </w:tcBorders>
            <w:vAlign w:val="center"/>
          </w:tcPr>
          <w:p>
            <w:pPr>
              <w:pStyle w:val="41"/>
              <w:widowControl w:val="0"/>
              <w:jc w:val="both"/>
              <w:rPr>
                <w:color w:val="auto"/>
              </w:rPr>
            </w:pPr>
            <w:r>
              <w:rPr>
                <w:color w:val="auto"/>
              </w:rPr>
              <w:t>影响时段</w:t>
            </w:r>
          </w:p>
        </w:tc>
        <w:tc>
          <w:tcPr>
            <w:tcW w:w="416" w:type="pct"/>
            <w:tcBorders>
              <w:tl2br w:val="nil"/>
              <w:tr2bl w:val="nil"/>
            </w:tcBorders>
            <w:vAlign w:val="center"/>
          </w:tcPr>
          <w:p>
            <w:pPr>
              <w:pStyle w:val="41"/>
              <w:widowControl w:val="0"/>
              <w:jc w:val="both"/>
              <w:rPr>
                <w:color w:val="auto"/>
              </w:rPr>
            </w:pPr>
            <w:r>
              <w:rPr>
                <w:color w:val="auto"/>
              </w:rPr>
              <w:t>事故类型</w:t>
            </w:r>
          </w:p>
        </w:tc>
        <w:tc>
          <w:tcPr>
            <w:tcW w:w="417" w:type="pct"/>
            <w:tcBorders>
              <w:tl2br w:val="nil"/>
              <w:tr2bl w:val="nil"/>
            </w:tcBorders>
            <w:vAlign w:val="center"/>
          </w:tcPr>
          <w:p>
            <w:pPr>
              <w:pStyle w:val="41"/>
              <w:widowControl w:val="0"/>
              <w:jc w:val="both"/>
              <w:rPr>
                <w:color w:val="auto"/>
              </w:rPr>
            </w:pPr>
            <w:r>
              <w:rPr>
                <w:color w:val="auto"/>
              </w:rPr>
              <w:t>来源</w:t>
            </w:r>
          </w:p>
        </w:tc>
        <w:tc>
          <w:tcPr>
            <w:tcW w:w="665" w:type="pct"/>
            <w:tcBorders>
              <w:tl2br w:val="nil"/>
              <w:tr2bl w:val="nil"/>
            </w:tcBorders>
            <w:vAlign w:val="center"/>
          </w:tcPr>
          <w:p>
            <w:pPr>
              <w:pStyle w:val="41"/>
              <w:widowControl w:val="0"/>
              <w:jc w:val="both"/>
              <w:rPr>
                <w:color w:val="auto"/>
              </w:rPr>
            </w:pPr>
            <w:r>
              <w:rPr>
                <w:color w:val="auto"/>
              </w:rPr>
              <w:t>危险物质</w:t>
            </w:r>
          </w:p>
        </w:tc>
        <w:tc>
          <w:tcPr>
            <w:tcW w:w="2245" w:type="pct"/>
            <w:tcBorders>
              <w:tl2br w:val="nil"/>
              <w:tr2bl w:val="nil"/>
            </w:tcBorders>
            <w:vAlign w:val="center"/>
          </w:tcPr>
          <w:p>
            <w:pPr>
              <w:pStyle w:val="41"/>
              <w:widowControl w:val="0"/>
              <w:jc w:val="both"/>
              <w:rPr>
                <w:color w:val="auto"/>
              </w:rPr>
            </w:pPr>
            <w:r>
              <w:rPr>
                <w:color w:val="auto"/>
              </w:rPr>
              <w:t>影响环境的途径</w:t>
            </w:r>
          </w:p>
        </w:tc>
        <w:tc>
          <w:tcPr>
            <w:tcW w:w="778" w:type="pct"/>
            <w:tcBorders>
              <w:tl2br w:val="nil"/>
              <w:tr2bl w:val="nil"/>
            </w:tcBorders>
            <w:vAlign w:val="center"/>
          </w:tcPr>
          <w:p>
            <w:pPr>
              <w:pStyle w:val="41"/>
              <w:widowControl w:val="0"/>
              <w:jc w:val="both"/>
              <w:rPr>
                <w:color w:val="auto"/>
              </w:rPr>
            </w:pPr>
            <w:r>
              <w:rPr>
                <w:color w:val="auto"/>
              </w:rPr>
              <w:t>影响环境的途径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27" w:hRule="atLeast"/>
        </w:trPr>
        <w:tc>
          <w:tcPr>
            <w:tcW w:w="479" w:type="pct"/>
            <w:vMerge w:val="restart"/>
            <w:tcBorders>
              <w:tl2br w:val="nil"/>
              <w:tr2bl w:val="nil"/>
            </w:tcBorders>
            <w:vAlign w:val="center"/>
          </w:tcPr>
          <w:p>
            <w:pPr>
              <w:pStyle w:val="41"/>
              <w:widowControl w:val="0"/>
              <w:jc w:val="both"/>
              <w:rPr>
                <w:color w:val="auto"/>
              </w:rPr>
            </w:pPr>
            <w:r>
              <w:rPr>
                <w:color w:val="auto"/>
              </w:rPr>
              <w:t>施工期</w:t>
            </w:r>
          </w:p>
        </w:tc>
        <w:tc>
          <w:tcPr>
            <w:tcW w:w="416" w:type="pct"/>
            <w:tcBorders>
              <w:tl2br w:val="nil"/>
              <w:tr2bl w:val="nil"/>
            </w:tcBorders>
            <w:vAlign w:val="center"/>
          </w:tcPr>
          <w:p>
            <w:pPr>
              <w:pStyle w:val="41"/>
              <w:widowControl w:val="0"/>
              <w:jc w:val="both"/>
              <w:rPr>
                <w:color w:val="auto"/>
              </w:rPr>
            </w:pPr>
            <w:r>
              <w:rPr>
                <w:color w:val="auto"/>
              </w:rPr>
              <w:t>井喷</w:t>
            </w:r>
          </w:p>
        </w:tc>
        <w:tc>
          <w:tcPr>
            <w:tcW w:w="417" w:type="pct"/>
            <w:tcBorders>
              <w:tl2br w:val="nil"/>
              <w:tr2bl w:val="nil"/>
            </w:tcBorders>
            <w:vAlign w:val="center"/>
          </w:tcPr>
          <w:p>
            <w:pPr>
              <w:pStyle w:val="41"/>
              <w:widowControl w:val="0"/>
              <w:jc w:val="both"/>
              <w:rPr>
                <w:color w:val="auto"/>
              </w:rPr>
            </w:pPr>
            <w:r>
              <w:rPr>
                <w:color w:val="auto"/>
              </w:rPr>
              <w:t>钻井过程</w:t>
            </w:r>
          </w:p>
        </w:tc>
        <w:tc>
          <w:tcPr>
            <w:tcW w:w="665" w:type="pct"/>
            <w:tcBorders>
              <w:tl2br w:val="nil"/>
              <w:tr2bl w:val="nil"/>
            </w:tcBorders>
            <w:vAlign w:val="center"/>
          </w:tcPr>
          <w:p>
            <w:pPr>
              <w:pStyle w:val="41"/>
              <w:widowControl w:val="0"/>
              <w:jc w:val="both"/>
              <w:rPr>
                <w:color w:val="auto"/>
              </w:rPr>
            </w:pPr>
            <w:r>
              <w:rPr>
                <w:color w:val="auto"/>
              </w:rPr>
              <w:t>原油、天然气</w:t>
            </w:r>
          </w:p>
        </w:tc>
        <w:tc>
          <w:tcPr>
            <w:tcW w:w="2245" w:type="pct"/>
            <w:tcBorders>
              <w:tl2br w:val="nil"/>
              <w:tr2bl w:val="nil"/>
            </w:tcBorders>
            <w:vAlign w:val="center"/>
          </w:tcPr>
          <w:p>
            <w:pPr>
              <w:pStyle w:val="41"/>
              <w:widowControl w:val="0"/>
              <w:jc w:val="both"/>
              <w:rPr>
                <w:color w:val="auto"/>
              </w:rPr>
            </w:pPr>
            <w:r>
              <w:rPr>
                <w:rFonts w:hint="eastAsia" w:ascii="宋体" w:hAnsi="宋体" w:cs="宋体"/>
                <w:color w:val="auto"/>
              </w:rPr>
              <w:t>①</w:t>
            </w:r>
            <w:r>
              <w:rPr>
                <w:color w:val="auto"/>
              </w:rPr>
              <w:t>井喷时，油气泄漏后直接进入大气环境或挥发进入大气环境，遇明火易引发爆炸；</w:t>
            </w:r>
          </w:p>
          <w:p>
            <w:pPr>
              <w:pStyle w:val="41"/>
              <w:widowControl w:val="0"/>
              <w:jc w:val="both"/>
              <w:rPr>
                <w:color w:val="auto"/>
              </w:rPr>
            </w:pPr>
            <w:r>
              <w:rPr>
                <w:rFonts w:hint="eastAsia" w:ascii="宋体" w:hAnsi="宋体" w:cs="宋体"/>
                <w:color w:val="auto"/>
              </w:rPr>
              <w:t>②</w:t>
            </w:r>
            <w:r>
              <w:rPr>
                <w:color w:val="auto"/>
              </w:rPr>
              <w:t xml:space="preserve">原油泄漏进入地表，阻塞土壤孔隙，使土壤板结，降低通透性，不利于植物生长，还有可能污染地下水； </w:t>
            </w:r>
          </w:p>
          <w:p>
            <w:pPr>
              <w:pStyle w:val="41"/>
              <w:widowControl w:val="0"/>
              <w:jc w:val="both"/>
              <w:rPr>
                <w:color w:val="auto"/>
              </w:rPr>
            </w:pPr>
            <w:r>
              <w:rPr>
                <w:rFonts w:hint="eastAsia" w:ascii="宋体" w:hAnsi="宋体" w:cs="宋体"/>
                <w:color w:val="auto"/>
              </w:rPr>
              <w:t>③</w:t>
            </w:r>
            <w:r>
              <w:rPr>
                <w:color w:val="auto"/>
              </w:rPr>
              <w:t>油气中的天然气扩散至环境空气中，可能引发天然气中毒事件。</w:t>
            </w:r>
          </w:p>
        </w:tc>
        <w:tc>
          <w:tcPr>
            <w:tcW w:w="778" w:type="pct"/>
            <w:tcBorders>
              <w:tl2br w:val="nil"/>
              <w:tr2bl w:val="nil"/>
            </w:tcBorders>
            <w:vAlign w:val="center"/>
          </w:tcPr>
          <w:p>
            <w:pPr>
              <w:pStyle w:val="41"/>
              <w:widowControl w:val="0"/>
              <w:jc w:val="both"/>
              <w:rPr>
                <w:color w:val="auto"/>
              </w:rPr>
            </w:pPr>
            <w:r>
              <w:rPr>
                <w:color w:val="auto"/>
                <w:lang w:bidi="ar"/>
              </w:rPr>
              <w:t>大气、土壤、地下水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pPr>
              <w:pStyle w:val="41"/>
              <w:widowControl w:val="0"/>
              <w:jc w:val="both"/>
              <w:rPr>
                <w:color w:val="auto"/>
              </w:rPr>
            </w:pPr>
          </w:p>
        </w:tc>
        <w:tc>
          <w:tcPr>
            <w:tcW w:w="416" w:type="pct"/>
            <w:tcBorders>
              <w:tl2br w:val="nil"/>
              <w:tr2bl w:val="nil"/>
            </w:tcBorders>
            <w:vAlign w:val="center"/>
          </w:tcPr>
          <w:p>
            <w:pPr>
              <w:pStyle w:val="41"/>
              <w:widowControl w:val="0"/>
              <w:jc w:val="both"/>
              <w:rPr>
                <w:color w:val="auto"/>
              </w:rPr>
            </w:pPr>
            <w:r>
              <w:rPr>
                <w:color w:val="auto"/>
              </w:rPr>
              <w:t>井漏</w:t>
            </w:r>
          </w:p>
        </w:tc>
        <w:tc>
          <w:tcPr>
            <w:tcW w:w="417" w:type="pct"/>
            <w:tcBorders>
              <w:tl2br w:val="nil"/>
              <w:tr2bl w:val="nil"/>
            </w:tcBorders>
            <w:vAlign w:val="center"/>
          </w:tcPr>
          <w:p>
            <w:pPr>
              <w:pStyle w:val="41"/>
              <w:widowControl w:val="0"/>
              <w:jc w:val="both"/>
              <w:rPr>
                <w:color w:val="auto"/>
              </w:rPr>
            </w:pPr>
            <w:r>
              <w:rPr>
                <w:color w:val="auto"/>
              </w:rPr>
              <w:t>钻井过程</w:t>
            </w:r>
          </w:p>
        </w:tc>
        <w:tc>
          <w:tcPr>
            <w:tcW w:w="665" w:type="pct"/>
            <w:tcBorders>
              <w:tl2br w:val="nil"/>
              <w:tr2bl w:val="nil"/>
            </w:tcBorders>
            <w:vAlign w:val="center"/>
          </w:tcPr>
          <w:p>
            <w:pPr>
              <w:pStyle w:val="41"/>
              <w:widowControl w:val="0"/>
              <w:jc w:val="both"/>
              <w:rPr>
                <w:color w:val="auto"/>
              </w:rPr>
            </w:pPr>
            <w:r>
              <w:rPr>
                <w:color w:val="auto"/>
              </w:rPr>
              <w:t>钻井液</w:t>
            </w:r>
          </w:p>
          <w:p>
            <w:pPr>
              <w:pStyle w:val="41"/>
              <w:widowControl w:val="0"/>
              <w:jc w:val="both"/>
              <w:rPr>
                <w:color w:val="auto"/>
              </w:rPr>
            </w:pPr>
            <w:r>
              <w:rPr>
                <w:color w:val="auto"/>
              </w:rPr>
              <w:t>等</w:t>
            </w:r>
          </w:p>
        </w:tc>
        <w:tc>
          <w:tcPr>
            <w:tcW w:w="2245" w:type="pct"/>
            <w:tcBorders>
              <w:tl2br w:val="nil"/>
              <w:tr2bl w:val="nil"/>
            </w:tcBorders>
            <w:vAlign w:val="center"/>
          </w:tcPr>
          <w:p>
            <w:pPr>
              <w:pStyle w:val="41"/>
              <w:widowControl w:val="0"/>
              <w:jc w:val="both"/>
              <w:rPr>
                <w:color w:val="auto"/>
              </w:rPr>
            </w:pPr>
            <w:r>
              <w:rPr>
                <w:color w:val="auto"/>
              </w:rPr>
              <w:t>钻井液等沿裂缝漏失进入地下水层，污染地下水水质</w:t>
            </w:r>
          </w:p>
        </w:tc>
        <w:tc>
          <w:tcPr>
            <w:tcW w:w="778" w:type="pct"/>
            <w:tcBorders>
              <w:tl2br w:val="nil"/>
              <w:tr2bl w:val="nil"/>
            </w:tcBorders>
            <w:vAlign w:val="center"/>
          </w:tcPr>
          <w:p>
            <w:pPr>
              <w:pStyle w:val="41"/>
              <w:widowControl w:val="0"/>
              <w:jc w:val="both"/>
              <w:rPr>
                <w:color w:val="auto"/>
              </w:rPr>
            </w:pPr>
            <w:r>
              <w:rPr>
                <w:color w:val="auto"/>
              </w:rPr>
              <w:t>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pPr>
              <w:pStyle w:val="41"/>
              <w:widowControl w:val="0"/>
              <w:jc w:val="both"/>
              <w:rPr>
                <w:color w:val="auto"/>
              </w:rPr>
            </w:pPr>
          </w:p>
        </w:tc>
        <w:tc>
          <w:tcPr>
            <w:tcW w:w="416" w:type="pct"/>
            <w:tcBorders>
              <w:tl2br w:val="nil"/>
              <w:tr2bl w:val="nil"/>
            </w:tcBorders>
            <w:vAlign w:val="center"/>
          </w:tcPr>
          <w:p>
            <w:pPr>
              <w:pStyle w:val="65"/>
              <w:widowControl w:val="0"/>
              <w:rPr>
                <w:color w:val="auto"/>
                <w:kern w:val="0"/>
              </w:rPr>
            </w:pPr>
            <w:r>
              <w:rPr>
                <w:rFonts w:hint="eastAsia"/>
                <w:color w:val="auto"/>
                <w:kern w:val="0"/>
              </w:rPr>
              <w:t>储罐泄漏</w:t>
            </w:r>
          </w:p>
        </w:tc>
        <w:tc>
          <w:tcPr>
            <w:tcW w:w="417" w:type="pct"/>
            <w:tcBorders>
              <w:tl2br w:val="nil"/>
              <w:tr2bl w:val="nil"/>
            </w:tcBorders>
            <w:vAlign w:val="center"/>
          </w:tcPr>
          <w:p>
            <w:pPr>
              <w:pStyle w:val="65"/>
              <w:widowControl w:val="0"/>
              <w:rPr>
                <w:color w:val="auto"/>
                <w:kern w:val="0"/>
              </w:rPr>
            </w:pPr>
            <w:r>
              <w:rPr>
                <w:color w:val="auto"/>
                <w:kern w:val="0"/>
              </w:rPr>
              <w:t>钻井过程</w:t>
            </w:r>
          </w:p>
        </w:tc>
        <w:tc>
          <w:tcPr>
            <w:tcW w:w="665" w:type="pct"/>
            <w:tcBorders>
              <w:tl2br w:val="nil"/>
              <w:tr2bl w:val="nil"/>
            </w:tcBorders>
            <w:vAlign w:val="center"/>
          </w:tcPr>
          <w:p>
            <w:pPr>
              <w:pStyle w:val="65"/>
              <w:widowControl w:val="0"/>
              <w:rPr>
                <w:color w:val="auto"/>
                <w:kern w:val="0"/>
              </w:rPr>
            </w:pPr>
            <w:r>
              <w:rPr>
                <w:rFonts w:hint="eastAsia"/>
                <w:color w:val="auto"/>
                <w:kern w:val="0"/>
              </w:rPr>
              <w:t>柴油</w:t>
            </w:r>
          </w:p>
        </w:tc>
        <w:tc>
          <w:tcPr>
            <w:tcW w:w="2245" w:type="pct"/>
            <w:tcBorders>
              <w:tl2br w:val="nil"/>
              <w:tr2bl w:val="nil"/>
            </w:tcBorders>
          </w:tcPr>
          <w:p>
            <w:pPr>
              <w:pStyle w:val="65"/>
              <w:widowControl w:val="0"/>
              <w:jc w:val="both"/>
              <w:rPr>
                <w:color w:val="auto"/>
                <w:kern w:val="0"/>
              </w:rPr>
            </w:pPr>
            <w:r>
              <w:rPr>
                <w:rFonts w:hint="eastAsia"/>
                <w:color w:val="auto"/>
                <w:kern w:val="0"/>
              </w:rPr>
              <w:t>柴</w:t>
            </w:r>
            <w:r>
              <w:rPr>
                <w:color w:val="auto"/>
                <w:kern w:val="0"/>
              </w:rPr>
              <w:t>油泄漏进入地表，阻塞土壤孔隙，使土壤板结，降低通透性，不利于植物生长，还有可能污染地下水</w:t>
            </w:r>
          </w:p>
        </w:tc>
        <w:tc>
          <w:tcPr>
            <w:tcW w:w="778" w:type="pct"/>
            <w:tcBorders>
              <w:tl2br w:val="nil"/>
              <w:tr2bl w:val="nil"/>
            </w:tcBorders>
            <w:vAlign w:val="center"/>
          </w:tcPr>
          <w:p>
            <w:pPr>
              <w:pStyle w:val="65"/>
              <w:widowControl w:val="0"/>
              <w:rPr>
                <w:color w:val="auto"/>
                <w:kern w:val="0"/>
              </w:rPr>
            </w:pPr>
            <w:r>
              <w:rPr>
                <w:color w:val="auto"/>
                <w:kern w:val="0"/>
              </w:rPr>
              <w:t>大气、土壤、地下水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pPr>
              <w:pStyle w:val="41"/>
              <w:widowControl w:val="0"/>
              <w:jc w:val="both"/>
              <w:rPr>
                <w:color w:val="auto"/>
              </w:rPr>
            </w:pPr>
          </w:p>
        </w:tc>
        <w:tc>
          <w:tcPr>
            <w:tcW w:w="416" w:type="pct"/>
            <w:tcBorders>
              <w:tl2br w:val="nil"/>
              <w:tr2bl w:val="nil"/>
            </w:tcBorders>
            <w:vAlign w:val="center"/>
          </w:tcPr>
          <w:p>
            <w:pPr>
              <w:pStyle w:val="41"/>
              <w:widowControl w:val="0"/>
              <w:jc w:val="both"/>
              <w:rPr>
                <w:color w:val="auto"/>
              </w:rPr>
            </w:pPr>
            <w:r>
              <w:rPr>
                <w:color w:val="auto"/>
              </w:rPr>
              <w:t>火灾爆炸</w:t>
            </w:r>
          </w:p>
        </w:tc>
        <w:tc>
          <w:tcPr>
            <w:tcW w:w="417" w:type="pct"/>
            <w:tcBorders>
              <w:tl2br w:val="nil"/>
              <w:tr2bl w:val="nil"/>
            </w:tcBorders>
            <w:vAlign w:val="center"/>
          </w:tcPr>
          <w:p>
            <w:pPr>
              <w:pStyle w:val="41"/>
              <w:widowControl w:val="0"/>
              <w:jc w:val="both"/>
              <w:rPr>
                <w:color w:val="auto"/>
              </w:rPr>
            </w:pPr>
            <w:r>
              <w:rPr>
                <w:color w:val="auto"/>
              </w:rPr>
              <w:t>钻井过程</w:t>
            </w:r>
          </w:p>
        </w:tc>
        <w:tc>
          <w:tcPr>
            <w:tcW w:w="665" w:type="pct"/>
            <w:tcBorders>
              <w:tl2br w:val="nil"/>
              <w:tr2bl w:val="nil"/>
            </w:tcBorders>
            <w:vAlign w:val="center"/>
          </w:tcPr>
          <w:p>
            <w:pPr>
              <w:pStyle w:val="41"/>
              <w:widowControl w:val="0"/>
              <w:jc w:val="both"/>
              <w:rPr>
                <w:color w:val="auto"/>
              </w:rPr>
            </w:pPr>
            <w:r>
              <w:rPr>
                <w:color w:val="auto"/>
              </w:rPr>
              <w:t>伴生气及次生污染物</w:t>
            </w:r>
            <w:r>
              <w:rPr>
                <w:rFonts w:eastAsia="TimesNewRomanPSMT"/>
                <w:color w:val="auto"/>
              </w:rPr>
              <w:t xml:space="preserve">CO </w:t>
            </w:r>
            <w:r>
              <w:rPr>
                <w:color w:val="auto"/>
              </w:rPr>
              <w:t>等</w:t>
            </w:r>
          </w:p>
        </w:tc>
        <w:tc>
          <w:tcPr>
            <w:tcW w:w="2245" w:type="pct"/>
            <w:tcBorders>
              <w:tl2br w:val="nil"/>
              <w:tr2bl w:val="nil"/>
            </w:tcBorders>
            <w:vAlign w:val="center"/>
          </w:tcPr>
          <w:p>
            <w:pPr>
              <w:pStyle w:val="41"/>
              <w:widowControl w:val="0"/>
              <w:jc w:val="both"/>
              <w:rPr>
                <w:color w:val="auto"/>
              </w:rPr>
            </w:pPr>
            <w:r>
              <w:rPr>
                <w:color w:val="auto"/>
              </w:rPr>
              <w:t>井喷产生的有害气体遇明火发生火灾或爆炸，污染大气，同时破坏周围地表植被</w:t>
            </w:r>
          </w:p>
        </w:tc>
        <w:tc>
          <w:tcPr>
            <w:tcW w:w="778" w:type="pct"/>
            <w:tcBorders>
              <w:tl2br w:val="nil"/>
              <w:tr2bl w:val="nil"/>
            </w:tcBorders>
            <w:vAlign w:val="center"/>
          </w:tcPr>
          <w:p>
            <w:pPr>
              <w:pStyle w:val="41"/>
              <w:widowControl w:val="0"/>
              <w:jc w:val="both"/>
              <w:rPr>
                <w:color w:val="auto"/>
              </w:rPr>
            </w:pPr>
            <w:r>
              <w:rPr>
                <w:color w:val="auto"/>
              </w:rPr>
              <w:t>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restart"/>
            <w:tcBorders>
              <w:tl2br w:val="nil"/>
              <w:tr2bl w:val="nil"/>
            </w:tcBorders>
            <w:vAlign w:val="center"/>
          </w:tcPr>
          <w:p>
            <w:pPr>
              <w:pStyle w:val="41"/>
              <w:widowControl w:val="0"/>
              <w:jc w:val="both"/>
              <w:rPr>
                <w:color w:val="auto"/>
              </w:rPr>
            </w:pPr>
            <w:r>
              <w:rPr>
                <w:color w:val="auto"/>
              </w:rPr>
              <w:t>运营期</w:t>
            </w:r>
          </w:p>
        </w:tc>
        <w:tc>
          <w:tcPr>
            <w:tcW w:w="416" w:type="pct"/>
            <w:tcBorders>
              <w:tl2br w:val="nil"/>
              <w:tr2bl w:val="nil"/>
            </w:tcBorders>
            <w:vAlign w:val="center"/>
          </w:tcPr>
          <w:p>
            <w:pPr>
              <w:pStyle w:val="41"/>
              <w:widowControl w:val="0"/>
              <w:jc w:val="both"/>
              <w:rPr>
                <w:color w:val="auto"/>
              </w:rPr>
            </w:pPr>
            <w:r>
              <w:rPr>
                <w:rFonts w:hint="eastAsia"/>
                <w:color w:val="auto"/>
                <w:lang w:eastAsia="zh-CN"/>
              </w:rPr>
              <w:t>泄漏</w:t>
            </w:r>
          </w:p>
        </w:tc>
        <w:tc>
          <w:tcPr>
            <w:tcW w:w="417" w:type="pct"/>
            <w:vMerge w:val="restart"/>
            <w:tcBorders>
              <w:tl2br w:val="nil"/>
              <w:tr2bl w:val="nil"/>
            </w:tcBorders>
            <w:vAlign w:val="center"/>
          </w:tcPr>
          <w:p>
            <w:pPr>
              <w:pStyle w:val="41"/>
              <w:widowControl w:val="0"/>
              <w:jc w:val="both"/>
              <w:rPr>
                <w:color w:val="auto"/>
              </w:rPr>
            </w:pPr>
            <w:r>
              <w:rPr>
                <w:color w:val="auto"/>
              </w:rPr>
              <w:t>集输管线</w:t>
            </w:r>
          </w:p>
        </w:tc>
        <w:tc>
          <w:tcPr>
            <w:tcW w:w="665" w:type="pct"/>
            <w:tcBorders>
              <w:tl2br w:val="nil"/>
              <w:tr2bl w:val="nil"/>
            </w:tcBorders>
            <w:vAlign w:val="center"/>
          </w:tcPr>
          <w:p>
            <w:pPr>
              <w:pStyle w:val="41"/>
              <w:widowControl w:val="0"/>
              <w:jc w:val="both"/>
              <w:rPr>
                <w:color w:val="auto"/>
              </w:rPr>
            </w:pPr>
            <w:r>
              <w:rPr>
                <w:color w:val="auto"/>
              </w:rPr>
              <w:t>原油、天然气</w:t>
            </w:r>
          </w:p>
        </w:tc>
        <w:tc>
          <w:tcPr>
            <w:tcW w:w="2245" w:type="pct"/>
            <w:tcBorders>
              <w:tl2br w:val="nil"/>
              <w:tr2bl w:val="nil"/>
            </w:tcBorders>
            <w:vAlign w:val="center"/>
          </w:tcPr>
          <w:p>
            <w:pPr>
              <w:pStyle w:val="41"/>
              <w:widowControl w:val="0"/>
              <w:jc w:val="both"/>
              <w:rPr>
                <w:color w:val="auto"/>
              </w:rPr>
            </w:pPr>
            <w:r>
              <w:rPr>
                <w:color w:val="auto"/>
              </w:rPr>
              <w:t>集输管线发生</w:t>
            </w:r>
            <w:r>
              <w:rPr>
                <w:rFonts w:hint="eastAsia"/>
                <w:color w:val="auto"/>
                <w:lang w:eastAsia="zh-CN"/>
              </w:rPr>
              <w:t>泄漏</w:t>
            </w:r>
            <w:r>
              <w:rPr>
                <w:color w:val="auto"/>
              </w:rPr>
              <w:t>，油气中天然气扩散至环境空气中，可能引发员工天然气中毒事件，油类物质会污染土壤甚至地下水；</w:t>
            </w:r>
          </w:p>
        </w:tc>
        <w:tc>
          <w:tcPr>
            <w:tcW w:w="778" w:type="pct"/>
            <w:tcBorders>
              <w:tl2br w:val="nil"/>
              <w:tr2bl w:val="nil"/>
            </w:tcBorders>
            <w:vAlign w:val="center"/>
          </w:tcPr>
          <w:p>
            <w:pPr>
              <w:pStyle w:val="41"/>
              <w:widowControl w:val="0"/>
              <w:jc w:val="both"/>
              <w:rPr>
                <w:color w:val="auto"/>
              </w:rPr>
            </w:pPr>
            <w:r>
              <w:rPr>
                <w:color w:val="auto"/>
              </w:rPr>
              <w:t>大气、土壤、地下水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pPr>
              <w:pStyle w:val="41"/>
              <w:widowControl w:val="0"/>
              <w:jc w:val="both"/>
              <w:rPr>
                <w:color w:val="auto"/>
              </w:rPr>
            </w:pPr>
          </w:p>
        </w:tc>
        <w:tc>
          <w:tcPr>
            <w:tcW w:w="416" w:type="pct"/>
            <w:tcBorders>
              <w:tl2br w:val="nil"/>
              <w:tr2bl w:val="nil"/>
            </w:tcBorders>
            <w:vAlign w:val="center"/>
          </w:tcPr>
          <w:p>
            <w:pPr>
              <w:pStyle w:val="41"/>
              <w:widowControl w:val="0"/>
              <w:jc w:val="both"/>
              <w:rPr>
                <w:color w:val="auto"/>
              </w:rPr>
            </w:pPr>
            <w:r>
              <w:rPr>
                <w:color w:val="auto"/>
              </w:rPr>
              <w:t>火灾爆炸</w:t>
            </w:r>
          </w:p>
        </w:tc>
        <w:tc>
          <w:tcPr>
            <w:tcW w:w="417" w:type="pct"/>
            <w:vMerge w:val="continue"/>
            <w:tcBorders>
              <w:tl2br w:val="nil"/>
              <w:tr2bl w:val="nil"/>
            </w:tcBorders>
            <w:vAlign w:val="center"/>
          </w:tcPr>
          <w:p>
            <w:pPr>
              <w:pStyle w:val="41"/>
              <w:widowControl w:val="0"/>
              <w:jc w:val="both"/>
              <w:rPr>
                <w:color w:val="auto"/>
              </w:rPr>
            </w:pPr>
          </w:p>
        </w:tc>
        <w:tc>
          <w:tcPr>
            <w:tcW w:w="665" w:type="pct"/>
            <w:tcBorders>
              <w:tl2br w:val="nil"/>
              <w:tr2bl w:val="nil"/>
            </w:tcBorders>
            <w:vAlign w:val="center"/>
          </w:tcPr>
          <w:p>
            <w:pPr>
              <w:pStyle w:val="41"/>
              <w:widowControl w:val="0"/>
              <w:jc w:val="both"/>
              <w:rPr>
                <w:color w:val="auto"/>
              </w:rPr>
            </w:pPr>
            <w:r>
              <w:rPr>
                <w:color w:val="auto"/>
              </w:rPr>
              <w:t>伴生气及次生污染物</w:t>
            </w:r>
            <w:r>
              <w:rPr>
                <w:rFonts w:eastAsia="TimesNewRomanPSMT"/>
                <w:color w:val="auto"/>
              </w:rPr>
              <w:t xml:space="preserve">CO </w:t>
            </w:r>
            <w:r>
              <w:rPr>
                <w:color w:val="auto"/>
              </w:rPr>
              <w:t>等</w:t>
            </w:r>
          </w:p>
        </w:tc>
        <w:tc>
          <w:tcPr>
            <w:tcW w:w="2245" w:type="pct"/>
            <w:tcBorders>
              <w:tl2br w:val="nil"/>
              <w:tr2bl w:val="nil"/>
            </w:tcBorders>
            <w:vAlign w:val="center"/>
          </w:tcPr>
          <w:p>
            <w:pPr>
              <w:pStyle w:val="41"/>
              <w:widowControl w:val="0"/>
              <w:jc w:val="both"/>
              <w:rPr>
                <w:color w:val="auto"/>
              </w:rPr>
            </w:pPr>
            <w:r>
              <w:rPr>
                <w:color w:val="auto"/>
              </w:rPr>
              <w:t>油品及天然气泄漏后，遇火源会发生火灾、爆炸事故，燃烧产生的次生CO引发周围人员CO中毒事件</w:t>
            </w:r>
          </w:p>
        </w:tc>
        <w:tc>
          <w:tcPr>
            <w:tcW w:w="778" w:type="pct"/>
            <w:tcBorders>
              <w:tl2br w:val="nil"/>
              <w:tr2bl w:val="nil"/>
            </w:tcBorders>
            <w:vAlign w:val="center"/>
          </w:tcPr>
          <w:p>
            <w:pPr>
              <w:pStyle w:val="41"/>
              <w:widowControl w:val="0"/>
              <w:jc w:val="both"/>
              <w:rPr>
                <w:color w:val="auto"/>
              </w:rPr>
            </w:pPr>
            <w:r>
              <w:rPr>
                <w:color w:val="auto"/>
              </w:rPr>
              <w:t>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pPr>
              <w:pStyle w:val="41"/>
              <w:widowControl w:val="0"/>
              <w:jc w:val="both"/>
              <w:rPr>
                <w:color w:val="auto"/>
              </w:rPr>
            </w:pPr>
          </w:p>
        </w:tc>
        <w:tc>
          <w:tcPr>
            <w:tcW w:w="416" w:type="pct"/>
            <w:tcBorders>
              <w:tl2br w:val="nil"/>
              <w:tr2bl w:val="nil"/>
            </w:tcBorders>
            <w:vAlign w:val="center"/>
          </w:tcPr>
          <w:p>
            <w:pPr>
              <w:pStyle w:val="41"/>
              <w:widowControl w:val="0"/>
              <w:jc w:val="both"/>
              <w:rPr>
                <w:color w:val="auto"/>
              </w:rPr>
            </w:pPr>
            <w:r>
              <w:rPr>
                <w:rFonts w:hint="eastAsia"/>
                <w:color w:val="auto"/>
                <w:lang w:eastAsia="zh-CN"/>
              </w:rPr>
              <w:t>泄漏</w:t>
            </w:r>
          </w:p>
        </w:tc>
        <w:tc>
          <w:tcPr>
            <w:tcW w:w="417" w:type="pct"/>
            <w:vMerge w:val="restart"/>
            <w:tcBorders>
              <w:tl2br w:val="nil"/>
              <w:tr2bl w:val="nil"/>
            </w:tcBorders>
            <w:vAlign w:val="center"/>
          </w:tcPr>
          <w:p>
            <w:pPr>
              <w:pStyle w:val="41"/>
              <w:widowControl w:val="0"/>
              <w:jc w:val="both"/>
              <w:rPr>
                <w:color w:val="auto"/>
              </w:rPr>
            </w:pPr>
            <w:r>
              <w:rPr>
                <w:rFonts w:hint="eastAsia"/>
                <w:color w:val="auto"/>
                <w:lang w:val="en-US" w:eastAsia="zh-CN"/>
              </w:rPr>
              <w:t>单井拉油井场、</w:t>
            </w:r>
            <w:r>
              <w:rPr>
                <w:rFonts w:hint="eastAsia"/>
                <w:color w:val="auto"/>
              </w:rPr>
              <w:t>站场</w:t>
            </w:r>
          </w:p>
        </w:tc>
        <w:tc>
          <w:tcPr>
            <w:tcW w:w="665" w:type="pct"/>
            <w:tcBorders>
              <w:tl2br w:val="nil"/>
              <w:tr2bl w:val="nil"/>
            </w:tcBorders>
            <w:vAlign w:val="center"/>
          </w:tcPr>
          <w:p>
            <w:pPr>
              <w:pStyle w:val="41"/>
              <w:widowControl w:val="0"/>
              <w:jc w:val="both"/>
              <w:rPr>
                <w:color w:val="auto"/>
              </w:rPr>
            </w:pPr>
            <w:r>
              <w:rPr>
                <w:color w:val="auto"/>
              </w:rPr>
              <w:t>原油、天然气</w:t>
            </w:r>
          </w:p>
        </w:tc>
        <w:tc>
          <w:tcPr>
            <w:tcW w:w="2245" w:type="pct"/>
            <w:tcBorders>
              <w:tl2br w:val="nil"/>
              <w:tr2bl w:val="nil"/>
            </w:tcBorders>
            <w:vAlign w:val="center"/>
          </w:tcPr>
          <w:p>
            <w:pPr>
              <w:pStyle w:val="41"/>
              <w:widowControl w:val="0"/>
              <w:jc w:val="both"/>
              <w:rPr>
                <w:color w:val="auto"/>
              </w:rPr>
            </w:pPr>
            <w:r>
              <w:rPr>
                <w:rFonts w:hint="eastAsia"/>
                <w:color w:val="auto"/>
                <w:lang w:val="en-US" w:eastAsia="zh-CN"/>
              </w:rPr>
              <w:t>井场、站场</w:t>
            </w:r>
            <w:r>
              <w:rPr>
                <w:rFonts w:hint="eastAsia"/>
                <w:color w:val="auto"/>
              </w:rPr>
              <w:t>设备</w:t>
            </w:r>
            <w:r>
              <w:rPr>
                <w:rFonts w:hint="eastAsia"/>
                <w:color w:val="auto"/>
                <w:lang w:val="en-US" w:eastAsia="zh-CN"/>
              </w:rPr>
              <w:t>或者储罐等</w:t>
            </w:r>
            <w:r>
              <w:rPr>
                <w:rFonts w:hint="eastAsia"/>
                <w:color w:val="auto"/>
              </w:rPr>
              <w:t>发生破损，导致</w:t>
            </w:r>
            <w:r>
              <w:rPr>
                <w:color w:val="auto"/>
              </w:rPr>
              <w:t>原油、天然气</w:t>
            </w:r>
            <w:r>
              <w:rPr>
                <w:rFonts w:hint="eastAsia"/>
                <w:color w:val="auto"/>
                <w:lang w:eastAsia="zh-CN"/>
              </w:rPr>
              <w:t>泄漏</w:t>
            </w:r>
            <w:r>
              <w:rPr>
                <w:color w:val="auto"/>
              </w:rPr>
              <w:t>，油气中天然气扩散至环境空气中，</w:t>
            </w:r>
            <w:r>
              <w:rPr>
                <w:rFonts w:hint="eastAsia"/>
                <w:color w:val="auto"/>
              </w:rPr>
              <w:t>原油</w:t>
            </w:r>
            <w:r>
              <w:rPr>
                <w:color w:val="auto"/>
              </w:rPr>
              <w:t>通过垂直入渗或地面漫流的方式进入环境，对土壤环境、地下水环境造成污染。</w:t>
            </w:r>
          </w:p>
        </w:tc>
        <w:tc>
          <w:tcPr>
            <w:tcW w:w="778" w:type="pct"/>
            <w:tcBorders>
              <w:tl2br w:val="nil"/>
              <w:tr2bl w:val="nil"/>
            </w:tcBorders>
            <w:vAlign w:val="center"/>
          </w:tcPr>
          <w:p>
            <w:pPr>
              <w:pStyle w:val="41"/>
              <w:widowControl w:val="0"/>
              <w:jc w:val="both"/>
              <w:rPr>
                <w:color w:val="auto"/>
              </w:rPr>
            </w:pPr>
            <w:r>
              <w:rPr>
                <w:rFonts w:hint="eastAsia"/>
                <w:color w:val="auto"/>
              </w:rPr>
              <w:t>大气、</w:t>
            </w:r>
            <w:r>
              <w:rPr>
                <w:color w:val="auto"/>
              </w:rPr>
              <w:t>土壤、地下水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479" w:type="pct"/>
            <w:vMerge w:val="continue"/>
            <w:tcBorders>
              <w:tl2br w:val="nil"/>
              <w:tr2bl w:val="nil"/>
            </w:tcBorders>
            <w:vAlign w:val="center"/>
          </w:tcPr>
          <w:p>
            <w:pPr>
              <w:pStyle w:val="41"/>
              <w:widowControl w:val="0"/>
              <w:jc w:val="both"/>
              <w:rPr>
                <w:color w:val="auto"/>
              </w:rPr>
            </w:pPr>
          </w:p>
        </w:tc>
        <w:tc>
          <w:tcPr>
            <w:tcW w:w="416" w:type="pct"/>
            <w:tcBorders>
              <w:tl2br w:val="nil"/>
              <w:tr2bl w:val="nil"/>
            </w:tcBorders>
            <w:vAlign w:val="center"/>
          </w:tcPr>
          <w:p>
            <w:pPr>
              <w:pStyle w:val="41"/>
              <w:widowControl w:val="0"/>
              <w:jc w:val="both"/>
              <w:rPr>
                <w:color w:val="auto"/>
              </w:rPr>
            </w:pPr>
            <w:r>
              <w:rPr>
                <w:color w:val="auto"/>
              </w:rPr>
              <w:t>火灾爆炸</w:t>
            </w:r>
          </w:p>
        </w:tc>
        <w:tc>
          <w:tcPr>
            <w:tcW w:w="417" w:type="pct"/>
            <w:vMerge w:val="continue"/>
            <w:tcBorders>
              <w:tl2br w:val="nil"/>
              <w:tr2bl w:val="nil"/>
            </w:tcBorders>
            <w:vAlign w:val="center"/>
          </w:tcPr>
          <w:p>
            <w:pPr>
              <w:pStyle w:val="41"/>
              <w:widowControl w:val="0"/>
              <w:jc w:val="both"/>
              <w:rPr>
                <w:color w:val="auto"/>
              </w:rPr>
            </w:pPr>
          </w:p>
        </w:tc>
        <w:tc>
          <w:tcPr>
            <w:tcW w:w="665" w:type="pct"/>
            <w:tcBorders>
              <w:tl2br w:val="nil"/>
              <w:tr2bl w:val="nil"/>
            </w:tcBorders>
            <w:vAlign w:val="center"/>
          </w:tcPr>
          <w:p>
            <w:pPr>
              <w:pStyle w:val="41"/>
              <w:widowControl w:val="0"/>
              <w:jc w:val="both"/>
              <w:rPr>
                <w:color w:val="auto"/>
              </w:rPr>
            </w:pPr>
            <w:r>
              <w:rPr>
                <w:color w:val="auto"/>
              </w:rPr>
              <w:t>伴生气及次生污染物</w:t>
            </w:r>
            <w:r>
              <w:rPr>
                <w:rFonts w:eastAsia="TimesNewRomanPSMT"/>
                <w:color w:val="auto"/>
              </w:rPr>
              <w:t xml:space="preserve">CO </w:t>
            </w:r>
            <w:r>
              <w:rPr>
                <w:color w:val="auto"/>
              </w:rPr>
              <w:t>等</w:t>
            </w:r>
          </w:p>
        </w:tc>
        <w:tc>
          <w:tcPr>
            <w:tcW w:w="2245" w:type="pct"/>
            <w:tcBorders>
              <w:tl2br w:val="nil"/>
              <w:tr2bl w:val="nil"/>
            </w:tcBorders>
            <w:vAlign w:val="center"/>
          </w:tcPr>
          <w:p>
            <w:pPr>
              <w:pStyle w:val="41"/>
              <w:widowControl w:val="0"/>
              <w:jc w:val="both"/>
              <w:rPr>
                <w:color w:val="auto"/>
              </w:rPr>
            </w:pPr>
            <w:r>
              <w:rPr>
                <w:rFonts w:hint="eastAsia"/>
                <w:color w:val="auto"/>
              </w:rPr>
              <w:t>设备破损导致</w:t>
            </w:r>
            <w:r>
              <w:rPr>
                <w:color w:val="auto"/>
              </w:rPr>
              <w:t>油气发生</w:t>
            </w:r>
            <w:r>
              <w:rPr>
                <w:rFonts w:hint="eastAsia"/>
                <w:color w:val="auto"/>
                <w:lang w:eastAsia="zh-CN"/>
              </w:rPr>
              <w:t>泄漏</w:t>
            </w:r>
            <w:r>
              <w:rPr>
                <w:color w:val="auto"/>
              </w:rPr>
              <w:t>，遇火源会发生火灾、爆炸事故，燃烧产生的次生CO引发周围人员CO中毒事件</w:t>
            </w:r>
          </w:p>
        </w:tc>
        <w:tc>
          <w:tcPr>
            <w:tcW w:w="778" w:type="pct"/>
            <w:tcBorders>
              <w:tl2br w:val="nil"/>
              <w:tr2bl w:val="nil"/>
            </w:tcBorders>
            <w:vAlign w:val="center"/>
          </w:tcPr>
          <w:p>
            <w:pPr>
              <w:pStyle w:val="41"/>
              <w:widowControl w:val="0"/>
              <w:jc w:val="both"/>
              <w:rPr>
                <w:color w:val="auto"/>
              </w:rPr>
            </w:pPr>
            <w:r>
              <w:rPr>
                <w:color w:val="auto"/>
              </w:rPr>
              <w:t>大气</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both"/>
        <w:textAlignment w:val="baseline"/>
        <w:rPr>
          <w:color w:val="auto"/>
          <w:sz w:val="24"/>
          <w:szCs w:val="24"/>
          <w:highlight w:val="none"/>
        </w:rPr>
      </w:pPr>
      <w:r>
        <w:rPr>
          <w:color w:val="auto"/>
          <w:sz w:val="24"/>
          <w:szCs w:val="24"/>
          <w:highlight w:val="none"/>
        </w:rPr>
        <w:fldChar w:fldCharType="begin"/>
      </w:r>
      <w:r>
        <w:rPr>
          <w:color w:val="auto"/>
          <w:sz w:val="24"/>
          <w:szCs w:val="24"/>
          <w:highlight w:val="none"/>
        </w:rPr>
        <w:instrText xml:space="preserve"> HYPERLINK \l "_Toc19824" </w:instrText>
      </w:r>
      <w:r>
        <w:rPr>
          <w:color w:val="auto"/>
          <w:sz w:val="24"/>
          <w:szCs w:val="24"/>
          <w:highlight w:val="none"/>
        </w:rPr>
        <w:fldChar w:fldCharType="separate"/>
      </w:r>
      <w:r>
        <w:rPr>
          <w:rFonts w:hint="eastAsia"/>
          <w:color w:val="auto"/>
          <w:sz w:val="24"/>
          <w:szCs w:val="24"/>
          <w:highlight w:val="none"/>
        </w:rPr>
        <w:t>5.8.5 环境风险分析</w:t>
      </w:r>
      <w:r>
        <w:rPr>
          <w:rFonts w:hint="eastAsia"/>
          <w:color w:val="auto"/>
          <w:sz w:val="24"/>
          <w:szCs w:val="24"/>
          <w:highlight w:val="none"/>
        </w:rPr>
        <w:fldChar w:fldCharType="end"/>
      </w:r>
    </w:p>
    <w:p>
      <w:pPr>
        <w:pStyle w:val="6"/>
        <w:rPr>
          <w:color w:val="auto"/>
          <w:sz w:val="24"/>
          <w:szCs w:val="24"/>
          <w:highlight w:val="none"/>
        </w:rPr>
      </w:pPr>
      <w:r>
        <w:rPr>
          <w:rFonts w:hint="eastAsia"/>
          <w:color w:val="auto"/>
          <w:sz w:val="24"/>
          <w:szCs w:val="24"/>
          <w:highlight w:val="none"/>
        </w:rPr>
        <w:t>5.8.5.1大气环境风险事故分析</w:t>
      </w:r>
    </w:p>
    <w:p>
      <w:pPr>
        <w:pStyle w:val="57"/>
        <w:rPr>
          <w:color w:val="auto"/>
          <w:highlight w:val="none"/>
        </w:rPr>
      </w:pPr>
      <w:r>
        <w:rPr>
          <w:rFonts w:hint="eastAsia"/>
          <w:color w:val="auto"/>
          <w:highlight w:val="none"/>
        </w:rPr>
        <w:t>（1）井喷对大气环境及人群监控的影响</w:t>
      </w:r>
    </w:p>
    <w:p>
      <w:pPr>
        <w:pStyle w:val="57"/>
        <w:rPr>
          <w:color w:val="auto"/>
        </w:rPr>
      </w:pPr>
      <w:r>
        <w:rPr>
          <w:color w:val="auto"/>
        </w:rPr>
        <w:t>井喷时喷出大量气体，可使短时间内使局部大气环境中的轻烃含量激增，根据类比调查，井喷的影响范围可达到下风向4</w:t>
      </w:r>
      <w:r>
        <w:rPr>
          <w:rFonts w:hint="eastAsia"/>
          <w:color w:val="auto"/>
          <w:lang w:eastAsia="zh-CN"/>
        </w:rPr>
        <w:t>～</w:t>
      </w:r>
      <w:r>
        <w:rPr>
          <w:color w:val="auto"/>
        </w:rPr>
        <w:t>5km，地面总烃的最大浓度可达到1300mg/Nm</w:t>
      </w:r>
      <w:r>
        <w:rPr>
          <w:color w:val="auto"/>
          <w:vertAlign w:val="superscript"/>
        </w:rPr>
        <w:t>3</w:t>
      </w:r>
      <w:r>
        <w:rPr>
          <w:color w:val="auto"/>
        </w:rPr>
        <w:t>，短时间内严重破坏了局部地区空气质量，</w:t>
      </w:r>
      <w:r>
        <w:rPr>
          <w:rFonts w:hint="eastAsia"/>
          <w:color w:val="auto"/>
        </w:rPr>
        <w:t>因此一旦发生井喷，作业人员应戴上防护用具，进入紧急状态，立即实施应急方案，并组织附近人员进行疏散</w:t>
      </w:r>
      <w:r>
        <w:rPr>
          <w:color w:val="auto"/>
        </w:rPr>
        <w:t>。由于井喷具有突发性、意外性和短暂性的特点，井喷会造成短期局部</w:t>
      </w:r>
      <w:r>
        <w:rPr>
          <w:rFonts w:hint="eastAsia"/>
          <w:color w:val="auto"/>
          <w:lang w:eastAsia="zh-CN"/>
        </w:rPr>
        <w:t>大气环境</w:t>
      </w:r>
      <w:r>
        <w:rPr>
          <w:color w:val="auto"/>
        </w:rPr>
        <w:t>污染物超标，但不会对整个评价区的大气环境质量造成长久的明显的恶化。本项目</w:t>
      </w:r>
      <w:r>
        <w:rPr>
          <w:rFonts w:hint="eastAsia"/>
          <w:color w:val="auto"/>
          <w:lang w:val="en-US" w:eastAsia="zh-CN"/>
        </w:rPr>
        <w:t>井场所在区域</w:t>
      </w:r>
      <w:r>
        <w:rPr>
          <w:color w:val="auto"/>
        </w:rPr>
        <w:t>人烟稀少</w:t>
      </w:r>
      <w:r>
        <w:rPr>
          <w:rFonts w:hint="eastAsia"/>
          <w:color w:val="auto"/>
        </w:rPr>
        <w:t>，区域地势平坦，扩散条件较好，</w:t>
      </w:r>
      <w:r>
        <w:rPr>
          <w:color w:val="auto"/>
        </w:rPr>
        <w:t>所以井喷对人员的伤害有限。</w:t>
      </w:r>
    </w:p>
    <w:p>
      <w:pPr>
        <w:pStyle w:val="57"/>
        <w:rPr>
          <w:snapToGrid w:val="0"/>
          <w:color w:val="auto"/>
        </w:rPr>
      </w:pPr>
      <w:r>
        <w:rPr>
          <w:rFonts w:hint="eastAsia"/>
          <w:snapToGrid w:val="0"/>
          <w:color w:val="auto"/>
        </w:rPr>
        <w:t>（2）集输管线对大气环境影响分析</w:t>
      </w:r>
    </w:p>
    <w:p>
      <w:pPr>
        <w:pStyle w:val="57"/>
        <w:rPr>
          <w:snapToGrid w:val="0"/>
          <w:color w:val="auto"/>
        </w:rPr>
      </w:pPr>
      <w:r>
        <w:rPr>
          <w:snapToGrid w:val="0"/>
          <w:color w:val="auto"/>
        </w:rPr>
        <w:t>本项目集输管线内为采出液，主要为原油</w:t>
      </w:r>
      <w:r>
        <w:rPr>
          <w:rFonts w:hint="eastAsia"/>
          <w:snapToGrid w:val="0"/>
          <w:color w:val="auto"/>
        </w:rPr>
        <w:t>以及</w:t>
      </w:r>
      <w:r>
        <w:rPr>
          <w:snapToGrid w:val="0"/>
          <w:color w:val="auto"/>
        </w:rPr>
        <w:t>天然气，在管道压力下，加压集输油</w:t>
      </w:r>
      <w:r>
        <w:rPr>
          <w:rFonts w:hint="eastAsia"/>
          <w:snapToGrid w:val="0"/>
          <w:color w:val="auto"/>
        </w:rPr>
        <w:t>气</w:t>
      </w:r>
      <w:r>
        <w:rPr>
          <w:snapToGrid w:val="0"/>
          <w:color w:val="auto"/>
        </w:rPr>
        <w:t>泄漏时，油</w:t>
      </w:r>
      <w:r>
        <w:rPr>
          <w:rFonts w:hint="eastAsia"/>
          <w:snapToGrid w:val="0"/>
          <w:color w:val="auto"/>
        </w:rPr>
        <w:t>气</w:t>
      </w:r>
      <w:r>
        <w:rPr>
          <w:snapToGrid w:val="0"/>
          <w:color w:val="auto"/>
        </w:rPr>
        <w:t>从裂口流出后，</w:t>
      </w:r>
      <w:r>
        <w:rPr>
          <w:rFonts w:hint="eastAsia"/>
          <w:snapToGrid w:val="0"/>
          <w:color w:val="auto"/>
        </w:rPr>
        <w:t>泄漏的原油会挥发</w:t>
      </w:r>
      <w:r>
        <w:rPr>
          <w:rFonts w:hint="eastAsia"/>
          <w:color w:val="auto"/>
          <w:kern w:val="24"/>
        </w:rPr>
        <w:t>非甲烷总烃</w:t>
      </w:r>
      <w:r>
        <w:rPr>
          <w:color w:val="auto"/>
          <w:kern w:val="24"/>
        </w:rPr>
        <w:t>对周边大气环境造成污染</w:t>
      </w:r>
      <w:r>
        <w:rPr>
          <w:rFonts w:hint="eastAsia"/>
          <w:snapToGrid w:val="0"/>
          <w:color w:val="auto"/>
        </w:rPr>
        <w:t>，</w:t>
      </w:r>
      <w:r>
        <w:rPr>
          <w:snapToGrid w:val="0"/>
          <w:color w:val="auto"/>
        </w:rPr>
        <w:t>采出液中</w:t>
      </w:r>
      <w:r>
        <w:rPr>
          <w:rFonts w:hint="eastAsia"/>
          <w:snapToGrid w:val="0"/>
          <w:color w:val="auto"/>
          <w:lang w:val="en-US" w:eastAsia="zh-CN"/>
        </w:rPr>
        <w:t>伴生气</w:t>
      </w:r>
      <w:r>
        <w:rPr>
          <w:snapToGrid w:val="0"/>
          <w:color w:val="auto"/>
        </w:rPr>
        <w:t>扩散至环境空气中，</w:t>
      </w:r>
      <w:r>
        <w:rPr>
          <w:rFonts w:hint="eastAsia"/>
          <w:color w:val="auto"/>
        </w:rPr>
        <w:t>甲烷的密度比空气的密度小得多，稀释扩散很快，随着距泄漏点距离的增加，甲烷浓度下降非常快，一个泄漏点泄漏的甲烷对环境、人和动物的影响是局部影响。</w:t>
      </w:r>
      <w:r>
        <w:rPr>
          <w:snapToGrid w:val="0"/>
          <w:color w:val="auto"/>
        </w:rPr>
        <w:t>本项目的油气发生</w:t>
      </w:r>
      <w:r>
        <w:rPr>
          <w:rFonts w:hint="eastAsia"/>
          <w:snapToGrid w:val="0"/>
          <w:color w:val="auto"/>
          <w:lang w:eastAsia="zh-CN"/>
        </w:rPr>
        <w:t>泄漏</w:t>
      </w:r>
      <w:r>
        <w:rPr>
          <w:snapToGrid w:val="0"/>
          <w:color w:val="auto"/>
        </w:rPr>
        <w:t>遇明火燃烧，会发生火灾爆炸事故，燃烧产生的次生CO引发周围人员CO中毒事件。</w:t>
      </w:r>
    </w:p>
    <w:p>
      <w:pPr>
        <w:pStyle w:val="57"/>
        <w:rPr>
          <w:color w:val="auto"/>
          <w:highlight w:val="none"/>
        </w:rPr>
      </w:pPr>
      <w:r>
        <w:rPr>
          <w:rFonts w:hint="eastAsia"/>
          <w:snapToGrid w:val="0"/>
          <w:color w:val="auto"/>
        </w:rPr>
        <w:t>本项目</w:t>
      </w:r>
      <w:r>
        <w:rPr>
          <w:snapToGrid w:val="0"/>
          <w:color w:val="auto"/>
        </w:rPr>
        <w:t>一旦管道发生泄漏事故，井场内设置有流量控制仪及压力变送器，当检测到压力降速率</w:t>
      </w:r>
      <w:r>
        <w:rPr>
          <w:rFonts w:hint="eastAsia"/>
          <w:snapToGrid w:val="0"/>
          <w:color w:val="auto"/>
          <w:lang w:eastAsia="zh-CN"/>
        </w:rPr>
        <w:t>超过</w:t>
      </w:r>
      <w:r>
        <w:rPr>
          <w:snapToGrid w:val="0"/>
          <w:color w:val="auto"/>
        </w:rPr>
        <w:t>0.15MPa/min时，由SCADA系统发出指令，远程自动关闭阀门。</w:t>
      </w:r>
      <w:r>
        <w:rPr>
          <w:rFonts w:hint="eastAsia"/>
          <w:snapToGrid w:val="0"/>
          <w:color w:val="auto"/>
        </w:rPr>
        <w:t>集输管线发生泄漏对大气环境的影响可控</w:t>
      </w:r>
      <w:r>
        <w:rPr>
          <w:snapToGrid w:val="0"/>
          <w:color w:val="auto"/>
        </w:rPr>
        <w:t>。</w:t>
      </w:r>
    </w:p>
    <w:p>
      <w:pPr>
        <w:pStyle w:val="57"/>
        <w:rPr>
          <w:snapToGrid w:val="0"/>
          <w:color w:val="auto"/>
        </w:rPr>
      </w:pPr>
      <w:r>
        <w:rPr>
          <w:rFonts w:hint="eastAsia"/>
          <w:color w:val="auto"/>
          <w:highlight w:val="none"/>
        </w:rPr>
        <w:t>（3）</w:t>
      </w:r>
      <w:r>
        <w:rPr>
          <w:rFonts w:hint="eastAsia"/>
          <w:snapToGrid w:val="0"/>
          <w:color w:val="auto"/>
        </w:rPr>
        <w:t>井场储罐、站场油罐</w:t>
      </w:r>
      <w:r>
        <w:rPr>
          <w:rFonts w:hint="eastAsia"/>
          <w:snapToGrid w:val="0"/>
          <w:color w:val="auto"/>
          <w:lang w:val="en-US" w:eastAsia="zh-CN"/>
        </w:rPr>
        <w:t>等泄漏</w:t>
      </w:r>
      <w:r>
        <w:rPr>
          <w:rFonts w:hint="eastAsia"/>
          <w:snapToGrid w:val="0"/>
          <w:color w:val="auto"/>
        </w:rPr>
        <w:t>对大气环境的影响</w:t>
      </w:r>
    </w:p>
    <w:p>
      <w:pPr>
        <w:pStyle w:val="114"/>
        <w:ind w:firstLine="480"/>
        <w:rPr>
          <w:color w:val="auto"/>
        </w:rPr>
      </w:pPr>
      <w:r>
        <w:rPr>
          <w:rFonts w:hint="eastAsia"/>
          <w:snapToGrid w:val="0"/>
          <w:color w:val="auto"/>
        </w:rPr>
        <w:t>本工程</w:t>
      </w:r>
      <w:r>
        <w:rPr>
          <w:rFonts w:hint="eastAsia"/>
          <w:color w:val="auto"/>
          <w:lang w:val="en-US" w:eastAsia="zh-CN"/>
        </w:rPr>
        <w:t>施工期在</w:t>
      </w:r>
      <w:r>
        <w:rPr>
          <w:rFonts w:hint="eastAsia"/>
          <w:color w:val="auto"/>
        </w:rPr>
        <w:t>井场设置</w:t>
      </w:r>
      <w:r>
        <w:rPr>
          <w:rFonts w:hint="eastAsia"/>
          <w:color w:val="auto"/>
          <w:lang w:val="en-US" w:eastAsia="zh-CN"/>
        </w:rPr>
        <w:t>1</w:t>
      </w:r>
      <w:r>
        <w:rPr>
          <w:rFonts w:hint="eastAsia"/>
          <w:color w:val="auto"/>
        </w:rPr>
        <w:t>座</w:t>
      </w:r>
      <w:r>
        <w:rPr>
          <w:rFonts w:hint="eastAsia"/>
          <w:color w:val="auto"/>
          <w:lang w:val="en-US" w:eastAsia="zh-CN"/>
        </w:rPr>
        <w:t>2</w:t>
      </w:r>
      <w:r>
        <w:rPr>
          <w:color w:val="auto"/>
        </w:rPr>
        <w:t>0</w:t>
      </w:r>
      <w:r>
        <w:rPr>
          <w:rFonts w:hint="eastAsia"/>
          <w:color w:val="auto"/>
        </w:rPr>
        <w:t>m</w:t>
      </w:r>
      <w:r>
        <w:rPr>
          <w:color w:val="auto"/>
          <w:vertAlign w:val="superscript"/>
        </w:rPr>
        <w:t>3</w:t>
      </w:r>
      <w:r>
        <w:rPr>
          <w:rFonts w:hint="eastAsia"/>
          <w:color w:val="auto"/>
          <w:lang w:val="en-US" w:eastAsia="zh-CN"/>
        </w:rPr>
        <w:t>柴油</w:t>
      </w:r>
      <w:r>
        <w:rPr>
          <w:rFonts w:hint="eastAsia"/>
          <w:color w:val="auto"/>
        </w:rPr>
        <w:t>储罐，</w:t>
      </w:r>
      <w:r>
        <w:rPr>
          <w:rFonts w:hint="eastAsia"/>
          <w:color w:val="auto"/>
          <w:lang w:val="en-US" w:eastAsia="zh-CN"/>
        </w:rPr>
        <w:t>运营期8座单井拉油井场内设置</w:t>
      </w:r>
      <w:r>
        <w:rPr>
          <w:rFonts w:hint="eastAsia"/>
          <w:color w:val="auto"/>
          <w:szCs w:val="24"/>
          <w:highlight w:val="none"/>
          <w:lang w:val="en-US" w:eastAsia="zh-CN"/>
        </w:rPr>
        <w:t>2座60方高架罐，</w:t>
      </w:r>
      <w:r>
        <w:rPr>
          <w:rFonts w:hint="eastAsia"/>
          <w:color w:val="auto"/>
          <w:lang w:val="en-US" w:eastAsia="zh-CN"/>
        </w:rPr>
        <w:t>新建的集中拉油站内建设生产分离器，1000m</w:t>
      </w:r>
      <w:r>
        <w:rPr>
          <w:rFonts w:hint="eastAsia"/>
          <w:color w:val="auto"/>
          <w:vertAlign w:val="superscript"/>
          <w:lang w:val="en-US" w:eastAsia="zh-CN"/>
        </w:rPr>
        <w:t>3</w:t>
      </w:r>
      <w:r>
        <w:rPr>
          <w:rFonts w:hint="eastAsia"/>
          <w:color w:val="auto"/>
          <w:lang w:val="en-US" w:eastAsia="zh-CN"/>
        </w:rPr>
        <w:t>拉油罐各1座</w:t>
      </w:r>
      <w:r>
        <w:rPr>
          <w:rFonts w:hint="eastAsia"/>
          <w:color w:val="auto"/>
        </w:rPr>
        <w:t>，</w:t>
      </w:r>
      <w:r>
        <w:rPr>
          <w:rFonts w:hint="eastAsia"/>
          <w:color w:val="auto"/>
          <w:lang w:val="en-US" w:eastAsia="zh-CN"/>
        </w:rPr>
        <w:t>柴油罐、</w:t>
      </w:r>
      <w:r>
        <w:rPr>
          <w:rFonts w:hint="eastAsia"/>
          <w:color w:val="auto"/>
        </w:rPr>
        <w:t>油罐、</w:t>
      </w:r>
      <w:r>
        <w:rPr>
          <w:rFonts w:hint="eastAsia"/>
          <w:color w:val="auto"/>
          <w:lang w:val="en-US" w:eastAsia="zh-CN"/>
        </w:rPr>
        <w:t>站内工艺设备等</w:t>
      </w:r>
      <w:r>
        <w:rPr>
          <w:rFonts w:hint="eastAsia"/>
          <w:snapToGrid w:val="0"/>
          <w:color w:val="auto"/>
        </w:rPr>
        <w:t>发生泄漏后，若得不到及时处理，所泄漏的原油/混烃会挥发轻烃组分，</w:t>
      </w:r>
      <w:r>
        <w:rPr>
          <w:color w:val="auto"/>
        </w:rPr>
        <w:t>使局部大气环境中的轻烃含量增加，</w:t>
      </w:r>
      <w:r>
        <w:rPr>
          <w:rFonts w:hint="eastAsia"/>
          <w:snapToGrid w:val="0"/>
          <w:color w:val="auto"/>
        </w:rPr>
        <w:t>若遇明火，引发的火灾事故可在短时间内产生大量不完全燃烧烟气。本工程</w:t>
      </w:r>
      <w:r>
        <w:rPr>
          <w:rFonts w:hint="eastAsia"/>
          <w:snapToGrid w:val="0"/>
          <w:color w:val="auto"/>
          <w:lang w:val="en-US" w:eastAsia="zh-CN"/>
        </w:rPr>
        <w:t>井场、站场</w:t>
      </w:r>
      <w:r>
        <w:rPr>
          <w:color w:val="auto"/>
        </w:rPr>
        <w:t>周围无环境敏感目标，且地域空旷，扩散条件较好，发生事故后，及时采取相应的措施，不会对周围环境空气产生明显影响。</w:t>
      </w:r>
    </w:p>
    <w:p>
      <w:pPr>
        <w:pStyle w:val="6"/>
        <w:rPr>
          <w:color w:val="auto"/>
          <w:highlight w:val="none"/>
        </w:rPr>
      </w:pPr>
      <w:bookmarkStart w:id="704" w:name="5.9.4.3_火灾影响分析"/>
      <w:bookmarkEnd w:id="704"/>
      <w:r>
        <w:rPr>
          <w:rFonts w:hint="eastAsia"/>
          <w:color w:val="auto"/>
          <w:highlight w:val="none"/>
        </w:rPr>
        <w:t>5.8.5.2地表水环境风险事故分析</w:t>
      </w:r>
    </w:p>
    <w:p>
      <w:pPr>
        <w:pStyle w:val="57"/>
        <w:rPr>
          <w:color w:val="auto"/>
          <w:highlight w:val="none"/>
        </w:rPr>
      </w:pPr>
      <w:r>
        <w:rPr>
          <w:rFonts w:hint="eastAsia"/>
          <w:color w:val="auto"/>
          <w:highlight w:val="none"/>
        </w:rPr>
        <w:t>本项目</w:t>
      </w:r>
      <w:r>
        <w:rPr>
          <w:color w:val="auto"/>
          <w:highlight w:val="none"/>
        </w:rPr>
        <w:t>在</w:t>
      </w:r>
      <w:r>
        <w:rPr>
          <w:rFonts w:hint="eastAsia"/>
          <w:color w:val="auto"/>
          <w:highlight w:val="none"/>
          <w:lang w:val="en-US" w:eastAsia="zh-CN"/>
        </w:rPr>
        <w:t>油气田</w:t>
      </w:r>
      <w:r>
        <w:rPr>
          <w:color w:val="auto"/>
          <w:highlight w:val="none"/>
        </w:rPr>
        <w:t>正常开采及油气集输过程中，</w:t>
      </w:r>
      <w:r>
        <w:rPr>
          <w:rFonts w:hint="eastAsia"/>
          <w:color w:val="auto"/>
          <w:highlight w:val="none"/>
        </w:rPr>
        <w:t>本工程</w:t>
      </w:r>
      <w:r>
        <w:rPr>
          <w:color w:val="auto"/>
          <w:highlight w:val="none"/>
        </w:rPr>
        <w:t>产生的</w:t>
      </w:r>
      <w:r>
        <w:rPr>
          <w:rFonts w:hint="eastAsia"/>
          <w:color w:val="auto"/>
          <w:highlight w:val="none"/>
        </w:rPr>
        <w:t>生产废水、生活污水</w:t>
      </w:r>
      <w:r>
        <w:rPr>
          <w:color w:val="auto"/>
          <w:highlight w:val="none"/>
        </w:rPr>
        <w:t>不外排，不与周边地表水体发生水力联系</w:t>
      </w:r>
      <w:r>
        <w:rPr>
          <w:rFonts w:hint="eastAsia"/>
          <w:color w:val="auto"/>
          <w:highlight w:val="none"/>
          <w:lang w:eastAsia="zh-CN"/>
        </w:rPr>
        <w:t>；</w:t>
      </w:r>
      <w:r>
        <w:rPr>
          <w:rFonts w:hint="eastAsia"/>
          <w:color w:val="auto"/>
          <w:highlight w:val="none"/>
          <w:lang w:val="en-US" w:eastAsia="zh-CN"/>
        </w:rPr>
        <w:t>项目区周边无地表水，不对此进行评价</w:t>
      </w:r>
      <w:r>
        <w:rPr>
          <w:rFonts w:hint="eastAsia"/>
          <w:color w:val="auto"/>
          <w:highlight w:val="none"/>
        </w:rPr>
        <w:t>。</w:t>
      </w:r>
    </w:p>
    <w:p>
      <w:pPr>
        <w:pStyle w:val="6"/>
        <w:rPr>
          <w:color w:val="auto"/>
          <w:highlight w:val="none"/>
        </w:rPr>
      </w:pPr>
      <w:r>
        <w:rPr>
          <w:rFonts w:hint="eastAsia"/>
          <w:color w:val="auto"/>
          <w:highlight w:val="none"/>
        </w:rPr>
        <w:t>5.8.5.3地下水环境风险事故分析</w:t>
      </w:r>
    </w:p>
    <w:p>
      <w:pPr>
        <w:pStyle w:val="57"/>
        <w:rPr>
          <w:rFonts w:hint="eastAsia" w:eastAsia="宋体"/>
          <w:snapToGrid w:val="0"/>
          <w:color w:val="auto"/>
          <w:lang w:eastAsia="zh-CN"/>
        </w:rPr>
      </w:pPr>
      <w:r>
        <w:rPr>
          <w:rFonts w:hint="eastAsia"/>
          <w:snapToGrid w:val="0"/>
          <w:color w:val="auto"/>
          <w:lang w:eastAsia="zh-CN"/>
        </w:rPr>
        <w:t>（</w:t>
      </w:r>
      <w:r>
        <w:rPr>
          <w:rFonts w:hint="eastAsia"/>
          <w:snapToGrid w:val="0"/>
          <w:color w:val="auto"/>
          <w:lang w:val="en-US" w:eastAsia="zh-CN"/>
        </w:rPr>
        <w:t>1</w:t>
      </w:r>
      <w:r>
        <w:rPr>
          <w:rFonts w:hint="eastAsia"/>
          <w:snapToGrid w:val="0"/>
          <w:color w:val="auto"/>
          <w:lang w:eastAsia="zh-CN"/>
        </w:rPr>
        <w:t>）</w:t>
      </w:r>
      <w:r>
        <w:rPr>
          <w:rFonts w:hint="eastAsia"/>
          <w:snapToGrid w:val="0"/>
          <w:color w:val="auto"/>
          <w:lang w:val="en-US" w:eastAsia="zh-CN"/>
        </w:rPr>
        <w:t>井场、</w:t>
      </w:r>
      <w:r>
        <w:rPr>
          <w:rFonts w:hint="eastAsia"/>
          <w:snapToGrid w:val="0"/>
          <w:color w:val="auto"/>
        </w:rPr>
        <w:t>站场设备发生泄漏对地下水环境风险影响分析</w:t>
      </w:r>
    </w:p>
    <w:p>
      <w:pPr>
        <w:pStyle w:val="57"/>
        <w:rPr>
          <w:snapToGrid w:val="0"/>
          <w:color w:val="auto"/>
        </w:rPr>
      </w:pPr>
      <w:r>
        <w:rPr>
          <w:rFonts w:hint="eastAsia"/>
          <w:snapToGrid w:val="0"/>
          <w:color w:val="auto"/>
        </w:rPr>
        <w:t>井场油罐</w:t>
      </w:r>
      <w:r>
        <w:rPr>
          <w:rFonts w:hint="eastAsia"/>
          <w:snapToGrid w:val="0"/>
          <w:color w:val="auto"/>
          <w:lang w:eastAsia="zh-CN"/>
        </w:rPr>
        <w:t>、</w:t>
      </w:r>
      <w:r>
        <w:rPr>
          <w:rFonts w:hint="eastAsia"/>
          <w:snapToGrid w:val="0"/>
          <w:color w:val="auto"/>
        </w:rPr>
        <w:t>站场工艺罐</w:t>
      </w:r>
      <w:r>
        <w:rPr>
          <w:rFonts w:hint="eastAsia"/>
          <w:snapToGrid w:val="0"/>
          <w:color w:val="auto"/>
          <w:lang w:val="en-US" w:eastAsia="zh-CN"/>
        </w:rPr>
        <w:t>以及油罐</w:t>
      </w:r>
      <w:r>
        <w:rPr>
          <w:rFonts w:hint="eastAsia"/>
          <w:snapToGrid w:val="0"/>
          <w:color w:val="auto"/>
        </w:rPr>
        <w:t>发生泄漏，</w:t>
      </w:r>
      <w:r>
        <w:rPr>
          <w:rFonts w:hint="eastAsia"/>
          <w:snapToGrid w:val="0"/>
          <w:color w:val="auto"/>
          <w:lang w:eastAsia="zh-CN"/>
        </w:rPr>
        <w:t>泄漏</w:t>
      </w:r>
      <w:r>
        <w:rPr>
          <w:rFonts w:hint="eastAsia"/>
          <w:snapToGrid w:val="0"/>
          <w:color w:val="auto"/>
        </w:rPr>
        <w:t>的油品通过土壤渗透影响浅层地下水，在地下水位埋深较浅的区域可能通过土壤渗透到地下水环境。在油田开发过程中，应做好井场、站内的防渗措施，防止泄漏事故发生。</w:t>
      </w:r>
    </w:p>
    <w:p>
      <w:pPr>
        <w:pStyle w:val="57"/>
        <w:rPr>
          <w:snapToGrid w:val="0"/>
          <w:color w:val="auto"/>
        </w:rPr>
      </w:pPr>
      <w:r>
        <w:rPr>
          <w:rFonts w:hint="eastAsia"/>
          <w:color w:val="auto"/>
          <w:highlight w:val="none"/>
        </w:rPr>
        <w:t>（2）</w:t>
      </w:r>
      <w:r>
        <w:rPr>
          <w:rFonts w:hint="eastAsia"/>
          <w:color w:val="auto"/>
        </w:rPr>
        <w:t>集输管线</w:t>
      </w:r>
      <w:r>
        <w:rPr>
          <w:snapToGrid w:val="0"/>
          <w:color w:val="auto"/>
        </w:rPr>
        <w:t>对地下水的环境影响分析</w:t>
      </w:r>
    </w:p>
    <w:p>
      <w:pPr>
        <w:pStyle w:val="57"/>
        <w:rPr>
          <w:color w:val="auto"/>
        </w:rPr>
      </w:pPr>
      <w:r>
        <w:rPr>
          <w:rFonts w:hint="eastAsia"/>
          <w:snapToGrid w:val="0"/>
          <w:color w:val="auto"/>
        </w:rPr>
        <w:t>集输管道发生事故时，漏油能否对地下水环境产生影</w:t>
      </w:r>
      <w:r>
        <w:rPr>
          <w:rFonts w:hint="eastAsia"/>
          <w:color w:val="auto"/>
        </w:rPr>
        <w:t>响，取决于油在土壤中的迁移转化、地面污染程度以及泄漏点的地质构造。发生泄漏事故后，若及时维修处理，即使有少量的污染物泄漏，也很难通过防渗层渗入包气带。故在正常工况下，加强检修力度，发生泄漏事故及时找到泄漏点，及时维修，并将受污染的土壤全部集中收集，交由有资质的单位进行处理，污染物从源头和末端均得到控制，阻断了污染地下水的通道，污染物不会渗入地下污染地下水体。</w:t>
      </w:r>
    </w:p>
    <w:p>
      <w:pPr>
        <w:pStyle w:val="57"/>
        <w:rPr>
          <w:color w:val="auto"/>
        </w:rPr>
      </w:pPr>
      <w:r>
        <w:rPr>
          <w:rFonts w:hint="eastAsia"/>
          <w:color w:val="auto"/>
        </w:rPr>
        <w:t>当泄漏事故不可控时，泄漏的油品经土层渗漏，通过包气带进入含水层。根据《采油废水中石油类污染物在土壤中的迁移规律研究》（岳占林文）中结论：油田环境非敏感区风沙土尽管颗粒较粗、结构较松散、孔隙比较大，但对石油类物质的截留作用仍然是非常显著的。污水中的石油类很难在土壤剖面中随水下渗迁移，基本上被截留在0~10cm或0 ~20cm表层土壤中，其中表层0~5cm土壤截留了90%以上的</w:t>
      </w:r>
      <w:r>
        <w:rPr>
          <w:rFonts w:hint="eastAsia"/>
          <w:color w:val="auto"/>
          <w:lang w:eastAsia="zh-CN"/>
        </w:rPr>
        <w:t>输入</w:t>
      </w:r>
      <w:r>
        <w:rPr>
          <w:rFonts w:hint="eastAsia"/>
          <w:color w:val="auto"/>
        </w:rPr>
        <w:t>原油。由此可以推断，油田环境非敏感区其他颗粒较细、质地比较粘重的土壤类型，如盐土、林灌草甸土、龟裂土等，对石油类的截留作用更大，在相同实验条件下，石油类污染物在这些土壤中则更不易下渗迁移，其下渗迁移范围也不超过20cm；对于颗粒较粗、结构较松散、空隙比较多的棕漠土，在消除土体裂隙和根孔影响的实验条件下，石油类下渗迁移的深度也不超过30cm。</w:t>
      </w:r>
    </w:p>
    <w:p>
      <w:pPr>
        <w:pStyle w:val="57"/>
        <w:rPr>
          <w:snapToGrid w:val="0"/>
          <w:color w:val="auto"/>
        </w:rPr>
      </w:pPr>
      <w:r>
        <w:rPr>
          <w:rFonts w:hint="eastAsia"/>
          <w:color w:val="auto"/>
          <w:highlight w:val="none"/>
        </w:rPr>
        <w:t>本项目</w:t>
      </w:r>
      <w:r>
        <w:rPr>
          <w:snapToGrid w:val="0"/>
          <w:color w:val="auto"/>
          <w:highlight w:val="none"/>
        </w:rPr>
        <w:t>评价区土壤类型主要</w:t>
      </w:r>
      <w:r>
        <w:rPr>
          <w:rFonts w:hint="eastAsia"/>
          <w:snapToGrid w:val="0"/>
          <w:color w:val="auto"/>
          <w:highlight w:val="none"/>
        </w:rPr>
        <w:t>为灰棕漠土、草甸土</w:t>
      </w:r>
      <w:r>
        <w:rPr>
          <w:snapToGrid w:val="0"/>
          <w:color w:val="auto"/>
          <w:highlight w:val="none"/>
        </w:rPr>
        <w:t>，</w:t>
      </w:r>
      <w:r>
        <w:rPr>
          <w:rFonts w:hint="eastAsia"/>
          <w:color w:val="auto"/>
          <w:highlight w:val="none"/>
        </w:rPr>
        <w:t>因此区域土壤对石油类物质的截留作用是非常显著的，石油类很难在土壤剖面中随水下渗迁移，基本上</w:t>
      </w:r>
      <w:r>
        <w:rPr>
          <w:rFonts w:hint="eastAsia"/>
          <w:color w:val="auto"/>
        </w:rPr>
        <w:t>被截留在20cm表层土壤中。因此，即使发生集输管线泄漏事故，做到及时发现、及时处理，彻底清除泄漏油品、被污染的土壤，不会对地下水环境产生大的影响</w:t>
      </w:r>
      <w:r>
        <w:rPr>
          <w:snapToGrid w:val="0"/>
          <w:color w:val="auto"/>
        </w:rPr>
        <w:t>。</w:t>
      </w:r>
    </w:p>
    <w:p>
      <w:pPr>
        <w:pStyle w:val="6"/>
        <w:rPr>
          <w:color w:val="auto"/>
          <w:highlight w:val="none"/>
        </w:rPr>
      </w:pPr>
      <w:r>
        <w:rPr>
          <w:rFonts w:hint="eastAsia"/>
          <w:color w:val="auto"/>
          <w:highlight w:val="none"/>
        </w:rPr>
        <w:t>5.8.5.</w:t>
      </w:r>
      <w:r>
        <w:rPr>
          <w:rFonts w:hint="eastAsia"/>
          <w:color w:val="auto"/>
          <w:highlight w:val="none"/>
          <w:lang w:val="en-US" w:eastAsia="zh-CN"/>
        </w:rPr>
        <w:t>4土壤</w:t>
      </w:r>
      <w:r>
        <w:rPr>
          <w:rFonts w:hint="eastAsia"/>
          <w:color w:val="auto"/>
          <w:highlight w:val="none"/>
        </w:rPr>
        <w:t>环境风险事故分析</w:t>
      </w:r>
    </w:p>
    <w:p>
      <w:pPr>
        <w:pStyle w:val="57"/>
        <w:rPr>
          <w:snapToGrid w:val="0"/>
          <w:color w:val="auto"/>
        </w:rPr>
      </w:pPr>
      <w:r>
        <w:rPr>
          <w:rFonts w:hint="eastAsia"/>
          <w:snapToGrid w:val="0"/>
          <w:color w:val="auto"/>
        </w:rPr>
        <w:t>（1）</w:t>
      </w:r>
      <w:r>
        <w:rPr>
          <w:rFonts w:hint="eastAsia"/>
          <w:snapToGrid w:val="0"/>
          <w:color w:val="auto"/>
          <w:lang w:val="en-US" w:eastAsia="zh-CN"/>
        </w:rPr>
        <w:t>井场、</w:t>
      </w:r>
      <w:r>
        <w:rPr>
          <w:rFonts w:hint="eastAsia"/>
          <w:snapToGrid w:val="0"/>
          <w:color w:val="auto"/>
        </w:rPr>
        <w:t>站场设备发生泄漏对土壤的环境影响分析</w:t>
      </w:r>
    </w:p>
    <w:p>
      <w:pPr>
        <w:pStyle w:val="57"/>
        <w:rPr>
          <w:snapToGrid w:val="0"/>
          <w:color w:val="auto"/>
        </w:rPr>
      </w:pPr>
      <w:r>
        <w:rPr>
          <w:rFonts w:hint="eastAsia"/>
          <w:snapToGrid w:val="0"/>
          <w:color w:val="auto"/>
          <w:lang w:val="en-US" w:eastAsia="zh-CN"/>
        </w:rPr>
        <w:t>井场、</w:t>
      </w:r>
      <w:r>
        <w:rPr>
          <w:rFonts w:hint="eastAsia"/>
          <w:snapToGrid w:val="0"/>
          <w:color w:val="auto"/>
        </w:rPr>
        <w:t>站场设备发生泄漏，原油进入土壤可</w:t>
      </w:r>
      <w:r>
        <w:rPr>
          <w:rFonts w:hint="eastAsia"/>
          <w:snapToGrid w:val="0"/>
          <w:color w:val="auto"/>
          <w:lang w:eastAsia="zh-CN"/>
        </w:rPr>
        <w:t>使土壤</w:t>
      </w:r>
      <w:r>
        <w:rPr>
          <w:rFonts w:hint="eastAsia"/>
          <w:snapToGrid w:val="0"/>
          <w:color w:val="auto"/>
        </w:rPr>
        <w:t>肥力下降从而抑制植物的生长，并有可能危害人体健康。</w:t>
      </w:r>
    </w:p>
    <w:p>
      <w:pPr>
        <w:pStyle w:val="57"/>
        <w:rPr>
          <w:color w:val="auto"/>
        </w:rPr>
      </w:pPr>
      <w:r>
        <w:rPr>
          <w:rFonts w:hint="eastAsia"/>
          <w:color w:val="auto"/>
        </w:rPr>
        <w:t>（2）集输管线对土壤环境影响分析</w:t>
      </w:r>
    </w:p>
    <w:p>
      <w:pPr>
        <w:pStyle w:val="57"/>
        <w:rPr>
          <w:color w:val="auto"/>
        </w:rPr>
      </w:pPr>
      <w:r>
        <w:rPr>
          <w:rFonts w:hint="eastAsia"/>
          <w:color w:val="auto"/>
        </w:rPr>
        <w:t>集输管线泄漏的原油覆盖于地表可使土壤透气性下降、土壤理化性状发生变化，使土壤肥力下降从而抑制植物的生长，并有可能危害人体健康。</w:t>
      </w:r>
    </w:p>
    <w:p>
      <w:pPr>
        <w:pStyle w:val="57"/>
        <w:rPr>
          <w:snapToGrid w:val="0"/>
          <w:color w:val="auto"/>
        </w:rPr>
      </w:pPr>
      <w:r>
        <w:rPr>
          <w:rFonts w:hint="eastAsia"/>
          <w:snapToGrid w:val="0"/>
          <w:color w:val="auto"/>
        </w:rPr>
        <w:t>运营期管线破裂，将能回收的原油回收，送风城二号稠油处理站处理，不能回收的以及受污染的土壤集中收集后交由有相应处置资质的单位进行处理。发生事故后，及时采取相应的措施，不会对周围土壤环境产生明显影响</w:t>
      </w:r>
      <w:r>
        <w:rPr>
          <w:snapToGrid w:val="0"/>
          <w:color w:val="auto"/>
        </w:rPr>
        <w:t>。</w:t>
      </w:r>
    </w:p>
    <w:p>
      <w:pPr>
        <w:pStyle w:val="57"/>
        <w:rPr>
          <w:snapToGrid w:val="0"/>
          <w:color w:val="auto"/>
        </w:rPr>
      </w:pPr>
      <w:r>
        <w:rPr>
          <w:rFonts w:hint="eastAsia"/>
          <w:color w:val="auto"/>
        </w:rPr>
        <w:t>综上所述，本项目施工期和运营期发生事故后，及时采取相应的措施，不会对周围土壤环境产生明显影响</w:t>
      </w:r>
      <w:r>
        <w:rPr>
          <w:color w:val="auto"/>
        </w:rPr>
        <w:t>。</w:t>
      </w:r>
    </w:p>
    <w:p>
      <w:pPr>
        <w:pStyle w:val="53"/>
        <w:rPr>
          <w:color w:val="auto"/>
          <w:highlight w:val="none"/>
        </w:rPr>
      </w:pPr>
      <w:r>
        <w:rPr>
          <w:color w:val="auto"/>
          <w:highlight w:val="none"/>
        </w:rPr>
        <w:fldChar w:fldCharType="begin"/>
      </w:r>
      <w:r>
        <w:rPr>
          <w:color w:val="auto"/>
          <w:highlight w:val="none"/>
        </w:rPr>
        <w:instrText xml:space="preserve"> HYPERLINK \l "_Toc3605" </w:instrText>
      </w:r>
      <w:r>
        <w:rPr>
          <w:color w:val="auto"/>
          <w:highlight w:val="none"/>
        </w:rPr>
        <w:fldChar w:fldCharType="separate"/>
      </w:r>
      <w:r>
        <w:rPr>
          <w:rFonts w:hint="eastAsia"/>
          <w:color w:val="auto"/>
          <w:highlight w:val="none"/>
        </w:rPr>
        <w:t>5.8.6 环境</w:t>
      </w:r>
      <w:r>
        <w:rPr>
          <w:rFonts w:hint="eastAsia"/>
          <w:color w:val="auto"/>
          <w:highlight w:val="none"/>
        </w:rPr>
        <w:fldChar w:fldCharType="end"/>
      </w:r>
      <w:r>
        <w:rPr>
          <w:rFonts w:hint="eastAsia"/>
          <w:color w:val="auto"/>
          <w:highlight w:val="none"/>
        </w:rPr>
        <w:t>风险管理</w:t>
      </w:r>
    </w:p>
    <w:p>
      <w:pPr>
        <w:pStyle w:val="6"/>
        <w:rPr>
          <w:rFonts w:hint="eastAsia"/>
          <w:color w:val="auto"/>
          <w:highlight w:val="none"/>
        </w:rPr>
      </w:pPr>
      <w:bookmarkStart w:id="705" w:name="_Toc22592"/>
      <w:bookmarkStart w:id="706" w:name="_Toc23857"/>
      <w:r>
        <w:rPr>
          <w:rFonts w:hint="eastAsia"/>
          <w:color w:val="auto"/>
          <w:highlight w:val="none"/>
        </w:rPr>
        <w:t>5.8.6.1钻井、井下作业事故风险预防措施</w:t>
      </w:r>
    </w:p>
    <w:p>
      <w:pPr>
        <w:pStyle w:val="57"/>
        <w:bidi w:val="0"/>
        <w:rPr>
          <w:color w:val="auto"/>
        </w:rPr>
      </w:pPr>
      <w:r>
        <w:rPr>
          <w:color w:val="auto"/>
        </w:rPr>
        <w:t>（1）生产中采取有效预防措施，严格遵守井下作业的安全规定，在井口安装防喷器和控制装置，杜绝井喷的发生。</w:t>
      </w:r>
    </w:p>
    <w:p>
      <w:pPr>
        <w:pStyle w:val="57"/>
        <w:bidi w:val="0"/>
        <w:rPr>
          <w:color w:val="auto"/>
        </w:rPr>
      </w:pPr>
      <w:r>
        <w:rPr>
          <w:color w:val="auto"/>
        </w:rPr>
        <w:t>（2）井场设置风向标，以便发生事故时人员能迅速向上风向疏散。</w:t>
      </w:r>
    </w:p>
    <w:p>
      <w:pPr>
        <w:pStyle w:val="57"/>
        <w:bidi w:val="0"/>
        <w:rPr>
          <w:color w:val="auto"/>
        </w:rPr>
      </w:pPr>
      <w:r>
        <w:rPr>
          <w:color w:val="auto"/>
        </w:rPr>
        <w:t>（3）井场严格按防火规范进行平面布置，井场内的电气设备及仪表按防爆等级不同选用不同的设备。井场内所有设备、管线均应做防雷、防静电接地。</w:t>
      </w:r>
    </w:p>
    <w:p>
      <w:pPr>
        <w:pStyle w:val="57"/>
        <w:bidi w:val="0"/>
        <w:rPr>
          <w:color w:val="auto"/>
        </w:rPr>
      </w:pPr>
      <w:r>
        <w:rPr>
          <w:color w:val="auto"/>
        </w:rPr>
        <w:t>（4）在油气可能泄漏和积聚的场所设置可燃气体浓度</w:t>
      </w:r>
      <w:r>
        <w:rPr>
          <w:rFonts w:hint="eastAsia"/>
          <w:color w:val="auto"/>
          <w:lang w:eastAsia="zh-CN"/>
        </w:rPr>
        <w:t>监测</w:t>
      </w:r>
      <w:r>
        <w:rPr>
          <w:color w:val="auto"/>
        </w:rPr>
        <w:t>报警装置。</w:t>
      </w:r>
    </w:p>
    <w:p>
      <w:pPr>
        <w:pStyle w:val="57"/>
        <w:bidi w:val="0"/>
        <w:rPr>
          <w:color w:val="auto"/>
        </w:rPr>
      </w:pPr>
      <w:r>
        <w:rPr>
          <w:color w:val="auto"/>
        </w:rPr>
        <w:t>（5）井下作业之前，在井场周围划分高压区和低压区，高压泵、高压汇管、井口装置等高压设备均布置于高压区内，施工过程中，高压区无关人员全部撤离，并设置安全警戒岗。</w:t>
      </w:r>
    </w:p>
    <w:p>
      <w:pPr>
        <w:pStyle w:val="57"/>
        <w:bidi w:val="0"/>
        <w:rPr>
          <w:color w:val="auto"/>
        </w:rPr>
      </w:pPr>
      <w:r>
        <w:rPr>
          <w:color w:val="auto"/>
        </w:rPr>
        <w:t>（6）每一次井下作业施工前，必须对高压汇管进行试压，试压压力大于施工压力5MPa，施工后必须探伤，更换不符合要求的汇管。</w:t>
      </w:r>
    </w:p>
    <w:p>
      <w:pPr>
        <w:pStyle w:val="6"/>
        <w:rPr>
          <w:rFonts w:hint="eastAsia" w:ascii="Times New Roman" w:hAnsi="Times New Roman" w:cs="Times New Roman"/>
          <w:color w:val="auto"/>
          <w:highlight w:val="none"/>
        </w:rPr>
      </w:pPr>
      <w:r>
        <w:rPr>
          <w:rFonts w:hint="eastAsia" w:ascii="Times New Roman" w:hAnsi="Times New Roman" w:cs="Times New Roman"/>
          <w:color w:val="auto"/>
          <w:highlight w:val="none"/>
          <w:lang w:val="en-US" w:eastAsia="zh-CN"/>
        </w:rPr>
        <w:t>5.8.6.2</w:t>
      </w:r>
      <w:r>
        <w:rPr>
          <w:rFonts w:hint="eastAsia"/>
          <w:color w:val="auto"/>
        </w:rPr>
        <w:t>井漏事故风险防范措施</w:t>
      </w:r>
    </w:p>
    <w:p>
      <w:pPr>
        <w:pStyle w:val="57"/>
        <w:bidi w:val="0"/>
        <w:rPr>
          <w:color w:val="auto"/>
        </w:rPr>
      </w:pPr>
      <w:r>
        <w:rPr>
          <w:color w:val="auto"/>
        </w:rPr>
        <w:t>（1）采用双层套管，表层套管完全封闭各含水层，固井水泥均上返地面，这样，在各含水层与井筒间形成双层套管、单层水泥环的保护措施，将事故风险降低到最低。</w:t>
      </w:r>
    </w:p>
    <w:p>
      <w:pPr>
        <w:pStyle w:val="57"/>
        <w:bidi w:val="0"/>
        <w:rPr>
          <w:color w:val="auto"/>
        </w:rPr>
      </w:pPr>
      <w:r>
        <w:rPr>
          <w:color w:val="auto"/>
        </w:rPr>
        <w:t>（2）</w:t>
      </w:r>
      <w:r>
        <w:rPr>
          <w:rFonts w:hint="eastAsia"/>
          <w:color w:val="auto"/>
        </w:rPr>
        <w:t>设置地下水监测井，</w:t>
      </w:r>
      <w:r>
        <w:rPr>
          <w:color w:val="auto"/>
        </w:rPr>
        <w:t>定期对</w:t>
      </w:r>
      <w:r>
        <w:rPr>
          <w:rFonts w:hint="eastAsia"/>
          <w:color w:val="auto"/>
        </w:rPr>
        <w:t>工程区</w:t>
      </w:r>
      <w:r>
        <w:rPr>
          <w:color w:val="auto"/>
        </w:rPr>
        <w:t>各地下水层监测井采样分析，一个季度采样一次，分析项目为COD、石油类、挥发酚等石油特征指标，根据监测指标的变化趋势，对可能产生的隐蔽污染，做到及时发现，尽早处理。</w:t>
      </w:r>
    </w:p>
    <w:p>
      <w:pPr>
        <w:pStyle w:val="57"/>
        <w:bidi w:val="0"/>
        <w:rPr>
          <w:color w:val="auto"/>
        </w:rPr>
      </w:pPr>
      <w:r>
        <w:rPr>
          <w:color w:val="auto"/>
        </w:rPr>
        <w:t>（3）及时展开隐蔽污染源调查，查明隐蔽污染源之所在，采取果断措施，截断隐蔽污染源的扩散途径。</w:t>
      </w:r>
    </w:p>
    <w:p>
      <w:pPr>
        <w:rPr>
          <w:rFonts w:hint="default"/>
          <w:color w:val="auto"/>
          <w:lang w:val="en-US" w:eastAsia="zh-CN"/>
        </w:rPr>
      </w:pPr>
    </w:p>
    <w:p>
      <w:pPr>
        <w:pStyle w:val="6"/>
        <w:rPr>
          <w:color w:val="auto"/>
          <w:highlight w:val="none"/>
        </w:rPr>
      </w:pPr>
      <w:r>
        <w:rPr>
          <w:rFonts w:hint="eastAsia"/>
          <w:color w:val="auto"/>
          <w:highlight w:val="none"/>
          <w:lang w:val="en-US" w:eastAsia="zh-CN"/>
        </w:rPr>
        <w:t>5.8.6.3</w:t>
      </w:r>
      <w:r>
        <w:rPr>
          <w:rFonts w:hint="eastAsia"/>
          <w:color w:val="auto"/>
          <w:highlight w:val="none"/>
        </w:rPr>
        <w:t>井场、站场风险防范措施</w:t>
      </w:r>
      <w:bookmarkEnd w:id="705"/>
      <w:bookmarkEnd w:id="706"/>
    </w:p>
    <w:p>
      <w:pPr>
        <w:pStyle w:val="57"/>
        <w:rPr>
          <w:color w:val="auto"/>
          <w:highlight w:val="none"/>
        </w:rPr>
      </w:pPr>
      <w:r>
        <w:rPr>
          <w:color w:val="auto"/>
          <w:highlight w:val="none"/>
        </w:rPr>
        <w:t>（1）平面布局科学合理：</w:t>
      </w:r>
      <w:r>
        <w:rPr>
          <w:rFonts w:hint="eastAsia"/>
          <w:color w:val="auto"/>
          <w:highlight w:val="none"/>
        </w:rPr>
        <w:t>撬装装置平面布置严格执行《石油天然气工程设计防火规范》（GB50183-2004）和《</w:t>
      </w:r>
      <w:bookmarkStart w:id="707" w:name="OLE_LINK126"/>
      <w:r>
        <w:rPr>
          <w:rFonts w:hint="eastAsia"/>
          <w:color w:val="auto"/>
          <w:highlight w:val="none"/>
        </w:rPr>
        <w:t>建筑设计防火规范</w:t>
      </w:r>
      <w:bookmarkEnd w:id="707"/>
      <w:r>
        <w:rPr>
          <w:rFonts w:hint="eastAsia"/>
          <w:color w:val="auto"/>
          <w:highlight w:val="none"/>
        </w:rPr>
        <w:t>》（</w:t>
      </w:r>
      <w:r>
        <w:rPr>
          <w:rFonts w:hint="eastAsia"/>
          <w:color w:val="auto"/>
          <w:highlight w:val="none"/>
          <w:lang w:eastAsia="zh-CN"/>
        </w:rPr>
        <w:t>GB 50016-2014[2018年版]</w:t>
      </w:r>
      <w:r>
        <w:rPr>
          <w:rFonts w:hint="eastAsia"/>
          <w:color w:val="auto"/>
          <w:highlight w:val="none"/>
        </w:rPr>
        <w:t>）中的有关规定，平面布置力求紧凑，建、构筑物及设施间的防火安全距离严格执行设计规范和标准的要求。</w:t>
      </w:r>
      <w:r>
        <w:rPr>
          <w:color w:val="auto"/>
          <w:highlight w:val="none"/>
        </w:rPr>
        <w:t>平面布置中尽量将火灾危险性相近的设施集中布置，并保持规定的防火距离；将全场内的明火点</w:t>
      </w:r>
      <w:r>
        <w:rPr>
          <w:rFonts w:hint="eastAsia"/>
          <w:color w:val="auto"/>
          <w:highlight w:val="none"/>
          <w:lang w:val="en-US" w:eastAsia="zh-CN"/>
        </w:rPr>
        <w:t>数</w:t>
      </w:r>
      <w:r>
        <w:rPr>
          <w:color w:val="auto"/>
          <w:highlight w:val="none"/>
        </w:rPr>
        <w:t>控制到最少，并布置在生产区场地边缘部位；有油气散发的场所布置在有明火或散发火花地点的当地全年最小频率风向的上风侧。</w:t>
      </w:r>
    </w:p>
    <w:p>
      <w:pPr>
        <w:pStyle w:val="57"/>
        <w:rPr>
          <w:color w:val="auto"/>
          <w:highlight w:val="none"/>
        </w:rPr>
      </w:pPr>
      <w:r>
        <w:rPr>
          <w:color w:val="auto"/>
          <w:highlight w:val="none"/>
        </w:rPr>
        <w:t>（2）在建、构筑物区域内设置接地装置，必要时可加装消雷器。工艺设备、塔、架等设置防静电接地装置；变压器等采用避雷器作为防雷保护。</w:t>
      </w:r>
    </w:p>
    <w:p>
      <w:pPr>
        <w:pStyle w:val="57"/>
        <w:rPr>
          <w:color w:val="auto"/>
          <w:highlight w:val="none"/>
        </w:rPr>
      </w:pPr>
      <w:r>
        <w:rPr>
          <w:color w:val="auto"/>
          <w:highlight w:val="none"/>
        </w:rPr>
        <w:t>（3）按规定配置齐全各类消防设施，并定期进行检查，保持完好可用。</w:t>
      </w:r>
    </w:p>
    <w:p>
      <w:pPr>
        <w:pStyle w:val="57"/>
        <w:rPr>
          <w:color w:val="auto"/>
          <w:highlight w:val="none"/>
        </w:rPr>
      </w:pPr>
      <w:r>
        <w:rPr>
          <w:color w:val="auto"/>
          <w:highlight w:val="none"/>
        </w:rPr>
        <w:t>（4）站场内的装置区、泵房等均为爆炸火灾危险区域，区域内的配电设备均应采用防爆型；根据各建筑物的不同防爆等级采取相应的防爆措施。</w:t>
      </w:r>
    </w:p>
    <w:p>
      <w:pPr>
        <w:pStyle w:val="57"/>
        <w:rPr>
          <w:b/>
          <w:bCs/>
          <w:color w:val="auto"/>
          <w:sz w:val="30"/>
          <w:szCs w:val="30"/>
          <w:highlight w:val="none"/>
        </w:rPr>
      </w:pPr>
      <w:r>
        <w:rPr>
          <w:color w:val="auto"/>
          <w:highlight w:val="none"/>
        </w:rPr>
        <w:t>（5）在可能产生易燃易爆介质泄漏的地方，设置可燃气体检测报警器，以便及时发现事故隐患。</w:t>
      </w:r>
    </w:p>
    <w:p>
      <w:pPr>
        <w:pStyle w:val="57"/>
        <w:rPr>
          <w:color w:val="auto"/>
          <w:highlight w:val="none"/>
        </w:rPr>
      </w:pPr>
      <w:r>
        <w:rPr>
          <w:rFonts w:hint="eastAsia"/>
          <w:color w:val="auto"/>
          <w:highlight w:val="none"/>
        </w:rPr>
        <w:t>（6）井场应</w:t>
      </w:r>
      <w:r>
        <w:rPr>
          <w:color w:val="auto"/>
          <w:highlight w:val="none"/>
        </w:rPr>
        <w:t>采取多种防井喷控制措施、防漏措施和固井措施，防止发生井喷等事故；按规范设置安全防火距离，配置相应消防设施。</w:t>
      </w:r>
      <w:r>
        <w:rPr>
          <w:rFonts w:hint="eastAsia"/>
          <w:color w:val="auto"/>
          <w:highlight w:val="none"/>
        </w:rPr>
        <w:t>加强工作人员和车辆管理，必须在规定的路线和范围内活动，严禁乱压乱碾，严禁破坏基本农田，并加强防火措施，</w:t>
      </w:r>
      <w:r>
        <w:rPr>
          <w:color w:val="auto"/>
          <w:highlight w:val="none"/>
        </w:rPr>
        <w:t>防止火灾</w:t>
      </w:r>
      <w:r>
        <w:rPr>
          <w:rFonts w:hint="eastAsia"/>
          <w:color w:val="auto"/>
          <w:highlight w:val="none"/>
        </w:rPr>
        <w:t>发生</w:t>
      </w:r>
      <w:r>
        <w:rPr>
          <w:color w:val="auto"/>
          <w:highlight w:val="none"/>
        </w:rPr>
        <w:t>。</w:t>
      </w:r>
    </w:p>
    <w:p>
      <w:pPr>
        <w:pStyle w:val="57"/>
        <w:rPr>
          <w:color w:val="auto"/>
          <w:highlight w:val="none"/>
        </w:rPr>
      </w:pPr>
      <w:r>
        <w:rPr>
          <w:rFonts w:hint="eastAsia"/>
          <w:color w:val="auto"/>
          <w:highlight w:val="none"/>
        </w:rPr>
        <w:t>（7）</w:t>
      </w:r>
      <w:r>
        <w:rPr>
          <w:color w:val="auto"/>
          <w:highlight w:val="none"/>
        </w:rPr>
        <w:t>事故时所有排放气体均密闭放空至</w:t>
      </w:r>
      <w:r>
        <w:rPr>
          <w:rFonts w:hint="eastAsia"/>
          <w:color w:val="auto"/>
          <w:highlight w:val="none"/>
          <w:lang w:val="en-US" w:eastAsia="zh-CN"/>
        </w:rPr>
        <w:t>放喷</w:t>
      </w:r>
      <w:r>
        <w:rPr>
          <w:rFonts w:hint="eastAsia"/>
          <w:color w:val="auto"/>
          <w:highlight w:val="none"/>
        </w:rPr>
        <w:t>池</w:t>
      </w:r>
      <w:r>
        <w:rPr>
          <w:color w:val="auto"/>
          <w:highlight w:val="none"/>
        </w:rPr>
        <w:t>燃烧后排放，不允许就地排入大气；</w:t>
      </w:r>
      <w:r>
        <w:rPr>
          <w:rFonts w:hint="eastAsia"/>
          <w:color w:val="auto"/>
          <w:highlight w:val="none"/>
          <w:lang w:val="en-US" w:eastAsia="zh-CN"/>
        </w:rPr>
        <w:t>油罐区</w:t>
      </w:r>
      <w:r>
        <w:rPr>
          <w:rFonts w:hint="eastAsia"/>
          <w:color w:val="auto"/>
          <w:highlight w:val="none"/>
        </w:rPr>
        <w:t>周围设置防火堤；建立消防水收集系统，避免消防废水污染附近土壤。</w:t>
      </w:r>
    </w:p>
    <w:p>
      <w:pPr>
        <w:pStyle w:val="57"/>
        <w:rPr>
          <w:color w:val="auto"/>
          <w:highlight w:val="none"/>
        </w:rPr>
      </w:pPr>
      <w:r>
        <w:rPr>
          <w:rFonts w:hint="eastAsia"/>
          <w:color w:val="auto"/>
          <w:highlight w:val="none"/>
        </w:rPr>
        <w:t>（</w:t>
      </w:r>
      <w:r>
        <w:rPr>
          <w:color w:val="auto"/>
          <w:highlight w:val="none"/>
        </w:rPr>
        <w:t>8</w:t>
      </w:r>
      <w:r>
        <w:rPr>
          <w:rFonts w:hint="eastAsia"/>
          <w:color w:val="auto"/>
          <w:highlight w:val="none"/>
        </w:rPr>
        <w:t>）建设单位应在施工期严把质量关，严格按照环评提出的分区防渗要求进行防渗体系建设；运营期应严格按照地下水污染防治管理要求规范生产活动，编制企业环境风险应急预案并建立相关配套环保制度，定期检查防渗层及罐体、管道的破损情况，定期开展地下水环境监测，将地下水污染事故的发生概率</w:t>
      </w:r>
      <w:r>
        <w:rPr>
          <w:rFonts w:hint="eastAsia"/>
          <w:color w:val="auto"/>
          <w:highlight w:val="none"/>
          <w:lang w:val="en-US" w:eastAsia="zh-CN"/>
        </w:rPr>
        <w:t>降至</w:t>
      </w:r>
      <w:r>
        <w:rPr>
          <w:rFonts w:hint="eastAsia"/>
          <w:color w:val="auto"/>
          <w:highlight w:val="none"/>
        </w:rPr>
        <w:t>最低。</w:t>
      </w:r>
    </w:p>
    <w:p>
      <w:pPr>
        <w:pStyle w:val="6"/>
        <w:rPr>
          <w:color w:val="auto"/>
          <w:highlight w:val="none"/>
        </w:rPr>
      </w:pPr>
      <w:bookmarkStart w:id="708" w:name="_Toc22079"/>
      <w:bookmarkStart w:id="709" w:name="_Toc24933"/>
      <w:r>
        <w:rPr>
          <w:rFonts w:hint="eastAsia"/>
          <w:color w:val="auto"/>
          <w:highlight w:val="none"/>
        </w:rPr>
        <w:t>5.8.6.</w:t>
      </w:r>
      <w:r>
        <w:rPr>
          <w:rFonts w:hint="eastAsia"/>
          <w:color w:val="auto"/>
          <w:highlight w:val="none"/>
          <w:lang w:val="en-US" w:eastAsia="zh-CN"/>
        </w:rPr>
        <w:t>4</w:t>
      </w:r>
      <w:r>
        <w:rPr>
          <w:rFonts w:hint="eastAsia"/>
          <w:color w:val="auto"/>
          <w:highlight w:val="none"/>
        </w:rPr>
        <w:t>管线事故风险预防措施</w:t>
      </w:r>
      <w:bookmarkEnd w:id="708"/>
      <w:bookmarkEnd w:id="709"/>
    </w:p>
    <w:p>
      <w:pPr>
        <w:pStyle w:val="57"/>
        <w:rPr>
          <w:color w:val="auto"/>
          <w:highlight w:val="none"/>
        </w:rPr>
      </w:pPr>
      <w:r>
        <w:rPr>
          <w:rFonts w:hint="eastAsia"/>
          <w:color w:val="auto"/>
          <w:highlight w:val="none"/>
        </w:rPr>
        <w:t>（1）严格按照管道施工、验收等规范进行设计、施工和验收。管线敷设前，应加强对管材和焊接质量的检查</w:t>
      </w:r>
      <w:r>
        <w:rPr>
          <w:rFonts w:hint="eastAsia"/>
          <w:color w:val="auto"/>
          <w:highlight w:val="none"/>
          <w:lang w:eastAsia="zh-CN"/>
        </w:rPr>
        <w:t>。</w:t>
      </w:r>
      <w:r>
        <w:rPr>
          <w:rFonts w:hint="eastAsia"/>
          <w:color w:val="auto"/>
          <w:highlight w:val="none"/>
        </w:rPr>
        <w:t>严禁使用不合格产品。对焊接质量严格检验，防止焊接缺陷造成泄漏事故的发生。</w:t>
      </w:r>
    </w:p>
    <w:p>
      <w:pPr>
        <w:pStyle w:val="57"/>
        <w:rPr>
          <w:color w:val="auto"/>
          <w:highlight w:val="none"/>
        </w:rPr>
      </w:pPr>
      <w:r>
        <w:rPr>
          <w:rFonts w:hint="eastAsia"/>
          <w:color w:val="auto"/>
          <w:highlight w:val="none"/>
        </w:rPr>
        <w:t>（2）在管线的敷设线路上应设置永久性标志，包括里程桩、转角桩、交叉标志和警示牌等。</w:t>
      </w:r>
    </w:p>
    <w:p>
      <w:pPr>
        <w:pStyle w:val="57"/>
        <w:rPr>
          <w:color w:val="auto"/>
          <w:highlight w:val="none"/>
        </w:rPr>
      </w:pPr>
      <w:r>
        <w:rPr>
          <w:rFonts w:hint="eastAsia"/>
          <w:color w:val="auto"/>
          <w:highlight w:val="none"/>
        </w:rPr>
        <w:t>（3）按规定进行设备维修、保养，及时更换易损及老化部件，防止油气泄漏事故的发生。</w:t>
      </w:r>
    </w:p>
    <w:p>
      <w:pPr>
        <w:pStyle w:val="57"/>
        <w:rPr>
          <w:color w:val="auto"/>
          <w:highlight w:val="none"/>
        </w:rPr>
      </w:pPr>
      <w:r>
        <w:rPr>
          <w:rFonts w:hint="eastAsia"/>
          <w:color w:val="auto"/>
          <w:highlight w:val="none"/>
        </w:rPr>
        <w:t>（4）加强自动控制系统的管理和控制，严格控制压力平衡。</w:t>
      </w:r>
    </w:p>
    <w:p>
      <w:pPr>
        <w:pStyle w:val="57"/>
        <w:rPr>
          <w:color w:val="auto"/>
          <w:highlight w:val="none"/>
        </w:rPr>
      </w:pPr>
      <w:r>
        <w:rPr>
          <w:rFonts w:hint="eastAsia"/>
          <w:color w:val="auto"/>
          <w:highlight w:val="none"/>
        </w:rPr>
        <w:t>（5）完善井场、站场的环境保护工程，及时清除、处理各种污染物，保持安全设施的完好，杜绝火灾的发生。</w:t>
      </w:r>
    </w:p>
    <w:p>
      <w:pPr>
        <w:pStyle w:val="57"/>
        <w:rPr>
          <w:color w:val="auto"/>
          <w:highlight w:val="none"/>
        </w:rPr>
      </w:pPr>
      <w:r>
        <w:rPr>
          <w:rFonts w:hint="eastAsia"/>
          <w:color w:val="auto"/>
          <w:highlight w:val="none"/>
        </w:rPr>
        <w:t>（6）在管线运营期间，定期对管线进行超声波检查，对壁厚低于规定要求的管段应及时更换，消除爆管的隐患；定期对集输管线上的安全保护设施，如截断阀、安全阀、放空系统等进行检查，使管道在超压时能够得到安全处理，在管道破裂时能够及时截断上下游管段，以减少事故时油气的释放量，使危害影响范围减小到最低程度。</w:t>
      </w:r>
    </w:p>
    <w:p>
      <w:pPr>
        <w:pStyle w:val="57"/>
        <w:rPr>
          <w:color w:val="auto"/>
          <w:highlight w:val="none"/>
        </w:rPr>
      </w:pPr>
      <w:r>
        <w:rPr>
          <w:rFonts w:hint="eastAsia"/>
          <w:color w:val="auto"/>
          <w:highlight w:val="none"/>
        </w:rPr>
        <w:t>（7）定期对管线进行巡视，加强管线和警示标志的管理工作。</w:t>
      </w:r>
    </w:p>
    <w:p>
      <w:pPr>
        <w:pStyle w:val="57"/>
        <w:rPr>
          <w:color w:val="auto"/>
          <w:highlight w:val="none"/>
        </w:rPr>
      </w:pPr>
      <w:r>
        <w:rPr>
          <w:rFonts w:hint="eastAsia"/>
          <w:color w:val="auto"/>
          <w:highlight w:val="none"/>
        </w:rPr>
        <w:t>（8）严禁在管线两侧各50m范围内修筑工程，在管线上方及近旁严禁动土开挖和修建超过管道负荷的建筑物。</w:t>
      </w:r>
    </w:p>
    <w:p>
      <w:pPr>
        <w:pStyle w:val="6"/>
        <w:rPr>
          <w:rFonts w:hint="eastAsia" w:ascii="Times New Roman" w:hAnsi="Times New Roman" w:eastAsia="宋体" w:cs="Times New Roman"/>
          <w:color w:val="auto"/>
          <w:highlight w:val="none"/>
        </w:rPr>
      </w:pPr>
      <w:bookmarkStart w:id="710" w:name="_Toc4100"/>
      <w:bookmarkStart w:id="711" w:name="_Toc28172"/>
      <w:r>
        <w:rPr>
          <w:rFonts w:hint="eastAsia" w:ascii="Times New Roman" w:hAnsi="Times New Roman" w:eastAsia="宋体" w:cs="Times New Roman"/>
          <w:color w:val="auto"/>
          <w:highlight w:val="none"/>
        </w:rPr>
        <w:t>5.8.6.</w:t>
      </w:r>
      <w:bookmarkEnd w:id="710"/>
      <w:bookmarkEnd w:id="711"/>
      <w:bookmarkStart w:id="712" w:name="_Toc10585"/>
      <w:bookmarkStart w:id="713" w:name="_Toc29576"/>
      <w:r>
        <w:rPr>
          <w:rFonts w:hint="eastAsia" w:ascii="Times New Roman" w:hAnsi="Times New Roman" w:eastAsia="宋体" w:cs="Times New Roman"/>
          <w:color w:val="auto"/>
          <w:highlight w:val="none"/>
          <w:lang w:val="en-US" w:eastAsia="zh-CN"/>
        </w:rPr>
        <w:t>5拉油</w:t>
      </w:r>
      <w:r>
        <w:rPr>
          <w:rFonts w:hint="eastAsia" w:ascii="Times New Roman" w:hAnsi="Times New Roman" w:eastAsia="宋体" w:cs="Times New Roman"/>
          <w:color w:val="auto"/>
          <w:highlight w:val="none"/>
        </w:rPr>
        <w:t>运输风险措施</w:t>
      </w:r>
    </w:p>
    <w:p>
      <w:pPr>
        <w:pStyle w:val="57"/>
        <w:rPr>
          <w:color w:val="auto"/>
        </w:rPr>
      </w:pPr>
      <w:r>
        <w:rPr>
          <w:color w:val="auto"/>
        </w:rPr>
        <w:t>鉴于上述</w:t>
      </w:r>
      <w:r>
        <w:rPr>
          <w:rFonts w:hint="eastAsia"/>
          <w:color w:val="auto"/>
          <w:lang w:val="en-US" w:eastAsia="zh-CN"/>
        </w:rPr>
        <w:t>拉油</w:t>
      </w:r>
      <w:r>
        <w:rPr>
          <w:rFonts w:hint="eastAsia" w:ascii="宋体" w:hAnsi="宋体"/>
          <w:color w:val="auto"/>
        </w:rPr>
        <w:t>运</w:t>
      </w:r>
      <w:r>
        <w:rPr>
          <w:color w:val="auto"/>
        </w:rPr>
        <w:t>输风险分析，评价结合事故原因、影响造成的因素提出如下风险防范措施：</w:t>
      </w:r>
    </w:p>
    <w:p>
      <w:pPr>
        <w:pStyle w:val="57"/>
        <w:rPr>
          <w:color w:val="auto"/>
        </w:rPr>
      </w:pPr>
      <w:r>
        <w:rPr>
          <w:color w:val="auto"/>
        </w:rPr>
        <w:t>（1）罐车是</w:t>
      </w:r>
      <w:r>
        <w:rPr>
          <w:rFonts w:hint="eastAsia"/>
          <w:color w:val="auto"/>
        </w:rPr>
        <w:t>原</w:t>
      </w:r>
      <w:r>
        <w:rPr>
          <w:rFonts w:hint="eastAsia" w:ascii="宋体" w:hAnsi="宋体"/>
          <w:color w:val="auto"/>
        </w:rPr>
        <w:t>油</w:t>
      </w:r>
      <w:r>
        <w:rPr>
          <w:color w:val="auto"/>
        </w:rPr>
        <w:t>的运输工具，必须认真执行《压力容器安全技术监察规程》及原劳动部颁发的《液化气体汽车罐车安全监察规程》</w:t>
      </w:r>
      <w:r>
        <w:rPr>
          <w:rFonts w:hint="eastAsia"/>
          <w:color w:val="auto"/>
        </w:rPr>
        <w:t>以及相关运行安全规范</w:t>
      </w:r>
      <w:r>
        <w:rPr>
          <w:color w:val="auto"/>
        </w:rPr>
        <w:t>的有关条款。</w:t>
      </w:r>
    </w:p>
    <w:p>
      <w:pPr>
        <w:pStyle w:val="57"/>
        <w:rPr>
          <w:color w:val="auto"/>
        </w:rPr>
      </w:pPr>
      <w:r>
        <w:rPr>
          <w:color w:val="auto"/>
        </w:rPr>
        <w:t>（2）罐车必须有材质分析、探伤检查、热处理、水压试验和气密试验等技术资料，并有合格证书，旧罐车应按期检查。</w:t>
      </w:r>
    </w:p>
    <w:p>
      <w:pPr>
        <w:pStyle w:val="57"/>
        <w:rPr>
          <w:color w:val="auto"/>
        </w:rPr>
      </w:pPr>
      <w:r>
        <w:rPr>
          <w:color w:val="auto"/>
        </w:rPr>
        <w:t>（3）安全阀、压力表、液位计、进出口阀、手动放空阀、压力表经过校验并有铅封。</w:t>
      </w:r>
    </w:p>
    <w:p>
      <w:pPr>
        <w:pStyle w:val="57"/>
        <w:rPr>
          <w:color w:val="auto"/>
        </w:rPr>
      </w:pPr>
      <w:r>
        <w:rPr>
          <w:color w:val="auto"/>
        </w:rPr>
        <w:t>（4）色别、标志必须清楚。</w:t>
      </w:r>
    </w:p>
    <w:p>
      <w:pPr>
        <w:pStyle w:val="57"/>
        <w:rPr>
          <w:color w:val="auto"/>
        </w:rPr>
      </w:pPr>
      <w:r>
        <w:rPr>
          <w:color w:val="auto"/>
        </w:rPr>
        <w:t>（5）罐车必须定期检验。检验间隔是：每6年进行1次全面检验，每年进行1次年度检验。</w:t>
      </w:r>
    </w:p>
    <w:p>
      <w:pPr>
        <w:pStyle w:val="57"/>
        <w:rPr>
          <w:color w:val="auto"/>
        </w:rPr>
      </w:pPr>
      <w:r>
        <w:rPr>
          <w:color w:val="auto"/>
        </w:rPr>
        <w:t>（6）使用过程中，在任何情况下，必须留有不少于最大充装重量0.5%或100kg的余量，且余压不低于0.1MPa。</w:t>
      </w:r>
    </w:p>
    <w:p>
      <w:pPr>
        <w:pStyle w:val="57"/>
        <w:rPr>
          <w:color w:val="auto"/>
        </w:rPr>
      </w:pPr>
      <w:r>
        <w:rPr>
          <w:color w:val="auto"/>
        </w:rPr>
        <w:t>（7）罐车的检修，必须严格执行有关安全检修制度、安全动火制度以及防火防爆安全技术规程的规定。</w:t>
      </w:r>
    </w:p>
    <w:p>
      <w:pPr>
        <w:pStyle w:val="57"/>
        <w:rPr>
          <w:rFonts w:hint="eastAsia"/>
          <w:color w:val="auto"/>
          <w:highlight w:val="none"/>
          <w:lang w:val="en-US" w:eastAsia="zh-CN"/>
        </w:rPr>
      </w:pPr>
      <w:r>
        <w:rPr>
          <w:color w:val="auto"/>
        </w:rPr>
        <w:t>（8）罐车每次充装，都应按规定的表格认真填写充装记录。</w:t>
      </w:r>
    </w:p>
    <w:p>
      <w:pPr>
        <w:pStyle w:val="6"/>
        <w:rPr>
          <w:color w:val="auto"/>
          <w:highlight w:val="none"/>
        </w:rPr>
      </w:pPr>
      <w:r>
        <w:rPr>
          <w:rFonts w:hint="eastAsia"/>
          <w:color w:val="auto"/>
          <w:highlight w:val="none"/>
          <w:lang w:val="en-US" w:eastAsia="zh-CN"/>
        </w:rPr>
        <w:t>5.8.6.6</w:t>
      </w:r>
      <w:r>
        <w:rPr>
          <w:rFonts w:hint="eastAsia"/>
          <w:color w:val="auto"/>
          <w:highlight w:val="none"/>
        </w:rPr>
        <w:t>危险废物运输事故风险防范措施</w:t>
      </w:r>
      <w:bookmarkEnd w:id="712"/>
      <w:bookmarkEnd w:id="713"/>
    </w:p>
    <w:p>
      <w:pPr>
        <w:pStyle w:val="57"/>
        <w:rPr>
          <w:color w:val="auto"/>
          <w:highlight w:val="none"/>
        </w:rPr>
      </w:pPr>
      <w:r>
        <w:rPr>
          <w:color w:val="auto"/>
          <w:highlight w:val="none"/>
        </w:rPr>
        <w:t>（1）危险废物须按照《危险废物收集 贮存运输技术规范》（HJ2025-2012）相关要求，由专业人员进行押运。</w:t>
      </w:r>
    </w:p>
    <w:p>
      <w:pPr>
        <w:pStyle w:val="57"/>
        <w:rPr>
          <w:color w:val="auto"/>
          <w:highlight w:val="none"/>
        </w:rPr>
      </w:pPr>
      <w:r>
        <w:rPr>
          <w:color w:val="auto"/>
          <w:highlight w:val="none"/>
        </w:rPr>
        <w:t>（2）建设单位与危废资质单位共同研究危险废物运输的有关事宜，运输过程全控制，确保危险废物的运输安全可靠，减少或避免运输过程中的二次污染和可能造成的环境风险。</w:t>
      </w:r>
    </w:p>
    <w:p>
      <w:pPr>
        <w:pStyle w:val="57"/>
        <w:rPr>
          <w:color w:val="auto"/>
          <w:highlight w:val="none"/>
        </w:rPr>
      </w:pPr>
      <w:r>
        <w:rPr>
          <w:color w:val="auto"/>
          <w:highlight w:val="none"/>
        </w:rPr>
        <w:t>（3）对于污水、废液等的转运均要制定管理计划，如实记录有关信息，健全资料台账，转移车辆安装</w:t>
      </w:r>
      <w:r>
        <w:rPr>
          <w:rFonts w:hint="eastAsia"/>
          <w:color w:val="auto"/>
          <w:highlight w:val="none"/>
        </w:rPr>
        <w:t>定位系统</w:t>
      </w:r>
      <w:r>
        <w:rPr>
          <w:color w:val="auto"/>
          <w:highlight w:val="none"/>
        </w:rPr>
        <w:t>，并保存相关影像资料。</w:t>
      </w:r>
    </w:p>
    <w:p>
      <w:pPr>
        <w:pStyle w:val="57"/>
        <w:rPr>
          <w:color w:val="auto"/>
          <w:highlight w:val="none"/>
        </w:rPr>
      </w:pPr>
      <w:r>
        <w:rPr>
          <w:color w:val="auto"/>
          <w:highlight w:val="none"/>
        </w:rPr>
        <w:t>（4）出车前须对罐车的罐体、压力表、阀门等安全技术状况进行检查，发现故障排除后方可投入运行。</w:t>
      </w:r>
    </w:p>
    <w:p>
      <w:pPr>
        <w:pStyle w:val="57"/>
        <w:rPr>
          <w:color w:val="auto"/>
          <w:highlight w:val="none"/>
        </w:rPr>
      </w:pPr>
      <w:r>
        <w:rPr>
          <w:color w:val="auto"/>
          <w:highlight w:val="none"/>
        </w:rPr>
        <w:t>（5）加强各类储罐的日常管理及安全检查，要严格按章操作，废水、废液装车、卸车时，加强管理，避免跑冒滴漏现象，防止发生泄漏等安全事故。</w:t>
      </w:r>
    </w:p>
    <w:p>
      <w:pPr>
        <w:pStyle w:val="57"/>
        <w:rPr>
          <w:color w:val="auto"/>
          <w:highlight w:val="none"/>
        </w:rPr>
      </w:pPr>
      <w:r>
        <w:rPr>
          <w:color w:val="auto"/>
          <w:highlight w:val="none"/>
        </w:rPr>
        <w:t>（6）运输时提高拉运人员技术素质、加强责任心，严禁废水随意倾倒，贯彻安全驾驶机动车辆的行为规定，严格遵守交通法规，防止发生运输车辆事故。</w:t>
      </w:r>
    </w:p>
    <w:p>
      <w:pPr>
        <w:pStyle w:val="57"/>
        <w:rPr>
          <w:color w:val="auto"/>
          <w:highlight w:val="none"/>
        </w:rPr>
      </w:pPr>
      <w:r>
        <w:rPr>
          <w:color w:val="auto"/>
          <w:highlight w:val="none"/>
        </w:rPr>
        <w:t>（7）行车途中应勤检查，若有泄漏，应查找泄漏点，采取相应的应急措施，防止液体继续泄漏，受到污染的土壤要全部回收，委托具有相应危险废物处置资质单位进行处置。</w:t>
      </w:r>
    </w:p>
    <w:p>
      <w:pPr>
        <w:pStyle w:val="6"/>
        <w:rPr>
          <w:color w:val="auto"/>
          <w:highlight w:val="none"/>
        </w:rPr>
      </w:pPr>
      <w:bookmarkStart w:id="714" w:name="_Toc14472"/>
      <w:bookmarkStart w:id="715" w:name="_Toc10100"/>
      <w:r>
        <w:rPr>
          <w:rFonts w:hint="eastAsia"/>
          <w:color w:val="auto"/>
          <w:highlight w:val="none"/>
        </w:rPr>
        <w:t>5.8.6.</w:t>
      </w:r>
      <w:r>
        <w:rPr>
          <w:rFonts w:hint="eastAsia"/>
          <w:color w:val="auto"/>
          <w:highlight w:val="none"/>
          <w:lang w:val="en-US" w:eastAsia="zh-CN"/>
        </w:rPr>
        <w:t>7</w:t>
      </w:r>
      <w:r>
        <w:rPr>
          <w:rFonts w:hint="eastAsia"/>
          <w:color w:val="auto"/>
          <w:highlight w:val="none"/>
        </w:rPr>
        <w:t>重视和加强管理</w:t>
      </w:r>
      <w:bookmarkEnd w:id="714"/>
      <w:bookmarkEnd w:id="715"/>
    </w:p>
    <w:p>
      <w:pPr>
        <w:pStyle w:val="57"/>
        <w:rPr>
          <w:color w:val="auto"/>
          <w:highlight w:val="none"/>
        </w:rPr>
      </w:pPr>
      <w:r>
        <w:rPr>
          <w:rFonts w:hint="eastAsia"/>
          <w:color w:val="auto"/>
          <w:highlight w:val="none"/>
        </w:rPr>
        <w:t>除采取上述安全预防措施外，还应通过提高人员素质，加强责任心教育，完善有关操作条例等方法来防止人为因素引发的事故。</w:t>
      </w:r>
    </w:p>
    <w:p>
      <w:pPr>
        <w:pStyle w:val="57"/>
        <w:rPr>
          <w:color w:val="auto"/>
          <w:highlight w:val="none"/>
        </w:rPr>
      </w:pPr>
      <w:r>
        <w:rPr>
          <w:rFonts w:hint="eastAsia"/>
          <w:color w:val="auto"/>
          <w:highlight w:val="none"/>
        </w:rPr>
        <w:t>（1）对生产操作的工人必须培训经考核后上岗，使其了解工艺过程，熟悉操作规程，对各种情况能进行正确判断。</w:t>
      </w:r>
    </w:p>
    <w:p>
      <w:pPr>
        <w:pStyle w:val="57"/>
        <w:rPr>
          <w:color w:val="auto"/>
          <w:highlight w:val="none"/>
        </w:rPr>
      </w:pPr>
      <w:r>
        <w:rPr>
          <w:rFonts w:hint="eastAsia"/>
          <w:color w:val="auto"/>
          <w:highlight w:val="none"/>
        </w:rPr>
        <w:t>（2）加强干部、职工的风险意识和环境意识教育，增强安全、环保意识。建立健全各种规章制度、规程，使制度落到实处，严格遵守，杜绝违章作业。</w:t>
      </w:r>
    </w:p>
    <w:p>
      <w:pPr>
        <w:pStyle w:val="57"/>
        <w:rPr>
          <w:color w:val="auto"/>
          <w:highlight w:val="none"/>
        </w:rPr>
      </w:pPr>
      <w:r>
        <w:rPr>
          <w:rFonts w:hint="eastAsia"/>
          <w:color w:val="auto"/>
          <w:highlight w:val="none"/>
        </w:rPr>
        <w:t>（3）经常对职工进行爱岗教育，使职工安心本职工作，遵守劳动纪律，避免因责任心不强、操作中疏忽大意、擅离职守等原因造成的事故。</w:t>
      </w:r>
    </w:p>
    <w:p>
      <w:pPr>
        <w:pStyle w:val="6"/>
        <w:rPr>
          <w:color w:val="auto"/>
          <w:highlight w:val="none"/>
        </w:rPr>
      </w:pPr>
      <w:bookmarkStart w:id="716" w:name="_Toc20657"/>
      <w:bookmarkStart w:id="717" w:name="_Toc20601"/>
      <w:r>
        <w:rPr>
          <w:rFonts w:hint="eastAsia"/>
          <w:color w:val="auto"/>
          <w:highlight w:val="none"/>
        </w:rPr>
        <w:t>5.8.6.</w:t>
      </w:r>
      <w:r>
        <w:rPr>
          <w:rFonts w:hint="eastAsia"/>
          <w:color w:val="auto"/>
          <w:highlight w:val="none"/>
          <w:lang w:val="en-US" w:eastAsia="zh-CN"/>
        </w:rPr>
        <w:t>8</w:t>
      </w:r>
      <w:r>
        <w:rPr>
          <w:rFonts w:hint="eastAsia"/>
          <w:color w:val="auto"/>
          <w:highlight w:val="none"/>
        </w:rPr>
        <w:t>突发环境风险应急预案</w:t>
      </w:r>
      <w:bookmarkEnd w:id="716"/>
      <w:bookmarkEnd w:id="717"/>
    </w:p>
    <w:p>
      <w:pPr>
        <w:pStyle w:val="57"/>
        <w:rPr>
          <w:rFonts w:hint="eastAsia"/>
          <w:color w:val="auto"/>
          <w:highlight w:val="none"/>
        </w:rPr>
      </w:pPr>
      <w:r>
        <w:rPr>
          <w:rFonts w:hint="eastAsia"/>
          <w:color w:val="auto"/>
          <w:highlight w:val="none"/>
        </w:rPr>
        <w:t>对于重大或不可接受的风险（主要是物料严重泄漏、火灾爆炸造成重大人员伤害等），制定应急响应方案，建立应急反应体系，当事故一旦发生时可迅速加以控制，使危害和损失降低到尽可能低的程度。定期按照应急预案内容进行应急演练，应急物资配备齐全，出现风险事故时能够及时应对。</w:t>
      </w:r>
      <w:r>
        <w:rPr>
          <w:rFonts w:hint="eastAsia"/>
          <w:color w:val="auto"/>
          <w:highlight w:val="none"/>
          <w:lang w:val="en-US" w:eastAsia="zh-CN"/>
        </w:rPr>
        <w:t>风城油田作业区已</w:t>
      </w:r>
      <w:r>
        <w:rPr>
          <w:rFonts w:hint="eastAsia"/>
          <w:color w:val="auto"/>
          <w:highlight w:val="none"/>
        </w:rPr>
        <w:t>编制完成并发布了《</w:t>
      </w:r>
      <w:r>
        <w:rPr>
          <w:rFonts w:hint="eastAsia"/>
          <w:color w:val="auto"/>
          <w:highlight w:val="none"/>
          <w:lang w:val="zh-CN"/>
        </w:rPr>
        <w:t>风城油田作业区突发环境事件应急预案</w:t>
      </w:r>
      <w:r>
        <w:rPr>
          <w:rFonts w:hint="eastAsia"/>
          <w:color w:val="auto"/>
          <w:highlight w:val="none"/>
        </w:rPr>
        <w:t>》</w:t>
      </w:r>
      <w:r>
        <w:rPr>
          <w:rFonts w:hint="eastAsia"/>
          <w:color w:val="auto"/>
          <w:highlight w:val="none"/>
          <w:lang w:eastAsia="zh-CN"/>
        </w:rPr>
        <w:t>（</w:t>
      </w:r>
      <w:r>
        <w:rPr>
          <w:rFonts w:hint="eastAsia"/>
          <w:color w:val="auto"/>
          <w:highlight w:val="none"/>
        </w:rPr>
        <w:t>备案编号</w:t>
      </w:r>
      <w:r>
        <w:rPr>
          <w:rFonts w:hint="eastAsia"/>
          <w:color w:val="auto"/>
          <w:highlight w:val="none"/>
          <w:lang w:eastAsia="zh-CN"/>
        </w:rPr>
        <w:t>65</w:t>
      </w:r>
      <w:r>
        <w:rPr>
          <w:rFonts w:hint="eastAsia"/>
          <w:color w:val="auto"/>
          <w:highlight w:val="none"/>
          <w:lang w:val="en-US" w:eastAsia="zh-CN"/>
        </w:rPr>
        <w:t>0205</w:t>
      </w:r>
      <w:r>
        <w:rPr>
          <w:rFonts w:hint="eastAsia"/>
          <w:color w:val="auto"/>
          <w:highlight w:val="none"/>
          <w:lang w:eastAsia="zh-CN"/>
        </w:rPr>
        <w:t>-20</w:t>
      </w:r>
      <w:r>
        <w:rPr>
          <w:rFonts w:hint="eastAsia"/>
          <w:color w:val="auto"/>
          <w:highlight w:val="none"/>
          <w:lang w:val="en-US" w:eastAsia="zh-CN"/>
        </w:rPr>
        <w:t>23</w:t>
      </w:r>
      <w:r>
        <w:rPr>
          <w:rFonts w:hint="eastAsia"/>
          <w:color w:val="auto"/>
          <w:highlight w:val="none"/>
          <w:lang w:eastAsia="zh-CN"/>
        </w:rPr>
        <w:t>-0</w:t>
      </w:r>
      <w:r>
        <w:rPr>
          <w:rFonts w:hint="eastAsia"/>
          <w:color w:val="auto"/>
          <w:highlight w:val="none"/>
          <w:lang w:val="en-US" w:eastAsia="zh-CN"/>
        </w:rPr>
        <w:t>1</w:t>
      </w:r>
      <w:r>
        <w:rPr>
          <w:rFonts w:hint="eastAsia"/>
          <w:color w:val="auto"/>
          <w:highlight w:val="none"/>
          <w:lang w:eastAsia="zh-CN"/>
        </w:rPr>
        <w:t>6-L）</w:t>
      </w:r>
      <w:r>
        <w:rPr>
          <w:rFonts w:hint="eastAsia"/>
          <w:color w:val="auto"/>
          <w:highlight w:val="none"/>
        </w:rPr>
        <w:t>。本工程生产过程中存在的事故类型主要为：井喷</w:t>
      </w:r>
      <w:r>
        <w:rPr>
          <w:rFonts w:hint="eastAsia"/>
          <w:color w:val="auto"/>
          <w:highlight w:val="none"/>
          <w:lang w:eastAsia="zh-CN"/>
        </w:rPr>
        <w:t>、</w:t>
      </w:r>
      <w:r>
        <w:rPr>
          <w:rFonts w:hint="eastAsia"/>
          <w:color w:val="auto"/>
          <w:highlight w:val="none"/>
          <w:lang w:val="en-US" w:eastAsia="zh-CN"/>
        </w:rPr>
        <w:t>井漏、</w:t>
      </w:r>
      <w:r>
        <w:rPr>
          <w:rFonts w:hint="eastAsia"/>
          <w:color w:val="auto"/>
          <w:highlight w:val="none"/>
        </w:rPr>
        <w:t>油气管道泄漏、火灾爆炸。</w:t>
      </w:r>
      <w:r>
        <w:rPr>
          <w:rFonts w:hint="eastAsia"/>
          <w:color w:val="auto"/>
          <w:highlight w:val="none"/>
          <w:lang w:val="en-US" w:eastAsia="zh-CN"/>
        </w:rPr>
        <w:t>风城油田作业区</w:t>
      </w:r>
      <w:r>
        <w:rPr>
          <w:rFonts w:hint="eastAsia"/>
          <w:color w:val="auto"/>
          <w:highlight w:val="none"/>
        </w:rPr>
        <w:t>现有应急预案基本可以满足风险应急的需求。本评价建议将本次建设内</w:t>
      </w:r>
      <w:r>
        <w:rPr>
          <w:rFonts w:hint="eastAsia"/>
          <w:color w:val="auto"/>
          <w:highlight w:val="none"/>
          <w:lang w:eastAsia="zh-CN"/>
        </w:rPr>
        <w:t>容的</w:t>
      </w:r>
      <w:r>
        <w:rPr>
          <w:rFonts w:hint="eastAsia"/>
          <w:color w:val="auto"/>
          <w:highlight w:val="none"/>
        </w:rPr>
        <w:t>突发环境事件应急预案纳入</w:t>
      </w:r>
      <w:r>
        <w:rPr>
          <w:rFonts w:hint="eastAsia"/>
          <w:color w:val="auto"/>
          <w:highlight w:val="none"/>
          <w:lang w:val="en-US" w:eastAsia="zh-CN"/>
        </w:rPr>
        <w:t>风城油田作业区</w:t>
      </w:r>
      <w:r>
        <w:rPr>
          <w:rFonts w:hint="eastAsia"/>
          <w:color w:val="auto"/>
          <w:highlight w:val="none"/>
        </w:rPr>
        <w:t>现有突发环境事件应急预案中，对现有突发环境事件应急预案进行必要的完善和补充。</w:t>
      </w:r>
    </w:p>
    <w:p>
      <w:pPr>
        <w:pStyle w:val="6"/>
        <w:rPr>
          <w:color w:val="auto"/>
          <w:highlight w:val="none"/>
        </w:rPr>
      </w:pPr>
      <w:bookmarkStart w:id="718" w:name="_Toc20651"/>
      <w:bookmarkStart w:id="719" w:name="_Toc29180"/>
      <w:r>
        <w:rPr>
          <w:rFonts w:hint="eastAsia"/>
          <w:color w:val="auto"/>
          <w:highlight w:val="none"/>
        </w:rPr>
        <w:t>5.8.6.</w:t>
      </w:r>
      <w:r>
        <w:rPr>
          <w:rFonts w:hint="eastAsia"/>
          <w:color w:val="auto"/>
          <w:highlight w:val="none"/>
          <w:lang w:val="en-US" w:eastAsia="zh-CN"/>
        </w:rPr>
        <w:t>9</w:t>
      </w:r>
      <w:r>
        <w:rPr>
          <w:rFonts w:hint="eastAsia"/>
          <w:color w:val="auto"/>
          <w:highlight w:val="none"/>
        </w:rPr>
        <w:t>环境风险应急处置措施</w:t>
      </w:r>
      <w:bookmarkEnd w:id="718"/>
      <w:bookmarkEnd w:id="719"/>
    </w:p>
    <w:p>
      <w:pPr>
        <w:pStyle w:val="57"/>
        <w:rPr>
          <w:color w:val="auto"/>
          <w:highlight w:val="none"/>
        </w:rPr>
      </w:pPr>
      <w:r>
        <w:rPr>
          <w:rFonts w:hint="eastAsia"/>
          <w:color w:val="auto"/>
          <w:highlight w:val="none"/>
        </w:rPr>
        <w:t>（</w:t>
      </w:r>
      <w:r>
        <w:rPr>
          <w:color w:val="auto"/>
          <w:highlight w:val="none"/>
        </w:rPr>
        <w:t>1</w:t>
      </w:r>
      <w:r>
        <w:rPr>
          <w:rFonts w:hint="eastAsia"/>
          <w:color w:val="auto"/>
          <w:highlight w:val="none"/>
        </w:rPr>
        <w:t>）井场、站场泄漏处置</w:t>
      </w:r>
    </w:p>
    <w:p>
      <w:pPr>
        <w:pStyle w:val="57"/>
        <w:rPr>
          <w:snapToGrid w:val="0"/>
          <w:color w:val="auto"/>
          <w:highlight w:val="none"/>
        </w:rPr>
      </w:pPr>
      <w:r>
        <w:rPr>
          <w:rFonts w:hint="eastAsia"/>
          <w:snapToGrid w:val="0"/>
          <w:color w:val="auto"/>
          <w:highlight w:val="none"/>
        </w:rPr>
        <w:t>①应迅速封闭事故现场，抢救现场窒息人员，发出甲烷报警信号，进行交通管制，禁止外人进入现场，控制事态发展；</w:t>
      </w:r>
      <w:r>
        <w:rPr>
          <w:snapToGrid w:val="0"/>
          <w:color w:val="auto"/>
          <w:highlight w:val="none"/>
        </w:rPr>
        <w:t xml:space="preserve"> </w:t>
      </w:r>
    </w:p>
    <w:p>
      <w:pPr>
        <w:pStyle w:val="57"/>
        <w:rPr>
          <w:snapToGrid w:val="0"/>
          <w:color w:val="auto"/>
          <w:highlight w:val="none"/>
        </w:rPr>
      </w:pPr>
      <w:r>
        <w:rPr>
          <w:rFonts w:hint="eastAsia"/>
          <w:snapToGrid w:val="0"/>
          <w:color w:val="auto"/>
          <w:highlight w:val="none"/>
        </w:rPr>
        <w:t>②关断泄漏处两端阀门或关停设备，对泄漏处进行紧急堵漏处理；</w:t>
      </w:r>
    </w:p>
    <w:p>
      <w:pPr>
        <w:pStyle w:val="57"/>
        <w:rPr>
          <w:snapToGrid w:val="0"/>
          <w:color w:val="auto"/>
          <w:highlight w:val="none"/>
        </w:rPr>
      </w:pPr>
      <w:r>
        <w:rPr>
          <w:rFonts w:hint="eastAsia"/>
          <w:snapToGrid w:val="0"/>
          <w:color w:val="auto"/>
          <w:highlight w:val="none"/>
        </w:rPr>
        <w:t>③对于泄漏的原油进行有效防护或转移到安全处，防止发生火灾、爆炸事故；</w:t>
      </w:r>
    </w:p>
    <w:p>
      <w:pPr>
        <w:pStyle w:val="57"/>
        <w:rPr>
          <w:snapToGrid w:val="0"/>
          <w:color w:val="auto"/>
          <w:highlight w:val="none"/>
        </w:rPr>
      </w:pPr>
      <w:r>
        <w:rPr>
          <w:rFonts w:hint="eastAsia"/>
          <w:snapToGrid w:val="0"/>
          <w:color w:val="auto"/>
          <w:highlight w:val="none"/>
        </w:rPr>
        <w:t>④采取围堰堵截的方式，使泄漏物不外流，防止污染物扩散，确保总排口阀门处于关闭状态，如果发生大型泄漏或火灾事故，启用事故应急池导流设施将物料或消防水引</w:t>
      </w:r>
      <w:r>
        <w:rPr>
          <w:rFonts w:hint="eastAsia"/>
          <w:color w:val="auto"/>
          <w:highlight w:val="none"/>
          <w:lang w:val="en-US" w:eastAsia="zh-CN"/>
        </w:rPr>
        <w:t>至</w:t>
      </w:r>
      <w:r>
        <w:rPr>
          <w:rFonts w:hint="eastAsia"/>
          <w:snapToGrid w:val="0"/>
          <w:color w:val="auto"/>
          <w:highlight w:val="none"/>
        </w:rPr>
        <w:t>应急池或应急罐；</w:t>
      </w:r>
    </w:p>
    <w:p>
      <w:pPr>
        <w:pStyle w:val="57"/>
        <w:rPr>
          <w:snapToGrid w:val="0"/>
          <w:color w:val="auto"/>
          <w:highlight w:val="none"/>
        </w:rPr>
      </w:pPr>
      <w:r>
        <w:rPr>
          <w:rFonts w:hint="eastAsia"/>
          <w:snapToGrid w:val="0"/>
          <w:color w:val="auto"/>
          <w:highlight w:val="none"/>
        </w:rPr>
        <w:t>⑤现场密切监测泄漏物、泄漏点状况，当泄漏无法控制时，人员在切断泄漏点与生产系统等的连接后，根据风向标的指示，紧急撤离至安全区域；</w:t>
      </w:r>
    </w:p>
    <w:p>
      <w:pPr>
        <w:pStyle w:val="57"/>
        <w:rPr>
          <w:snapToGrid w:val="0"/>
          <w:color w:val="auto"/>
          <w:highlight w:val="none"/>
        </w:rPr>
      </w:pPr>
      <w:r>
        <w:rPr>
          <w:rFonts w:hint="eastAsia"/>
          <w:snapToGrid w:val="0"/>
          <w:color w:val="auto"/>
          <w:highlight w:val="none"/>
        </w:rPr>
        <w:t>⑥如果少量泄漏，采取用</w:t>
      </w:r>
      <w:r>
        <w:rPr>
          <w:rFonts w:hint="eastAsia"/>
          <w:snapToGrid w:val="0"/>
          <w:color w:val="auto"/>
          <w:highlight w:val="none"/>
          <w:lang w:eastAsia="zh-CN"/>
        </w:rPr>
        <w:t>砂石</w:t>
      </w:r>
      <w:r>
        <w:rPr>
          <w:rFonts w:hint="eastAsia"/>
          <w:snapToGrid w:val="0"/>
          <w:color w:val="auto"/>
          <w:highlight w:val="none"/>
        </w:rPr>
        <w:t>填埋、泡沫覆盖的方式处理，杜绝泄漏物流入雨排管网；如果量大，则用工具进行收集；</w:t>
      </w:r>
    </w:p>
    <w:p>
      <w:pPr>
        <w:pStyle w:val="57"/>
        <w:rPr>
          <w:snapToGrid w:val="0"/>
          <w:color w:val="auto"/>
          <w:highlight w:val="none"/>
        </w:rPr>
      </w:pPr>
      <w:r>
        <w:rPr>
          <w:rFonts w:hint="eastAsia"/>
          <w:snapToGrid w:val="0"/>
          <w:color w:val="auto"/>
          <w:highlight w:val="none"/>
        </w:rPr>
        <w:t>⑦确定是否已有泄漏物质进入大气、附近水体、下水道等场所；</w:t>
      </w:r>
    </w:p>
    <w:p>
      <w:pPr>
        <w:pStyle w:val="57"/>
        <w:rPr>
          <w:snapToGrid w:val="0"/>
          <w:color w:val="auto"/>
          <w:highlight w:val="none"/>
        </w:rPr>
      </w:pPr>
      <w:r>
        <w:rPr>
          <w:rFonts w:hint="eastAsia"/>
          <w:snapToGrid w:val="0"/>
          <w:color w:val="auto"/>
          <w:highlight w:val="none"/>
        </w:rPr>
        <w:t>⑧事件发生后，应急监测小组对周围大气污染物浓度进行监测，及时、准确地确定超标的项目及超标量，立即向应急指挥中心汇报监测结果。</w:t>
      </w:r>
    </w:p>
    <w:p>
      <w:pPr>
        <w:pStyle w:val="57"/>
        <w:rPr>
          <w:snapToGrid w:val="0"/>
          <w:color w:val="auto"/>
          <w:highlight w:val="none"/>
        </w:rPr>
      </w:pPr>
      <w:r>
        <w:rPr>
          <w:rFonts w:hint="eastAsia"/>
          <w:snapToGrid w:val="0"/>
          <w:color w:val="auto"/>
          <w:highlight w:val="none"/>
        </w:rPr>
        <w:t>⑨监测有害气体浓度，根据现场风向，协调当地政府部门疏散现场及周边无关人员；</w:t>
      </w:r>
    </w:p>
    <w:p>
      <w:pPr>
        <w:pStyle w:val="57"/>
        <w:rPr>
          <w:snapToGrid w:val="0"/>
          <w:color w:val="auto"/>
          <w:highlight w:val="none"/>
        </w:rPr>
      </w:pPr>
      <w:r>
        <w:rPr>
          <w:rFonts w:hint="eastAsia"/>
          <w:snapToGrid w:val="0"/>
          <w:color w:val="auto"/>
          <w:highlight w:val="none"/>
        </w:rPr>
        <w:t>⑩现场人员生命受到威胁、撤离现场无望时，现场应急指挥应立即发出点火指令。</w:t>
      </w:r>
    </w:p>
    <w:p>
      <w:pPr>
        <w:pStyle w:val="57"/>
        <w:rPr>
          <w:color w:val="auto"/>
          <w:highlight w:val="none"/>
        </w:rPr>
      </w:pPr>
      <w:r>
        <w:rPr>
          <w:rFonts w:hint="eastAsia"/>
          <w:color w:val="auto"/>
          <w:highlight w:val="none"/>
        </w:rPr>
        <w:t>（</w:t>
      </w:r>
      <w:r>
        <w:rPr>
          <w:color w:val="auto"/>
          <w:highlight w:val="none"/>
        </w:rPr>
        <w:t>2</w:t>
      </w:r>
      <w:r>
        <w:rPr>
          <w:rFonts w:hint="eastAsia"/>
          <w:color w:val="auto"/>
          <w:highlight w:val="none"/>
        </w:rPr>
        <w:t>）管道泄漏处置</w:t>
      </w:r>
    </w:p>
    <w:p>
      <w:pPr>
        <w:pStyle w:val="57"/>
        <w:bidi w:val="0"/>
        <w:rPr>
          <w:color w:val="auto"/>
        </w:rPr>
      </w:pPr>
      <w:r>
        <w:rPr>
          <w:rFonts w:ascii="Times New Roman" w:hAnsi="Times New Roman" w:cs="Times New Roman"/>
          <w:color w:val="auto"/>
        </w:rPr>
        <w:t>①</w:t>
      </w:r>
      <w:r>
        <w:rPr>
          <w:color w:val="auto"/>
        </w:rPr>
        <w:t>如出现人员伤亡，在确保安全前提下先组织专业医疗救护小组抢救现场中毒人员和受伤人员；</w:t>
      </w:r>
    </w:p>
    <w:p>
      <w:pPr>
        <w:pStyle w:val="57"/>
        <w:bidi w:val="0"/>
        <w:rPr>
          <w:color w:val="auto"/>
        </w:rPr>
      </w:pPr>
      <w:r>
        <w:rPr>
          <w:color w:val="auto"/>
        </w:rPr>
        <w:t>②切断管道泄漏源，封闭事件现场和危险区域，周边设置警示标识，同时组织人员切断周边着火源，防止事态扩大和引发次生事故；</w:t>
      </w:r>
    </w:p>
    <w:p>
      <w:pPr>
        <w:pStyle w:val="57"/>
        <w:bidi w:val="0"/>
        <w:rPr>
          <w:color w:val="auto"/>
        </w:rPr>
      </w:pPr>
      <w:r>
        <w:rPr>
          <w:color w:val="auto"/>
        </w:rPr>
        <w:t>③配合地方政府有关部门设置警戒线，划定安全区域，组织撤离、疏散周边居民、群众；</w:t>
      </w:r>
    </w:p>
    <w:p>
      <w:pPr>
        <w:pStyle w:val="57"/>
        <w:bidi w:val="0"/>
        <w:rPr>
          <w:color w:val="auto"/>
        </w:rPr>
      </w:pPr>
      <w:r>
        <w:rPr>
          <w:color w:val="auto"/>
        </w:rPr>
        <w:t>④组织油气管道泄漏的围控、处置；</w:t>
      </w:r>
    </w:p>
    <w:p>
      <w:pPr>
        <w:pStyle w:val="57"/>
        <w:bidi w:val="0"/>
        <w:rPr>
          <w:color w:val="auto"/>
        </w:rPr>
      </w:pPr>
      <w:r>
        <w:rPr>
          <w:color w:val="auto"/>
        </w:rPr>
        <w:t>⑤油气管道泄漏原油回收并妥善处理；</w:t>
      </w:r>
    </w:p>
    <w:p>
      <w:pPr>
        <w:pStyle w:val="57"/>
        <w:bidi w:val="0"/>
        <w:rPr>
          <w:color w:val="auto"/>
        </w:rPr>
      </w:pPr>
      <w:r>
        <w:rPr>
          <w:color w:val="auto"/>
        </w:rPr>
        <w:t>⑥对污染现场进行清理，并确保达到环境保护要求。</w:t>
      </w:r>
    </w:p>
    <w:p>
      <w:pPr>
        <w:pStyle w:val="57"/>
        <w:bidi w:val="0"/>
        <w:rPr>
          <w:color w:val="auto"/>
        </w:rPr>
      </w:pPr>
      <w:r>
        <w:rPr>
          <w:color w:val="auto"/>
        </w:rPr>
        <w:t>⑦应迅速停运泄漏管道，必要时实行紧急放空。同时，封闭事故现场，发出天然气泄漏报警；</w:t>
      </w:r>
    </w:p>
    <w:p>
      <w:pPr>
        <w:pStyle w:val="57"/>
        <w:bidi w:val="0"/>
        <w:rPr>
          <w:color w:val="auto"/>
        </w:rPr>
      </w:pPr>
      <w:r>
        <w:rPr>
          <w:color w:val="auto"/>
        </w:rPr>
        <w:t>⑧监测有害气体浓度，根据现场风向，加强现场人员的个人防护，疏散现场及周边无关人员和公众</w:t>
      </w:r>
    </w:p>
    <w:p>
      <w:pPr>
        <w:pStyle w:val="57"/>
        <w:bidi w:val="0"/>
        <w:rPr>
          <w:color w:val="auto"/>
        </w:rPr>
      </w:pPr>
      <w:r>
        <w:rPr>
          <w:color w:val="auto"/>
        </w:rPr>
        <w:t>⑨条件允许时，迅速组织力量对泄漏管道进行封堵、抢修作业；</w:t>
      </w:r>
    </w:p>
    <w:p>
      <w:pPr>
        <w:pStyle w:val="57"/>
        <w:bidi w:val="0"/>
        <w:rPr>
          <w:color w:val="auto"/>
        </w:rPr>
      </w:pPr>
      <w:r>
        <w:rPr>
          <w:color w:val="auto"/>
        </w:rPr>
        <w:t>⑩放空的天然气应通过放空火炬点燃烧掉，当火炬高度小于1m时应立即关闭放空阀门。</w:t>
      </w:r>
    </w:p>
    <w:p>
      <w:pPr>
        <w:pStyle w:val="57"/>
        <w:rPr>
          <w:color w:val="auto"/>
          <w:highlight w:val="none"/>
        </w:rPr>
      </w:pPr>
      <w:r>
        <w:rPr>
          <w:rFonts w:hint="eastAsia"/>
          <w:color w:val="auto"/>
          <w:highlight w:val="none"/>
        </w:rPr>
        <w:t>（3）火灾应急处置措施</w:t>
      </w:r>
    </w:p>
    <w:p>
      <w:pPr>
        <w:pStyle w:val="57"/>
        <w:rPr>
          <w:color w:val="auto"/>
          <w:highlight w:val="none"/>
        </w:rPr>
      </w:pPr>
      <w:r>
        <w:rPr>
          <w:rFonts w:hint="eastAsia"/>
          <w:color w:val="auto"/>
          <w:highlight w:val="none"/>
        </w:rPr>
        <w:t>1）立即阻断火源，并组织灭火；</w:t>
      </w:r>
    </w:p>
    <w:p>
      <w:pPr>
        <w:pStyle w:val="57"/>
        <w:rPr>
          <w:color w:val="auto"/>
          <w:highlight w:val="none"/>
        </w:rPr>
      </w:pPr>
      <w:r>
        <w:rPr>
          <w:rFonts w:hint="eastAsia"/>
          <w:color w:val="auto"/>
          <w:highlight w:val="none"/>
        </w:rPr>
        <w:t>2）确定警戒范围，撤离无关人员。</w:t>
      </w:r>
    </w:p>
    <w:p>
      <w:pPr>
        <w:pStyle w:val="57"/>
        <w:rPr>
          <w:color w:val="auto"/>
          <w:highlight w:val="none"/>
        </w:rPr>
      </w:pPr>
      <w:r>
        <w:rPr>
          <w:rFonts w:hint="eastAsia"/>
          <w:color w:val="auto"/>
          <w:highlight w:val="none"/>
        </w:rPr>
        <w:t>3）火灾扑救过程中，专家组应根据危险区的危害因素和火灾发展趋势进行动态评估，及时提出灭火指导意见；</w:t>
      </w:r>
    </w:p>
    <w:p>
      <w:pPr>
        <w:pStyle w:val="57"/>
        <w:rPr>
          <w:color w:val="auto"/>
          <w:highlight w:val="none"/>
        </w:rPr>
      </w:pPr>
      <w:r>
        <w:rPr>
          <w:rFonts w:hint="eastAsia"/>
          <w:color w:val="auto"/>
          <w:highlight w:val="none"/>
        </w:rPr>
        <w:t>4）灭火完毕后，立即清理火灾现场</w:t>
      </w:r>
      <w:r>
        <w:rPr>
          <w:rFonts w:hint="eastAsia" w:hAnsi="Cambria Math"/>
          <w:color w:val="auto"/>
          <w:highlight w:val="none"/>
        </w:rPr>
        <w:t>。</w:t>
      </w:r>
    </w:p>
    <w:p>
      <w:pPr>
        <w:pStyle w:val="57"/>
        <w:rPr>
          <w:color w:val="auto"/>
          <w:highlight w:val="none"/>
        </w:rPr>
      </w:pPr>
      <w:r>
        <w:rPr>
          <w:rFonts w:hint="eastAsia"/>
          <w:color w:val="auto"/>
          <w:highlight w:val="none"/>
        </w:rPr>
        <w:t>（</w:t>
      </w:r>
      <w:r>
        <w:rPr>
          <w:rFonts w:hint="eastAsia"/>
          <w:color w:val="auto"/>
          <w:highlight w:val="none"/>
          <w:lang w:val="en-US" w:eastAsia="zh-CN"/>
        </w:rPr>
        <w:t>4</w:t>
      </w:r>
      <w:r>
        <w:rPr>
          <w:rFonts w:hint="eastAsia"/>
          <w:color w:val="auto"/>
          <w:highlight w:val="none"/>
        </w:rPr>
        <w:t xml:space="preserve">）危险废物泄漏造成的环境突发事件应急处置 </w:t>
      </w:r>
    </w:p>
    <w:p>
      <w:pPr>
        <w:pStyle w:val="57"/>
        <w:rPr>
          <w:color w:val="auto"/>
          <w:highlight w:val="none"/>
        </w:rPr>
      </w:pPr>
      <w:r>
        <w:rPr>
          <w:rFonts w:hint="eastAsia"/>
          <w:color w:val="auto"/>
          <w:highlight w:val="none"/>
        </w:rPr>
        <w:t>本工程涉及的危险废物主要为油泥砂等，委托有危废处置资质单位进行及时清运，泄漏事故率较低。井场、站场人员对危险废物存放点进行巡查，每班1</w:t>
      </w:r>
      <w:r>
        <w:rPr>
          <w:rFonts w:hint="eastAsia"/>
          <w:color w:val="auto"/>
          <w:highlight w:val="none"/>
          <w:lang w:eastAsia="zh-CN"/>
        </w:rPr>
        <w:t>～</w:t>
      </w:r>
      <w:r>
        <w:rPr>
          <w:rFonts w:hint="eastAsia"/>
          <w:color w:val="auto"/>
          <w:highlight w:val="none"/>
        </w:rPr>
        <w:t>2次，当发现危险废物泄漏时应通知站场负责人，按以下方法进行处置：</w:t>
      </w:r>
    </w:p>
    <w:p>
      <w:pPr>
        <w:pStyle w:val="57"/>
        <w:rPr>
          <w:color w:val="auto"/>
          <w:highlight w:val="none"/>
        </w:rPr>
      </w:pPr>
      <w:r>
        <w:rPr>
          <w:rFonts w:hint="eastAsia"/>
          <w:color w:val="auto"/>
          <w:highlight w:val="none"/>
        </w:rPr>
        <w:t>1）消除火源；</w:t>
      </w:r>
    </w:p>
    <w:p>
      <w:pPr>
        <w:pStyle w:val="57"/>
        <w:rPr>
          <w:color w:val="auto"/>
          <w:highlight w:val="none"/>
        </w:rPr>
      </w:pPr>
      <w:r>
        <w:rPr>
          <w:rFonts w:hint="eastAsia"/>
          <w:color w:val="auto"/>
          <w:highlight w:val="none"/>
        </w:rPr>
        <w:t>2）根据液体流动和蒸气扩散的影响区域划定警戒区，无关人员从侧风、上风向撤离至安全区；</w:t>
      </w:r>
    </w:p>
    <w:p>
      <w:pPr>
        <w:pStyle w:val="57"/>
        <w:rPr>
          <w:color w:val="auto"/>
          <w:highlight w:val="none"/>
        </w:rPr>
      </w:pPr>
      <w:r>
        <w:rPr>
          <w:rFonts w:hint="eastAsia"/>
          <w:color w:val="auto"/>
          <w:highlight w:val="none"/>
        </w:rPr>
        <w:t>3）应急处理人员戴好防护口罩；</w:t>
      </w:r>
    </w:p>
    <w:p>
      <w:pPr>
        <w:pStyle w:val="57"/>
        <w:rPr>
          <w:color w:val="auto"/>
          <w:highlight w:val="none"/>
        </w:rPr>
      </w:pPr>
      <w:r>
        <w:rPr>
          <w:rFonts w:hint="eastAsia"/>
          <w:color w:val="auto"/>
          <w:highlight w:val="none"/>
        </w:rPr>
        <w:t>4）作业时使用的所有设备应接地，禁止接触或跨越泄漏物，尽可能切断泄漏源。防止泄漏物进入水体、下水道、地下室或密闭性空间；</w:t>
      </w:r>
    </w:p>
    <w:p>
      <w:pPr>
        <w:pStyle w:val="57"/>
        <w:rPr>
          <w:color w:val="auto"/>
          <w:highlight w:val="none"/>
        </w:rPr>
      </w:pPr>
      <w:r>
        <w:rPr>
          <w:rFonts w:hint="eastAsia"/>
          <w:color w:val="auto"/>
          <w:highlight w:val="none"/>
        </w:rPr>
        <w:t>小量泄漏：用砂土</w:t>
      </w:r>
      <w:r>
        <w:rPr>
          <w:rFonts w:hint="eastAsia"/>
          <w:color w:val="auto"/>
          <w:highlight w:val="none"/>
          <w:lang w:eastAsia="zh-CN"/>
        </w:rPr>
        <w:t>或其他</w:t>
      </w:r>
      <w:r>
        <w:rPr>
          <w:rFonts w:hint="eastAsia"/>
          <w:color w:val="auto"/>
          <w:highlight w:val="none"/>
        </w:rPr>
        <w:t>无火花工具收集吸收材料。</w:t>
      </w:r>
    </w:p>
    <w:p>
      <w:pPr>
        <w:pStyle w:val="57"/>
        <w:rPr>
          <w:color w:val="auto"/>
          <w:highlight w:val="none"/>
        </w:rPr>
      </w:pPr>
      <w:r>
        <w:rPr>
          <w:rFonts w:hint="eastAsia"/>
          <w:color w:val="auto"/>
          <w:highlight w:val="none"/>
        </w:rPr>
        <w:t>大量泄漏：构筑围堤或挖坑收容。用泡沫覆盖，减少蒸发，用防爆泵转移至槽车或专用收集器内。</w:t>
      </w:r>
    </w:p>
    <w:p>
      <w:pPr>
        <w:pStyle w:val="53"/>
        <w:rPr>
          <w:rFonts w:ascii="宋体" w:hAnsi="宋体" w:eastAsia="宋体" w:cs="宋体"/>
          <w:color w:val="auto"/>
          <w:szCs w:val="24"/>
          <w:highlight w:val="none"/>
        </w:rPr>
      </w:pPr>
      <w:r>
        <w:rPr>
          <w:color w:val="auto"/>
          <w:highlight w:val="none"/>
        </w:rPr>
        <w:fldChar w:fldCharType="begin"/>
      </w:r>
      <w:r>
        <w:rPr>
          <w:color w:val="auto"/>
          <w:highlight w:val="none"/>
        </w:rPr>
        <w:instrText xml:space="preserve"> HYPERLINK \l "_Toc31633" </w:instrText>
      </w:r>
      <w:r>
        <w:rPr>
          <w:color w:val="auto"/>
          <w:highlight w:val="none"/>
        </w:rPr>
        <w:fldChar w:fldCharType="separate"/>
      </w:r>
      <w:r>
        <w:rPr>
          <w:rFonts w:hint="eastAsia"/>
          <w:color w:val="auto"/>
          <w:highlight w:val="none"/>
        </w:rPr>
        <w:t>5.8.7 环境风险分析结论</w:t>
      </w:r>
      <w:r>
        <w:rPr>
          <w:rFonts w:hint="eastAsia"/>
          <w:color w:val="auto"/>
          <w:highlight w:val="none"/>
        </w:rPr>
        <w:fldChar w:fldCharType="end"/>
      </w:r>
    </w:p>
    <w:p>
      <w:pPr>
        <w:pStyle w:val="57"/>
        <w:bidi w:val="0"/>
        <w:rPr>
          <w:rFonts w:hint="eastAsia"/>
          <w:color w:val="auto"/>
          <w:highlight w:val="none"/>
        </w:rPr>
      </w:pPr>
      <w:r>
        <w:rPr>
          <w:rFonts w:hint="eastAsia"/>
          <w:color w:val="auto"/>
          <w:highlight w:val="none"/>
        </w:rPr>
        <w:t>根据工程可研及工程分析以及《建设项目环境风险评价技术导则》（HJ 169-2018）附录B，本工程施工期</w:t>
      </w:r>
      <w:r>
        <w:rPr>
          <w:rFonts w:hint="eastAsia"/>
          <w:color w:val="auto"/>
          <w:highlight w:val="none"/>
          <w:lang w:val="en-US" w:eastAsia="zh-CN"/>
        </w:rPr>
        <w:t>涉及的危险物质主要为柴油；</w:t>
      </w:r>
      <w:r>
        <w:rPr>
          <w:rFonts w:hint="eastAsia"/>
          <w:color w:val="auto"/>
          <w:highlight w:val="none"/>
        </w:rPr>
        <w:t>运营期涉及的危险物质主要为</w:t>
      </w:r>
      <w:r>
        <w:rPr>
          <w:rFonts w:hint="eastAsia"/>
          <w:color w:val="auto"/>
          <w:highlight w:val="none"/>
          <w:lang w:val="en-US" w:eastAsia="zh-CN"/>
        </w:rPr>
        <w:t>原油、天然气</w:t>
      </w:r>
      <w:r>
        <w:rPr>
          <w:rFonts w:hint="eastAsia"/>
          <w:color w:val="auto"/>
          <w:highlight w:val="none"/>
          <w:lang w:eastAsia="zh-CN"/>
        </w:rPr>
        <w:t>；</w:t>
      </w:r>
      <w:r>
        <w:rPr>
          <w:rFonts w:hint="eastAsia"/>
          <w:color w:val="auto"/>
          <w:highlight w:val="none"/>
        </w:rPr>
        <w:t>退役期不涉及危险物质。</w:t>
      </w:r>
    </w:p>
    <w:p>
      <w:pPr>
        <w:pStyle w:val="57"/>
        <w:rPr>
          <w:rFonts w:hint="eastAsia" w:ascii="Times New Roman" w:hAnsi="Times New Roman" w:cs="Times New Roman"/>
          <w:color w:val="auto"/>
          <w:highlight w:val="none"/>
          <w:lang w:val="en-US" w:eastAsia="zh-CN"/>
        </w:rPr>
      </w:pPr>
      <w:r>
        <w:rPr>
          <w:rFonts w:hint="eastAsia"/>
          <w:color w:val="auto"/>
          <w:highlight w:val="none"/>
          <w:lang w:val="en-US" w:eastAsia="zh-CN"/>
        </w:rPr>
        <w:t>施工期柴油主要存储于井场柴油罐内；运营期原油主要存储于新建的单井拉油井场、集中拉油站、单井集输管线、集油支线、净化油外输管线内；</w:t>
      </w:r>
      <w:r>
        <w:rPr>
          <w:rFonts w:hint="eastAsia"/>
          <w:color w:val="auto"/>
          <w:highlight w:val="none"/>
        </w:rPr>
        <w:t>天然气主要存在于新建的</w:t>
      </w:r>
      <w:r>
        <w:rPr>
          <w:rFonts w:hint="eastAsia"/>
          <w:color w:val="auto"/>
          <w:highlight w:val="none"/>
          <w:lang w:val="en-US" w:eastAsia="zh-CN"/>
        </w:rPr>
        <w:t>单井集输管线、集中拉油站</w:t>
      </w:r>
      <w:r>
        <w:rPr>
          <w:rFonts w:hint="eastAsia" w:ascii="Times New Roman" w:hAnsi="Times New Roman" w:cs="Times New Roman"/>
          <w:color w:val="auto"/>
          <w:highlight w:val="none"/>
          <w:lang w:val="en-US" w:eastAsia="zh-CN"/>
        </w:rPr>
        <w:t>内的</w:t>
      </w:r>
      <w:r>
        <w:rPr>
          <w:rFonts w:hint="default" w:ascii="Times New Roman" w:hAnsi="Times New Roman" w:cs="Times New Roman"/>
          <w:color w:val="auto"/>
          <w:highlight w:val="none"/>
          <w:lang w:val="en-US" w:eastAsia="zh-CN"/>
        </w:rPr>
        <w:t>生产分离器</w:t>
      </w:r>
      <w:r>
        <w:rPr>
          <w:rFonts w:hint="eastAsia"/>
          <w:color w:val="auto"/>
          <w:highlight w:val="none"/>
          <w:lang w:val="en-US" w:eastAsia="zh-CN"/>
        </w:rPr>
        <w:t>以及新建的输</w:t>
      </w:r>
      <w:r>
        <w:rPr>
          <w:rFonts w:hint="eastAsia"/>
          <w:color w:val="auto"/>
          <w:highlight w:val="none"/>
        </w:rPr>
        <w:t>气管线</w:t>
      </w:r>
      <w:r>
        <w:rPr>
          <w:rFonts w:hint="eastAsia"/>
          <w:color w:val="auto"/>
          <w:highlight w:val="none"/>
          <w:lang w:val="en-US" w:eastAsia="zh-CN"/>
        </w:rPr>
        <w:t>内</w:t>
      </w:r>
      <w:r>
        <w:rPr>
          <w:rFonts w:hint="eastAsia" w:ascii="Times New Roman" w:hAnsi="Times New Roman" w:cs="Times New Roman"/>
          <w:color w:val="auto"/>
          <w:highlight w:val="none"/>
          <w:lang w:val="en-US" w:eastAsia="zh-CN"/>
        </w:rPr>
        <w:t>。</w:t>
      </w:r>
    </w:p>
    <w:p>
      <w:pPr>
        <w:pStyle w:val="57"/>
        <w:rPr>
          <w:rFonts w:hint="eastAsia"/>
          <w:color w:val="auto"/>
          <w:highlight w:val="none"/>
        </w:rPr>
      </w:pPr>
      <w:r>
        <w:rPr>
          <w:color w:val="auto"/>
          <w:highlight w:val="none"/>
        </w:rPr>
        <w:t>本工程可能发生的环境风险主要包括井喷、井漏、</w:t>
      </w:r>
      <w:r>
        <w:rPr>
          <w:rFonts w:hint="eastAsia"/>
          <w:color w:val="auto"/>
          <w:highlight w:val="none"/>
          <w:lang w:val="en-US" w:eastAsia="zh-CN"/>
        </w:rPr>
        <w:t>站场工艺设备和集输管线</w:t>
      </w:r>
      <w:r>
        <w:rPr>
          <w:rFonts w:hint="eastAsia"/>
          <w:color w:val="auto"/>
          <w:highlight w:val="none"/>
        </w:rPr>
        <w:t>发生</w:t>
      </w:r>
      <w:r>
        <w:rPr>
          <w:rFonts w:hint="eastAsia"/>
          <w:color w:val="auto"/>
          <w:highlight w:val="none"/>
          <w:lang w:val="en-US" w:eastAsia="zh-CN"/>
        </w:rPr>
        <w:t>油气</w:t>
      </w:r>
      <w:r>
        <w:rPr>
          <w:rFonts w:hint="eastAsia"/>
          <w:color w:val="auto"/>
          <w:highlight w:val="none"/>
          <w:lang w:eastAsia="zh-CN"/>
        </w:rPr>
        <w:t>泄漏</w:t>
      </w:r>
      <w:r>
        <w:rPr>
          <w:color w:val="auto"/>
          <w:highlight w:val="none"/>
        </w:rPr>
        <w:t>以及</w:t>
      </w:r>
      <w:r>
        <w:rPr>
          <w:rFonts w:hint="eastAsia"/>
          <w:color w:val="auto"/>
          <w:highlight w:val="none"/>
          <w:lang w:val="en-US" w:eastAsia="zh-CN"/>
        </w:rPr>
        <w:t>原油、</w:t>
      </w:r>
      <w:r>
        <w:rPr>
          <w:rFonts w:hint="eastAsia"/>
          <w:color w:val="auto"/>
          <w:highlight w:val="none"/>
        </w:rPr>
        <w:t>天然</w:t>
      </w:r>
      <w:r>
        <w:rPr>
          <w:color w:val="auto"/>
          <w:highlight w:val="none"/>
        </w:rPr>
        <w:t>气</w:t>
      </w:r>
      <w:r>
        <w:rPr>
          <w:rFonts w:hint="eastAsia"/>
          <w:color w:val="auto"/>
          <w:highlight w:val="none"/>
          <w:lang w:eastAsia="zh-CN"/>
        </w:rPr>
        <w:t>泄漏</w:t>
      </w:r>
      <w:r>
        <w:rPr>
          <w:color w:val="auto"/>
          <w:highlight w:val="none"/>
        </w:rPr>
        <w:t>后遇明火引发的火灾、爆炸</w:t>
      </w:r>
      <w:r>
        <w:rPr>
          <w:rFonts w:hint="eastAsia"/>
          <w:color w:val="auto"/>
          <w:highlight w:val="none"/>
        </w:rPr>
        <w:t>次生污染物</w:t>
      </w:r>
      <w:r>
        <w:rPr>
          <w:color w:val="auto"/>
          <w:highlight w:val="none"/>
        </w:rPr>
        <w:t>等</w:t>
      </w:r>
      <w:r>
        <w:rPr>
          <w:rFonts w:hint="eastAsia"/>
          <w:color w:val="auto"/>
          <w:highlight w:val="none"/>
        </w:rPr>
        <w:t>。</w:t>
      </w:r>
      <w:r>
        <w:rPr>
          <w:rFonts w:hint="eastAsia"/>
          <w:color w:val="auto"/>
          <w:szCs w:val="20"/>
          <w:highlight w:val="none"/>
        </w:rPr>
        <w:t>井喷、</w:t>
      </w:r>
      <w:r>
        <w:rPr>
          <w:rFonts w:hint="eastAsia"/>
          <w:color w:val="auto"/>
          <w:szCs w:val="20"/>
          <w:highlight w:val="none"/>
          <w:lang w:val="en-US" w:eastAsia="zh-CN"/>
        </w:rPr>
        <w:t>井场、</w:t>
      </w:r>
      <w:r>
        <w:rPr>
          <w:rFonts w:hint="eastAsia"/>
          <w:color w:val="auto"/>
          <w:highlight w:val="none"/>
          <w:lang w:val="en-US" w:eastAsia="zh-CN"/>
        </w:rPr>
        <w:t>站场工艺设备、储罐和</w:t>
      </w:r>
      <w:r>
        <w:rPr>
          <w:rFonts w:hint="eastAsia"/>
          <w:color w:val="auto"/>
          <w:szCs w:val="20"/>
          <w:highlight w:val="none"/>
          <w:lang w:val="en-US" w:eastAsia="zh-CN"/>
        </w:rPr>
        <w:t>集输</w:t>
      </w:r>
      <w:r>
        <w:rPr>
          <w:rFonts w:hint="eastAsia"/>
          <w:color w:val="auto"/>
          <w:szCs w:val="20"/>
          <w:highlight w:val="none"/>
        </w:rPr>
        <w:t>管线</w:t>
      </w:r>
      <w:r>
        <w:rPr>
          <w:rFonts w:hint="eastAsia"/>
          <w:color w:val="auto"/>
          <w:highlight w:val="none"/>
        </w:rPr>
        <w:t>泄漏会对大气产生的直接影响以及火灾、爆炸等引发的伴生/次生污染物排放，</w:t>
      </w:r>
      <w:r>
        <w:rPr>
          <w:rFonts w:hint="eastAsia"/>
          <w:color w:val="auto"/>
          <w:highlight w:val="none"/>
          <w:lang w:val="en-US" w:eastAsia="zh-CN"/>
        </w:rPr>
        <w:t>油罐</w:t>
      </w:r>
      <w:r>
        <w:rPr>
          <w:rFonts w:hint="eastAsia"/>
          <w:color w:val="auto"/>
          <w:highlight w:val="none"/>
        </w:rPr>
        <w:t>发生</w:t>
      </w:r>
      <w:r>
        <w:rPr>
          <w:rFonts w:hint="eastAsia"/>
          <w:color w:val="auto"/>
          <w:szCs w:val="20"/>
          <w:highlight w:val="none"/>
        </w:rPr>
        <w:t>泄漏会对大气、土壤、地下水产生的直接影响以及遇明火后发生火灾、爆炸等引发的伴生/次生污染物排放，</w:t>
      </w:r>
      <w:r>
        <w:rPr>
          <w:rFonts w:hint="eastAsia"/>
          <w:color w:val="auto"/>
          <w:highlight w:val="none"/>
        </w:rPr>
        <w:t>井漏会对地下水造成影响。</w:t>
      </w:r>
    </w:p>
    <w:p>
      <w:pPr>
        <w:pStyle w:val="57"/>
        <w:rPr>
          <w:color w:val="auto"/>
          <w:highlight w:val="none"/>
        </w:rPr>
      </w:pPr>
      <w:r>
        <w:rPr>
          <w:rFonts w:hint="eastAsia"/>
          <w:color w:val="auto"/>
          <w:highlight w:val="none"/>
          <w:lang w:bidi="ar"/>
        </w:rPr>
        <w:t>本工程应落实各项井场、站场制度，降低井喷、井漏发生概率，</w:t>
      </w:r>
      <w:r>
        <w:rPr>
          <w:rFonts w:hint="eastAsia"/>
          <w:color w:val="auto"/>
          <w:highlight w:val="none"/>
          <w:lang w:val="en-US" w:eastAsia="zh-CN" w:bidi="ar"/>
        </w:rPr>
        <w:t>定期对管线进行检查。</w:t>
      </w:r>
      <w:r>
        <w:rPr>
          <w:color w:val="auto"/>
          <w:highlight w:val="none"/>
        </w:rPr>
        <w:t>本工程区所在</w:t>
      </w:r>
      <w:r>
        <w:rPr>
          <w:rFonts w:hint="eastAsia"/>
          <w:color w:val="auto"/>
          <w:highlight w:val="none"/>
        </w:rPr>
        <w:t>区域地势平坦，扩散条件较好，</w:t>
      </w:r>
      <w:r>
        <w:rPr>
          <w:rFonts w:hint="eastAsia"/>
          <w:color w:val="auto"/>
          <w:highlight w:val="none"/>
          <w:lang w:bidi="ar"/>
        </w:rPr>
        <w:t>发生事故后，及时采取相应的措施，不会对周围环境空气产生明显影响；</w:t>
      </w:r>
      <w:r>
        <w:rPr>
          <w:rFonts w:hint="eastAsia"/>
          <w:color w:val="auto"/>
          <w:highlight w:val="none"/>
        </w:rPr>
        <w:t>当泄漏事故发生时，及时采取措施、彻底清除被污染的土壤，污染物不会进入地下水中，对地下水水质没有不良影响。因此，发生事故后，在严格落实本工程提出的风险防范措施的前提下，不会对周围环境产生明显影响。</w:t>
      </w:r>
    </w:p>
    <w:p>
      <w:pPr>
        <w:pStyle w:val="57"/>
        <w:rPr>
          <w:rFonts w:hint="eastAsia" w:cs="Times New Roman"/>
          <w:color w:val="auto"/>
          <w:highlight w:val="none"/>
        </w:rPr>
      </w:pPr>
      <w:r>
        <w:rPr>
          <w:rFonts w:hint="eastAsia"/>
          <w:color w:val="auto"/>
          <w:highlight w:val="none"/>
        </w:rPr>
        <w:t>本次评价建议加强日常环境管理及认真落实环境风险预防措施，负责实施的</w:t>
      </w:r>
      <w:r>
        <w:rPr>
          <w:rFonts w:hint="eastAsia"/>
          <w:color w:val="auto"/>
          <w:highlight w:val="none"/>
          <w:lang w:val="en-US" w:eastAsia="zh-CN"/>
        </w:rPr>
        <w:t>风城油田作业区应</w:t>
      </w:r>
      <w:r>
        <w:rPr>
          <w:rFonts w:hint="eastAsia"/>
          <w:color w:val="auto"/>
          <w:highlight w:val="none"/>
        </w:rPr>
        <w:t>结合</w:t>
      </w:r>
      <w:r>
        <w:rPr>
          <w:rFonts w:hint="eastAsia"/>
          <w:color w:val="auto"/>
          <w:highlight w:val="none"/>
          <w:lang w:val="en-US" w:eastAsia="zh-CN"/>
        </w:rPr>
        <w:t>本工程</w:t>
      </w:r>
      <w:r>
        <w:rPr>
          <w:rFonts w:hint="eastAsia"/>
          <w:color w:val="auto"/>
          <w:highlight w:val="none"/>
        </w:rPr>
        <w:t>新增建设内容适时修订现行环境风险应急预案。项目在制定严格的事故风险防范措施及应急计划后，可将事故发生概率减少到最低，</w:t>
      </w:r>
      <w:r>
        <w:rPr>
          <w:rFonts w:hint="eastAsia"/>
          <w:color w:val="auto"/>
          <w:highlight w:val="none"/>
          <w:lang w:eastAsia="zh-CN"/>
        </w:rPr>
        <w:t>减少</w:t>
      </w:r>
      <w:r>
        <w:rPr>
          <w:rFonts w:hint="eastAsia"/>
          <w:color w:val="auto"/>
          <w:highlight w:val="none"/>
        </w:rPr>
        <w:t>事故造成的损失，环境风险是可防控的。本工程环境风险简单分析</w:t>
      </w:r>
      <w:r>
        <w:rPr>
          <w:rFonts w:hint="eastAsia"/>
          <w:color w:val="auto"/>
          <w:highlight w:val="none"/>
          <w:lang w:eastAsia="zh-CN"/>
        </w:rPr>
        <w:t>内容</w:t>
      </w:r>
      <w:r>
        <w:rPr>
          <w:rFonts w:hint="eastAsia"/>
          <w:color w:val="auto"/>
          <w:highlight w:val="none"/>
        </w:rPr>
        <w:t>见表5.8-</w:t>
      </w:r>
      <w:r>
        <w:rPr>
          <w:rFonts w:hint="eastAsia"/>
          <w:color w:val="auto"/>
          <w:highlight w:val="none"/>
          <w:lang w:val="en-US" w:eastAsia="zh-CN"/>
        </w:rPr>
        <w:t>4</w:t>
      </w:r>
      <w:r>
        <w:rPr>
          <w:color w:val="auto"/>
          <w:highlight w:val="none"/>
        </w:rPr>
        <w:t>。</w:t>
      </w:r>
      <w:bookmarkStart w:id="720" w:name="_Toc14375"/>
      <w:bookmarkStart w:id="721" w:name="_Hlk48605093"/>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表5.8-</w:t>
      </w:r>
      <w:r>
        <w:rPr>
          <w:rFonts w:hint="eastAsia" w:cs="Times New Roman"/>
          <w:color w:val="auto"/>
          <w:highlight w:val="none"/>
          <w:lang w:val="en-US" w:eastAsia="zh-CN"/>
        </w:rPr>
        <w:t>4</w:t>
      </w:r>
      <w:r>
        <w:rPr>
          <w:rFonts w:hint="eastAsia" w:cs="Times New Roman"/>
          <w:color w:val="auto"/>
          <w:highlight w:val="none"/>
        </w:rPr>
        <w:t xml:space="preserve">  环境风险简单分析内容表</w:t>
      </w:r>
      <w:bookmarkEnd w:id="720"/>
    </w:p>
    <w:bookmarkEnd w:id="721"/>
    <w:tbl>
      <w:tblPr>
        <w:tblStyle w:val="34"/>
        <w:tblW w:w="511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12"/>
        <w:gridCol w:w="1511"/>
        <w:gridCol w:w="2196"/>
        <w:gridCol w:w="1156"/>
        <w:gridCol w:w="23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13" w:type="dxa"/>
            <w:tcBorders>
              <w:tl2br w:val="nil"/>
              <w:tr2bl w:val="nil"/>
            </w:tcBorders>
            <w:vAlign w:val="center"/>
          </w:tcPr>
          <w:p>
            <w:pPr>
              <w:pStyle w:val="41"/>
              <w:ind w:firstLine="0" w:firstLineChars="0"/>
              <w:rPr>
                <w:color w:val="auto"/>
                <w:spacing w:val="-6"/>
                <w:sz w:val="21"/>
                <w:highlight w:val="none"/>
              </w:rPr>
            </w:pPr>
            <w:r>
              <w:rPr>
                <w:color w:val="auto"/>
                <w:spacing w:val="-6"/>
                <w:sz w:val="21"/>
                <w:highlight w:val="none"/>
              </w:rPr>
              <w:t>建设项目名称</w:t>
            </w:r>
          </w:p>
        </w:tc>
        <w:tc>
          <w:tcPr>
            <w:tcW w:w="7221" w:type="dxa"/>
            <w:gridSpan w:val="4"/>
            <w:tcBorders>
              <w:tl2br w:val="nil"/>
              <w:tr2bl w:val="nil"/>
            </w:tcBorders>
            <w:vAlign w:val="center"/>
          </w:tcPr>
          <w:p>
            <w:pPr>
              <w:pStyle w:val="41"/>
              <w:ind w:firstLine="0" w:firstLineChars="0"/>
              <w:rPr>
                <w:color w:val="auto"/>
                <w:spacing w:val="-6"/>
                <w:sz w:val="21"/>
                <w:highlight w:val="none"/>
              </w:rPr>
            </w:pPr>
            <w:r>
              <w:rPr>
                <w:rFonts w:hint="eastAsia"/>
                <w:color w:val="auto"/>
                <w:spacing w:val="-6"/>
                <w:sz w:val="21"/>
                <w:highlight w:val="none"/>
              </w:rPr>
              <w:t>新疆夏子街油田丰探1井区二叠系风城组页岩油2025年产能建设项目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813" w:type="dxa"/>
            <w:tcBorders>
              <w:tl2br w:val="nil"/>
              <w:tr2bl w:val="nil"/>
            </w:tcBorders>
            <w:vAlign w:val="center"/>
          </w:tcPr>
          <w:p>
            <w:pPr>
              <w:pStyle w:val="41"/>
              <w:ind w:firstLine="0" w:firstLineChars="0"/>
              <w:rPr>
                <w:color w:val="auto"/>
                <w:spacing w:val="-6"/>
                <w:sz w:val="21"/>
                <w:highlight w:val="none"/>
              </w:rPr>
            </w:pPr>
            <w:r>
              <w:rPr>
                <w:color w:val="auto"/>
                <w:spacing w:val="-6"/>
                <w:sz w:val="21"/>
                <w:highlight w:val="none"/>
              </w:rPr>
              <w:t>建设地点</w:t>
            </w:r>
          </w:p>
        </w:tc>
        <w:tc>
          <w:tcPr>
            <w:tcW w:w="7221" w:type="dxa"/>
            <w:gridSpan w:val="4"/>
            <w:tcBorders>
              <w:tl2br w:val="nil"/>
              <w:tr2bl w:val="nil"/>
            </w:tcBorders>
            <w:vAlign w:val="center"/>
          </w:tcPr>
          <w:p>
            <w:pPr>
              <w:pStyle w:val="41"/>
              <w:ind w:firstLine="0" w:firstLineChars="0"/>
              <w:rPr>
                <w:color w:val="auto"/>
                <w:spacing w:val="-6"/>
                <w:sz w:val="21"/>
                <w:highlight w:val="none"/>
              </w:rPr>
            </w:pPr>
            <w:r>
              <w:rPr>
                <w:rFonts w:hint="eastAsia" w:ascii="Times New Roman" w:hAnsi="Times New Roman" w:eastAsia="宋体" w:cs="Times New Roman"/>
                <w:color w:val="auto"/>
                <w:spacing w:val="-6"/>
                <w:sz w:val="21"/>
                <w:highlight w:val="none"/>
              </w:rPr>
              <w:t>克拉玛依市</w:t>
            </w:r>
            <w:r>
              <w:rPr>
                <w:rFonts w:hint="eastAsia" w:ascii="Times New Roman" w:hAnsi="Times New Roman" w:eastAsia="宋体" w:cs="Times New Roman"/>
                <w:color w:val="auto"/>
                <w:spacing w:val="-6"/>
                <w:sz w:val="21"/>
                <w:highlight w:val="none"/>
                <w:lang w:val="en-US" w:eastAsia="zh-CN"/>
              </w:rPr>
              <w:t>乌尔禾区、</w:t>
            </w:r>
            <w:r>
              <w:rPr>
                <w:rFonts w:hint="default" w:ascii="Times New Roman" w:hAnsi="Times New Roman" w:eastAsia="宋体" w:cs="Times New Roman"/>
                <w:color w:val="auto"/>
                <w:spacing w:val="-6"/>
                <w:sz w:val="21"/>
                <w:highlight w:val="none"/>
                <w:lang w:eastAsia="zh-CN"/>
              </w:rPr>
              <w:t>塔城地区和布克赛尔蒙古自治县</w:t>
            </w:r>
            <w:r>
              <w:rPr>
                <w:rFonts w:hint="eastAsia" w:ascii="Times New Roman" w:hAnsi="Times New Roman" w:eastAsia="宋体" w:cs="Times New Roman"/>
                <w:color w:val="auto"/>
                <w:spacing w:val="-6"/>
                <w:sz w:val="21"/>
                <w:highlight w:val="none"/>
                <w:lang w:val="en-US" w:eastAsia="zh-CN"/>
              </w:rPr>
              <w:t>和</w:t>
            </w:r>
            <w:r>
              <w:rPr>
                <w:rFonts w:hint="eastAsia" w:ascii="Times New Roman" w:hAnsi="Times New Roman" w:eastAsia="宋体" w:cs="Times New Roman"/>
                <w:color w:val="auto"/>
                <w:spacing w:val="-6"/>
                <w:sz w:val="21"/>
                <w:highlight w:val="none"/>
                <w:lang w:eastAsia="zh-CN"/>
              </w:rPr>
              <w:t>新疆生产建设兵团第</w:t>
            </w:r>
            <w:r>
              <w:rPr>
                <w:rFonts w:hint="eastAsia" w:ascii="Times New Roman" w:hAnsi="Times New Roman" w:eastAsia="宋体" w:cs="Times New Roman"/>
                <w:color w:val="auto"/>
                <w:spacing w:val="-6"/>
                <w:sz w:val="21"/>
                <w:highlight w:val="none"/>
                <w:lang w:val="en-US" w:eastAsia="zh-CN"/>
              </w:rPr>
              <w:t>七</w:t>
            </w:r>
            <w:r>
              <w:rPr>
                <w:rFonts w:hint="eastAsia" w:ascii="Times New Roman" w:hAnsi="Times New Roman" w:eastAsia="宋体" w:cs="Times New Roman"/>
                <w:color w:val="auto"/>
                <w:spacing w:val="-6"/>
                <w:sz w:val="21"/>
                <w:highlight w:val="none"/>
                <w:lang w:eastAsia="zh-CN"/>
              </w:rPr>
              <w:t>师</w:t>
            </w:r>
            <w:r>
              <w:rPr>
                <w:rFonts w:hint="eastAsia" w:ascii="Times New Roman" w:hAnsi="Times New Roman" w:eastAsia="宋体" w:cs="Times New Roman"/>
                <w:color w:val="auto"/>
                <w:spacing w:val="-6"/>
                <w:sz w:val="21"/>
                <w:highlight w:val="none"/>
                <w:lang w:val="en-US" w:eastAsia="zh-CN"/>
              </w:rPr>
              <w:t>胡杨河市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13" w:type="dxa"/>
            <w:tcBorders>
              <w:tl2br w:val="nil"/>
              <w:tr2bl w:val="nil"/>
            </w:tcBorders>
            <w:vAlign w:val="center"/>
          </w:tcPr>
          <w:p>
            <w:pPr>
              <w:pStyle w:val="41"/>
              <w:ind w:firstLine="0" w:firstLineChars="0"/>
              <w:rPr>
                <w:color w:val="auto"/>
                <w:spacing w:val="-6"/>
                <w:sz w:val="21"/>
                <w:highlight w:val="none"/>
              </w:rPr>
            </w:pPr>
            <w:r>
              <w:rPr>
                <w:color w:val="auto"/>
                <w:spacing w:val="-6"/>
                <w:sz w:val="21"/>
                <w:highlight w:val="none"/>
              </w:rPr>
              <w:t>地理坐标</w:t>
            </w:r>
          </w:p>
        </w:tc>
        <w:tc>
          <w:tcPr>
            <w:tcW w:w="1511" w:type="dxa"/>
            <w:tcBorders>
              <w:tl2br w:val="nil"/>
              <w:tr2bl w:val="nil"/>
            </w:tcBorders>
            <w:vAlign w:val="center"/>
          </w:tcPr>
          <w:p>
            <w:pPr>
              <w:pStyle w:val="41"/>
              <w:ind w:firstLine="0" w:firstLineChars="0"/>
              <w:rPr>
                <w:color w:val="auto"/>
                <w:spacing w:val="-6"/>
                <w:sz w:val="21"/>
                <w:highlight w:val="none"/>
              </w:rPr>
            </w:pPr>
            <w:r>
              <w:rPr>
                <w:color w:val="auto"/>
                <w:spacing w:val="-6"/>
                <w:sz w:val="21"/>
                <w:highlight w:val="none"/>
              </w:rPr>
              <w:t>经度</w:t>
            </w:r>
          </w:p>
        </w:tc>
        <w:tc>
          <w:tcPr>
            <w:tcW w:w="2196" w:type="dxa"/>
            <w:tcBorders>
              <w:tl2br w:val="nil"/>
              <w:tr2bl w:val="nil"/>
            </w:tcBorders>
            <w:vAlign w:val="center"/>
          </w:tcPr>
          <w:p>
            <w:pPr>
              <w:pStyle w:val="41"/>
              <w:ind w:firstLine="0" w:firstLineChars="0"/>
              <w:rPr>
                <w:color w:val="auto"/>
                <w:spacing w:val="-6"/>
                <w:sz w:val="21"/>
                <w:highlight w:val="none"/>
              </w:rPr>
            </w:pPr>
          </w:p>
        </w:tc>
        <w:tc>
          <w:tcPr>
            <w:tcW w:w="1156" w:type="dxa"/>
            <w:tcBorders>
              <w:tl2br w:val="nil"/>
              <w:tr2bl w:val="nil"/>
            </w:tcBorders>
            <w:vAlign w:val="center"/>
          </w:tcPr>
          <w:p>
            <w:pPr>
              <w:pStyle w:val="41"/>
              <w:ind w:firstLine="0" w:firstLineChars="0"/>
              <w:rPr>
                <w:color w:val="auto"/>
                <w:spacing w:val="-6"/>
                <w:sz w:val="21"/>
                <w:highlight w:val="none"/>
              </w:rPr>
            </w:pPr>
            <w:r>
              <w:rPr>
                <w:color w:val="auto"/>
                <w:spacing w:val="-6"/>
                <w:sz w:val="21"/>
                <w:highlight w:val="none"/>
              </w:rPr>
              <w:t>纬度</w:t>
            </w:r>
          </w:p>
        </w:tc>
        <w:tc>
          <w:tcPr>
            <w:tcW w:w="2358" w:type="dxa"/>
            <w:tcBorders>
              <w:tl2br w:val="nil"/>
              <w:tr2bl w:val="nil"/>
            </w:tcBorders>
            <w:vAlign w:val="center"/>
          </w:tcPr>
          <w:p>
            <w:pPr>
              <w:pStyle w:val="41"/>
              <w:ind w:firstLine="0" w:firstLineChars="0"/>
              <w:rPr>
                <w:color w:val="auto"/>
                <w:spacing w:val="-6"/>
                <w:sz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13" w:type="dxa"/>
            <w:tcBorders>
              <w:tl2br w:val="nil"/>
              <w:tr2bl w:val="nil"/>
            </w:tcBorders>
            <w:vAlign w:val="center"/>
          </w:tcPr>
          <w:p>
            <w:pPr>
              <w:pStyle w:val="41"/>
              <w:ind w:firstLine="0" w:firstLineChars="0"/>
              <w:rPr>
                <w:color w:val="auto"/>
                <w:spacing w:val="-6"/>
                <w:sz w:val="21"/>
                <w:highlight w:val="none"/>
              </w:rPr>
            </w:pPr>
            <w:r>
              <w:rPr>
                <w:color w:val="auto"/>
                <w:spacing w:val="-6"/>
                <w:sz w:val="21"/>
                <w:highlight w:val="none"/>
              </w:rPr>
              <w:t>主要危险物质及分布</w:t>
            </w:r>
          </w:p>
        </w:tc>
        <w:tc>
          <w:tcPr>
            <w:tcW w:w="7221" w:type="dxa"/>
            <w:gridSpan w:val="4"/>
            <w:tcBorders>
              <w:tl2br w:val="nil"/>
              <w:tr2bl w:val="nil"/>
            </w:tcBorders>
            <w:vAlign w:val="center"/>
          </w:tcPr>
          <w:p>
            <w:pPr>
              <w:pStyle w:val="41"/>
              <w:jc w:val="left"/>
              <w:rPr>
                <w:rFonts w:hint="eastAsia"/>
                <w:color w:val="auto"/>
                <w:spacing w:val="-6"/>
                <w:sz w:val="21"/>
                <w:highlight w:val="none"/>
              </w:rPr>
            </w:pPr>
            <w:r>
              <w:rPr>
                <w:rFonts w:hint="eastAsia"/>
                <w:color w:val="auto"/>
                <w:spacing w:val="-6"/>
                <w:sz w:val="21"/>
                <w:highlight w:val="none"/>
              </w:rPr>
              <w:t>本工程施工期涉及的危险物质主要为柴油；运营期涉及的危险物质主要为原油、天然气；退役期不涉及危险物质。</w:t>
            </w:r>
          </w:p>
          <w:p>
            <w:pPr>
              <w:pStyle w:val="41"/>
              <w:ind w:firstLine="0" w:firstLineChars="0"/>
              <w:jc w:val="left"/>
              <w:rPr>
                <w:color w:val="auto"/>
                <w:spacing w:val="-6"/>
                <w:sz w:val="21"/>
                <w:highlight w:val="none"/>
              </w:rPr>
            </w:pPr>
            <w:r>
              <w:rPr>
                <w:rFonts w:hint="eastAsia"/>
                <w:color w:val="auto"/>
                <w:spacing w:val="-6"/>
                <w:sz w:val="21"/>
                <w:highlight w:val="none"/>
              </w:rPr>
              <w:t>施工期柴油主要存储于井场柴油罐内；运营期原油主要存储于新建的</w:t>
            </w:r>
            <w:r>
              <w:rPr>
                <w:rFonts w:hint="eastAsia"/>
                <w:color w:val="auto"/>
                <w:spacing w:val="-6"/>
                <w:sz w:val="21"/>
                <w:highlight w:val="none"/>
                <w:lang w:val="en-US" w:eastAsia="zh-CN"/>
              </w:rPr>
              <w:t>单井拉油井场、</w:t>
            </w:r>
            <w:r>
              <w:rPr>
                <w:rFonts w:hint="eastAsia"/>
                <w:color w:val="auto"/>
                <w:spacing w:val="-6"/>
                <w:sz w:val="21"/>
                <w:highlight w:val="none"/>
              </w:rPr>
              <w:t>集中拉油站、单井集输管线、集油支线、净化油外输管线内；天然气主要存在于新建的单井集输管线、集中拉油站内的生产分离器以及新建的输气管线内。</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1813" w:type="dxa"/>
            <w:tcBorders>
              <w:tl2br w:val="nil"/>
              <w:tr2bl w:val="nil"/>
            </w:tcBorders>
            <w:vAlign w:val="center"/>
          </w:tcPr>
          <w:p>
            <w:pPr>
              <w:pStyle w:val="41"/>
              <w:ind w:firstLine="0" w:firstLineChars="0"/>
              <w:rPr>
                <w:color w:val="auto"/>
                <w:spacing w:val="-6"/>
                <w:sz w:val="21"/>
                <w:highlight w:val="none"/>
              </w:rPr>
            </w:pPr>
            <w:r>
              <w:rPr>
                <w:color w:val="auto"/>
                <w:spacing w:val="-6"/>
                <w:sz w:val="21"/>
                <w:highlight w:val="none"/>
              </w:rPr>
              <w:t>环境影响途径及危害后果（大气、地表水、地下水等）</w:t>
            </w:r>
          </w:p>
        </w:tc>
        <w:tc>
          <w:tcPr>
            <w:tcW w:w="7221" w:type="dxa"/>
            <w:gridSpan w:val="4"/>
            <w:tcBorders>
              <w:tl2br w:val="nil"/>
              <w:tr2bl w:val="nil"/>
            </w:tcBorders>
            <w:vAlign w:val="center"/>
          </w:tcPr>
          <w:p>
            <w:pPr>
              <w:pStyle w:val="41"/>
              <w:ind w:firstLine="0" w:firstLineChars="0"/>
              <w:jc w:val="left"/>
              <w:rPr>
                <w:color w:val="auto"/>
                <w:spacing w:val="-6"/>
                <w:sz w:val="21"/>
                <w:highlight w:val="none"/>
              </w:rPr>
            </w:pPr>
            <w:r>
              <w:rPr>
                <w:rFonts w:hint="eastAsia"/>
                <w:color w:val="auto"/>
                <w:spacing w:val="-6"/>
                <w:sz w:val="21"/>
                <w:highlight w:val="none"/>
              </w:rPr>
              <w:t>本工程可能发生的环境风险主要包括井喷、井漏、站场工艺设备和集输管线发生油气泄漏以及原油、天然气</w:t>
            </w:r>
            <w:r>
              <w:rPr>
                <w:rFonts w:hint="eastAsia"/>
                <w:color w:val="auto"/>
                <w:spacing w:val="-6"/>
                <w:sz w:val="21"/>
                <w:highlight w:val="none"/>
                <w:lang w:eastAsia="zh-CN"/>
              </w:rPr>
              <w:t>泄漏</w:t>
            </w:r>
            <w:r>
              <w:rPr>
                <w:rFonts w:hint="eastAsia"/>
                <w:color w:val="auto"/>
                <w:spacing w:val="-6"/>
                <w:sz w:val="21"/>
                <w:highlight w:val="none"/>
              </w:rPr>
              <w:t>后遇明火引发的火灾、爆炸次生污染物等。井喷、站场工艺设备</w:t>
            </w:r>
            <w:r>
              <w:rPr>
                <w:rFonts w:hint="eastAsia"/>
                <w:color w:val="auto"/>
                <w:spacing w:val="-6"/>
                <w:sz w:val="21"/>
                <w:highlight w:val="none"/>
                <w:lang w:eastAsia="zh-CN"/>
              </w:rPr>
              <w:t>、</w:t>
            </w:r>
            <w:r>
              <w:rPr>
                <w:rFonts w:hint="eastAsia"/>
                <w:color w:val="auto"/>
                <w:spacing w:val="-6"/>
                <w:sz w:val="21"/>
                <w:highlight w:val="none"/>
                <w:lang w:val="en-US" w:eastAsia="zh-CN"/>
              </w:rPr>
              <w:t>储罐</w:t>
            </w:r>
            <w:r>
              <w:rPr>
                <w:rFonts w:hint="eastAsia"/>
                <w:color w:val="auto"/>
                <w:spacing w:val="-6"/>
                <w:sz w:val="21"/>
                <w:highlight w:val="none"/>
              </w:rPr>
              <w:t>和集输管线泄漏会对大气产生的直接影响以及火灾、爆炸等引发的伴生/次生污染物排放，油罐发生泄漏会对大气、土壤、地下水产生的直接影响以及遇明火后发生火灾、爆炸等引发的伴生/次生污染物排放，井漏会对地下水造成影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1813" w:type="dxa"/>
            <w:tcBorders>
              <w:tl2br w:val="nil"/>
              <w:tr2bl w:val="nil"/>
            </w:tcBorders>
            <w:vAlign w:val="center"/>
          </w:tcPr>
          <w:p>
            <w:pPr>
              <w:pStyle w:val="41"/>
              <w:ind w:firstLine="0" w:firstLineChars="0"/>
              <w:rPr>
                <w:color w:val="auto"/>
                <w:spacing w:val="-6"/>
                <w:sz w:val="21"/>
                <w:highlight w:val="none"/>
              </w:rPr>
            </w:pPr>
            <w:r>
              <w:rPr>
                <w:color w:val="auto"/>
                <w:spacing w:val="-6"/>
                <w:sz w:val="21"/>
                <w:highlight w:val="none"/>
              </w:rPr>
              <w:t>风险防范措施要求</w:t>
            </w:r>
          </w:p>
        </w:tc>
        <w:tc>
          <w:tcPr>
            <w:tcW w:w="7221" w:type="dxa"/>
            <w:gridSpan w:val="4"/>
            <w:tcBorders>
              <w:tl2br w:val="nil"/>
              <w:tr2bl w:val="nil"/>
            </w:tcBorders>
            <w:vAlign w:val="center"/>
          </w:tcPr>
          <w:p>
            <w:pPr>
              <w:pStyle w:val="41"/>
              <w:jc w:val="left"/>
              <w:rPr>
                <w:rFonts w:hint="eastAsia"/>
                <w:color w:val="auto"/>
                <w:spacing w:val="-6"/>
                <w:sz w:val="21"/>
                <w:highlight w:val="none"/>
              </w:rPr>
            </w:pPr>
            <w:r>
              <w:rPr>
                <w:rFonts w:hint="eastAsia"/>
                <w:color w:val="auto"/>
                <w:spacing w:val="-6"/>
                <w:sz w:val="21"/>
                <w:highlight w:val="none"/>
              </w:rPr>
              <w:t>本工程应落实钻井、井下作业事故风险预防措施</w:t>
            </w:r>
            <w:r>
              <w:rPr>
                <w:rFonts w:hint="eastAsia"/>
                <w:color w:val="auto"/>
                <w:spacing w:val="-6"/>
                <w:sz w:val="21"/>
                <w:highlight w:val="none"/>
                <w:lang w:eastAsia="zh-CN"/>
              </w:rPr>
              <w:t>、</w:t>
            </w:r>
            <w:r>
              <w:rPr>
                <w:rFonts w:hint="eastAsia"/>
                <w:color w:val="auto"/>
                <w:spacing w:val="-6"/>
                <w:sz w:val="21"/>
                <w:highlight w:val="none"/>
                <w:lang w:val="en-US" w:eastAsia="zh-CN"/>
              </w:rPr>
              <w:t>井漏事故风险防范措施、井场、站场、管线事故等风险防范措施，加强日常环境管理，定期演练</w:t>
            </w:r>
            <w:r>
              <w:rPr>
                <w:rFonts w:hint="eastAsia"/>
                <w:color w:val="auto"/>
                <w:spacing w:val="-6"/>
                <w:sz w:val="21"/>
                <w:highlight w:val="none"/>
              </w:rPr>
              <w:t>。</w:t>
            </w:r>
          </w:p>
          <w:p>
            <w:pPr>
              <w:pStyle w:val="41"/>
              <w:ind w:firstLine="0" w:firstLineChars="0"/>
              <w:jc w:val="left"/>
              <w:rPr>
                <w:color w:val="auto"/>
                <w:spacing w:val="-6"/>
                <w:sz w:val="21"/>
                <w:highlight w:val="none"/>
              </w:rPr>
            </w:pPr>
            <w:r>
              <w:rPr>
                <w:color w:val="auto"/>
                <w:spacing w:val="-6"/>
                <w:sz w:val="21"/>
                <w:highlight w:val="none"/>
              </w:rPr>
              <w:t>详见</w:t>
            </w:r>
            <w:r>
              <w:rPr>
                <w:rFonts w:hint="eastAsia"/>
                <w:color w:val="auto"/>
                <w:spacing w:val="-6"/>
                <w:sz w:val="21"/>
                <w:highlight w:val="none"/>
              </w:rPr>
              <w:t>5.8.6</w:t>
            </w:r>
            <w:r>
              <w:rPr>
                <w:color w:val="auto"/>
                <w:spacing w:val="-6"/>
                <w:sz w:val="21"/>
                <w:highlight w:val="none"/>
              </w:rPr>
              <w:t>节</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9034" w:type="dxa"/>
            <w:gridSpan w:val="5"/>
            <w:tcBorders>
              <w:tl2br w:val="nil"/>
              <w:tr2bl w:val="nil"/>
            </w:tcBorders>
            <w:vAlign w:val="center"/>
          </w:tcPr>
          <w:p>
            <w:pPr>
              <w:pStyle w:val="41"/>
              <w:ind w:firstLine="0" w:firstLineChars="0"/>
              <w:jc w:val="left"/>
              <w:rPr>
                <w:color w:val="auto"/>
                <w:spacing w:val="-6"/>
                <w:sz w:val="21"/>
                <w:highlight w:val="none"/>
              </w:rPr>
            </w:pPr>
            <w:r>
              <w:rPr>
                <w:color w:val="auto"/>
                <w:spacing w:val="-6"/>
                <w:sz w:val="21"/>
                <w:highlight w:val="none"/>
              </w:rPr>
              <w:t>结论：</w:t>
            </w:r>
            <w:r>
              <w:rPr>
                <w:rFonts w:hint="eastAsia"/>
                <w:color w:val="auto"/>
                <w:spacing w:val="-6"/>
                <w:sz w:val="21"/>
                <w:highlight w:val="none"/>
              </w:rPr>
              <w:t>本工程应落实各项井场、站场制度，降低井喷、井漏发生概率，定期对管线进行检查。本工程区所在区域地势平坦，扩散条件较好，发生事故后，及时采取相应的措施，不会对周围环境空气产生明显影响；当泄漏事故发生时，及时采取措施、彻底清除被污染的土壤，污染物不会进入地下水中，对地下水水质没有不良影响。因此，发生事故后，在严格落实本工程提出的风险防范措施的前提下，不会对周围环境产生明显影响。</w:t>
            </w:r>
          </w:p>
        </w:tc>
      </w:tr>
    </w:tbl>
    <w:p>
      <w:pPr>
        <w:pStyle w:val="47"/>
        <w:rPr>
          <w:color w:val="auto"/>
          <w:highlight w:val="none"/>
        </w:rPr>
      </w:pPr>
      <w:r>
        <w:rPr>
          <w:bCs/>
          <w:color w:val="auto"/>
          <w:highlight w:val="none"/>
        </w:rPr>
        <w:br w:type="page"/>
      </w:r>
      <w:bookmarkEnd w:id="694"/>
      <w:bookmarkEnd w:id="695"/>
      <w:bookmarkEnd w:id="696"/>
      <w:bookmarkEnd w:id="697"/>
      <w:bookmarkStart w:id="722" w:name="_Toc6060"/>
      <w:bookmarkStart w:id="723" w:name="_Toc29463"/>
      <w:bookmarkStart w:id="724" w:name="_Toc173941743"/>
      <w:bookmarkStart w:id="725" w:name="_Toc173941918"/>
      <w:bookmarkStart w:id="726" w:name="_Toc10839"/>
      <w:bookmarkStart w:id="727" w:name="_Toc173942697"/>
      <w:r>
        <w:rPr>
          <w:bCs/>
          <w:color w:val="auto"/>
          <w:highlight w:val="none"/>
        </w:rPr>
        <w:t>6.</w:t>
      </w:r>
      <w:r>
        <w:rPr>
          <w:color w:val="auto"/>
          <w:highlight w:val="none"/>
        </w:rPr>
        <w:t>环境保护措施可行性论证</w:t>
      </w:r>
      <w:bookmarkEnd w:id="722"/>
      <w:bookmarkEnd w:id="723"/>
    </w:p>
    <w:p>
      <w:pPr>
        <w:pStyle w:val="49"/>
        <w:rPr>
          <w:rFonts w:eastAsia="宋体"/>
          <w:color w:val="auto"/>
          <w:highlight w:val="none"/>
        </w:rPr>
      </w:pPr>
      <w:bookmarkStart w:id="728" w:name="_Toc7402"/>
      <w:bookmarkStart w:id="729" w:name="_Toc1063"/>
      <w:r>
        <w:rPr>
          <w:color w:val="auto"/>
          <w:highlight w:val="none"/>
        </w:rPr>
        <w:t>6.1</w:t>
      </w:r>
      <w:r>
        <w:rPr>
          <w:rFonts w:hint="eastAsia"/>
          <w:color w:val="auto"/>
          <w:highlight w:val="none"/>
        </w:rPr>
        <w:t>生态保护措施可行性论证</w:t>
      </w:r>
      <w:bookmarkEnd w:id="728"/>
      <w:bookmarkEnd w:id="729"/>
    </w:p>
    <w:p>
      <w:pPr>
        <w:pStyle w:val="53"/>
        <w:rPr>
          <w:color w:val="auto"/>
          <w:highlight w:val="none"/>
        </w:rPr>
      </w:pPr>
      <w:bookmarkStart w:id="730" w:name="_Toc173941919"/>
      <w:bookmarkStart w:id="731" w:name="_Hlk95838622"/>
      <w:r>
        <w:rPr>
          <w:color w:val="auto"/>
          <w:highlight w:val="none"/>
        </w:rPr>
        <w:t>6.1.1</w:t>
      </w:r>
      <w:bookmarkEnd w:id="730"/>
      <w:r>
        <w:rPr>
          <w:rFonts w:hint="eastAsia"/>
          <w:color w:val="auto"/>
          <w:highlight w:val="none"/>
        </w:rPr>
        <w:t>施工期生态保护措施</w:t>
      </w:r>
    </w:p>
    <w:bookmarkEnd w:id="731"/>
    <w:p>
      <w:pPr>
        <w:pStyle w:val="53"/>
        <w:pageBreakBefore w:val="0"/>
        <w:kinsoku/>
        <w:wordWrap/>
        <w:overflowPunct/>
        <w:topLinePunct w:val="0"/>
        <w:autoSpaceDE/>
        <w:autoSpaceDN/>
        <w:bidi w:val="0"/>
        <w:spacing w:line="480" w:lineRule="exact"/>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6.1.1.1生态避让措施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（1）设计选址选线过程中，管线敷设尽量取直，考虑管线距离最短，尽量避开植被较丰富的区域，避免破坏荒漠植物，不得将沙生植被随意作为薪柴使用。</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（2）本工程邻近魔鬼城景区，设计选址选线过程中已避让魔鬼城景区，工程不在魔鬼城景区规范范围内。</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（3）合理规划工程占地，严格控制工程占地面积，尽量避让植被较多的区域；对规划占地范围外的区域严禁机械及车辆进入、占用，禁止乱轧乱碾，避免破坏自然植被，造成土地松动。</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（4）施工过程中严格规定各类工作人员的活动范围，使之限于在各工区和生活区范围内活动，最大限度减少对荒漠植物生存环境的践踏破坏。若无法进行避让，需对保护植物进行移植保护。</w:t>
      </w:r>
    </w:p>
    <w:p>
      <w:pPr>
        <w:pStyle w:val="53"/>
        <w:pageBreakBefore w:val="0"/>
        <w:kinsoku/>
        <w:wordWrap/>
        <w:overflowPunct/>
        <w:topLinePunct w:val="0"/>
        <w:autoSpaceDE/>
        <w:autoSpaceDN/>
        <w:bidi w:val="0"/>
        <w:spacing w:line="480" w:lineRule="exact"/>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6.1.1.2井场、站场生态保护措施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（1）井场和站场区域主要新增占地类型为其他草地，施工过程中须严格</w:t>
      </w:r>
      <w:r>
        <w:rPr>
          <w:color w:val="auto"/>
          <w:sz w:val="24"/>
          <w:szCs w:val="24"/>
          <w:highlight w:val="none"/>
          <w:lang w:val="en-US" w:eastAsia="zh-CN"/>
        </w:rPr>
        <w:t>控制井场</w:t>
      </w:r>
      <w:r>
        <w:rPr>
          <w:rFonts w:hint="eastAsia"/>
          <w:color w:val="auto"/>
          <w:sz w:val="24"/>
          <w:szCs w:val="24"/>
          <w:highlight w:val="none"/>
          <w:lang w:val="en-US" w:eastAsia="zh-CN"/>
        </w:rPr>
        <w:t>、站场</w:t>
      </w:r>
      <w:r>
        <w:rPr>
          <w:color w:val="auto"/>
          <w:sz w:val="24"/>
          <w:szCs w:val="24"/>
          <w:highlight w:val="none"/>
          <w:lang w:val="en-US" w:eastAsia="zh-CN"/>
        </w:rPr>
        <w:t>占地面积，减少扰动面积，减少</w:t>
      </w:r>
      <w:r>
        <w:rPr>
          <w:rFonts w:hint="eastAsia"/>
          <w:color w:val="auto"/>
          <w:sz w:val="24"/>
          <w:szCs w:val="24"/>
          <w:highlight w:val="none"/>
          <w:lang w:val="en-US" w:eastAsia="zh-CN"/>
        </w:rPr>
        <w:t>对荒漠植被影响</w:t>
      </w:r>
      <w:r>
        <w:rPr>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2</w:t>
      </w:r>
      <w:r>
        <w:rPr>
          <w:color w:val="auto"/>
          <w:sz w:val="24"/>
          <w:szCs w:val="24"/>
          <w:highlight w:val="none"/>
          <w:lang w:val="en-US" w:eastAsia="zh-CN"/>
        </w:rPr>
        <w:t>）施工中大量建筑材料的调运及人员的流动，会增加作业区内的拥挤度，施工区设置明显的作业区域标志，加强管理，把施工作业严格控制在作业区内。本环评要求，井场</w:t>
      </w:r>
      <w:r>
        <w:rPr>
          <w:rFonts w:hint="eastAsia"/>
          <w:color w:val="auto"/>
          <w:sz w:val="24"/>
          <w:szCs w:val="24"/>
          <w:highlight w:val="none"/>
          <w:lang w:val="en-US" w:eastAsia="zh-CN"/>
        </w:rPr>
        <w:t>、站场</w:t>
      </w:r>
      <w:r>
        <w:rPr>
          <w:color w:val="auto"/>
          <w:sz w:val="24"/>
          <w:szCs w:val="24"/>
          <w:highlight w:val="none"/>
          <w:lang w:val="en-US" w:eastAsia="zh-CN"/>
        </w:rPr>
        <w:t>在施工过程中，减少对</w:t>
      </w:r>
      <w:r>
        <w:rPr>
          <w:rFonts w:hint="eastAsia"/>
          <w:color w:val="auto"/>
          <w:sz w:val="24"/>
          <w:szCs w:val="24"/>
          <w:highlight w:val="none"/>
          <w:lang w:val="en-US" w:eastAsia="zh-CN"/>
        </w:rPr>
        <w:t>荒漠植被</w:t>
      </w:r>
      <w:r>
        <w:rPr>
          <w:color w:val="auto"/>
          <w:sz w:val="24"/>
          <w:szCs w:val="24"/>
          <w:highlight w:val="none"/>
          <w:lang w:val="en-US" w:eastAsia="zh-CN"/>
        </w:rPr>
        <w:t>的碾压破坏，要严格控制扰动面积，施工过程中严格按照施工场地界线范围内施工，并安排专人监察。</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3</w:t>
      </w:r>
      <w:r>
        <w:rPr>
          <w:color w:val="auto"/>
          <w:sz w:val="24"/>
          <w:szCs w:val="24"/>
          <w:highlight w:val="none"/>
          <w:lang w:val="en-US" w:eastAsia="zh-CN"/>
        </w:rPr>
        <w:t>）施工在开挖地表、平整土地时，临时堆土必须进行拦挡，施工完毕，应尽快整理施工现场，对井场</w:t>
      </w:r>
      <w:r>
        <w:rPr>
          <w:rFonts w:hint="eastAsia"/>
          <w:color w:val="auto"/>
          <w:sz w:val="24"/>
          <w:szCs w:val="24"/>
          <w:highlight w:val="none"/>
          <w:lang w:val="en-US" w:eastAsia="zh-CN"/>
        </w:rPr>
        <w:t>、站场</w:t>
      </w:r>
      <w:r>
        <w:rPr>
          <w:color w:val="auto"/>
          <w:sz w:val="24"/>
          <w:szCs w:val="24"/>
          <w:highlight w:val="none"/>
          <w:lang w:val="en-US" w:eastAsia="zh-CN"/>
        </w:rPr>
        <w:t>地表进行砾石压盖，防止由于地表扰动造成的水土流失。</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4）结合本工程所在区的地形地貌、交通、人文、社会经济状况及工程地质条件，在满足建设单位的要求的同时，采用合理的工程技术，并将工程费用和运行费用控制在合理的范围之内。井场选址主要依据以下原则：①本工程井场选址符合《钻前工程及井场布置技术要求》（SY/T5466-2013），满足防洪、防喷、防爆、防火、防毒和防冻的各项安全要求；②尽量靠近和利用现有油区公路，方便施工及运行管理，利于将来管线的管理与维护，做到经济合理，安全可靠；③站场应尽量避开不良工程地质区，保证运行安全可靠。</w:t>
      </w:r>
    </w:p>
    <w:p>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6.1.1.3管线生态保护措施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（1）施工过程中，加强施工人员的管理，严格限制施工活动范围，做好施工活动外生态环境的防护工作，严格限制人员的活动范围，禁止破坏沿线的生态环境。</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（2）确保施工人员和车辆在规定范围内作业，严禁砍伐荒漠植被作燃料；尽量减少对作业区周围植被的影响；工程完工后，尽量恢复，优化原有的自然环境和绿地占有水平。</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（3）采用小型施工机具或必要时考虑采用人工开挖回填管沟等一系列手段，将减小施工作业带宽度。考虑采取加大管道埋深，加厚管壁等措施。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4</w:t>
      </w:r>
      <w:r>
        <w:rPr>
          <w:color w:val="auto"/>
          <w:sz w:val="24"/>
          <w:szCs w:val="24"/>
          <w:highlight w:val="none"/>
          <w:lang w:val="en-US" w:eastAsia="zh-CN"/>
        </w:rPr>
        <w:t>）</w:t>
      </w:r>
      <w:r>
        <w:rPr>
          <w:rFonts w:hint="eastAsia"/>
          <w:color w:val="auto"/>
          <w:sz w:val="24"/>
          <w:szCs w:val="24"/>
          <w:highlight w:val="none"/>
          <w:lang w:val="en-US" w:eastAsia="zh-CN"/>
        </w:rPr>
        <w:t>管线单元主要占地类型主要为其他草地、裸土地和盐碱地等，影响呈线状，施工过程中须</w:t>
      </w:r>
      <w:r>
        <w:rPr>
          <w:color w:val="auto"/>
          <w:sz w:val="24"/>
          <w:szCs w:val="24"/>
          <w:highlight w:val="none"/>
          <w:lang w:val="en-US" w:eastAsia="zh-CN"/>
        </w:rPr>
        <w:t>根据地形条件，尽量按地形走向、起伏施工，减少挖填作业量。</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5</w:t>
      </w:r>
      <w:r>
        <w:rPr>
          <w:color w:val="auto"/>
          <w:sz w:val="24"/>
          <w:szCs w:val="24"/>
          <w:highlight w:val="none"/>
          <w:lang w:val="en-US" w:eastAsia="zh-CN"/>
        </w:rPr>
        <w:t>）</w:t>
      </w:r>
      <w:r>
        <w:rPr>
          <w:rFonts w:hint="eastAsia"/>
          <w:color w:val="auto"/>
          <w:sz w:val="24"/>
          <w:szCs w:val="24"/>
          <w:highlight w:val="none"/>
          <w:lang w:val="en-US" w:eastAsia="zh-CN"/>
        </w:rPr>
        <w:t>一般地段项目管道工程施工作业带宽度控制在8m范围内</w:t>
      </w:r>
      <w:r>
        <w:rPr>
          <w:color w:val="auto"/>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6</w:t>
      </w:r>
      <w:r>
        <w:rPr>
          <w:color w:val="auto"/>
          <w:sz w:val="24"/>
          <w:szCs w:val="24"/>
          <w:highlight w:val="none"/>
          <w:lang w:val="en-US" w:eastAsia="zh-CN"/>
        </w:rPr>
        <w:t>）施工结束后，应恢复地貌原状。施工时对管沟开挖的土壤做分层堆放，分层回填压实，以保护植被生长层，降低对土壤养分的影响，尽快使土壤恢复生产力，同时减少水土流失。</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7</w:t>
      </w:r>
      <w:r>
        <w:rPr>
          <w:color w:val="auto"/>
          <w:sz w:val="24"/>
          <w:szCs w:val="24"/>
          <w:highlight w:val="none"/>
          <w:lang w:val="en-US" w:eastAsia="zh-CN"/>
        </w:rPr>
        <w:t>）对管沟回填后多余的土严禁大量集中弃置，应均匀分散在管线中心两侧，并使管沟与周围自然地表形成</w:t>
      </w:r>
      <w:r>
        <w:rPr>
          <w:rFonts w:hint="eastAsia"/>
          <w:color w:val="auto"/>
          <w:sz w:val="24"/>
          <w:szCs w:val="24"/>
          <w:highlight w:val="none"/>
          <w:lang w:val="en-US" w:eastAsia="zh-CN"/>
        </w:rPr>
        <w:t>平滑过渡</w:t>
      </w:r>
      <w:r>
        <w:rPr>
          <w:color w:val="auto"/>
          <w:sz w:val="24"/>
          <w:szCs w:val="24"/>
          <w:highlight w:val="none"/>
          <w:lang w:val="en-US" w:eastAsia="zh-CN"/>
        </w:rPr>
        <w:t>，不得形成汇水环境，防止水土流失。管线所经地段的原始地表存在局部凹地时，若有</w:t>
      </w:r>
      <w:r>
        <w:rPr>
          <w:rFonts w:hint="eastAsia"/>
          <w:color w:val="auto"/>
          <w:sz w:val="24"/>
          <w:szCs w:val="24"/>
          <w:highlight w:val="none"/>
          <w:lang w:val="en-US" w:eastAsia="zh-CN"/>
        </w:rPr>
        <w:t>积水</w:t>
      </w:r>
      <w:r>
        <w:rPr>
          <w:color w:val="auto"/>
          <w:sz w:val="24"/>
          <w:szCs w:val="24"/>
          <w:highlight w:val="none"/>
          <w:lang w:val="en-US" w:eastAsia="zh-CN"/>
        </w:rPr>
        <w:t>的可能，需采用管沟多余土或借土填高以防地表水汇集。对敷设在较平坦地段的管道，应在地貌恢复后使管沟与附近地表自然过渡，回填土与周围地表坡向保持一致，严禁在管沟两侧有</w:t>
      </w:r>
      <w:r>
        <w:rPr>
          <w:rFonts w:hint="eastAsia"/>
          <w:color w:val="auto"/>
          <w:sz w:val="24"/>
          <w:szCs w:val="24"/>
          <w:highlight w:val="none"/>
          <w:lang w:val="en-US" w:eastAsia="zh-CN"/>
        </w:rPr>
        <w:t>积水</w:t>
      </w:r>
      <w:r>
        <w:rPr>
          <w:color w:val="auto"/>
          <w:sz w:val="24"/>
          <w:szCs w:val="24"/>
          <w:highlight w:val="none"/>
          <w:lang w:val="en-US" w:eastAsia="zh-CN"/>
        </w:rPr>
        <w:t>环境存在。</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（8）在设计阶段优化地面管线的走向，尽量避让荒漠植被，无法避让的，须采取移栽、减小施工作业带宽度等生态保护措施</w:t>
      </w:r>
      <w:r>
        <w:rPr>
          <w:color w:val="auto"/>
          <w:sz w:val="24"/>
          <w:szCs w:val="24"/>
          <w:highlight w:val="none"/>
          <w:lang w:val="en-US" w:eastAsia="zh-CN"/>
        </w:rPr>
        <w:t>。</w:t>
      </w:r>
    </w:p>
    <w:p>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bookmarkStart w:id="732" w:name="_Hlk95844547"/>
      <w:bookmarkStart w:id="733" w:name="_Hlk69390513"/>
      <w:r>
        <w:rPr>
          <w:rFonts w:hint="eastAsia"/>
          <w:color w:val="auto"/>
          <w:sz w:val="24"/>
          <w:szCs w:val="24"/>
          <w:highlight w:val="none"/>
          <w:lang w:val="en-US" w:eastAsia="zh-CN"/>
        </w:rPr>
        <w:t>6.1.1.</w:t>
      </w:r>
      <w:bookmarkEnd w:id="732"/>
      <w:bookmarkEnd w:id="733"/>
      <w:r>
        <w:rPr>
          <w:rFonts w:hint="eastAsia"/>
          <w:color w:val="auto"/>
          <w:sz w:val="24"/>
          <w:szCs w:val="24"/>
          <w:highlight w:val="none"/>
          <w:lang w:val="en-US" w:eastAsia="zh-CN"/>
        </w:rPr>
        <w:t>4水土流失防治措施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（1）工程措施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①管线防治区</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管道工程区管沟回填后需先进行严格的整治，对局部高差较大处，由铲运机铲运土方回填，开挖及回填时应保证地面相对平整，压实度较高的采用推土机的松土器进行耙松。精细平整过程中不仅要保证土体再塑，而且要稳坡固表，防治水土流失。</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②井场、站场防治区</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井场、站场工程区场地平整：针对井场除砾石压盖面积外的施工场地，施工结束后需要进行场地平整，对局部高差较大处，由铲运机铲运土方回填，开挖及回填时应保证地面相对平整，压实度较高的采用推土机的松土器进行耙松。精细平整过程中不仅要保证土体再塑，而且要稳坡固表，防治水土流失。</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③道路防治区</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严格控制和管理施工期间车辆行驶的范围，减轻对周边区域的扰动，在施工作业区两侧拉彩条旗以示明车辆行驶的边界，以避免增加对地表的扰动和破坏。</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（2）场地平整</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井场、站场工程区场地平整：针对井场、站场除砾石压盖面积外的施工场地，施工结束后需要进行场地平整，对局部高差较大处，由铲运机铲运土方回填，开挖及回填时应保证地面相对平整，压实度较高的采用推土机的松土器进行耙松。精细平整过程中不仅要保证土体再塑，而且要稳坡固表，防治水土流失。</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（4）水土保持管理措施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对工程措施的管理要纳入生产管理计划之中，专业人员负责施工设计和技术指导，在责任范围内建立相应的管理措施。根据《中华人民共和国水土保持法》，在山区、丘陵区、风沙区以及水土保持规划确定的容易发生水土流失的其他区域开办可能造成水土流失的生产建设项目，生产建设单位应当编制水土保持方案，报县级以上人民政府水行政主管部门审批，并按照经批准的水土保持方案，采取水土流失预防和治理措施。没有能力编制水土保持方案的，应当委托具备相应技术条件的机构编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项目选线和拟采用的技术标准，应该充分考虑水土流失因素，尽量避开植被茂盛地段，施工期间严格划定施工活动范围，严格控制和管理运输车辆及重型机械的运行范围，不另辟施工便道，不得离开运输道路及随意驾驶。由专人监督负责，以防破坏土壤和植被。</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②严禁在大风、大雨天气下施工，特别是深挖和回填等作业。</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③加强水土保持管理，对施工人员进行培训和教育，自觉保持水土，保护植被。严禁施工材料乱堆乱放，不随意乱采乱挖沿线植被。</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④对施工迹地恢复平整，以减少区域水土流失量的增加。</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⑤加强施工期管理，加速建设进度，减少施工期水土流失的产生；同时在施工期间，应提前制定严密的交通管理措施。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⑥施工营地应选择植被稀疏的地段并减少占地面积。</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⑦严格控制和管理施工期间车辆行驶的范围，减轻对周边区域的扰动，在施工作业区四周拉彩条旗以示明车辆行驶的边界，以避免增加对地表的扰动和破坏。</w:t>
      </w:r>
    </w:p>
    <w:p>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6.1.1.5对野生动植物的生态保护措施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（1）施工应避开植被茂盛的区段，尽量避免砍伐野生植物，严格限定施工范围，确定作业路线，不得随意改线。施工若遇到保护植物应当采取避让的措施，若无法进行避让，需对保护植物进行移植保护。</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2）管线施工范围应严格限制在8m范围内。施工机械和车辆应严格按规定在设计场地及便道上作业和行驶，防止扩大对土壤和植被的破坏范围。在保证顺利施工的前提下，应尽可能缩小施工作业宽度，以减少临时占地影响，将施工期对环境不利影响降到最低限度。</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（3）在施工区域设置“保护生态环境、保护野生动植物”等警示牌，并从管理上对施工作业人员加强宣传教育，切实提高保护生态环境的意识。车辆行驶过程中不得鸣笛惊吓野生动物。</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（4）建设选址尽量少占植被茂密的地块，严格控制占地面积，保护野生动、植物。</w:t>
      </w:r>
    </w:p>
    <w:p>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6.1.1.6对魔鬼城风景名胜区的生态保护措施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本</w:t>
      </w:r>
      <w:r>
        <w:rPr>
          <w:color w:val="auto"/>
          <w:sz w:val="24"/>
          <w:szCs w:val="24"/>
          <w:highlight w:val="none"/>
          <w:lang w:val="en-US" w:eastAsia="zh-CN"/>
        </w:rPr>
        <w:t>工程</w:t>
      </w:r>
      <w:r>
        <w:rPr>
          <w:rFonts w:hint="eastAsia"/>
          <w:color w:val="auto"/>
          <w:sz w:val="24"/>
          <w:szCs w:val="24"/>
          <w:highlight w:val="none"/>
          <w:lang w:val="en-US" w:eastAsia="zh-CN"/>
        </w:rPr>
        <w:t>风城二号稠油处理站至乌33转油站净化油外输管线东南侧距离魔鬼城核心景区边界最近距离为40m，工程不在魔鬼城风景名胜区规划范围内</w:t>
      </w:r>
      <w:r>
        <w:rPr>
          <w:color w:val="auto"/>
          <w:sz w:val="24"/>
          <w:szCs w:val="24"/>
          <w:highlight w:val="none"/>
          <w:lang w:val="en-US" w:eastAsia="zh-CN"/>
        </w:rPr>
        <w:t>，需采取的避让、保护措施包括：</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default"/>
          <w:color w:val="auto"/>
          <w:sz w:val="24"/>
          <w:szCs w:val="24"/>
          <w:highlight w:val="none"/>
          <w:lang w:val="en-US" w:eastAsia="zh-CN"/>
        </w:rPr>
      </w:pPr>
      <w:r>
        <w:rPr>
          <w:rFonts w:hint="eastAsia"/>
          <w:color w:val="auto"/>
          <w:sz w:val="24"/>
          <w:szCs w:val="24"/>
          <w:highlight w:val="none"/>
          <w:lang w:val="en-US" w:eastAsia="zh-CN"/>
        </w:rPr>
        <w:t>（1）</w:t>
      </w:r>
      <w:r>
        <w:rPr>
          <w:rFonts w:hint="default"/>
          <w:color w:val="auto"/>
          <w:sz w:val="24"/>
          <w:szCs w:val="24"/>
          <w:highlight w:val="none"/>
          <w:lang w:val="en-US" w:eastAsia="zh-CN"/>
        </w:rPr>
        <w:t>站场布设时尽量远离魔鬼城风景旅游区；本工程充分利用油区已有道路，不新建道路，减少了对魔鬼城景区的景观影响。严禁任何施工活动进入魔鬼城风景名胜区内。</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工程对魔鬼城风景名胜区景观影响较大的主要为管沟大开挖施工。由于魔鬼城其主要保护对象为雅丹地貌景观，是一种典型的风蚀性地貌。施工期严格控制施工作业范围（控制在8m范围内），禁止越界施工，可采用小型机械施工，在可能的情况下尽量减小施工作业带；同时施工场地布设应尽量远离魔鬼城景区；加强施工期扬尘及水土流失防治，减少对其景观的影响。避免在大风天气施工，同时施工材料采用上铺下垫，减少扬尘污染。</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（3）</w:t>
      </w:r>
      <w:r>
        <w:rPr>
          <w:color w:val="auto"/>
          <w:sz w:val="24"/>
          <w:szCs w:val="24"/>
          <w:highlight w:val="none"/>
          <w:lang w:val="en-US" w:eastAsia="zh-CN"/>
        </w:rPr>
        <w:t>做好区域的水土保持工作，在施工期间和施工后要按照水土保持报告的要求，根据实际情况落实工程防治措施和生态恢复措施。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（4）</w:t>
      </w:r>
      <w:r>
        <w:rPr>
          <w:color w:val="auto"/>
          <w:sz w:val="24"/>
          <w:szCs w:val="24"/>
          <w:highlight w:val="none"/>
          <w:lang w:val="en-US" w:eastAsia="zh-CN"/>
        </w:rPr>
        <w:t>按照</w:t>
      </w:r>
      <w:r>
        <w:rPr>
          <w:rFonts w:hint="eastAsia"/>
          <w:color w:val="auto"/>
          <w:sz w:val="24"/>
          <w:szCs w:val="24"/>
          <w:highlight w:val="none"/>
          <w:lang w:val="en-US" w:eastAsia="zh-CN"/>
        </w:rPr>
        <w:t>“</w:t>
      </w:r>
      <w:r>
        <w:rPr>
          <w:color w:val="auto"/>
          <w:sz w:val="24"/>
          <w:szCs w:val="24"/>
          <w:highlight w:val="none"/>
          <w:lang w:val="en-US" w:eastAsia="zh-CN"/>
        </w:rPr>
        <w:t>以新带老</w:t>
      </w:r>
      <w:r>
        <w:rPr>
          <w:rFonts w:hint="eastAsia"/>
          <w:color w:val="auto"/>
          <w:sz w:val="24"/>
          <w:szCs w:val="24"/>
          <w:highlight w:val="none"/>
          <w:lang w:val="en-US" w:eastAsia="zh-CN"/>
        </w:rPr>
        <w:t>”</w:t>
      </w:r>
      <w:r>
        <w:rPr>
          <w:color w:val="auto"/>
          <w:sz w:val="24"/>
          <w:szCs w:val="24"/>
          <w:highlight w:val="none"/>
          <w:lang w:val="en-US" w:eastAsia="zh-CN"/>
        </w:rPr>
        <w:t>的原则，对魔鬼城风景旅游区附近的一些影响景观的原有油田设施如高压电网、闲置建筑物等进行拆除清理，不能拆除的设法改进设置方式，电线电缆一律移入地下，建筑物予以美化，并使色彩与环境相协调。</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5</w:t>
      </w:r>
      <w:r>
        <w:rPr>
          <w:color w:val="auto"/>
          <w:sz w:val="24"/>
          <w:szCs w:val="24"/>
          <w:highlight w:val="none"/>
          <w:lang w:val="en-US" w:eastAsia="zh-CN"/>
        </w:rPr>
        <w:t>）要求魔鬼城核心浏览区周边井位开发过程中严格控制</w:t>
      </w:r>
      <w:r>
        <w:rPr>
          <w:rFonts w:hint="eastAsia"/>
          <w:color w:val="auto"/>
          <w:sz w:val="24"/>
          <w:szCs w:val="24"/>
          <w:highlight w:val="none"/>
          <w:lang w:val="en-US" w:eastAsia="zh-CN"/>
        </w:rPr>
        <w:t>临时</w:t>
      </w:r>
      <w:r>
        <w:rPr>
          <w:color w:val="auto"/>
          <w:sz w:val="24"/>
          <w:szCs w:val="24"/>
          <w:highlight w:val="none"/>
          <w:lang w:val="en-US" w:eastAsia="zh-CN"/>
        </w:rPr>
        <w:t>占地面积，钻井机架颜色与魔鬼城景区颜色相近</w:t>
      </w:r>
      <w:r>
        <w:rPr>
          <w:rFonts w:hint="eastAsia"/>
          <w:color w:val="auto"/>
          <w:sz w:val="24"/>
          <w:szCs w:val="24"/>
          <w:highlight w:val="none"/>
          <w:lang w:val="en-US" w:eastAsia="zh-CN"/>
        </w:rPr>
        <w:t>，</w:t>
      </w:r>
      <w:r>
        <w:rPr>
          <w:color w:val="auto"/>
          <w:sz w:val="24"/>
          <w:szCs w:val="24"/>
          <w:highlight w:val="none"/>
          <w:lang w:val="en-US" w:eastAsia="zh-CN"/>
        </w:rPr>
        <w:t xml:space="preserve"> 减轻对景区造成的不良影响。</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color w:val="auto"/>
          <w:sz w:val="24"/>
          <w:szCs w:val="24"/>
          <w:highlight w:val="none"/>
          <w:lang w:val="en-US" w:eastAsia="zh-CN"/>
        </w:rPr>
        <w:t>（</w:t>
      </w:r>
      <w:r>
        <w:rPr>
          <w:rFonts w:hint="eastAsia"/>
          <w:color w:val="auto"/>
          <w:sz w:val="24"/>
          <w:szCs w:val="24"/>
          <w:highlight w:val="none"/>
          <w:lang w:val="en-US" w:eastAsia="zh-CN"/>
        </w:rPr>
        <w:t>6</w:t>
      </w:r>
      <w:r>
        <w:rPr>
          <w:color w:val="auto"/>
          <w:sz w:val="24"/>
          <w:szCs w:val="24"/>
          <w:highlight w:val="none"/>
          <w:lang w:val="en-US" w:eastAsia="zh-CN"/>
        </w:rPr>
        <w:t>）油田退役期后必须完全恢复地貌，彻底封闭油井，及时清除井场残留的固体废物。</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（7）为不影响魔鬼城风景区景点视觉效果，本工程建设及运营期应以不影响地质地貌的生态环境和整体景观风貌为原则，石油作业设施应与魔鬼城景点保持距离，根据雅丹地貌的特殊性，在坡度大于</w:t>
      </w:r>
      <w:r>
        <w:rPr>
          <w:rFonts w:hint="default" w:ascii="Times New Roman" w:hAnsi="Times New Roman" w:cs="Times New Roman"/>
          <w:color w:val="auto"/>
          <w:sz w:val="24"/>
          <w:szCs w:val="24"/>
          <w:highlight w:val="none"/>
          <w:lang w:val="en-US" w:eastAsia="zh-CN"/>
        </w:rPr>
        <w:t>25°</w:t>
      </w:r>
      <w:r>
        <w:rPr>
          <w:rFonts w:hint="eastAsia"/>
          <w:color w:val="auto"/>
          <w:sz w:val="24"/>
          <w:szCs w:val="24"/>
          <w:highlight w:val="none"/>
          <w:lang w:val="en-US" w:eastAsia="zh-CN"/>
        </w:rPr>
        <w:t>以上、景点周围100m范围内不能进行石油作业，包括磕头机等相关采油设备，以不影响雅丹景点稳定性及观赏性为最基本原则。施工运输通道应严格控制运输车辆数量及运输时间，应尽量避免大型运输车辆与游览车辆的冲突。建议运输时间集中在一早一晚及正午风景区游人相对较少时。协调石油作业区内大型货车运输时间，与风景游览的时间错开，保证在游人游赏的时候不会受到石油作业的影响。</w:t>
      </w:r>
    </w:p>
    <w:p>
      <w:pPr>
        <w:pStyle w:val="53"/>
        <w:pageBreakBefore w:val="0"/>
        <w:kinsoku/>
        <w:wordWrap/>
        <w:overflowPunct/>
        <w:topLinePunct w:val="0"/>
        <w:autoSpaceDE/>
        <w:autoSpaceDN/>
        <w:bidi w:val="0"/>
        <w:spacing w:line="480" w:lineRule="exact"/>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6.1.1.7防沙治沙措施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按照《中华人民共和国防沙治沙法》（2018年11月14日修订）有关规定以及《关于加强沙区建设项目环境影响评价工作的通知》（新环环评发〔2020〕138号）文件，在沙化土地范围内从事开发建设活动的，必须事先就该项目可能对当地及相关地区生态产生的影响进行环境影响评价，依法提交环境影响报告；环境影响报告应当包括有关防沙治沙的内容。</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根据新疆维吾尔自治区实施《中华人民共和国防沙治沙法》办法（2025年1月1日实施）的要求，本次环评提出的防沙治沙方案具体内容如下：</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（1）防沙治沙采取的技术规范、标准</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①《中华人民共和国防沙治沙法》</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2018年</w:t>
      </w:r>
      <w:r>
        <w:rPr>
          <w:rFonts w:hint="eastAsia"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lang w:val="en-US" w:eastAsia="zh-CN" w:bidi="ar-SA"/>
        </w:rPr>
        <w:t>月</w:t>
      </w:r>
      <w:r>
        <w:rPr>
          <w:rFonts w:hint="eastAsia" w:ascii="Times New Roman" w:hAnsi="Times New Roman" w:eastAsia="宋体" w:cs="Times New Roman"/>
          <w:color w:val="auto"/>
          <w:sz w:val="24"/>
          <w:szCs w:val="24"/>
          <w:highlight w:val="none"/>
          <w:lang w:val="en-US" w:eastAsia="zh-CN" w:bidi="ar-SA"/>
        </w:rPr>
        <w:t>26</w:t>
      </w:r>
      <w:r>
        <w:rPr>
          <w:rFonts w:hint="default" w:ascii="Times New Roman" w:hAnsi="Times New Roman" w:eastAsia="宋体" w:cs="Times New Roman"/>
          <w:color w:val="auto"/>
          <w:sz w:val="24"/>
          <w:szCs w:val="24"/>
          <w:highlight w:val="none"/>
          <w:lang w:val="en-US" w:eastAsia="zh-CN" w:bidi="ar-SA"/>
        </w:rPr>
        <w:t>日修订</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②《关于加强沙区建设项目环境影响评价工作的通知》</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新环环评发</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2020</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138号</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③《防沙治沙技术规范》</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GB/T21141-2007</w:t>
      </w:r>
      <w:r>
        <w:rPr>
          <w:rFonts w:hint="eastAsia" w:ascii="Times New Roman" w:hAnsi="Times New Roman" w:eastAsia="宋体" w:cs="Times New Roman"/>
          <w:color w:val="auto"/>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④《国家林业局关于做好沙区开发建设项目环评中防沙治沙内容评价工作的意见》（林沙发〔2013〕136号）</w:t>
      </w:r>
      <w:r>
        <w:rPr>
          <w:rFonts w:hint="eastAsia" w:ascii="Times New Roman" w:hAnsi="Times New Roman" w:eastAsia="宋体" w:cs="Times New Roman"/>
          <w:color w:val="auto"/>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fldChar w:fldCharType="begin"/>
      </w:r>
      <w:r>
        <w:rPr>
          <w:rFonts w:hint="default" w:ascii="Times New Roman" w:hAnsi="Times New Roman" w:eastAsia="宋体" w:cs="Times New Roman"/>
          <w:color w:val="auto"/>
          <w:sz w:val="24"/>
          <w:szCs w:val="24"/>
          <w:highlight w:val="none"/>
          <w:lang w:val="en-US" w:eastAsia="zh-CN" w:bidi="ar-SA"/>
        </w:rPr>
        <w:instrText xml:space="preserve"> = 5 \* GB3 \* MERGEFORMAT </w:instrText>
      </w:r>
      <w:r>
        <w:rPr>
          <w:rFonts w:hint="default" w:ascii="Times New Roman" w:hAnsi="Times New Roman" w:eastAsia="宋体" w:cs="Times New Roman"/>
          <w:color w:val="auto"/>
          <w:sz w:val="24"/>
          <w:szCs w:val="24"/>
          <w:highlight w:val="none"/>
          <w:lang w:val="en-US" w:eastAsia="zh-CN" w:bidi="ar-SA"/>
        </w:rPr>
        <w:fldChar w:fldCharType="separate"/>
      </w:r>
      <w:r>
        <w:rPr>
          <w:rFonts w:hint="eastAsia" w:ascii="Times New Roman" w:hAnsi="Times New Roman" w:eastAsia="宋体" w:cs="Times New Roman"/>
          <w:color w:val="auto"/>
          <w:sz w:val="24"/>
          <w:szCs w:val="24"/>
          <w:highlight w:val="none"/>
          <w:lang w:val="en-US" w:eastAsia="zh-CN" w:bidi="ar-SA"/>
        </w:rPr>
        <w:t>⑤</w:t>
      </w:r>
      <w:r>
        <w:rPr>
          <w:rFonts w:hint="default" w:ascii="Times New Roman" w:hAnsi="Times New Roman" w:eastAsia="宋体" w:cs="Times New Roman"/>
          <w:color w:val="auto"/>
          <w:sz w:val="24"/>
          <w:szCs w:val="24"/>
          <w:highlight w:val="none"/>
          <w:lang w:val="en-US" w:eastAsia="zh-CN" w:bidi="ar-SA"/>
        </w:rPr>
        <w:fldChar w:fldCharType="end"/>
      </w:r>
      <w:r>
        <w:rPr>
          <w:rFonts w:hint="default" w:ascii="Times New Roman" w:hAnsi="Times New Roman" w:eastAsia="宋体" w:cs="Times New Roman"/>
          <w:color w:val="auto"/>
          <w:sz w:val="24"/>
          <w:szCs w:val="24"/>
          <w:highlight w:val="none"/>
          <w:lang w:val="en-US" w:eastAsia="zh-CN" w:bidi="ar-SA"/>
        </w:rPr>
        <w:t>《沙化土地监测技术规程》（GB/T 24255-2009</w:t>
      </w:r>
      <w:r>
        <w:rPr>
          <w:rFonts w:hint="eastAsia" w:ascii="Times New Roman" w:hAnsi="Times New Roman" w:eastAsia="宋体" w:cs="Times New Roman"/>
          <w:color w:val="auto"/>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（2）制定方案的原则与目标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A.</w:t>
      </w:r>
      <w:r>
        <w:rPr>
          <w:rFonts w:hint="default" w:ascii="Times New Roman" w:hAnsi="Times New Roman" w:eastAsia="宋体" w:cs="Times New Roman"/>
          <w:color w:val="auto"/>
          <w:sz w:val="24"/>
          <w:szCs w:val="24"/>
          <w:highlight w:val="none"/>
          <w:lang w:val="en-US" w:eastAsia="zh-CN" w:bidi="ar-SA"/>
        </w:rPr>
        <w:t>制定方案的原则：</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①预防为主，保护优先：加强对沙化土地的监测和预警，及时采取预防措施，防止沙化土地进一步扩大。</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②因地制宜，分区施策：根据</w:t>
      </w:r>
      <w:r>
        <w:rPr>
          <w:rFonts w:hint="eastAsia" w:cs="Times New Roman"/>
          <w:color w:val="auto"/>
          <w:sz w:val="24"/>
          <w:szCs w:val="24"/>
          <w:highlight w:val="none"/>
          <w:lang w:val="en-US" w:eastAsia="zh-CN" w:bidi="ar-SA"/>
        </w:rPr>
        <w:t>夏子街油田</w:t>
      </w:r>
      <w:r>
        <w:rPr>
          <w:rFonts w:hint="default" w:ascii="Times New Roman" w:hAnsi="Times New Roman" w:eastAsia="宋体" w:cs="Times New Roman"/>
          <w:color w:val="auto"/>
          <w:sz w:val="24"/>
          <w:szCs w:val="24"/>
          <w:highlight w:val="none"/>
          <w:lang w:val="en-US" w:eastAsia="zh-CN" w:bidi="ar-SA"/>
        </w:rPr>
        <w:t>不同区域的自然条件和沙化程度，制定针对性的防沙治沙措施。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③科学防治，合理利用：依靠科学技术，提高防沙治沙的科学性和有效性，同时注重沙区资源的合理开发和利用。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④统筹推进，综合效益：将防沙治沙与生态保护、经济发展、民生改善相结合，实现生态效益、经济效益和社会效益的有机统一。</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制定方案的目标：</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①非沙化土地</w:t>
      </w:r>
      <w:r>
        <w:rPr>
          <w:rFonts w:hint="eastAsia" w:ascii="Times New Roman" w:hAnsi="Times New Roman" w:eastAsia="宋体" w:cs="Times New Roman"/>
          <w:color w:val="auto"/>
          <w:sz w:val="24"/>
          <w:szCs w:val="24"/>
          <w:highlight w:val="none"/>
          <w:lang w:val="en-US" w:eastAsia="zh-CN" w:bidi="ar-SA"/>
        </w:rPr>
        <w:t>：防止生态逆转，恢复地表覆盖。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②风蚀残丘</w:t>
      </w:r>
      <w:r>
        <w:rPr>
          <w:rFonts w:hint="eastAsia" w:ascii="Times New Roman" w:hAnsi="Times New Roman" w:eastAsia="宋体" w:cs="Times New Roman"/>
          <w:color w:val="auto"/>
          <w:sz w:val="24"/>
          <w:szCs w:val="24"/>
          <w:highlight w:val="none"/>
          <w:lang w:val="en-US" w:eastAsia="zh-CN" w:bidi="ar-SA"/>
        </w:rPr>
        <w:t>：保护抗蚀层结构，减少解体沙化</w:t>
      </w:r>
      <w:r>
        <w:rPr>
          <w:rFonts w:hint="default" w:ascii="Times New Roman" w:hAnsi="Times New Roman" w:eastAsia="宋体" w:cs="Times New Roman"/>
          <w:color w:val="auto"/>
          <w:sz w:val="24"/>
          <w:szCs w:val="24"/>
          <w:highlight w:val="none"/>
          <w:lang w:val="en-US" w:eastAsia="zh-CN" w:bidi="ar-SA"/>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③</w:t>
      </w:r>
      <w:r>
        <w:rPr>
          <w:rFonts w:hint="eastAsia" w:ascii="Times New Roman" w:hAnsi="Times New Roman" w:eastAsia="宋体" w:cs="Times New Roman"/>
          <w:color w:val="auto"/>
          <w:sz w:val="24"/>
          <w:szCs w:val="24"/>
          <w:highlight w:val="none"/>
          <w:lang w:val="en-US" w:eastAsia="zh-CN" w:bidi="ar-SA"/>
        </w:rPr>
        <w:t>戈壁：</w:t>
      </w:r>
      <w:r>
        <w:rPr>
          <w:rFonts w:hint="default" w:ascii="Times New Roman" w:hAnsi="Times New Roman" w:eastAsia="宋体" w:cs="Times New Roman"/>
          <w:color w:val="auto"/>
          <w:sz w:val="24"/>
          <w:szCs w:val="24"/>
          <w:highlight w:val="none"/>
          <w:lang w:val="en-US" w:eastAsia="zh-CN" w:bidi="ar-SA"/>
        </w:rPr>
        <w:t>维持砾幕完整性，防止下伏沙活化。</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（3）防沙治沙分阶段治理措施及实施计划</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sz w:val="24"/>
          <w:szCs w:val="24"/>
          <w:highlight w:val="none"/>
          <w:lang w:val="en-US" w:eastAsia="zh-CN" w:bidi="ar-SA"/>
        </w:rPr>
        <w:t>根据上述防沙治沙目标，提出防沙治沙治理措施及实施计划，具体见下表</w:t>
      </w:r>
      <w:r>
        <w:rPr>
          <w:rFonts w:hint="eastAsia" w:ascii="Times New Roman" w:hAnsi="Times New Roman" w:eastAsia="宋体" w:cs="Times New Roman"/>
          <w:color w:val="auto"/>
          <w:kern w:val="2"/>
          <w:sz w:val="24"/>
          <w:szCs w:val="24"/>
          <w:highlight w:val="none"/>
          <w:lang w:val="en-US" w:eastAsia="zh-CN" w:bidi="ar-SA"/>
        </w:rPr>
        <w:t>：</w:t>
      </w:r>
    </w:p>
    <w:p>
      <w:pPr>
        <w:pStyle w:val="54"/>
        <w:pageBreakBefore w:val="0"/>
        <w:kinsoku/>
        <w:wordWrap/>
        <w:overflowPunct/>
        <w:topLinePunct w:val="0"/>
        <w:autoSpaceDE/>
        <w:autoSpaceDN/>
        <w:bidi w:val="0"/>
        <w:spacing w:line="480" w:lineRule="exact"/>
        <w:ind w:firstLine="482"/>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表6.1-2  防沙治沙分阶段治理措施及实施计划</w:t>
      </w:r>
    </w:p>
    <w:tbl>
      <w:tblPr>
        <w:tblStyle w:val="35"/>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703"/>
        <w:gridCol w:w="1362"/>
        <w:gridCol w:w="1787"/>
        <w:gridCol w:w="397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阶段</w:t>
            </w:r>
          </w:p>
        </w:tc>
        <w:tc>
          <w:tcPr>
            <w:tcW w:w="7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措施类型</w:t>
            </w:r>
          </w:p>
        </w:tc>
        <w:tc>
          <w:tcPr>
            <w:tcW w:w="101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具体措施</w:t>
            </w:r>
          </w:p>
        </w:tc>
        <w:tc>
          <w:tcPr>
            <w:tcW w:w="225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实施内容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restar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第一阶段</w:t>
            </w:r>
            <w:r>
              <w:rPr>
                <w:rFonts w:hint="eastAsia"/>
                <w:color w:val="auto"/>
                <w:lang w:val="en-US" w:eastAsia="zh-CN"/>
              </w:rPr>
              <w:t>（施工结束1～2年）</w:t>
            </w:r>
          </w:p>
        </w:tc>
        <w:tc>
          <w:tcPr>
            <w:tcW w:w="7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工程措施</w:t>
            </w:r>
          </w:p>
        </w:tc>
        <w:tc>
          <w:tcPr>
            <w:tcW w:w="101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布设重点区域沙障</w:t>
            </w:r>
          </w:p>
        </w:tc>
        <w:tc>
          <w:tcPr>
            <w:tcW w:w="225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井场周边、道路两侧布设1m×1m草方格，关键风口设阻沙栅栏。具体长度和面积与水土保持方案保持一致。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植被措施</w:t>
            </w:r>
          </w:p>
        </w:tc>
        <w:tc>
          <w:tcPr>
            <w:tcW w:w="101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种植适生灌木</w:t>
            </w:r>
          </w:p>
        </w:tc>
        <w:tc>
          <w:tcPr>
            <w:tcW w:w="225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具体</w:t>
            </w:r>
            <w:r>
              <w:rPr>
                <w:rFonts w:hint="eastAsia"/>
                <w:color w:val="auto"/>
                <w:lang w:val="en-US" w:eastAsia="zh-CN"/>
              </w:rPr>
              <w:t>种类和数量与</w:t>
            </w:r>
            <w:r>
              <w:rPr>
                <w:rFonts w:hint="default"/>
                <w:color w:val="auto"/>
                <w:lang w:val="en-US" w:eastAsia="zh-CN"/>
              </w:rPr>
              <w:t>水土保持方案保持一致。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监测措施</w:t>
            </w:r>
          </w:p>
        </w:tc>
        <w:tc>
          <w:tcPr>
            <w:tcW w:w="101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建设基础监测网络</w:t>
            </w:r>
          </w:p>
        </w:tc>
        <w:tc>
          <w:tcPr>
            <w:tcW w:w="225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设置监测点，采集沙丘移动、植被成活、风蚀强度数据等。具体设置数量和位置与水土保持方案保持一致。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restar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第二阶段</w:t>
            </w:r>
            <w:r>
              <w:rPr>
                <w:rFonts w:hint="eastAsia"/>
                <w:color w:val="auto"/>
                <w:lang w:val="en-US" w:eastAsia="zh-CN"/>
              </w:rPr>
              <w:t>（</w:t>
            </w:r>
            <w:r>
              <w:rPr>
                <w:rFonts w:hint="default"/>
                <w:color w:val="auto"/>
                <w:lang w:val="en-US" w:eastAsia="zh-CN"/>
              </w:rPr>
              <w:t>施工结束</w:t>
            </w:r>
            <w:r>
              <w:rPr>
                <w:rFonts w:hint="eastAsia"/>
                <w:color w:val="auto"/>
                <w:lang w:val="en-US" w:eastAsia="zh-CN"/>
              </w:rPr>
              <w:t>3～5</w:t>
            </w:r>
            <w:r>
              <w:rPr>
                <w:rFonts w:hint="default"/>
                <w:color w:val="auto"/>
                <w:lang w:val="en-US" w:eastAsia="zh-CN"/>
              </w:rPr>
              <w:t>年</w:t>
            </w:r>
            <w:r>
              <w:rPr>
                <w:rFonts w:hint="eastAsia"/>
                <w:color w:val="auto"/>
                <w:lang w:val="en-US" w:eastAsia="zh-CN"/>
              </w:rPr>
              <w:t>）</w:t>
            </w:r>
          </w:p>
        </w:tc>
        <w:tc>
          <w:tcPr>
            <w:tcW w:w="7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工程措施</w:t>
            </w:r>
          </w:p>
        </w:tc>
        <w:tc>
          <w:tcPr>
            <w:tcW w:w="101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完善沙障系统</w:t>
            </w:r>
          </w:p>
        </w:tc>
        <w:tc>
          <w:tcPr>
            <w:tcW w:w="225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维护现有沙障，流沙区增设沙障。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植被措施</w:t>
            </w:r>
          </w:p>
        </w:tc>
        <w:tc>
          <w:tcPr>
            <w:tcW w:w="101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提升植被恢复</w:t>
            </w:r>
          </w:p>
        </w:tc>
        <w:tc>
          <w:tcPr>
            <w:tcW w:w="225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补植成活不足区域，沙障保护区内试种草本植物。</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restar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第三阶段</w:t>
            </w:r>
            <w:r>
              <w:rPr>
                <w:rFonts w:hint="eastAsia"/>
                <w:color w:val="auto"/>
                <w:lang w:val="en-US" w:eastAsia="zh-CN"/>
              </w:rPr>
              <w:t>（</w:t>
            </w:r>
            <w:r>
              <w:rPr>
                <w:rFonts w:hint="default"/>
                <w:color w:val="auto"/>
                <w:lang w:val="en-US" w:eastAsia="zh-CN"/>
              </w:rPr>
              <w:t>施工结束</w:t>
            </w:r>
            <w:r>
              <w:rPr>
                <w:rFonts w:hint="eastAsia"/>
                <w:color w:val="auto"/>
                <w:lang w:val="en-US" w:eastAsia="zh-CN"/>
              </w:rPr>
              <w:t>5～10</w:t>
            </w:r>
            <w:r>
              <w:rPr>
                <w:rFonts w:hint="default"/>
                <w:color w:val="auto"/>
                <w:lang w:val="en-US" w:eastAsia="zh-CN"/>
              </w:rPr>
              <w:t>年</w:t>
            </w:r>
            <w:r>
              <w:rPr>
                <w:rFonts w:hint="eastAsia"/>
                <w:color w:val="auto"/>
                <w:lang w:val="en-US" w:eastAsia="zh-CN"/>
              </w:rPr>
              <w:t>）</w:t>
            </w:r>
          </w:p>
        </w:tc>
        <w:tc>
          <w:tcPr>
            <w:tcW w:w="7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工程措施</w:t>
            </w:r>
          </w:p>
        </w:tc>
        <w:tc>
          <w:tcPr>
            <w:tcW w:w="101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巩固防护体系</w:t>
            </w:r>
          </w:p>
        </w:tc>
        <w:tc>
          <w:tcPr>
            <w:tcW w:w="225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更新老化沙障，关键设施试用新型复合材料沙障。</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植被措施</w:t>
            </w:r>
          </w:p>
        </w:tc>
        <w:tc>
          <w:tcPr>
            <w:tcW w:w="101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培育群落稳定性</w:t>
            </w:r>
          </w:p>
        </w:tc>
        <w:tc>
          <w:tcPr>
            <w:tcW w:w="225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促进自然更新，引入深根性树种，建立本地种子采集区。</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vMerge w:val="continue"/>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p>
        </w:tc>
        <w:tc>
          <w:tcPr>
            <w:tcW w:w="77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管护措施</w:t>
            </w:r>
          </w:p>
        </w:tc>
        <w:tc>
          <w:tcPr>
            <w:tcW w:w="1012"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建立长效机制</w:t>
            </w:r>
          </w:p>
        </w:tc>
        <w:tc>
          <w:tcPr>
            <w:tcW w:w="2251"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eastAsia"/>
                <w:color w:val="auto"/>
                <w:lang w:val="en-US" w:eastAsia="zh-CN"/>
              </w:rPr>
              <w:t>制定维护规程，培训1~2名专职管护人员。</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964" w:type="pct"/>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实施保障</w:t>
            </w:r>
          </w:p>
        </w:tc>
        <w:tc>
          <w:tcPr>
            <w:tcW w:w="4035" w:type="pct"/>
            <w:gridSpan w:val="3"/>
            <w:tcBorders>
              <w:tl2br w:val="nil"/>
              <w:tr2bl w:val="nil"/>
            </w:tcBorders>
            <w:noWrap w:val="0"/>
            <w:vAlign w:val="center"/>
          </w:tcPr>
          <w:p>
            <w:pPr>
              <w:pStyle w:val="55"/>
              <w:keepNext w:val="0"/>
              <w:keepLines w:val="0"/>
              <w:pageBreakBefore w:val="0"/>
              <w:widowControl w:val="0"/>
              <w:kinsoku/>
              <w:wordWrap/>
              <w:overflowPunct/>
              <w:topLinePunct w:val="0"/>
              <w:autoSpaceDE/>
              <w:autoSpaceDN/>
              <w:bidi w:val="0"/>
              <w:adjustRightInd w:val="0"/>
              <w:snapToGrid w:val="0"/>
              <w:spacing w:line="240" w:lineRule="auto"/>
              <w:textAlignment w:val="baseline"/>
              <w:rPr>
                <w:rFonts w:hint="default"/>
                <w:color w:val="auto"/>
                <w:lang w:val="en-US" w:eastAsia="zh-CN"/>
              </w:rPr>
            </w:pPr>
            <w:r>
              <w:rPr>
                <w:rFonts w:hint="default"/>
                <w:color w:val="auto"/>
                <w:lang w:val="en-US" w:eastAsia="zh-CN"/>
              </w:rPr>
              <w:t>按</w:t>
            </w:r>
            <w:r>
              <w:rPr>
                <w:rFonts w:hint="eastAsia"/>
                <w:color w:val="auto"/>
                <w:lang w:val="en-US" w:eastAsia="zh-CN"/>
              </w:rPr>
              <w:t>“</w:t>
            </w:r>
            <w:r>
              <w:rPr>
                <w:rFonts w:hint="default"/>
                <w:color w:val="auto"/>
                <w:lang w:val="en-US" w:eastAsia="zh-CN"/>
              </w:rPr>
              <w:t>先核心后外围</w:t>
            </w:r>
            <w:r>
              <w:rPr>
                <w:rFonts w:hint="eastAsia"/>
                <w:color w:val="auto"/>
                <w:lang w:val="en-US" w:eastAsia="zh-CN"/>
              </w:rPr>
              <w:t>”</w:t>
            </w:r>
            <w:r>
              <w:rPr>
                <w:rFonts w:hint="default"/>
                <w:color w:val="auto"/>
                <w:lang w:val="en-US" w:eastAsia="zh-CN"/>
              </w:rPr>
              <w:t>原则推进；每年根据监测结果优化方案；利用油田现有管护力量和设备；与当地治沙站协作</w:t>
            </w:r>
          </w:p>
        </w:tc>
      </w:tr>
    </w:tbl>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hint="eastAsia" w:ascii="Times New Roman" w:hAnsi="Times New Roman" w:eastAsia="宋体" w:cs="Times New Roman"/>
          <w:color w:val="auto"/>
          <w:sz w:val="24"/>
          <w:szCs w:val="21"/>
          <w:highlight w:val="none"/>
          <w:lang w:val="en-US" w:eastAsia="zh-CN" w:bidi="ar-SA"/>
        </w:rPr>
      </w:pPr>
      <w:r>
        <w:rPr>
          <w:rFonts w:hint="default" w:ascii="Times New Roman" w:hAnsi="Times New Roman" w:eastAsia="宋体" w:cs="Times New Roman"/>
          <w:color w:val="auto"/>
          <w:sz w:val="24"/>
          <w:szCs w:val="21"/>
          <w:highlight w:val="none"/>
          <w:lang w:val="en-US" w:eastAsia="zh-CN" w:bidi="ar-SA"/>
        </w:rPr>
        <w:t>针对施工机械及运输车辆，提出如下措施：施工期间应划定施工活动范围，严格控制和管理运输车辆及重型机械的运行线路和范围，不得离开运输道路及随意行驶，由专人负责，以防破坏土壤和植被，加剧土地荒漠化。尽量避开沙丘，减缓对沙丘活化的影响。土地临时使用过程中发现土地沙化或者沙化程度加重的，应当及时报告当地人民政府。</w:t>
      </w:r>
    </w:p>
    <w:p>
      <w:pPr>
        <w:pStyle w:val="53"/>
        <w:pageBreakBefore w:val="0"/>
        <w:kinsoku/>
        <w:wordWrap/>
        <w:overflowPunct/>
        <w:topLinePunct w:val="0"/>
        <w:autoSpaceDE/>
        <w:autoSpaceDN/>
        <w:bidi w:val="0"/>
        <w:spacing w:line="480" w:lineRule="exact"/>
        <w:textAlignment w:val="auto"/>
        <w:rPr>
          <w:rFonts w:hint="eastAsia"/>
          <w:color w:val="auto"/>
          <w:highlight w:val="none"/>
          <w:lang w:val="en-US" w:eastAsia="zh-CN"/>
        </w:rPr>
      </w:pPr>
      <w:bookmarkStart w:id="734" w:name="_Toc173941926"/>
      <w:bookmarkStart w:id="735" w:name="_Hlk95838737"/>
      <w:bookmarkStart w:id="736" w:name="_Hlk95838722"/>
      <w:bookmarkStart w:id="737" w:name="_Hlk48604500"/>
      <w:r>
        <w:rPr>
          <w:rFonts w:hint="eastAsia"/>
          <w:color w:val="auto"/>
          <w:highlight w:val="none"/>
          <w:lang w:val="en-US" w:eastAsia="zh-CN"/>
        </w:rPr>
        <w:t>6.</w:t>
      </w:r>
      <w:bookmarkEnd w:id="734"/>
      <w:r>
        <w:rPr>
          <w:rFonts w:hint="eastAsia"/>
          <w:color w:val="auto"/>
          <w:highlight w:val="none"/>
          <w:lang w:val="en-US" w:eastAsia="zh-CN"/>
        </w:rPr>
        <w:t>1.2运营期生态保护措施</w:t>
      </w:r>
    </w:p>
    <w:bookmarkEnd w:id="735"/>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（1）监督和管理措施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①针对本工程的建设，风城油田作业区HSE管理委员会负责工程建设及运营期间对生态环境的保护工作，落实本工程环保措施的实施并与各施工单位签订详细的环境保护协议，明确各方的责任以及奖惩规定。</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②选择信誉良好、素质较高的施工队伍，保证工程建设的质量，避免因质量问题对环境带来不利影响；同时，通过培训和发放宣传手册强化施工人员的环境保护意识，明确施工人员的行为和奖惩制度。</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③针对已经发生的破坏生态环境的问题必须认真及时地解决，并对正在和即将建设的工程提出具体、可行的整改和防治措施。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针对本工程所在区域遗留的生态环境问题需按要求整改完成，原井场遗留有弃渣没有及时清运、老井临时占地内的水泥块未清理或综合利用等，需尽快组织工作人员按期将井场遗留固废清运或综合利用，并纳入本工程环保投资。</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（2）运营期生态保护措施</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①加强管理，确保各项环保措施落实。对施工迹地表面覆以砾石，以减少风蚀量。</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②在道路边、油田区，设置“保护生态环境、保护野生动植物”等警示牌，并从管理上对作业人员加强宣传教育，切实增强保护生态环境的意识。</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③加强对管线、设备的管理和检查，及时发现问题，及时解决，防止泄漏事故的发生；对泄漏的落地油应及时清理，彻底回收，防止污染扩大蔓延。</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④在管线上方设置各种标志，防止各类施工活动对管线的破坏。</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⑤为保护管道不受深根系植被的破坏，在对集输管道的日常巡查中，应将管道上覆土壤中会对管道构成破坏的深根系植被及时清理，确保管道的安全运行。</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hint="eastAsia"/>
          <w:color w:val="auto"/>
          <w:sz w:val="24"/>
          <w:szCs w:val="24"/>
          <w:highlight w:val="none"/>
          <w:lang w:val="en-US" w:eastAsia="zh-CN"/>
        </w:rPr>
      </w:pPr>
      <w:r>
        <w:rPr>
          <w:rFonts w:hint="eastAsia"/>
          <w:color w:val="auto"/>
          <w:sz w:val="24"/>
          <w:szCs w:val="24"/>
          <w:highlight w:val="none"/>
          <w:lang w:val="en-US" w:eastAsia="zh-CN"/>
        </w:rPr>
        <w:t>⑥管道维修二次开挖回填时，应尽量按原有土壤层次进行回填。</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rFonts w:hint="eastAsia"/>
          <w:color w:val="auto"/>
          <w:sz w:val="24"/>
          <w:szCs w:val="24"/>
          <w:highlight w:val="none"/>
          <w:lang w:val="en-US" w:eastAsia="zh-CN"/>
        </w:rPr>
        <w:t>⑦本工程</w:t>
      </w:r>
      <w:r>
        <w:rPr>
          <w:color w:val="auto"/>
          <w:sz w:val="24"/>
          <w:szCs w:val="24"/>
          <w:highlight w:val="none"/>
          <w:lang w:val="en-US" w:eastAsia="zh-CN"/>
        </w:rPr>
        <w:t>事故状态下对生态环境影响较大，因此必须对事故风险严加防范和控制。加强日常生产监督管理和安全运行检查工作，制定安全生产操作规程，加强职工安全意识教育和安全生产技术培训。一旦发现事故，及时采取相应补救措施，尽量减少影响和损失。</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（3）生态修复方案</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油田运营期开展生态修复目标为油田污染得到安全处置，生态环境质量明显改善；植被破坏区域覆盖率稳步增长，环境风险发生率得到有效控制，杜绝跑冒滴漏危害；</w:t>
      </w:r>
      <w:r>
        <w:rPr>
          <w:rFonts w:hint="eastAsia"/>
          <w:color w:val="auto"/>
          <w:sz w:val="24"/>
          <w:szCs w:val="24"/>
          <w:highlight w:val="none"/>
          <w:lang w:val="en-US" w:eastAsia="zh-CN"/>
        </w:rPr>
        <w:t>油田区</w:t>
      </w:r>
      <w:r>
        <w:rPr>
          <w:color w:val="auto"/>
          <w:sz w:val="24"/>
          <w:szCs w:val="24"/>
          <w:highlight w:val="none"/>
          <w:lang w:val="en-US" w:eastAsia="zh-CN"/>
        </w:rPr>
        <w:t>生态功能基本稳定；生物多样性呈上升趋势；公众生态环保意识得到提高；</w:t>
      </w:r>
      <w:r>
        <w:rPr>
          <w:rFonts w:hint="eastAsia"/>
          <w:color w:val="auto"/>
          <w:sz w:val="24"/>
          <w:szCs w:val="24"/>
          <w:highlight w:val="none"/>
          <w:lang w:val="en-US" w:eastAsia="zh-CN"/>
        </w:rPr>
        <w:t>油田区</w:t>
      </w:r>
      <w:r>
        <w:rPr>
          <w:color w:val="auto"/>
          <w:sz w:val="24"/>
          <w:szCs w:val="24"/>
          <w:highlight w:val="none"/>
          <w:lang w:val="en-US" w:eastAsia="zh-CN"/>
        </w:rPr>
        <w:t>生态环境监测范围达到100%，建立生态安全应急系统。</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color w:val="auto"/>
          <w:sz w:val="24"/>
          <w:szCs w:val="24"/>
          <w:highlight w:val="none"/>
          <w:lang w:val="en-US" w:eastAsia="zh-CN"/>
        </w:rPr>
      </w:pPr>
      <w:r>
        <w:rPr>
          <w:color w:val="auto"/>
          <w:sz w:val="24"/>
          <w:szCs w:val="24"/>
          <w:highlight w:val="none"/>
          <w:lang w:val="en-US" w:eastAsia="zh-CN"/>
        </w:rPr>
        <w:t>管线施工完毕后</w:t>
      </w:r>
      <w:r>
        <w:rPr>
          <w:rFonts w:hint="eastAsia"/>
          <w:color w:val="auto"/>
          <w:sz w:val="24"/>
          <w:szCs w:val="24"/>
          <w:highlight w:val="none"/>
          <w:lang w:val="en-US" w:eastAsia="zh-CN"/>
        </w:rPr>
        <w:t>须</w:t>
      </w:r>
      <w:r>
        <w:rPr>
          <w:color w:val="auto"/>
          <w:sz w:val="24"/>
          <w:szCs w:val="24"/>
          <w:highlight w:val="none"/>
          <w:lang w:val="en-US" w:eastAsia="zh-CN"/>
        </w:rPr>
        <w:t>进行植被恢复，植被恢复以自然恢复为主。</w:t>
      </w:r>
    </w:p>
    <w:p>
      <w:pPr>
        <w:keepNext w:val="0"/>
        <w:keepLines w:val="0"/>
        <w:pageBreakBefore w:val="0"/>
        <w:widowControl w:val="0"/>
        <w:kinsoku/>
        <w:wordWrap/>
        <w:overflowPunct/>
        <w:topLinePunct w:val="0"/>
        <w:autoSpaceDE/>
        <w:autoSpaceDN/>
        <w:bidi w:val="0"/>
        <w:adjustRightInd w:val="0"/>
        <w:snapToGrid w:val="0"/>
        <w:spacing w:line="480" w:lineRule="exact"/>
        <w:ind w:firstLine="480" w:firstLineChars="200"/>
        <w:jc w:val="left"/>
        <w:textAlignment w:val="auto"/>
        <w:rPr>
          <w:rFonts w:ascii="宋体" w:hAnsi="宋体" w:eastAsia="宋体" w:cs="宋体"/>
          <w:color w:val="auto"/>
          <w:sz w:val="24"/>
          <w:szCs w:val="24"/>
          <w:highlight w:val="none"/>
          <w:lang w:val="en-US" w:eastAsia="zh-CN" w:bidi="ar-SA"/>
        </w:rPr>
      </w:pPr>
      <w:r>
        <w:rPr>
          <w:color w:val="auto"/>
          <w:sz w:val="24"/>
          <w:szCs w:val="24"/>
          <w:highlight w:val="none"/>
          <w:lang w:val="en-US" w:eastAsia="zh-CN"/>
        </w:rPr>
        <w:t>综上，</w:t>
      </w:r>
      <w:r>
        <w:rPr>
          <w:rFonts w:hint="eastAsia"/>
          <w:color w:val="auto"/>
          <w:sz w:val="24"/>
          <w:szCs w:val="24"/>
          <w:highlight w:val="none"/>
          <w:lang w:val="en-US" w:eastAsia="zh-CN"/>
        </w:rPr>
        <w:t>本工程</w:t>
      </w:r>
      <w:r>
        <w:rPr>
          <w:color w:val="auto"/>
          <w:sz w:val="24"/>
          <w:szCs w:val="24"/>
          <w:highlight w:val="none"/>
          <w:lang w:val="en-US" w:eastAsia="zh-CN"/>
        </w:rPr>
        <w:t>采取的生态环境保护措施可行。</w:t>
      </w:r>
    </w:p>
    <w:bookmarkEnd w:id="736"/>
    <w:bookmarkEnd w:id="737"/>
    <w:p>
      <w:pPr>
        <w:pStyle w:val="53"/>
        <w:pageBreakBefore w:val="0"/>
        <w:kinsoku/>
        <w:wordWrap/>
        <w:overflowPunct/>
        <w:topLinePunct w:val="0"/>
        <w:autoSpaceDE/>
        <w:autoSpaceDN/>
        <w:bidi w:val="0"/>
        <w:spacing w:line="480" w:lineRule="exact"/>
        <w:textAlignment w:val="auto"/>
        <w:rPr>
          <w:color w:val="auto"/>
          <w:highlight w:val="none"/>
          <w:lang w:val="en-US" w:eastAsia="zh-CN"/>
        </w:rPr>
      </w:pPr>
      <w:bookmarkStart w:id="738" w:name="_Toc173941938"/>
      <w:r>
        <w:rPr>
          <w:rFonts w:hint="eastAsia"/>
          <w:color w:val="auto"/>
          <w:highlight w:val="none"/>
          <w:lang w:val="en-US" w:eastAsia="zh-CN"/>
        </w:rPr>
        <w:t>6.1.3退役期生态环境保护措施</w:t>
      </w:r>
      <w:bookmarkEnd w:id="738"/>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随着</w:t>
      </w:r>
      <w:r>
        <w:rPr>
          <w:rFonts w:hint="eastAsia" w:ascii="Times New Roman" w:hAnsi="Times New Roman" w:eastAsia="宋体" w:cs="Times New Roman"/>
          <w:color w:val="auto"/>
          <w:sz w:val="24"/>
          <w:szCs w:val="21"/>
          <w:highlight w:val="none"/>
          <w:lang w:val="en-US" w:eastAsia="zh-CN" w:bidi="ar-SA"/>
        </w:rPr>
        <w:t>油井</w:t>
      </w:r>
      <w:r>
        <w:rPr>
          <w:rFonts w:ascii="Times New Roman" w:hAnsi="Times New Roman" w:eastAsia="宋体" w:cs="Times New Roman"/>
          <w:color w:val="auto"/>
          <w:sz w:val="24"/>
          <w:szCs w:val="21"/>
          <w:highlight w:val="none"/>
          <w:lang w:val="en-US" w:eastAsia="zh-CN" w:bidi="ar-SA"/>
        </w:rPr>
        <w:t>开采时间的延长，其储量将逐年降低，最终进入退役期。当开发接近尾声时，各种机械设备将停止使用，站场和管线等设备设施陆续被拆卸、转移，原有的大气污染物、噪声及固体废物等对环境的影响将会逐渐减弱甚至消失。</w:t>
      </w:r>
      <w:r>
        <w:rPr>
          <w:rFonts w:hint="eastAsia" w:ascii="Times New Roman" w:hAnsi="Times New Roman" w:eastAsia="宋体" w:cs="Times New Roman"/>
          <w:color w:val="auto"/>
          <w:sz w:val="24"/>
          <w:szCs w:val="21"/>
          <w:highlight w:val="none"/>
          <w:lang w:val="en-US" w:eastAsia="zh-CN" w:bidi="ar-SA"/>
        </w:rPr>
        <w:t>拆除地面设施、清理井场等，拆除的报废设备和建筑废料等由施工单位运至指定位置进行处理；及时清理作业现场，做到“工完、料尽、场地清”，恢复原有地貌；按规范要求对废弃井采取固井、封井措施。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井场经过清理后，永久性占地范围内的水泥平台或砂砾石铺垫应进行清理，然后根据周边区域的自然现状对其进行恢复，使井场恢复到相对自然的一种状态。</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通过宣传教育的形式，使施工工作人员</w:t>
      </w:r>
      <w:r>
        <w:rPr>
          <w:rFonts w:hint="eastAsia" w:ascii="Times New Roman" w:hAnsi="Times New Roman" w:eastAsia="宋体" w:cs="Times New Roman"/>
          <w:color w:val="auto"/>
          <w:sz w:val="24"/>
          <w:szCs w:val="21"/>
          <w:highlight w:val="none"/>
          <w:lang w:val="en-US" w:eastAsia="zh-CN" w:bidi="ar-SA"/>
        </w:rPr>
        <w:t>对</w:t>
      </w:r>
      <w:r>
        <w:rPr>
          <w:rFonts w:ascii="Times New Roman" w:hAnsi="Times New Roman" w:eastAsia="宋体" w:cs="Times New Roman"/>
          <w:color w:val="auto"/>
          <w:sz w:val="24"/>
          <w:szCs w:val="21"/>
          <w:highlight w:val="none"/>
          <w:lang w:val="en-US" w:eastAsia="zh-CN" w:bidi="ar-SA"/>
        </w:rPr>
        <w:t>在项目区生存的野生动物及植物有基本的认识与了解。在退役期施工过程中，如遇到保护植物应进行避让，严禁随意踩踏破坏；遇到保护动物时，应主动避让，不得惊扰、伤害野生动物，不得破坏保护动物的生息繁衍地，禁止妨碍野生动物生息繁衍的施工活动。</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both"/>
        <w:rPr>
          <w:rFonts w:ascii="Times New Roman" w:hAnsi="Times New Roman" w:eastAsia="宋体" w:cs="Times New Roman"/>
          <w:color w:val="auto"/>
          <w:sz w:val="24"/>
          <w:szCs w:val="21"/>
          <w:highlight w:val="none"/>
          <w:lang w:val="en-US" w:eastAsia="zh-CN" w:bidi="ar-SA"/>
        </w:rPr>
      </w:pPr>
      <w:r>
        <w:rPr>
          <w:rFonts w:ascii="Times New Roman" w:hAnsi="Times New Roman" w:eastAsia="宋体" w:cs="Times New Roman"/>
          <w:color w:val="auto"/>
          <w:sz w:val="24"/>
          <w:szCs w:val="21"/>
          <w:highlight w:val="none"/>
          <w:lang w:val="en-US" w:eastAsia="zh-CN" w:bidi="ar-SA"/>
        </w:rPr>
        <w:t>加强对《中华人民共和国野生动物保护法》及《中华人民共和国野生植物保护条例》的普及、教育工作，强化保护野生动植物的观念，让施工人员明确破坏保护植物，捕猎、杀害保护动物的法律后果，理解保护野生动植物的重要意义。</w:t>
      </w:r>
    </w:p>
    <w:p>
      <w:pPr>
        <w:pStyle w:val="57"/>
        <w:rPr>
          <w:color w:val="auto"/>
          <w:highlight w:val="none"/>
        </w:rPr>
      </w:pPr>
      <w:r>
        <w:rPr>
          <w:rFonts w:ascii="Times New Roman" w:hAnsi="Times New Roman" w:eastAsia="宋体" w:cs="Times New Roman"/>
          <w:color w:val="auto"/>
          <w:sz w:val="24"/>
          <w:szCs w:val="21"/>
          <w:highlight w:val="none"/>
          <w:lang w:val="en-US" w:eastAsia="zh-CN" w:bidi="ar-SA"/>
        </w:rPr>
        <w:t>通过采取以上生态保护措施，对于减少植被破坏、减缓水土流失、抵制荒漠化发展起到了一定的积极作用，可有效保护脆弱的荒漠生态环境</w:t>
      </w:r>
      <w:r>
        <w:rPr>
          <w:color w:val="auto"/>
          <w:highlight w:val="none"/>
        </w:rPr>
        <w:t>。</w:t>
      </w:r>
    </w:p>
    <w:p>
      <w:pPr>
        <w:pStyle w:val="49"/>
        <w:pageBreakBefore w:val="0"/>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39" w:name="_Toc18733"/>
      <w:bookmarkStart w:id="740" w:name="_Toc2858"/>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_Toc26803 </w:instrText>
      </w:r>
      <w:r>
        <w:rPr>
          <w:rFonts w:ascii="Times New Roman" w:hAnsi="Times New Roman" w:eastAsia="宋体"/>
          <w:color w:val="auto"/>
          <w:highlight w:val="none"/>
        </w:rPr>
        <w:fldChar w:fldCharType="separate"/>
      </w:r>
      <w:r>
        <w:rPr>
          <w:rFonts w:hint="eastAsia" w:ascii="Times New Roman" w:hAnsi="Times New Roman" w:eastAsia="宋体"/>
          <w:color w:val="auto"/>
          <w:highlight w:val="none"/>
        </w:rPr>
        <w:t>6.2 地下水环境保护措施可行性论证</w:t>
      </w:r>
      <w:r>
        <w:rPr>
          <w:rFonts w:ascii="Times New Roman" w:hAnsi="Times New Roman" w:eastAsia="宋体"/>
          <w:color w:val="auto"/>
          <w:highlight w:val="none"/>
        </w:rPr>
        <w:fldChar w:fldCharType="end"/>
      </w:r>
      <w:bookmarkEnd w:id="739"/>
      <w:bookmarkEnd w:id="740"/>
    </w:p>
    <w:p>
      <w:pPr>
        <w:pStyle w:val="53"/>
        <w:pageBreakBefore w:val="0"/>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"_Toc13693" </w:instrText>
      </w:r>
      <w:r>
        <w:rPr>
          <w:color w:val="auto"/>
          <w:highlight w:val="none"/>
        </w:rPr>
        <w:fldChar w:fldCharType="separate"/>
      </w:r>
      <w:r>
        <w:rPr>
          <w:rFonts w:hint="eastAsia" w:ascii="Times New Roman" w:hAnsi="Times New Roman" w:eastAsia="宋体"/>
          <w:color w:val="auto"/>
          <w:highlight w:val="none"/>
        </w:rPr>
        <w:t>6.2.1施工期地下水环境保护措施</w:t>
      </w:r>
      <w:r>
        <w:rPr>
          <w:rFonts w:hint="eastAsia" w:ascii="Times New Roman" w:hAnsi="Times New Roman" w:eastAsia="宋体"/>
          <w:color w:val="auto"/>
          <w:highlight w:val="none"/>
        </w:rPr>
        <w:fldChar w:fldCharType="end"/>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color w:val="auto"/>
          <w:kern w:val="0"/>
          <w:sz w:val="24"/>
          <w:szCs w:val="24"/>
          <w:highlight w:val="none"/>
          <w:shd w:val="clear" w:color="auto" w:fill="auto"/>
        </w:rPr>
        <w:t>（1）废水处置措施</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color w:val="auto"/>
          <w:kern w:val="0"/>
          <w:sz w:val="24"/>
          <w:szCs w:val="24"/>
          <w:highlight w:val="none"/>
          <w:shd w:val="clear" w:color="auto" w:fill="auto"/>
        </w:rPr>
        <w:t>施工期产生的废水主要为钻井废水、</w:t>
      </w:r>
      <w:r>
        <w:rPr>
          <w:rFonts w:hint="eastAsia" w:ascii="宋体" w:hAnsi="宋体" w:eastAsia="宋体" w:cs="宋体"/>
          <w:color w:val="auto"/>
          <w:kern w:val="0"/>
          <w:sz w:val="24"/>
          <w:szCs w:val="24"/>
          <w:highlight w:val="none"/>
          <w:shd w:val="clear" w:color="auto" w:fill="auto"/>
          <w:lang w:val="en-US" w:eastAsia="zh-CN"/>
        </w:rPr>
        <w:t>压裂返排液</w:t>
      </w:r>
      <w:r>
        <w:rPr>
          <w:rFonts w:hint="eastAsia" w:ascii="宋体" w:hAnsi="宋体" w:eastAsia="宋体" w:cs="宋体"/>
          <w:color w:val="auto"/>
          <w:kern w:val="0"/>
          <w:sz w:val="24"/>
          <w:szCs w:val="24"/>
          <w:highlight w:val="none"/>
          <w:shd w:val="clear" w:color="auto" w:fill="auto"/>
        </w:rPr>
        <w:t>、</w:t>
      </w:r>
      <w:r>
        <w:rPr>
          <w:rFonts w:hint="eastAsia" w:ascii="Times New Roman" w:hAnsi="Times New Roman" w:eastAsia="宋体" w:cs="Times New Roman"/>
          <w:color w:val="auto"/>
          <w:kern w:val="0"/>
          <w:sz w:val="24"/>
          <w:szCs w:val="24"/>
          <w:highlight w:val="none"/>
          <w:shd w:val="clear" w:color="auto" w:fill="auto"/>
        </w:rPr>
        <w:t>管道试压废水和施工人员生活污水</w:t>
      </w:r>
      <w:r>
        <w:rPr>
          <w:rFonts w:ascii="Times New Roman" w:hAnsi="Times New Roman" w:eastAsia="宋体" w:cs="Times New Roman"/>
          <w:color w:val="auto"/>
          <w:kern w:val="0"/>
          <w:sz w:val="24"/>
          <w:szCs w:val="24"/>
          <w:highlight w:val="none"/>
          <w:shd w:val="clear" w:color="auto" w:fill="auto"/>
        </w:rPr>
        <w:t>。</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ascii="Times New Roman" w:hAnsi="Times New Roman" w:eastAsia="宋体" w:cs="Times New Roman"/>
          <w:color w:val="auto"/>
          <w:kern w:val="0"/>
          <w:sz w:val="24"/>
          <w:szCs w:val="24"/>
          <w:highlight w:val="none"/>
          <w:shd w:val="clear" w:color="auto" w:fill="auto"/>
        </w:rPr>
        <w:t>本工程钻井全部采用钻井废弃物不落地技术，钻井废水与钻井泥浆、岩屑一同进入不落地系统进行分离处理，分离后的液相回用于钻井液配制，不外排，对水环境的影响很小。压裂</w:t>
      </w:r>
      <w:r>
        <w:rPr>
          <w:rFonts w:hint="eastAsia" w:ascii="Times New Roman" w:hAnsi="Times New Roman" w:eastAsia="宋体" w:cs="Times New Roman"/>
          <w:color w:val="auto"/>
          <w:kern w:val="0"/>
          <w:sz w:val="24"/>
          <w:szCs w:val="24"/>
          <w:highlight w:val="none"/>
          <w:shd w:val="clear" w:color="auto" w:fill="auto"/>
        </w:rPr>
        <w:t>优先选用无毒、低毒的环境友好型压裂液，</w:t>
      </w:r>
      <w:r>
        <w:rPr>
          <w:rFonts w:hint="eastAsia" w:ascii="宋体" w:hAnsi="宋体" w:eastAsia="宋体" w:cs="宋体"/>
          <w:color w:val="auto"/>
          <w:kern w:val="0"/>
          <w:sz w:val="24"/>
          <w:szCs w:val="24"/>
          <w:highlight w:val="none"/>
          <w:shd w:val="clear" w:color="auto" w:fill="auto"/>
          <w:lang w:val="en-US" w:eastAsia="zh-CN"/>
        </w:rPr>
        <w:t>压裂返排液</w:t>
      </w:r>
      <w:r>
        <w:rPr>
          <w:rFonts w:ascii="Times New Roman" w:hAnsi="Times New Roman" w:eastAsia="宋体" w:cs="Times New Roman"/>
          <w:color w:val="auto"/>
          <w:kern w:val="0"/>
          <w:sz w:val="24"/>
          <w:szCs w:val="24"/>
          <w:highlight w:val="none"/>
          <w:shd w:val="clear" w:color="auto" w:fill="auto"/>
        </w:rPr>
        <w:t>采用专用废液收集罐收集后及时拉运至</w:t>
      </w:r>
      <w:r>
        <w:rPr>
          <w:rFonts w:hint="eastAsia" w:ascii="Times New Roman" w:hAnsi="Times New Roman" w:eastAsia="宋体" w:cs="Times New Roman"/>
          <w:color w:val="auto"/>
          <w:kern w:val="0"/>
          <w:sz w:val="24"/>
          <w:szCs w:val="24"/>
          <w:highlight w:val="none"/>
          <w:shd w:val="clear" w:color="auto" w:fill="auto"/>
          <w:lang w:eastAsia="zh-CN"/>
        </w:rPr>
        <w:t>风城二号稠油联合站</w:t>
      </w:r>
      <w:r>
        <w:rPr>
          <w:rFonts w:ascii="Times New Roman" w:hAnsi="Times New Roman" w:eastAsia="宋体" w:cs="Times New Roman"/>
          <w:color w:val="auto"/>
          <w:kern w:val="0"/>
          <w:sz w:val="24"/>
          <w:szCs w:val="24"/>
          <w:highlight w:val="none"/>
          <w:shd w:val="clear" w:color="auto" w:fill="auto"/>
        </w:rPr>
        <w:t>处理，经处理达到《碎屑岩油藏注水水质指标技术要求及分析方法》（SY/T5329-2022）</w:t>
      </w:r>
      <w:r>
        <w:rPr>
          <w:rFonts w:hint="eastAsia" w:cs="Times New Roman"/>
          <w:color w:val="auto"/>
          <w:kern w:val="0"/>
          <w:sz w:val="24"/>
          <w:szCs w:val="24"/>
          <w:highlight w:val="none"/>
          <w:shd w:val="clear" w:color="auto" w:fill="auto"/>
          <w:lang w:eastAsia="zh-CN"/>
        </w:rPr>
        <w:t>、《陆上油气田采出水地下注入环境保护技术规范》（SY/T7784-2024）</w:t>
      </w:r>
      <w:r>
        <w:rPr>
          <w:rFonts w:ascii="Times New Roman" w:hAnsi="Times New Roman" w:eastAsia="宋体" w:cs="Times New Roman"/>
          <w:color w:val="auto"/>
          <w:kern w:val="0"/>
          <w:sz w:val="24"/>
          <w:szCs w:val="24"/>
          <w:highlight w:val="none"/>
          <w:shd w:val="clear" w:color="auto" w:fill="auto"/>
        </w:rPr>
        <w:t>中的有关标准后回注</w:t>
      </w:r>
      <w:r>
        <w:rPr>
          <w:rFonts w:hint="eastAsia" w:ascii="Times New Roman" w:hAnsi="Times New Roman" w:eastAsia="宋体" w:cs="Times New Roman"/>
          <w:color w:val="auto"/>
          <w:kern w:val="0"/>
          <w:sz w:val="24"/>
          <w:szCs w:val="24"/>
          <w:highlight w:val="none"/>
          <w:shd w:val="clear" w:color="auto" w:fill="auto"/>
          <w:lang w:eastAsia="zh-CN"/>
        </w:rPr>
        <w:t>油藏</w:t>
      </w:r>
      <w:r>
        <w:rPr>
          <w:rFonts w:ascii="Times New Roman" w:hAnsi="Times New Roman" w:eastAsia="宋体" w:cs="Times New Roman"/>
          <w:color w:val="auto"/>
          <w:kern w:val="0"/>
          <w:sz w:val="24"/>
          <w:szCs w:val="24"/>
          <w:highlight w:val="none"/>
          <w:shd w:val="clear" w:color="auto" w:fill="auto"/>
        </w:rPr>
        <w:t>，不对外排放。</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ascii="Times New Roman" w:hAnsi="Times New Roman" w:eastAsia="宋体" w:cs="Times New Roman"/>
          <w:color w:val="auto"/>
          <w:kern w:val="0"/>
          <w:sz w:val="24"/>
          <w:szCs w:val="24"/>
          <w:highlight w:val="none"/>
          <w:shd w:val="clear" w:color="auto" w:fill="auto"/>
        </w:rPr>
        <w:t>管道施工期间产生的废水主要为试压废水，主要污染物有SS。管道试压采用清洁水，试压作业分段进行，每段试压水排出后进入下一段管线循环使用，可减少水资源消耗。试压废水中主要污染物为悬浮物，试压结束后全部用于施工场地洒水抑尘，对项目区周边水环境没有不良影响。</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ascii="Times New Roman" w:hAnsi="Times New Roman" w:eastAsia="宋体" w:cs="Times New Roman"/>
          <w:color w:val="auto"/>
          <w:kern w:val="0"/>
          <w:sz w:val="24"/>
          <w:szCs w:val="24"/>
          <w:highlight w:val="none"/>
          <w:shd w:val="clear" w:color="auto" w:fill="auto"/>
        </w:rPr>
        <w:t>施工期设置生活营地，施工人员生活污水排入防渗污水收集池，定期拉运至乌尔禾污水处理厂处置，施工结束后对防渗生活污水池进行平整恢复。</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color w:val="auto"/>
          <w:kern w:val="0"/>
          <w:sz w:val="24"/>
          <w:szCs w:val="24"/>
          <w:highlight w:val="none"/>
          <w:shd w:val="clear" w:color="auto" w:fill="auto"/>
        </w:rPr>
        <w:t>（2）</w:t>
      </w:r>
      <w:r>
        <w:rPr>
          <w:rFonts w:ascii="Times New Roman" w:hAnsi="Times New Roman" w:eastAsia="宋体" w:cs="Times New Roman"/>
          <w:color w:val="auto"/>
          <w:kern w:val="0"/>
          <w:sz w:val="24"/>
          <w:szCs w:val="24"/>
          <w:highlight w:val="none"/>
          <w:shd w:val="clear" w:color="auto" w:fill="auto"/>
        </w:rPr>
        <w:t>其他施工期水环境保护措施：</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default" w:ascii="Times New Roman" w:hAnsi="Times New Roman" w:cs="Times New Roman"/>
          <w:color w:val="auto"/>
          <w:kern w:val="0"/>
          <w:sz w:val="24"/>
          <w:szCs w:val="24"/>
          <w:highlight w:val="none"/>
          <w:shd w:val="clear" w:color="auto" w:fill="auto"/>
        </w:rPr>
      </w:pPr>
      <w:r>
        <w:rPr>
          <w:rFonts w:hint="eastAsia" w:ascii="宋体" w:hAnsi="宋体" w:eastAsia="宋体" w:cs="宋体"/>
          <w:color w:val="auto"/>
          <w:kern w:val="0"/>
          <w:sz w:val="24"/>
          <w:szCs w:val="24"/>
          <w:highlight w:val="none"/>
          <w:shd w:val="clear" w:color="auto" w:fill="auto"/>
        </w:rPr>
        <w:t>①</w:t>
      </w:r>
      <w:r>
        <w:rPr>
          <w:rFonts w:hint="eastAsia" w:ascii="Times New Roman" w:hAnsi="宋体" w:eastAsia="宋体" w:cs="宋体"/>
          <w:color w:val="auto"/>
          <w:kern w:val="2"/>
          <w:sz w:val="24"/>
          <w:szCs w:val="24"/>
          <w:highlight w:val="none"/>
          <w:shd w:val="clear" w:color="auto" w:fill="auto"/>
          <w:lang w:val="en-US" w:eastAsia="zh-CN" w:bidi="ar-SA"/>
        </w:rPr>
        <w:t>施工期间，施工单位应严格执行《建设工程施工场地文明施工及环境管理暂行规定》，对污水加强管理，严禁乱排污染环境，施工机械检修期间，地面应铺设塑料布，及时回收废机油，防止废油落地，污染土壤和地下水；施工时所产生的废油等物严禁倾倒或抛洒，加强施工机械维护，防止施工机械漏油，</w:t>
      </w:r>
      <w:r>
        <w:rPr>
          <w:rFonts w:hint="default" w:ascii="Times New Roman" w:hAnsi="Times New Roman" w:cs="Times New Roman"/>
          <w:color w:val="auto"/>
          <w:kern w:val="0"/>
          <w:sz w:val="24"/>
          <w:szCs w:val="24"/>
          <w:highlight w:val="none"/>
          <w:shd w:val="clear" w:color="auto" w:fill="auto"/>
        </w:rPr>
        <w:t>污染</w:t>
      </w:r>
      <w:r>
        <w:rPr>
          <w:rFonts w:hint="eastAsia" w:cs="Times New Roman"/>
          <w:color w:val="auto"/>
          <w:kern w:val="0"/>
          <w:sz w:val="24"/>
          <w:szCs w:val="24"/>
          <w:highlight w:val="none"/>
          <w:shd w:val="clear" w:color="auto" w:fill="auto"/>
          <w:lang w:val="en-US" w:eastAsia="zh-CN"/>
        </w:rPr>
        <w:t>水环境</w:t>
      </w:r>
      <w:r>
        <w:rPr>
          <w:rFonts w:hint="default" w:ascii="Times New Roman" w:hAnsi="Times New Roman" w:cs="Times New Roman"/>
          <w:color w:val="auto"/>
          <w:kern w:val="0"/>
          <w:sz w:val="24"/>
          <w:szCs w:val="24"/>
          <w:highlight w:val="none"/>
          <w:shd w:val="clear" w:color="auto" w:fill="auto"/>
        </w:rPr>
        <w:t>。</w:t>
      </w:r>
    </w:p>
    <w:p>
      <w:pPr>
        <w:keepNext w:val="0"/>
        <w:keepLines w:val="0"/>
        <w:pageBreakBefore w:val="0"/>
        <w:widowControl w:val="0"/>
        <w:kinsoku/>
        <w:wordWrap/>
        <w:overflowPunct/>
        <w:topLinePunct w:val="0"/>
        <w:autoSpaceDE/>
        <w:autoSpaceDN/>
        <w:bidi w:val="0"/>
        <w:adjustRightInd/>
        <w:snapToGrid/>
        <w:spacing w:line="480" w:lineRule="exact"/>
        <w:ind w:firstLine="480" w:firstLineChars="200"/>
        <w:jc w:val="left"/>
        <w:textAlignment w:val="auto"/>
        <w:rPr>
          <w:rFonts w:hint="eastAsia" w:eastAsia="宋体"/>
          <w:color w:val="auto"/>
          <w:sz w:val="24"/>
          <w:szCs w:val="24"/>
          <w:highlight w:val="none"/>
          <w:shd w:val="clear" w:color="auto" w:fill="auto"/>
          <w:lang w:val="en-US" w:eastAsia="zh-CN"/>
        </w:rPr>
      </w:pPr>
      <w:r>
        <w:rPr>
          <w:rFonts w:hint="eastAsia" w:ascii="Times New Roman" w:hAnsi="Times New Roman" w:cs="Times New Roman"/>
          <w:color w:val="auto"/>
          <w:kern w:val="0"/>
          <w:sz w:val="24"/>
          <w:szCs w:val="24"/>
          <w:highlight w:val="none"/>
          <w:shd w:val="clear" w:color="auto" w:fill="auto"/>
          <w:lang w:val="en-US" w:eastAsia="zh-CN"/>
        </w:rPr>
        <w:t>②对运输车辆加强管理，制定合理运输路线；对运输容器定期维修，避免运输过程中遗撒泄漏，造成污染事故。</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ascii="Times New Roman" w:hAnsi="宋体" w:eastAsia="宋体" w:cs="宋体"/>
          <w:color w:val="auto"/>
          <w:kern w:val="2"/>
          <w:sz w:val="24"/>
          <w:szCs w:val="24"/>
          <w:highlight w:val="none"/>
          <w:shd w:val="clear" w:color="auto" w:fill="auto"/>
          <w:lang w:val="en-US" w:eastAsia="zh-CN" w:bidi="ar-SA"/>
        </w:rPr>
      </w:pPr>
      <w:r>
        <w:rPr>
          <w:rFonts w:hint="eastAsia" w:ascii="Times New Roman" w:hAnsi="宋体" w:eastAsia="宋体" w:cs="宋体"/>
          <w:color w:val="auto"/>
          <w:kern w:val="2"/>
          <w:sz w:val="24"/>
          <w:szCs w:val="24"/>
          <w:highlight w:val="none"/>
          <w:shd w:val="clear" w:color="auto" w:fill="auto"/>
          <w:lang w:val="en-US" w:eastAsia="zh-CN" w:bidi="ar-SA"/>
        </w:rPr>
        <w:t>③</w:t>
      </w:r>
      <w:r>
        <w:rPr>
          <w:rFonts w:ascii="Times New Roman" w:hAnsi="Times New Roman" w:cs="Times New Roman"/>
          <w:color w:val="auto"/>
          <w:sz w:val="24"/>
          <w:szCs w:val="24"/>
          <w:highlight w:val="none"/>
          <w:shd w:val="clear" w:color="auto" w:fill="auto"/>
        </w:rPr>
        <w:t>集输管线敷设前，加强对管材和焊接质量的检查，防止因管材质量及焊接缺陷造成泄漏事故的发生。选择有经验的单位进行施工，确保施工质量。</w:t>
      </w:r>
      <w:r>
        <w:rPr>
          <w:rFonts w:ascii="Times New Roman" w:hAnsi="宋体" w:eastAsia="宋体" w:cs="宋体"/>
          <w:color w:val="auto"/>
          <w:kern w:val="2"/>
          <w:sz w:val="24"/>
          <w:szCs w:val="24"/>
          <w:highlight w:val="none"/>
          <w:shd w:val="clear" w:color="auto" w:fill="auto"/>
          <w:lang w:val="en-US" w:eastAsia="zh-CN" w:bidi="ar-SA"/>
        </w:rPr>
        <w:t>严格按照《油气输送管道穿越工程设计规范》（GB50423-2013）设计及施工，合理安排管道施工时序和施工工艺的情况。管道应埋设于最大冻土深度以下且应有足够的埋设深度。</w:t>
      </w:r>
      <w:r>
        <w:rPr>
          <w:rFonts w:hint="eastAsia" w:ascii="Times New Roman" w:hAnsi="宋体" w:eastAsia="宋体" w:cs="宋体"/>
          <w:color w:val="auto"/>
          <w:kern w:val="2"/>
          <w:sz w:val="24"/>
          <w:szCs w:val="24"/>
          <w:highlight w:val="none"/>
          <w:shd w:val="clear" w:color="auto" w:fill="auto"/>
          <w:lang w:val="en-US" w:eastAsia="zh-CN" w:bidi="ar-SA"/>
        </w:rPr>
        <w:t>在集输管线的敷设线路上应设置标识，包括里程桩、转角桩、交叉标志和警示牌等。</w:t>
      </w:r>
    </w:p>
    <w:p>
      <w:pPr>
        <w:keepNext w:val="0"/>
        <w:keepLines w:val="0"/>
        <w:pageBreakBefore w:val="0"/>
        <w:widowControl w:val="0"/>
        <w:kinsoku/>
        <w:wordWrap/>
        <w:overflowPunct/>
        <w:topLinePunct w:val="0"/>
        <w:autoSpaceDE/>
        <w:autoSpaceDN/>
        <w:bidi w:val="0"/>
        <w:spacing w:line="480" w:lineRule="exact"/>
        <w:ind w:firstLine="480" w:firstLineChars="200"/>
        <w:jc w:val="left"/>
        <w:textAlignment w:val="auto"/>
        <w:rPr>
          <w:rFonts w:hint="eastAsia" w:ascii="Times New Roman" w:hAnsi="宋体" w:eastAsia="宋体" w:cs="宋体"/>
          <w:color w:val="auto"/>
          <w:kern w:val="2"/>
          <w:sz w:val="24"/>
          <w:szCs w:val="24"/>
          <w:highlight w:val="none"/>
          <w:shd w:val="clear" w:color="auto" w:fill="auto"/>
          <w:lang w:val="en-US" w:eastAsia="zh-CN" w:bidi="ar-SA"/>
        </w:rPr>
      </w:pPr>
      <w:r>
        <w:rPr>
          <w:rFonts w:hint="eastAsia" w:ascii="Times New Roman" w:hAnsi="Times New Roman" w:eastAsia="宋体" w:cs="Times New Roman"/>
          <w:color w:val="auto"/>
          <w:kern w:val="0"/>
          <w:sz w:val="24"/>
          <w:szCs w:val="24"/>
          <w:highlight w:val="none"/>
          <w:shd w:val="clear" w:color="auto" w:fill="auto"/>
          <w:lang w:val="en-US" w:eastAsia="zh-CN"/>
        </w:rPr>
        <w:t>④</w:t>
      </w:r>
      <w:r>
        <w:rPr>
          <w:rFonts w:hint="eastAsia" w:ascii="Times New Roman" w:hAnsi="宋体" w:eastAsia="宋体" w:cs="宋体"/>
          <w:color w:val="auto"/>
          <w:kern w:val="2"/>
          <w:sz w:val="24"/>
          <w:szCs w:val="24"/>
          <w:highlight w:val="none"/>
          <w:shd w:val="clear" w:color="auto" w:fill="auto"/>
          <w:lang w:val="en-US" w:eastAsia="zh-CN" w:bidi="ar-SA"/>
        </w:rPr>
        <w:t>油气井的设计、建造应按照 SY/T 6596 的要求保证其完整性，钻井通过第四系潜水含水层，选用清洁钻进方式。</w:t>
      </w:r>
      <w:r>
        <w:rPr>
          <w:rFonts w:hint="eastAsia" w:ascii="Times New Roman" w:hAnsi="Times New Roman" w:eastAsia="宋体" w:cs="Times New Roman"/>
          <w:bCs/>
          <w:snapToGrid w:val="0"/>
          <w:color w:val="auto"/>
          <w:kern w:val="0"/>
          <w:sz w:val="24"/>
          <w:szCs w:val="24"/>
          <w:highlight w:val="none"/>
          <w:shd w:val="clear" w:color="auto" w:fill="auto"/>
          <w:lang w:eastAsia="zh-CN"/>
        </w:rPr>
        <w:t>严格按照《固井作业规程 第1部分：常规固井》</w:t>
      </w:r>
      <w:r>
        <w:rPr>
          <w:rFonts w:hint="eastAsia" w:cs="Times New Roman"/>
          <w:bCs/>
          <w:snapToGrid w:val="0"/>
          <w:color w:val="auto"/>
          <w:kern w:val="0"/>
          <w:sz w:val="24"/>
          <w:szCs w:val="24"/>
          <w:highlight w:val="none"/>
          <w:shd w:val="clear" w:color="auto" w:fill="auto"/>
          <w:lang w:eastAsia="zh-CN"/>
        </w:rPr>
        <w:t>（</w:t>
      </w:r>
      <w:r>
        <w:rPr>
          <w:rFonts w:hint="eastAsia" w:ascii="Times New Roman" w:hAnsi="Times New Roman" w:eastAsia="宋体" w:cs="Times New Roman"/>
          <w:bCs/>
          <w:snapToGrid w:val="0"/>
          <w:color w:val="auto"/>
          <w:kern w:val="0"/>
          <w:sz w:val="24"/>
          <w:szCs w:val="24"/>
          <w:highlight w:val="none"/>
          <w:shd w:val="clear" w:color="auto" w:fill="auto"/>
          <w:lang w:eastAsia="zh-CN"/>
        </w:rPr>
        <w:t>SY/T 5374.</w:t>
      </w:r>
      <w:r>
        <w:rPr>
          <w:rFonts w:hint="eastAsia" w:cs="Times New Roman"/>
          <w:bCs/>
          <w:snapToGrid w:val="0"/>
          <w:color w:val="auto"/>
          <w:kern w:val="0"/>
          <w:sz w:val="24"/>
          <w:szCs w:val="24"/>
          <w:highlight w:val="none"/>
          <w:shd w:val="clear" w:color="auto" w:fill="auto"/>
          <w:lang w:eastAsia="zh-CN"/>
        </w:rPr>
        <w:t>1）、</w:t>
      </w:r>
      <w:r>
        <w:rPr>
          <w:rFonts w:hint="eastAsia" w:ascii="Times New Roman" w:hAnsi="Times New Roman" w:eastAsia="宋体" w:cs="Times New Roman"/>
          <w:bCs/>
          <w:snapToGrid w:val="0"/>
          <w:color w:val="auto"/>
          <w:kern w:val="0"/>
          <w:sz w:val="24"/>
          <w:szCs w:val="24"/>
          <w:highlight w:val="none"/>
          <w:shd w:val="clear" w:color="auto" w:fill="auto"/>
          <w:lang w:eastAsia="zh-CN"/>
        </w:rPr>
        <w:t>《固井设计规范》</w:t>
      </w:r>
      <w:r>
        <w:rPr>
          <w:rFonts w:hint="eastAsia" w:cs="Times New Roman"/>
          <w:bCs/>
          <w:snapToGrid w:val="0"/>
          <w:color w:val="auto"/>
          <w:kern w:val="0"/>
          <w:sz w:val="24"/>
          <w:szCs w:val="24"/>
          <w:highlight w:val="none"/>
          <w:shd w:val="clear" w:color="auto" w:fill="auto"/>
          <w:lang w:eastAsia="zh-CN"/>
        </w:rPr>
        <w:t>（</w:t>
      </w:r>
      <w:r>
        <w:rPr>
          <w:rFonts w:hint="eastAsia" w:ascii="Times New Roman" w:hAnsi="Times New Roman" w:eastAsia="宋体" w:cs="Times New Roman"/>
          <w:bCs/>
          <w:snapToGrid w:val="0"/>
          <w:color w:val="auto"/>
          <w:kern w:val="0"/>
          <w:sz w:val="24"/>
          <w:szCs w:val="24"/>
          <w:highlight w:val="none"/>
          <w:shd w:val="clear" w:color="auto" w:fill="auto"/>
          <w:lang w:eastAsia="zh-CN"/>
        </w:rPr>
        <w:t>SY/T 5480）实施固井工程，确保固井质量满足《固井质量评价方法》</w:t>
      </w:r>
      <w:r>
        <w:rPr>
          <w:rFonts w:hint="eastAsia" w:cs="Times New Roman"/>
          <w:bCs/>
          <w:snapToGrid w:val="0"/>
          <w:color w:val="auto"/>
          <w:kern w:val="0"/>
          <w:sz w:val="24"/>
          <w:szCs w:val="24"/>
          <w:highlight w:val="none"/>
          <w:shd w:val="clear" w:color="auto" w:fill="auto"/>
          <w:lang w:eastAsia="zh-CN"/>
        </w:rPr>
        <w:t>（</w:t>
      </w:r>
      <w:r>
        <w:rPr>
          <w:rFonts w:hint="eastAsia" w:ascii="Times New Roman" w:hAnsi="Times New Roman" w:eastAsia="宋体" w:cs="Times New Roman"/>
          <w:bCs/>
          <w:snapToGrid w:val="0"/>
          <w:color w:val="auto"/>
          <w:kern w:val="0"/>
          <w:sz w:val="24"/>
          <w:szCs w:val="24"/>
          <w:highlight w:val="none"/>
          <w:shd w:val="clear" w:color="auto" w:fill="auto"/>
          <w:lang w:eastAsia="zh-CN"/>
        </w:rPr>
        <w:t>SY/T 6592）相关要求，避免套管返液窜漏污染地下水。</w:t>
      </w:r>
    </w:p>
    <w:p>
      <w:pPr>
        <w:keepNext w:val="0"/>
        <w:keepLines w:val="0"/>
        <w:pageBreakBefore w:val="0"/>
        <w:kinsoku/>
        <w:wordWrap/>
        <w:overflowPunct/>
        <w:topLinePunct w:val="0"/>
        <w:autoSpaceDE/>
        <w:autoSpaceDN/>
        <w:bidi w:val="0"/>
        <w:snapToGrid w:val="0"/>
        <w:spacing w:line="480" w:lineRule="exact"/>
        <w:ind w:firstLine="480" w:firstLineChars="200"/>
        <w:jc w:val="left"/>
        <w:textAlignment w:val="auto"/>
        <w:rPr>
          <w:rFonts w:ascii="Times New Roman" w:hAnsi="Times New Roman" w:eastAsia="宋体" w:cs="Times New Roman"/>
          <w:color w:val="auto"/>
          <w:kern w:val="0"/>
          <w:sz w:val="24"/>
          <w:szCs w:val="24"/>
          <w:highlight w:val="none"/>
          <w:shd w:val="clear" w:color="auto" w:fill="auto"/>
        </w:rPr>
      </w:pPr>
      <w:r>
        <w:rPr>
          <w:rFonts w:hint="eastAsia" w:ascii="Times New Roman" w:hAnsi="Times New Roman" w:eastAsia="宋体" w:cs="Times New Roman"/>
          <w:color w:val="auto"/>
          <w:kern w:val="0"/>
          <w:sz w:val="24"/>
          <w:szCs w:val="24"/>
          <w:highlight w:val="none"/>
          <w:shd w:val="clear" w:color="auto" w:fill="auto"/>
          <w:lang w:val="en-US" w:eastAsia="zh-CN"/>
        </w:rPr>
        <w:t>⑤</w:t>
      </w:r>
      <w:r>
        <w:rPr>
          <w:rFonts w:ascii="Times New Roman" w:hAnsi="Times New Roman" w:eastAsia="宋体" w:cs="Times New Roman"/>
          <w:color w:val="auto"/>
          <w:kern w:val="0"/>
          <w:sz w:val="24"/>
          <w:szCs w:val="24"/>
          <w:highlight w:val="none"/>
          <w:shd w:val="clear" w:color="auto" w:fill="auto"/>
        </w:rPr>
        <w:t>为防止对地下水污染，针对井场施工期间工程特点，参照《环境影响评价技术导则 地下水环境》</w:t>
      </w:r>
      <w:r>
        <w:rPr>
          <w:rFonts w:hint="eastAsia" w:cs="Times New Roman"/>
          <w:color w:val="auto"/>
          <w:kern w:val="0"/>
          <w:sz w:val="24"/>
          <w:szCs w:val="24"/>
          <w:highlight w:val="none"/>
          <w:shd w:val="clear" w:color="auto" w:fill="auto"/>
          <w:lang w:eastAsia="zh-CN"/>
        </w:rPr>
        <w:t>（</w:t>
      </w:r>
      <w:r>
        <w:rPr>
          <w:rFonts w:ascii="Times New Roman" w:hAnsi="Times New Roman" w:eastAsia="宋体" w:cs="Times New Roman"/>
          <w:color w:val="auto"/>
          <w:kern w:val="0"/>
          <w:sz w:val="24"/>
          <w:szCs w:val="24"/>
          <w:highlight w:val="none"/>
          <w:shd w:val="clear" w:color="auto" w:fill="auto"/>
        </w:rPr>
        <w:t>HJ610-2016</w:t>
      </w:r>
      <w:r>
        <w:rPr>
          <w:rFonts w:hint="eastAsia" w:cs="Times New Roman"/>
          <w:color w:val="auto"/>
          <w:kern w:val="0"/>
          <w:sz w:val="24"/>
          <w:szCs w:val="24"/>
          <w:highlight w:val="none"/>
          <w:shd w:val="clear" w:color="auto" w:fill="auto"/>
          <w:lang w:eastAsia="zh-CN"/>
        </w:rPr>
        <w:t>）</w:t>
      </w:r>
      <w:r>
        <w:rPr>
          <w:rFonts w:ascii="Times New Roman" w:hAnsi="Times New Roman" w:eastAsia="宋体" w:cs="Times New Roman"/>
          <w:color w:val="auto"/>
          <w:kern w:val="0"/>
          <w:sz w:val="24"/>
          <w:szCs w:val="24"/>
          <w:highlight w:val="none"/>
          <w:shd w:val="clear" w:color="auto" w:fill="auto"/>
        </w:rPr>
        <w:t>，将钻井期井场进行分区防渗，其中</w:t>
      </w:r>
      <w:r>
        <w:rPr>
          <w:rFonts w:hint="eastAsia" w:ascii="Times New Roman" w:hAnsi="Times New Roman" w:eastAsia="宋体" w:cs="Times New Roman"/>
          <w:color w:val="auto"/>
          <w:kern w:val="0"/>
          <w:sz w:val="24"/>
          <w:szCs w:val="24"/>
          <w:highlight w:val="none"/>
          <w:shd w:val="clear" w:color="auto" w:fill="auto"/>
        </w:rPr>
        <w:t>钻井工程基础区域</w:t>
      </w:r>
      <w:r>
        <w:rPr>
          <w:rFonts w:ascii="Times New Roman" w:hAnsi="Times New Roman" w:eastAsia="宋体" w:cs="Times New Roman"/>
          <w:color w:val="auto"/>
          <w:kern w:val="0"/>
          <w:sz w:val="24"/>
          <w:szCs w:val="24"/>
          <w:highlight w:val="none"/>
          <w:shd w:val="clear" w:color="auto" w:fill="auto"/>
        </w:rPr>
        <w:t>、放喷池、应急池、油罐区、危险废物临时贮存间等划分为重点污染防治区，泥浆罐区、泥浆泵区为一般防渗区，采取相应的防渗措施，其余区域划分为简单防渗区，可有效避免发生渗漏事故。分区防渗方案见表6.2-1。</w:t>
      </w:r>
    </w:p>
    <w:p>
      <w:pPr>
        <w:keepNext w:val="0"/>
        <w:keepLines w:val="0"/>
        <w:pageBreakBefore w:val="0"/>
        <w:widowControl/>
        <w:kinsoku/>
        <w:wordWrap/>
        <w:overflowPunct/>
        <w:topLinePunct w:val="0"/>
        <w:autoSpaceDE/>
        <w:autoSpaceDN/>
        <w:bidi w:val="0"/>
        <w:spacing w:line="480" w:lineRule="exact"/>
        <w:ind w:firstLine="422"/>
        <w:jc w:val="center"/>
        <w:textAlignment w:val="auto"/>
        <w:rPr>
          <w:rFonts w:hint="eastAsia" w:ascii="黑体" w:hAnsi="黑体" w:eastAsia="黑体" w:cs="黑体"/>
          <w:b/>
          <w:color w:val="auto"/>
          <w:kern w:val="0"/>
          <w:sz w:val="21"/>
          <w:szCs w:val="21"/>
          <w:highlight w:val="none"/>
          <w:shd w:val="clear" w:color="auto" w:fill="auto"/>
        </w:rPr>
      </w:pPr>
      <w:r>
        <w:rPr>
          <w:rFonts w:hint="eastAsia" w:ascii="黑体" w:hAnsi="黑体" w:eastAsia="黑体" w:cs="黑体"/>
          <w:b/>
          <w:color w:val="auto"/>
          <w:kern w:val="0"/>
          <w:sz w:val="21"/>
          <w:szCs w:val="21"/>
          <w:highlight w:val="none"/>
          <w:shd w:val="clear" w:color="auto" w:fill="auto"/>
        </w:rPr>
        <w:t>表6.2-1   分区防渗方案</w:t>
      </w:r>
    </w:p>
    <w:tbl>
      <w:tblPr>
        <w:tblStyle w:val="34"/>
        <w:tblW w:w="5211"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0" w:type="dxa"/>
          <w:left w:w="0" w:type="dxa"/>
          <w:bottom w:w="0" w:type="dxa"/>
          <w:right w:w="0" w:type="dxa"/>
        </w:tblCellMar>
      </w:tblPr>
      <w:tblGrid>
        <w:gridCol w:w="3082"/>
        <w:gridCol w:w="1132"/>
        <w:gridCol w:w="479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09" w:type="pct"/>
            <w:tcBorders>
              <w:tl2br w:val="nil"/>
              <w:tr2bl w:val="nil"/>
            </w:tcBorders>
            <w:noWrap w:val="0"/>
            <w:vAlign w:val="top"/>
          </w:tcPr>
          <w:p>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污</w:t>
            </w:r>
            <w:r>
              <w:rPr>
                <w:rFonts w:hint="eastAsia"/>
                <w:color w:val="auto"/>
                <w:spacing w:val="0"/>
                <w:sz w:val="21"/>
                <w:szCs w:val="21"/>
                <w:highlight w:val="none"/>
                <w:shd w:val="clear" w:color="auto" w:fill="auto"/>
                <w:lang w:val="en-US" w:eastAsia="zh-CN"/>
              </w:rPr>
              <w:t>染</w:t>
            </w:r>
            <w:r>
              <w:rPr>
                <w:color w:val="auto"/>
                <w:spacing w:val="0"/>
                <w:sz w:val="21"/>
                <w:szCs w:val="21"/>
                <w:highlight w:val="none"/>
                <w:shd w:val="clear" w:color="auto" w:fill="auto"/>
              </w:rPr>
              <w:t>源名称</w:t>
            </w:r>
          </w:p>
        </w:tc>
        <w:tc>
          <w:tcPr>
            <w:tcW w:w="628" w:type="pct"/>
            <w:tcBorders>
              <w:tl2br w:val="nil"/>
              <w:tr2bl w:val="nil"/>
            </w:tcBorders>
            <w:noWrap w:val="0"/>
            <w:vAlign w:val="top"/>
          </w:tcPr>
          <w:p>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防治分区</w:t>
            </w:r>
          </w:p>
        </w:tc>
        <w:tc>
          <w:tcPr>
            <w:tcW w:w="2661" w:type="pct"/>
            <w:tcBorders>
              <w:tl2br w:val="nil"/>
              <w:tr2bl w:val="nil"/>
            </w:tcBorders>
            <w:noWrap w:val="0"/>
            <w:vAlign w:val="top"/>
          </w:tcPr>
          <w:p>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防渗技术要求</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09" w:type="pct"/>
            <w:tcBorders>
              <w:tl2br w:val="nil"/>
              <w:tr2bl w:val="nil"/>
            </w:tcBorders>
            <w:noWrap w:val="0"/>
            <w:vAlign w:val="center"/>
          </w:tcPr>
          <w:p>
            <w:pPr>
              <w:pStyle w:val="74"/>
              <w:spacing w:before="24" w:after="24"/>
              <w:ind w:left="0" w:leftChars="0" w:firstLine="0" w:firstLineChars="0"/>
              <w:jc w:val="center"/>
              <w:rPr>
                <w:rFonts w:hint="default" w:eastAsia="宋体"/>
                <w:color w:val="auto"/>
                <w:spacing w:val="0"/>
                <w:sz w:val="21"/>
                <w:szCs w:val="21"/>
                <w:highlight w:val="none"/>
                <w:shd w:val="clear" w:color="auto" w:fill="auto"/>
                <w:lang w:val="en-US" w:eastAsia="zh-CN"/>
              </w:rPr>
            </w:pPr>
            <w:r>
              <w:rPr>
                <w:rFonts w:hint="eastAsia"/>
                <w:color w:val="auto"/>
                <w:spacing w:val="0"/>
                <w:sz w:val="21"/>
                <w:szCs w:val="21"/>
                <w:highlight w:val="none"/>
                <w:shd w:val="clear" w:color="auto" w:fill="auto"/>
              </w:rPr>
              <w:t>钻井工程基础区域、放喷池、应急池、柴油罐区、危险废物临时贮存间、泥浆随钻不落地处理系统</w:t>
            </w:r>
            <w:r>
              <w:rPr>
                <w:rFonts w:hint="eastAsia"/>
                <w:color w:val="auto"/>
                <w:spacing w:val="0"/>
                <w:sz w:val="21"/>
                <w:szCs w:val="21"/>
                <w:highlight w:val="none"/>
                <w:shd w:val="clear" w:color="auto" w:fill="auto"/>
                <w:lang w:val="en-US" w:eastAsia="zh-CN"/>
              </w:rPr>
              <w:t>等</w:t>
            </w:r>
          </w:p>
        </w:tc>
        <w:tc>
          <w:tcPr>
            <w:tcW w:w="628" w:type="pct"/>
            <w:tcBorders>
              <w:tl2br w:val="nil"/>
              <w:tr2bl w:val="nil"/>
            </w:tcBorders>
            <w:noWrap w:val="0"/>
            <w:vAlign w:val="center"/>
          </w:tcPr>
          <w:p>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重点防渗</w:t>
            </w:r>
          </w:p>
        </w:tc>
        <w:tc>
          <w:tcPr>
            <w:tcW w:w="2661" w:type="pct"/>
            <w:tcBorders>
              <w:tl2br w:val="nil"/>
              <w:tr2bl w:val="nil"/>
            </w:tcBorders>
            <w:noWrap w:val="0"/>
            <w:vAlign w:val="center"/>
          </w:tcPr>
          <w:p>
            <w:pPr>
              <w:pStyle w:val="74"/>
              <w:spacing w:before="24" w:after="24"/>
              <w:ind w:left="0" w:leftChars="0" w:firstLine="0" w:firstLineChars="0"/>
              <w:jc w:val="center"/>
              <w:rPr>
                <w:color w:val="auto"/>
                <w:spacing w:val="0"/>
                <w:sz w:val="21"/>
                <w:szCs w:val="21"/>
                <w:highlight w:val="none"/>
                <w:shd w:val="clear" w:color="auto" w:fill="auto"/>
              </w:rPr>
            </w:pPr>
            <w:r>
              <w:rPr>
                <w:rFonts w:hint="eastAsia"/>
                <w:color w:val="auto"/>
                <w:spacing w:val="0"/>
                <w:sz w:val="21"/>
                <w:szCs w:val="21"/>
                <w:highlight w:val="none"/>
                <w:shd w:val="clear" w:color="auto" w:fill="auto"/>
                <w:lang w:val="en-US" w:eastAsia="zh-CN"/>
              </w:rPr>
              <w:t>危废暂存点防渗性能满足《危险废物贮存污染控制标准》（GB 18597—2023）；其余区域防渗性能</w:t>
            </w:r>
            <w:r>
              <w:rPr>
                <w:color w:val="auto"/>
                <w:spacing w:val="0"/>
                <w:sz w:val="21"/>
                <w:szCs w:val="21"/>
                <w:highlight w:val="none"/>
                <w:shd w:val="clear" w:color="auto" w:fill="auto"/>
              </w:rPr>
              <w:t>不应低于6.0m厚渗透系数为1.0×10</w:t>
            </w:r>
            <w:r>
              <w:rPr>
                <w:rFonts w:hint="eastAsia"/>
                <w:color w:val="auto"/>
                <w:spacing w:val="0"/>
                <w:sz w:val="21"/>
                <w:szCs w:val="21"/>
                <w:highlight w:val="none"/>
                <w:shd w:val="clear" w:color="auto" w:fill="auto"/>
                <w:vertAlign w:val="superscript"/>
                <w:lang w:val="en-US" w:eastAsia="zh-CN"/>
              </w:rPr>
              <w:t>-</w:t>
            </w:r>
            <w:r>
              <w:rPr>
                <w:color w:val="auto"/>
                <w:spacing w:val="0"/>
                <w:sz w:val="21"/>
                <w:szCs w:val="21"/>
                <w:highlight w:val="none"/>
                <w:shd w:val="clear" w:color="auto" w:fill="auto"/>
                <w:vertAlign w:val="superscript"/>
              </w:rPr>
              <w:t>7</w:t>
            </w:r>
            <w:r>
              <w:rPr>
                <w:color w:val="auto"/>
                <w:spacing w:val="0"/>
                <w:sz w:val="21"/>
                <w:szCs w:val="21"/>
                <w:highlight w:val="none"/>
                <w:shd w:val="clear" w:color="auto" w:fill="auto"/>
              </w:rPr>
              <w:t>cm/s的黏土层的防渗性能</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09" w:type="pct"/>
            <w:tcBorders>
              <w:tl2br w:val="nil"/>
              <w:tr2bl w:val="nil"/>
            </w:tcBorders>
            <w:noWrap w:val="0"/>
            <w:vAlign w:val="center"/>
          </w:tcPr>
          <w:p>
            <w:pPr>
              <w:pStyle w:val="74"/>
              <w:spacing w:before="24" w:after="24"/>
              <w:ind w:left="0" w:leftChars="0" w:firstLine="0" w:firstLineChars="0"/>
              <w:jc w:val="center"/>
              <w:rPr>
                <w:rFonts w:hint="eastAsia" w:eastAsia="宋体"/>
                <w:color w:val="auto"/>
                <w:spacing w:val="0"/>
                <w:sz w:val="21"/>
                <w:szCs w:val="21"/>
                <w:highlight w:val="none"/>
                <w:shd w:val="clear" w:color="auto" w:fill="auto"/>
                <w:lang w:eastAsia="zh-CN"/>
              </w:rPr>
            </w:pPr>
            <w:r>
              <w:rPr>
                <w:rFonts w:hint="eastAsia"/>
                <w:color w:val="auto"/>
                <w:spacing w:val="0"/>
                <w:sz w:val="21"/>
                <w:szCs w:val="21"/>
                <w:highlight w:val="none"/>
                <w:shd w:val="clear" w:color="auto" w:fill="auto"/>
                <w:lang w:val="en-US" w:eastAsia="zh-CN"/>
              </w:rPr>
              <w:t>泥浆泵</w:t>
            </w:r>
          </w:p>
        </w:tc>
        <w:tc>
          <w:tcPr>
            <w:tcW w:w="628" w:type="pct"/>
            <w:tcBorders>
              <w:tl2br w:val="nil"/>
              <w:tr2bl w:val="nil"/>
            </w:tcBorders>
            <w:noWrap w:val="0"/>
            <w:vAlign w:val="center"/>
          </w:tcPr>
          <w:p>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一般防渗</w:t>
            </w:r>
          </w:p>
        </w:tc>
        <w:tc>
          <w:tcPr>
            <w:tcW w:w="2661" w:type="pct"/>
            <w:tcBorders>
              <w:tl2br w:val="nil"/>
              <w:tr2bl w:val="nil"/>
            </w:tcBorders>
            <w:noWrap w:val="0"/>
            <w:vAlign w:val="center"/>
          </w:tcPr>
          <w:p>
            <w:pPr>
              <w:pStyle w:val="74"/>
              <w:spacing w:before="24" w:after="24"/>
              <w:ind w:left="0" w:leftChars="0" w:firstLine="0" w:firstLineChars="0"/>
              <w:jc w:val="center"/>
              <w:rPr>
                <w:color w:val="auto"/>
                <w:spacing w:val="0"/>
                <w:sz w:val="21"/>
                <w:szCs w:val="21"/>
                <w:highlight w:val="none"/>
                <w:shd w:val="clear" w:color="auto" w:fill="auto"/>
              </w:rPr>
            </w:pPr>
            <w:r>
              <w:rPr>
                <w:color w:val="auto"/>
                <w:spacing w:val="0"/>
                <w:sz w:val="21"/>
                <w:szCs w:val="21"/>
                <w:highlight w:val="none"/>
                <w:shd w:val="clear" w:color="auto" w:fill="auto"/>
              </w:rPr>
              <w:t>施工作业区域下垫高密度聚乙烯防渗膜</w:t>
            </w:r>
            <w:r>
              <w:rPr>
                <w:rFonts w:hint="eastAsia"/>
                <w:color w:val="auto"/>
                <w:spacing w:val="0"/>
                <w:sz w:val="21"/>
                <w:szCs w:val="21"/>
                <w:highlight w:val="none"/>
                <w:shd w:val="clear" w:color="auto" w:fill="auto"/>
                <w:lang w:eastAsia="zh-CN"/>
              </w:rPr>
              <w:t>，</w:t>
            </w:r>
            <w:r>
              <w:rPr>
                <w:rFonts w:hint="default" w:ascii="Times New Roman" w:hAnsi="宋体" w:eastAsia="宋体" w:cs="宋体"/>
                <w:color w:val="auto"/>
                <w:spacing w:val="0"/>
                <w:kern w:val="0"/>
                <w:sz w:val="21"/>
                <w:szCs w:val="21"/>
                <w:highlight w:val="none"/>
                <w:shd w:val="clear" w:color="auto" w:fill="auto"/>
                <w:lang w:val="en-US" w:eastAsia="zh-CN" w:bidi="ar-SA"/>
              </w:rPr>
              <w:t>等效黏土防渗层Mb≥1.5m，K≤1×10</w:t>
            </w:r>
            <w:r>
              <w:rPr>
                <w:rFonts w:hint="default" w:ascii="Times New Roman" w:hAnsi="宋体" w:eastAsia="宋体" w:cs="宋体"/>
                <w:color w:val="auto"/>
                <w:spacing w:val="0"/>
                <w:kern w:val="0"/>
                <w:sz w:val="21"/>
                <w:szCs w:val="21"/>
                <w:highlight w:val="none"/>
                <w:shd w:val="clear" w:color="auto" w:fill="auto"/>
                <w:vertAlign w:val="superscript"/>
                <w:lang w:val="en-US" w:eastAsia="zh-CN" w:bidi="ar-SA"/>
              </w:rPr>
              <w:t>-7</w:t>
            </w:r>
            <w:r>
              <w:rPr>
                <w:rFonts w:hint="default" w:ascii="Times New Roman" w:hAnsi="宋体" w:eastAsia="宋体" w:cs="宋体"/>
                <w:color w:val="auto"/>
                <w:spacing w:val="0"/>
                <w:kern w:val="0"/>
                <w:sz w:val="21"/>
                <w:szCs w:val="21"/>
                <w:highlight w:val="none"/>
                <w:shd w:val="clear" w:color="auto" w:fill="auto"/>
                <w:lang w:val="en-US" w:eastAsia="zh-CN" w:bidi="ar-SA"/>
              </w:rPr>
              <w:t>cm/s</w:t>
            </w:r>
            <w:r>
              <w:rPr>
                <w:rFonts w:hint="eastAsia" w:hAnsi="宋体" w:eastAsia="宋体" w:cs="宋体"/>
                <w:color w:val="auto"/>
                <w:spacing w:val="0"/>
                <w:kern w:val="0"/>
                <w:sz w:val="21"/>
                <w:szCs w:val="21"/>
                <w:highlight w:val="none"/>
                <w:shd w:val="clear" w:color="auto" w:fill="auto"/>
                <w:lang w:val="en-US" w:eastAsia="zh-CN" w:bidi="ar-SA"/>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09" w:type="pct"/>
            <w:tcBorders>
              <w:tl2br w:val="nil"/>
              <w:tr2bl w:val="nil"/>
            </w:tcBorders>
            <w:noWrap w:val="0"/>
            <w:vAlign w:val="center"/>
          </w:tcPr>
          <w:p>
            <w:pPr>
              <w:pStyle w:val="74"/>
              <w:spacing w:before="24" w:after="24"/>
              <w:ind w:left="0" w:leftChars="0" w:firstLine="0" w:firstLineChars="0"/>
              <w:jc w:val="center"/>
              <w:rPr>
                <w:rFonts w:hint="default"/>
                <w:color w:val="auto"/>
                <w:spacing w:val="0"/>
                <w:sz w:val="21"/>
                <w:szCs w:val="21"/>
                <w:highlight w:val="none"/>
                <w:shd w:val="clear" w:color="auto" w:fill="auto"/>
                <w:lang w:val="en-US" w:eastAsia="zh-CN"/>
              </w:rPr>
            </w:pPr>
            <w:r>
              <w:rPr>
                <w:rFonts w:hint="eastAsia"/>
                <w:color w:val="auto"/>
                <w:spacing w:val="0"/>
                <w:sz w:val="21"/>
                <w:szCs w:val="21"/>
                <w:highlight w:val="none"/>
                <w:shd w:val="clear" w:color="auto" w:fill="auto"/>
                <w:lang w:val="en-US" w:eastAsia="zh-CN"/>
              </w:rPr>
              <w:t>井场其他区域</w:t>
            </w:r>
          </w:p>
        </w:tc>
        <w:tc>
          <w:tcPr>
            <w:tcW w:w="628" w:type="pct"/>
            <w:tcBorders>
              <w:tl2br w:val="nil"/>
              <w:tr2bl w:val="nil"/>
            </w:tcBorders>
            <w:noWrap w:val="0"/>
            <w:vAlign w:val="center"/>
          </w:tcPr>
          <w:p>
            <w:pPr>
              <w:pStyle w:val="74"/>
              <w:spacing w:before="24" w:after="24"/>
              <w:ind w:left="0" w:leftChars="0" w:firstLine="0" w:firstLineChars="0"/>
              <w:jc w:val="center"/>
              <w:rPr>
                <w:rFonts w:hint="default" w:eastAsia="宋体"/>
                <w:color w:val="auto"/>
                <w:spacing w:val="0"/>
                <w:sz w:val="21"/>
                <w:szCs w:val="21"/>
                <w:highlight w:val="none"/>
                <w:shd w:val="clear" w:color="auto" w:fill="auto"/>
                <w:lang w:val="en-US" w:eastAsia="zh-CN"/>
              </w:rPr>
            </w:pPr>
            <w:r>
              <w:rPr>
                <w:rFonts w:hint="eastAsia"/>
                <w:color w:val="auto"/>
                <w:spacing w:val="0"/>
                <w:sz w:val="21"/>
                <w:szCs w:val="21"/>
                <w:highlight w:val="none"/>
                <w:shd w:val="clear" w:color="auto" w:fill="auto"/>
                <w:lang w:val="en-US" w:eastAsia="zh-CN"/>
              </w:rPr>
              <w:t>简单防渗</w:t>
            </w:r>
          </w:p>
        </w:tc>
        <w:tc>
          <w:tcPr>
            <w:tcW w:w="2661" w:type="pct"/>
            <w:tcBorders>
              <w:tl2br w:val="nil"/>
              <w:tr2bl w:val="nil"/>
            </w:tcBorders>
            <w:noWrap w:val="0"/>
            <w:vAlign w:val="center"/>
          </w:tcPr>
          <w:p>
            <w:pPr>
              <w:pStyle w:val="74"/>
              <w:spacing w:before="24" w:after="24"/>
              <w:ind w:left="0" w:leftChars="0" w:firstLine="0" w:firstLineChars="0"/>
              <w:jc w:val="center"/>
              <w:rPr>
                <w:rFonts w:hint="default" w:eastAsia="宋体"/>
                <w:color w:val="auto"/>
                <w:spacing w:val="0"/>
                <w:sz w:val="21"/>
                <w:szCs w:val="21"/>
                <w:highlight w:val="none"/>
                <w:shd w:val="clear" w:color="auto" w:fill="auto"/>
                <w:lang w:val="en-US" w:eastAsia="zh-CN"/>
              </w:rPr>
            </w:pPr>
            <w:r>
              <w:rPr>
                <w:rFonts w:hint="eastAsia"/>
                <w:color w:val="auto"/>
                <w:spacing w:val="0"/>
                <w:sz w:val="21"/>
                <w:szCs w:val="21"/>
                <w:highlight w:val="none"/>
                <w:shd w:val="clear" w:color="auto" w:fill="auto"/>
                <w:lang w:val="en-US" w:eastAsia="zh-CN"/>
              </w:rPr>
              <w:t>地面硬化处置</w:t>
            </w:r>
          </w:p>
        </w:tc>
      </w:tr>
    </w:tbl>
    <w:p>
      <w:pPr>
        <w:widowControl/>
        <w:spacing w:line="360" w:lineRule="auto"/>
        <w:jc w:val="left"/>
        <w:rPr>
          <w:rFonts w:ascii="Times New Roman" w:hAnsi="Times New Roman" w:eastAsia="宋体" w:cs="Times New Roman"/>
          <w:color w:val="auto"/>
          <w:sz w:val="24"/>
          <w:szCs w:val="20"/>
          <w:highlight w:val="none"/>
          <w:shd w:val="clear" w:color="auto" w:fill="auto"/>
        </w:rPr>
      </w:pPr>
      <w:r>
        <w:rPr>
          <w:rFonts w:hint="eastAsia" w:ascii="宋体" w:hAnsi="宋体" w:eastAsia="宋体" w:cs="宋体"/>
          <w:snapToGrid w:val="0"/>
          <w:color w:val="auto"/>
          <w:sz w:val="24"/>
          <w:szCs w:val="28"/>
          <w:highlight w:val="none"/>
          <w:shd w:val="clear" w:color="auto" w:fill="auto"/>
          <w:lang w:eastAsia="zh-CN"/>
        </w:rPr>
        <w:drawing>
          <wp:inline distT="0" distB="0" distL="114300" distR="114300">
            <wp:extent cx="5380990" cy="3138805"/>
            <wp:effectExtent l="0" t="0" r="10160" b="4445"/>
            <wp:docPr id="12" name="图片 38" descr="093760c1f96496c16be98d5cdca44d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8" descr="093760c1f96496c16be98d5cdca44d3d"/>
                    <pic:cNvPicPr>
                      <a:picLocks noChangeAspect="1"/>
                    </pic:cNvPicPr>
                  </pic:nvPicPr>
                  <pic:blipFill>
                    <a:blip r:embed="rId75"/>
                    <a:stretch>
                      <a:fillRect/>
                    </a:stretch>
                  </pic:blipFill>
                  <pic:spPr>
                    <a:xfrm>
                      <a:off x="0" y="0"/>
                      <a:ext cx="5380990" cy="313880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spacing w:line="480" w:lineRule="exact"/>
        <w:ind w:firstLine="482" w:firstLineChars="200"/>
        <w:jc w:val="center"/>
        <w:textAlignment w:val="auto"/>
        <w:rPr>
          <w:rFonts w:hint="default" w:ascii="Times New Roman" w:hAnsi="Times New Roman" w:eastAsia="宋体" w:cs="Times New Roman"/>
          <w:b/>
          <w:bCs/>
          <w:color w:val="auto"/>
          <w:sz w:val="24"/>
          <w:szCs w:val="20"/>
          <w:highlight w:val="none"/>
          <w:shd w:val="clear" w:color="auto" w:fill="auto"/>
          <w:lang w:val="en-US" w:eastAsia="zh-CN"/>
        </w:rPr>
      </w:pPr>
      <w:r>
        <w:rPr>
          <w:rFonts w:hint="eastAsia" w:ascii="Times New Roman" w:hAnsi="Times New Roman" w:eastAsia="宋体" w:cs="Times New Roman"/>
          <w:b/>
          <w:bCs/>
          <w:color w:val="auto"/>
          <w:sz w:val="24"/>
          <w:szCs w:val="20"/>
          <w:highlight w:val="none"/>
          <w:shd w:val="clear" w:color="auto" w:fill="auto"/>
          <w:lang w:val="en-US" w:eastAsia="zh-CN"/>
        </w:rPr>
        <w:t>图6.2-6  施工期井场分区防渗图</w:t>
      </w:r>
    </w:p>
    <w:p>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rFonts w:ascii="Times New Roman" w:hAnsi="Times New Roman" w:eastAsia="宋体" w:cs="Times New Roman"/>
          <w:color w:val="auto"/>
          <w:sz w:val="24"/>
          <w:szCs w:val="20"/>
          <w:highlight w:val="none"/>
          <w:shd w:val="clear" w:color="auto" w:fill="auto"/>
        </w:rPr>
        <w:t>综上，本工程施工期采取的水污染防治措施可行</w:t>
      </w:r>
      <w:r>
        <w:rPr>
          <w:rFonts w:hint="eastAsia"/>
          <w:color w:val="auto"/>
          <w:highlight w:val="none"/>
        </w:rPr>
        <w:t>。</w:t>
      </w:r>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"_Toc13150" </w:instrText>
      </w:r>
      <w:r>
        <w:rPr>
          <w:color w:val="auto"/>
          <w:highlight w:val="none"/>
        </w:rPr>
        <w:fldChar w:fldCharType="separate"/>
      </w:r>
      <w:r>
        <w:rPr>
          <w:rFonts w:hint="eastAsia" w:ascii="Times New Roman" w:hAnsi="Times New Roman" w:eastAsia="宋体"/>
          <w:color w:val="auto"/>
          <w:highlight w:val="none"/>
        </w:rPr>
        <w:t>6.2.2运营期地下水环境保护措施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lang w:bidi="en-US"/>
        </w:rPr>
      </w:pPr>
      <w:r>
        <w:rPr>
          <w:color w:val="auto"/>
          <w:highlight w:val="none"/>
          <w:lang w:bidi="en-US"/>
        </w:rPr>
        <w:t>地下水环境保护措施与对策应符合《中华人民共和国水污染防治法》和《中华人民共和国环境影响评价法》及地下水导则的相关规定，按照“源头控制、分区防控、污染监控、应急响应”，从污染物的产生、入渗、扩散、应急响应全方位进行控制。</w:t>
      </w:r>
    </w:p>
    <w:p>
      <w:pPr>
        <w:pStyle w:val="57"/>
        <w:pageBreakBefore w:val="0"/>
        <w:widowControl/>
        <w:kinsoku/>
        <w:wordWrap/>
        <w:overflowPunct/>
        <w:topLinePunct w:val="0"/>
        <w:autoSpaceDE/>
        <w:autoSpaceDN/>
        <w:bidi w:val="0"/>
        <w:spacing w:line="480" w:lineRule="exact"/>
        <w:textAlignment w:val="auto"/>
        <w:rPr>
          <w:color w:val="auto"/>
          <w:highlight w:val="none"/>
          <w:lang w:bidi="en-US"/>
        </w:rPr>
      </w:pPr>
      <w:r>
        <w:rPr>
          <w:color w:val="auto"/>
          <w:highlight w:val="none"/>
          <w:lang w:bidi="en-US"/>
        </w:rPr>
        <w:t>基于前文的地下水环境影响预测和评价，</w:t>
      </w:r>
      <w:r>
        <w:rPr>
          <w:rFonts w:hint="eastAsia"/>
          <w:color w:val="auto"/>
          <w:highlight w:val="none"/>
          <w:lang w:eastAsia="zh-CN" w:bidi="en-US"/>
        </w:rPr>
        <w:t>本工程</w:t>
      </w:r>
      <w:r>
        <w:rPr>
          <w:color w:val="auto"/>
          <w:highlight w:val="none"/>
          <w:lang w:bidi="en-US"/>
        </w:rPr>
        <w:t>在正常工况下，对当地地下水环境影响</w:t>
      </w:r>
      <w:r>
        <w:rPr>
          <w:rFonts w:hint="eastAsia"/>
          <w:color w:val="auto"/>
          <w:highlight w:val="none"/>
          <w:lang w:bidi="en-US"/>
        </w:rPr>
        <w:t>较</w:t>
      </w:r>
      <w:r>
        <w:rPr>
          <w:color w:val="auto"/>
          <w:highlight w:val="none"/>
          <w:lang w:bidi="en-US"/>
        </w:rPr>
        <w:t>小；在非正常工况下，对当地地下水环境构成潜在威胁，可能会对地下水水质产生不良影响。因此，为确保当地地下水环境安全，需采取一些保护管理措施。</w:t>
      </w:r>
    </w:p>
    <w:p>
      <w:pPr>
        <w:pStyle w:val="57"/>
        <w:pageBreakBefore w:val="0"/>
        <w:widowControl/>
        <w:kinsoku/>
        <w:wordWrap/>
        <w:overflowPunct/>
        <w:topLinePunct w:val="0"/>
        <w:autoSpaceDE/>
        <w:autoSpaceDN/>
        <w:bidi w:val="0"/>
        <w:spacing w:line="480" w:lineRule="exact"/>
        <w:textAlignment w:val="auto"/>
        <w:rPr>
          <w:color w:val="auto"/>
          <w:highlight w:val="none"/>
          <w:lang w:bidi="en-US"/>
        </w:rPr>
      </w:pPr>
      <w:r>
        <w:rPr>
          <w:color w:val="auto"/>
          <w:highlight w:val="none"/>
          <w:lang w:bidi="en-US"/>
        </w:rPr>
        <w:t>为有效保护</w:t>
      </w:r>
      <w:r>
        <w:rPr>
          <w:rFonts w:hint="eastAsia"/>
          <w:color w:val="auto"/>
          <w:highlight w:val="none"/>
          <w:lang w:eastAsia="zh-CN" w:bidi="en-US"/>
        </w:rPr>
        <w:t>本工程</w:t>
      </w:r>
      <w:r>
        <w:rPr>
          <w:color w:val="auto"/>
          <w:highlight w:val="none"/>
          <w:lang w:bidi="en-US"/>
        </w:rPr>
        <w:t>区的地下水环境，除了按项目可研报告中设计的方案处理各类废水，还需要建设地下水跟踪监测方案和定期信息公开。下面结合</w:t>
      </w:r>
      <w:r>
        <w:rPr>
          <w:rFonts w:hint="eastAsia"/>
          <w:color w:val="auto"/>
          <w:highlight w:val="none"/>
          <w:lang w:eastAsia="zh-CN" w:bidi="en-US"/>
        </w:rPr>
        <w:t>本工程</w:t>
      </w:r>
      <w:r>
        <w:rPr>
          <w:color w:val="auto"/>
          <w:highlight w:val="none"/>
          <w:lang w:bidi="en-US"/>
        </w:rPr>
        <w:t>特点和当地自然环境特征，提出地下水环境保护管理的原则和措施。</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6.2.5.1源头控制措施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lang w:bidi="ar"/>
        </w:rPr>
        <w:t>选择先进、成熟、可靠的工艺技术，对产生的废物进行合理的回用和治理，尽可能从源头上减少污染物排放；严格按照国家相关规范要求，对井场</w:t>
      </w:r>
      <w:r>
        <w:rPr>
          <w:rFonts w:hint="eastAsia"/>
          <w:color w:val="auto"/>
          <w:highlight w:val="none"/>
          <w:lang w:bidi="ar"/>
        </w:rPr>
        <w:t>、站场</w:t>
      </w:r>
      <w:r>
        <w:rPr>
          <w:color w:val="auto"/>
          <w:highlight w:val="none"/>
          <w:lang w:bidi="ar"/>
        </w:rPr>
        <w:t>、管道的装置等采取相应措施，以防止和降低污染物的跑、冒、滴、漏，降低风险事故，尽量减少地下水污染。</w:t>
      </w:r>
    </w:p>
    <w:p>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ascii="宋体" w:hAnsi="宋体" w:cs="宋体"/>
          <w:color w:val="auto"/>
          <w:highlight w:val="none"/>
          <w:lang w:bidi="ar"/>
        </w:rPr>
        <w:t>①</w:t>
      </w:r>
      <w:r>
        <w:rPr>
          <w:color w:val="auto"/>
          <w:highlight w:val="none"/>
          <w:lang w:bidi="ar"/>
        </w:rPr>
        <w:t>采出水</w:t>
      </w:r>
      <w:r>
        <w:rPr>
          <w:rFonts w:hint="eastAsia"/>
          <w:color w:val="auto"/>
          <w:highlight w:val="none"/>
        </w:rPr>
        <w:t>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）、《陆上油气田采出水地下注入环境保护技术规范》（SY/T7784-2024）</w:t>
      </w:r>
      <w:r>
        <w:rPr>
          <w:rFonts w:hint="eastAsia"/>
          <w:color w:val="auto"/>
          <w:highlight w:val="none"/>
        </w:rPr>
        <w:t>标准后回注地层，不外排。</w:t>
      </w:r>
    </w:p>
    <w:p>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color w:val="auto"/>
          <w:highlight w:val="none"/>
          <w:lang w:bidi="ar"/>
        </w:rPr>
        <w:t>②定期对井场、站场的设备、阀门等进行检查，一旦发现异常，及时采取措施，防止原油“跑、冒、滴、漏”的发生。</w:t>
      </w:r>
    </w:p>
    <w:p>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ascii="宋体" w:hAnsi="宋体" w:cs="宋体"/>
          <w:color w:val="auto"/>
          <w:highlight w:val="none"/>
          <w:lang w:bidi="ar"/>
        </w:rPr>
        <w:t>③</w:t>
      </w:r>
      <w:r>
        <w:rPr>
          <w:color w:val="auto"/>
          <w:highlight w:val="none"/>
          <w:lang w:bidi="ar"/>
        </w:rPr>
        <w:t>采用高质量的</w:t>
      </w:r>
      <w:r>
        <w:rPr>
          <w:rFonts w:hint="eastAsia"/>
          <w:color w:val="auto"/>
          <w:highlight w:val="none"/>
          <w:lang w:bidi="ar"/>
        </w:rPr>
        <w:t>集输</w:t>
      </w:r>
      <w:r>
        <w:rPr>
          <w:color w:val="auto"/>
          <w:highlight w:val="none"/>
          <w:lang w:bidi="ar"/>
        </w:rPr>
        <w:t>管道，防止油水泄漏；管线埋设严格遵守相关规定，埋至冻土层以下，并对管线进行防腐保温等保护措施；定期对输油管道进行检查，一旦发现异常，及时更换，尽量杜绝“跑、冒、滴、漏”的发生，并随时做好抢修准备，加强抢修队伍的训练和工作演练。</w:t>
      </w:r>
    </w:p>
    <w:p>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ascii="宋体" w:hAnsi="宋体" w:cs="宋体"/>
          <w:color w:val="auto"/>
          <w:highlight w:val="none"/>
          <w:lang w:bidi="ar"/>
        </w:rPr>
        <w:t>④</w:t>
      </w:r>
      <w:r>
        <w:rPr>
          <w:rFonts w:hint="eastAsia"/>
          <w:color w:val="auto"/>
          <w:highlight w:val="none"/>
          <w:lang w:val="en-US" w:eastAsia="zh-CN" w:bidi="ar"/>
        </w:rPr>
        <w:t>采油井</w:t>
      </w:r>
      <w:r>
        <w:rPr>
          <w:rFonts w:hint="eastAsia"/>
          <w:color w:val="auto"/>
          <w:highlight w:val="none"/>
          <w:lang w:bidi="ar"/>
        </w:rPr>
        <w:t>运行期间应参照《石油天然气工业</w:t>
      </w:r>
      <w:r>
        <w:rPr>
          <w:color w:val="auto"/>
          <w:highlight w:val="none"/>
          <w:lang w:bidi="ar"/>
        </w:rPr>
        <w:t>套管和油管的维护与使</w:t>
      </w:r>
      <w:r>
        <w:rPr>
          <w:rFonts w:hint="eastAsia"/>
          <w:color w:val="auto"/>
          <w:highlight w:val="none"/>
          <w:lang w:bidi="ar"/>
        </w:rPr>
        <w:t>用》（</w:t>
      </w:r>
      <w:r>
        <w:rPr>
          <w:color w:val="auto"/>
          <w:highlight w:val="none"/>
          <w:lang w:bidi="ar"/>
        </w:rPr>
        <w:t>GB/T 17745-2011</w:t>
      </w:r>
      <w:r>
        <w:rPr>
          <w:rFonts w:hint="eastAsia"/>
          <w:color w:val="auto"/>
          <w:highlight w:val="none"/>
          <w:lang w:bidi="ar"/>
        </w:rPr>
        <w:t>）</w:t>
      </w:r>
      <w:r>
        <w:rPr>
          <w:color w:val="auto"/>
          <w:highlight w:val="none"/>
          <w:lang w:bidi="ar"/>
        </w:rPr>
        <w:t>要求进行井筒完整性管理，定期开展井筒完整性检查。定期对采油井的固井质量进行检查，若发现固井质量不合格，先查明固井质量不合格的原因，并及时采取一系列的修整措施，保证固井质量合格，防止发生油水窜层等事故；发现异常情况及时处理，防止污染地下水。</w:t>
      </w:r>
    </w:p>
    <w:p>
      <w:pPr>
        <w:pStyle w:val="57"/>
        <w:pageBreakBefore w:val="0"/>
        <w:widowControl/>
        <w:kinsoku/>
        <w:wordWrap/>
        <w:overflowPunct/>
        <w:topLinePunct w:val="0"/>
        <w:autoSpaceDE/>
        <w:autoSpaceDN/>
        <w:bidi w:val="0"/>
        <w:spacing w:line="480" w:lineRule="exact"/>
        <w:textAlignment w:val="auto"/>
        <w:rPr>
          <w:color w:val="auto"/>
          <w:highlight w:val="none"/>
          <w:lang w:bidi="ar"/>
        </w:rPr>
      </w:pPr>
      <w:r>
        <w:rPr>
          <w:rFonts w:hint="eastAsia" w:ascii="宋体" w:hAnsi="宋体" w:cs="宋体"/>
          <w:color w:val="auto"/>
          <w:highlight w:val="none"/>
          <w:lang w:bidi="ar"/>
        </w:rPr>
        <w:t>⑤</w:t>
      </w:r>
      <w:r>
        <w:rPr>
          <w:color w:val="auto"/>
          <w:highlight w:val="none"/>
          <w:lang w:bidi="ar"/>
        </w:rPr>
        <w:t>修井作业时，要严格加强防污染措施。起油管前要打开泄油器，管内油水进入废液罐，蒸汽吹扫油管、油杆的污油、污水等全部回收至废液罐回收，严禁流入井场。</w:t>
      </w:r>
    </w:p>
    <w:p>
      <w:pPr>
        <w:pStyle w:val="5"/>
        <w:pageBreakBefore w:val="0"/>
        <w:kinsoku/>
        <w:wordWrap/>
        <w:overflowPunct/>
        <w:topLinePunct w:val="0"/>
        <w:autoSpaceDE/>
        <w:autoSpaceDN/>
        <w:bidi w:val="0"/>
        <w:spacing w:line="480" w:lineRule="exact"/>
        <w:rPr>
          <w:color w:val="auto"/>
          <w:highlight w:val="none"/>
        </w:rPr>
      </w:pPr>
      <w:r>
        <w:rPr>
          <w:color w:val="auto"/>
          <w:highlight w:val="none"/>
        </w:rPr>
        <w:t>6.2.5.2分区防治措施</w:t>
      </w:r>
    </w:p>
    <w:p>
      <w:pPr>
        <w:pStyle w:val="57"/>
        <w:pageBreakBefore w:val="0"/>
        <w:kinsoku/>
        <w:wordWrap/>
        <w:overflowPunct/>
        <w:topLinePunct w:val="0"/>
        <w:autoSpaceDE/>
        <w:autoSpaceDN/>
        <w:bidi w:val="0"/>
        <w:spacing w:line="480" w:lineRule="exact"/>
        <w:rPr>
          <w:color w:val="auto"/>
          <w:highlight w:val="none"/>
          <w:lang w:bidi="ar"/>
        </w:rPr>
      </w:pPr>
      <w:r>
        <w:rPr>
          <w:color w:val="auto"/>
          <w:highlight w:val="none"/>
          <w:lang w:bidi="ar"/>
        </w:rPr>
        <w:t>对井场可能泄漏污染物的污染区地面进行防渗处理，并及时将泄漏/渗漏的污染物收集起来进行处理，可有效防止洒落地面的污染物渗入地下。根据《环境影响评价技术导则 地下水环境》（HJ610-2016），分区防控措施应满足以下要求：</w:t>
      </w:r>
    </w:p>
    <w:p>
      <w:pPr>
        <w:pStyle w:val="57"/>
        <w:pageBreakBefore w:val="0"/>
        <w:kinsoku/>
        <w:wordWrap/>
        <w:overflowPunct/>
        <w:topLinePunct w:val="0"/>
        <w:autoSpaceDE/>
        <w:autoSpaceDN/>
        <w:bidi w:val="0"/>
        <w:spacing w:line="480" w:lineRule="exact"/>
        <w:rPr>
          <w:color w:val="auto"/>
          <w:highlight w:val="none"/>
          <w:lang w:bidi="ar"/>
        </w:rPr>
      </w:pPr>
      <w:r>
        <w:rPr>
          <w:rFonts w:hint="eastAsia" w:ascii="宋体"/>
          <w:color w:val="auto"/>
          <w:highlight w:val="none"/>
          <w:lang w:bidi="ar"/>
        </w:rPr>
        <w:t>①</w:t>
      </w:r>
      <w:r>
        <w:rPr>
          <w:color w:val="auto"/>
          <w:highlight w:val="none"/>
          <w:lang w:bidi="ar"/>
        </w:rPr>
        <w:t>已颁布污染控制国家标准或防渗技术规范的行业，水平防渗技术要求按照相应标准或规范执行，如GB16889、GB18597、GB18598、GB18599、GB/T50934等。</w:t>
      </w:r>
    </w:p>
    <w:p>
      <w:pPr>
        <w:pStyle w:val="57"/>
        <w:pageBreakBefore w:val="0"/>
        <w:kinsoku/>
        <w:wordWrap/>
        <w:overflowPunct/>
        <w:topLinePunct w:val="0"/>
        <w:autoSpaceDE/>
        <w:autoSpaceDN/>
        <w:bidi w:val="0"/>
        <w:spacing w:line="480" w:lineRule="exact"/>
        <w:rPr>
          <w:color w:val="auto"/>
          <w:highlight w:val="none"/>
          <w:lang w:bidi="ar"/>
        </w:rPr>
      </w:pPr>
      <w:r>
        <w:rPr>
          <w:rFonts w:hint="eastAsia" w:ascii="宋体"/>
          <w:color w:val="auto"/>
          <w:highlight w:val="none"/>
          <w:lang w:bidi="ar"/>
        </w:rPr>
        <w:t>②</w:t>
      </w:r>
      <w:r>
        <w:rPr>
          <w:color w:val="auto"/>
          <w:highlight w:val="none"/>
          <w:lang w:bidi="ar"/>
        </w:rPr>
        <w:t>未颁布相关标准的行业，根据预测结果和场地包气带特征及其防污性能，提出防渗技术要求或根据建设项目场地天然包气带防污性能、污染控制难易程度和污染物特性，提出防渗技术要求。</w:t>
      </w:r>
    </w:p>
    <w:p>
      <w:pPr>
        <w:pStyle w:val="57"/>
        <w:pageBreakBefore w:val="0"/>
        <w:kinsoku/>
        <w:wordWrap/>
        <w:overflowPunct/>
        <w:topLinePunct w:val="0"/>
        <w:autoSpaceDE/>
        <w:autoSpaceDN/>
        <w:bidi w:val="0"/>
        <w:spacing w:line="480" w:lineRule="exact"/>
        <w:rPr>
          <w:rFonts w:ascii="宋体"/>
          <w:color w:val="auto"/>
          <w:highlight w:val="none"/>
          <w:lang w:bidi="ar"/>
        </w:rPr>
      </w:pPr>
      <w:r>
        <w:rPr>
          <w:rFonts w:hint="eastAsia"/>
          <w:color w:val="auto"/>
          <w:highlight w:val="none"/>
        </w:rPr>
        <w:t>本工程</w:t>
      </w:r>
      <w:r>
        <w:rPr>
          <w:color w:val="auto"/>
          <w:highlight w:val="none"/>
        </w:rPr>
        <w:t>不属于已颁布污染控制国家标准或防渗技术规范的行业，分区防控措施应根据《环境影响评价技术导则</w:t>
      </w:r>
      <w:r>
        <w:rPr>
          <w:rFonts w:hint="eastAsia"/>
          <w:color w:val="auto"/>
          <w:highlight w:val="none"/>
        </w:rPr>
        <w:t xml:space="preserve"> </w:t>
      </w:r>
      <w:r>
        <w:rPr>
          <w:color w:val="auto"/>
          <w:highlight w:val="none"/>
        </w:rPr>
        <w:t>地下水环境》（HJ 610-2016）中污染控制难易程度分级参照表（表6.2-</w:t>
      </w:r>
      <w:r>
        <w:rPr>
          <w:rFonts w:hint="eastAsia"/>
          <w:color w:val="auto"/>
          <w:highlight w:val="none"/>
          <w:lang w:val="en-US" w:eastAsia="zh-CN"/>
        </w:rPr>
        <w:t>2</w:t>
      </w:r>
      <w:r>
        <w:rPr>
          <w:color w:val="auto"/>
          <w:highlight w:val="none"/>
        </w:rPr>
        <w:t>）、天然包气带防污性能分级参照表（表6.2-</w:t>
      </w:r>
      <w:r>
        <w:rPr>
          <w:rFonts w:hint="eastAsia"/>
          <w:color w:val="auto"/>
          <w:highlight w:val="none"/>
          <w:lang w:val="en-US" w:eastAsia="zh-CN"/>
        </w:rPr>
        <w:t>3</w:t>
      </w:r>
      <w:r>
        <w:rPr>
          <w:color w:val="auto"/>
          <w:highlight w:val="none"/>
        </w:rPr>
        <w:t>）、地下水污染防渗分区参照表（表6.2-</w:t>
      </w:r>
      <w:r>
        <w:rPr>
          <w:rFonts w:hint="eastAsia"/>
          <w:color w:val="auto"/>
          <w:highlight w:val="none"/>
          <w:lang w:val="en-US" w:eastAsia="zh-CN"/>
        </w:rPr>
        <w:t>4</w:t>
      </w:r>
      <w:r>
        <w:rPr>
          <w:color w:val="auto"/>
          <w:highlight w:val="none"/>
        </w:rPr>
        <w:t>），提出防渗技术要求。</w:t>
      </w:r>
    </w:p>
    <w:p>
      <w:pPr>
        <w:pStyle w:val="54"/>
        <w:pageBreakBefore w:val="0"/>
        <w:kinsoku/>
        <w:wordWrap/>
        <w:overflowPunct/>
        <w:topLinePunct w:val="0"/>
        <w:autoSpaceDE/>
        <w:autoSpaceDN/>
        <w:bidi w:val="0"/>
        <w:spacing w:line="480" w:lineRule="exact"/>
        <w:ind w:firstLine="482"/>
        <w:rPr>
          <w:color w:val="auto"/>
          <w:highlight w:val="none"/>
          <w:lang w:val="zh-CN"/>
        </w:rPr>
      </w:pPr>
      <w:r>
        <w:rPr>
          <w:color w:val="auto"/>
          <w:highlight w:val="none"/>
          <w:lang w:val="zh-CN"/>
        </w:rPr>
        <w:t>表6.</w:t>
      </w:r>
      <w:r>
        <w:rPr>
          <w:rFonts w:hint="eastAsia"/>
          <w:color w:val="auto"/>
          <w:highlight w:val="none"/>
        </w:rPr>
        <w:t>2</w:t>
      </w:r>
      <w:r>
        <w:rPr>
          <w:color w:val="auto"/>
          <w:highlight w:val="none"/>
          <w:lang w:val="zh-CN"/>
        </w:rPr>
        <w:t>-</w:t>
      </w:r>
      <w:r>
        <w:rPr>
          <w:rFonts w:hint="eastAsia"/>
          <w:color w:val="auto"/>
          <w:highlight w:val="none"/>
          <w:lang w:val="en-US" w:eastAsia="zh-CN"/>
        </w:rPr>
        <w:t>2</w:t>
      </w:r>
      <w:r>
        <w:rPr>
          <w:color w:val="auto"/>
          <w:highlight w:val="none"/>
          <w:lang w:val="zh-CN"/>
        </w:rPr>
        <w:t xml:space="preserve">          污染控制难易程度分级参照表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022"/>
        <w:gridCol w:w="6807"/>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5" w:type="pct"/>
            <w:vAlign w:val="center"/>
          </w:tcPr>
          <w:p>
            <w:pPr>
              <w:pStyle w:val="41"/>
              <w:rPr>
                <w:color w:val="auto"/>
                <w:highlight w:val="none"/>
              </w:rPr>
            </w:pPr>
            <w:r>
              <w:rPr>
                <w:color w:val="auto"/>
                <w:highlight w:val="none"/>
              </w:rPr>
              <w:t>污染控制难易程度</w:t>
            </w:r>
          </w:p>
        </w:tc>
        <w:tc>
          <w:tcPr>
            <w:tcW w:w="3854" w:type="pct"/>
            <w:vAlign w:val="center"/>
          </w:tcPr>
          <w:p>
            <w:pPr>
              <w:pStyle w:val="41"/>
              <w:rPr>
                <w:color w:val="auto"/>
                <w:highlight w:val="none"/>
              </w:rPr>
            </w:pPr>
            <w:r>
              <w:rPr>
                <w:color w:val="auto"/>
                <w:highlight w:val="none"/>
              </w:rPr>
              <w:t>主要特征</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5" w:type="pct"/>
            <w:vAlign w:val="center"/>
          </w:tcPr>
          <w:p>
            <w:pPr>
              <w:pStyle w:val="41"/>
              <w:rPr>
                <w:color w:val="auto"/>
                <w:highlight w:val="none"/>
              </w:rPr>
            </w:pPr>
            <w:r>
              <w:rPr>
                <w:color w:val="auto"/>
                <w:highlight w:val="none"/>
              </w:rPr>
              <w:t>难</w:t>
            </w:r>
          </w:p>
        </w:tc>
        <w:tc>
          <w:tcPr>
            <w:tcW w:w="3854" w:type="pct"/>
            <w:vAlign w:val="center"/>
          </w:tcPr>
          <w:p>
            <w:pPr>
              <w:pStyle w:val="41"/>
              <w:rPr>
                <w:color w:val="auto"/>
                <w:highlight w:val="none"/>
              </w:rPr>
            </w:pPr>
            <w:r>
              <w:rPr>
                <w:color w:val="auto"/>
                <w:highlight w:val="none"/>
              </w:rPr>
              <w:t>对地下水环境有污染的物料或污染物</w:t>
            </w:r>
            <w:r>
              <w:rPr>
                <w:rFonts w:hint="eastAsia"/>
                <w:color w:val="auto"/>
                <w:highlight w:val="none"/>
              </w:rPr>
              <w:t>泄漏</w:t>
            </w:r>
            <w:r>
              <w:rPr>
                <w:color w:val="auto"/>
                <w:highlight w:val="none"/>
              </w:rPr>
              <w:t>后，不能及时发现和处理</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1145" w:type="pct"/>
            <w:shd w:val="clear" w:color="auto" w:fill="EEECE1"/>
            <w:vAlign w:val="center"/>
          </w:tcPr>
          <w:p>
            <w:pPr>
              <w:pStyle w:val="41"/>
              <w:rPr>
                <w:color w:val="auto"/>
                <w:highlight w:val="none"/>
              </w:rPr>
            </w:pPr>
            <w:r>
              <w:rPr>
                <w:color w:val="auto"/>
                <w:highlight w:val="none"/>
              </w:rPr>
              <w:t>易</w:t>
            </w:r>
          </w:p>
        </w:tc>
        <w:tc>
          <w:tcPr>
            <w:tcW w:w="3854" w:type="pct"/>
            <w:shd w:val="clear" w:color="auto" w:fill="EEECE1"/>
            <w:vAlign w:val="center"/>
          </w:tcPr>
          <w:p>
            <w:pPr>
              <w:pStyle w:val="41"/>
              <w:rPr>
                <w:color w:val="auto"/>
                <w:highlight w:val="none"/>
              </w:rPr>
            </w:pPr>
            <w:r>
              <w:rPr>
                <w:color w:val="auto"/>
                <w:highlight w:val="none"/>
              </w:rPr>
              <w:t>对地下水环境有污染的物料或污染物</w:t>
            </w:r>
            <w:r>
              <w:rPr>
                <w:rFonts w:hint="eastAsia"/>
                <w:color w:val="auto"/>
                <w:highlight w:val="none"/>
              </w:rPr>
              <w:t>泄漏</w:t>
            </w:r>
            <w:r>
              <w:rPr>
                <w:color w:val="auto"/>
                <w:highlight w:val="none"/>
              </w:rPr>
              <w:t>后，可及时发现和处理</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color w:val="auto"/>
          <w:highlight w:val="none"/>
          <w:lang w:val="zh-CN"/>
        </w:rPr>
      </w:pPr>
      <w:r>
        <w:rPr>
          <w:color w:val="auto"/>
          <w:highlight w:val="none"/>
          <w:lang w:val="zh-CN"/>
        </w:rPr>
        <w:t>表6.2-</w:t>
      </w:r>
      <w:r>
        <w:rPr>
          <w:rFonts w:hint="eastAsia"/>
          <w:color w:val="auto"/>
          <w:highlight w:val="none"/>
          <w:lang w:val="en-US" w:eastAsia="zh-CN"/>
        </w:rPr>
        <w:t>3</w:t>
      </w:r>
      <w:r>
        <w:rPr>
          <w:color w:val="auto"/>
          <w:highlight w:val="none"/>
          <w:lang w:val="zh-CN"/>
        </w:rPr>
        <w:t xml:space="preserve">             天然包气带防污性能分级参照表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713"/>
        <w:gridCol w:w="8116"/>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4" w:type="pct"/>
            <w:vAlign w:val="center"/>
          </w:tcPr>
          <w:p>
            <w:pPr>
              <w:pStyle w:val="41"/>
              <w:rPr>
                <w:color w:val="auto"/>
                <w:highlight w:val="none"/>
              </w:rPr>
            </w:pPr>
            <w:r>
              <w:rPr>
                <w:color w:val="auto"/>
                <w:highlight w:val="none"/>
              </w:rPr>
              <w:t>分级</w:t>
            </w:r>
          </w:p>
        </w:tc>
        <w:tc>
          <w:tcPr>
            <w:tcW w:w="4595" w:type="pct"/>
            <w:vAlign w:val="center"/>
          </w:tcPr>
          <w:p>
            <w:pPr>
              <w:pStyle w:val="41"/>
              <w:rPr>
                <w:color w:val="auto"/>
                <w:highlight w:val="none"/>
              </w:rPr>
            </w:pPr>
            <w:r>
              <w:rPr>
                <w:color w:val="auto"/>
                <w:highlight w:val="none"/>
              </w:rPr>
              <w:t>包气带岩土的防污性能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4" w:type="pct"/>
            <w:vAlign w:val="center"/>
          </w:tcPr>
          <w:p>
            <w:pPr>
              <w:pStyle w:val="41"/>
              <w:rPr>
                <w:color w:val="auto"/>
                <w:highlight w:val="none"/>
              </w:rPr>
            </w:pPr>
            <w:r>
              <w:rPr>
                <w:color w:val="auto"/>
                <w:highlight w:val="none"/>
              </w:rPr>
              <w:t>强</w:t>
            </w:r>
          </w:p>
        </w:tc>
        <w:tc>
          <w:tcPr>
            <w:tcW w:w="4595" w:type="pct"/>
            <w:vAlign w:val="center"/>
          </w:tcPr>
          <w:p>
            <w:pPr>
              <w:pStyle w:val="41"/>
              <w:rPr>
                <w:color w:val="auto"/>
                <w:highlight w:val="none"/>
              </w:rPr>
            </w:pPr>
            <w:r>
              <w:rPr>
                <w:color w:val="auto"/>
                <w:highlight w:val="none"/>
              </w:rPr>
              <w:t>岩（土）层单层厚度Mb</w:t>
            </w:r>
            <w:r>
              <w:rPr>
                <w:rFonts w:hint="eastAsia" w:ascii="宋体"/>
                <w:color w:val="auto"/>
                <w:highlight w:val="none"/>
              </w:rPr>
              <w:t>≧</w:t>
            </w:r>
            <w:r>
              <w:rPr>
                <w:color w:val="auto"/>
                <w:highlight w:val="none"/>
              </w:rPr>
              <w:t>1.0m，渗透系数K</w:t>
            </w:r>
            <w:r>
              <w:rPr>
                <w:rFonts w:hint="eastAsia" w:ascii="宋体"/>
                <w:color w:val="auto"/>
                <w:highlight w:val="none"/>
              </w:rPr>
              <w:t>≦</w:t>
            </w:r>
            <w:r>
              <w:rPr>
                <w:color w:val="auto"/>
                <w:highlight w:val="none"/>
              </w:rPr>
              <w:t>1×10</w:t>
            </w:r>
            <w:r>
              <w:rPr>
                <w:color w:val="auto"/>
                <w:highlight w:val="none"/>
                <w:vertAlign w:val="superscript"/>
              </w:rPr>
              <w:t>-6</w:t>
            </w:r>
            <w:r>
              <w:rPr>
                <w:color w:val="auto"/>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4" w:type="pct"/>
            <w:vAlign w:val="center"/>
          </w:tcPr>
          <w:p>
            <w:pPr>
              <w:pStyle w:val="41"/>
              <w:rPr>
                <w:color w:val="auto"/>
                <w:highlight w:val="none"/>
              </w:rPr>
            </w:pPr>
            <w:r>
              <w:rPr>
                <w:color w:val="auto"/>
                <w:highlight w:val="none"/>
              </w:rPr>
              <w:t>中</w:t>
            </w:r>
          </w:p>
        </w:tc>
        <w:tc>
          <w:tcPr>
            <w:tcW w:w="4595" w:type="pct"/>
            <w:vAlign w:val="center"/>
          </w:tcPr>
          <w:p>
            <w:pPr>
              <w:pStyle w:val="41"/>
              <w:rPr>
                <w:color w:val="auto"/>
                <w:highlight w:val="none"/>
              </w:rPr>
            </w:pPr>
            <w:r>
              <w:rPr>
                <w:color w:val="auto"/>
                <w:highlight w:val="none"/>
              </w:rPr>
              <w:t>岩（土）层单层厚度0.5m</w:t>
            </w:r>
            <w:r>
              <w:rPr>
                <w:rFonts w:hint="eastAsia" w:ascii="宋体"/>
                <w:color w:val="auto"/>
                <w:highlight w:val="none"/>
              </w:rPr>
              <w:t>≦</w:t>
            </w:r>
            <w:r>
              <w:rPr>
                <w:color w:val="auto"/>
                <w:highlight w:val="none"/>
              </w:rPr>
              <w:t>Mb&lt;1.0m，渗透系数K</w:t>
            </w:r>
            <w:r>
              <w:rPr>
                <w:rFonts w:hint="eastAsia" w:ascii="宋体"/>
                <w:color w:val="auto"/>
                <w:highlight w:val="none"/>
              </w:rPr>
              <w:t>≦</w:t>
            </w:r>
            <w:r>
              <w:rPr>
                <w:color w:val="auto"/>
                <w:highlight w:val="none"/>
              </w:rPr>
              <w:t>1×10</w:t>
            </w:r>
            <w:r>
              <w:rPr>
                <w:color w:val="auto"/>
                <w:highlight w:val="none"/>
                <w:vertAlign w:val="superscript"/>
              </w:rPr>
              <w:t>-6</w:t>
            </w:r>
            <w:r>
              <w:rPr>
                <w:color w:val="auto"/>
                <w:highlight w:val="none"/>
              </w:rPr>
              <w:t>cm/s，且分布连续、稳定；</w:t>
            </w:r>
          </w:p>
          <w:p>
            <w:pPr>
              <w:pStyle w:val="41"/>
              <w:rPr>
                <w:color w:val="auto"/>
                <w:highlight w:val="none"/>
              </w:rPr>
            </w:pPr>
            <w:r>
              <w:rPr>
                <w:color w:val="auto"/>
                <w:highlight w:val="none"/>
              </w:rPr>
              <w:t>岩（土）层单层厚度Mb</w:t>
            </w:r>
            <w:r>
              <w:rPr>
                <w:rFonts w:hint="eastAsia" w:ascii="宋体"/>
                <w:color w:val="auto"/>
                <w:highlight w:val="none"/>
              </w:rPr>
              <w:t>≧</w:t>
            </w:r>
            <w:r>
              <w:rPr>
                <w:color w:val="auto"/>
                <w:highlight w:val="none"/>
              </w:rPr>
              <w:t>1.0m，渗透系数1×10</w:t>
            </w:r>
            <w:r>
              <w:rPr>
                <w:color w:val="auto"/>
                <w:highlight w:val="none"/>
                <w:vertAlign w:val="superscript"/>
              </w:rPr>
              <w:t>-6</w:t>
            </w:r>
            <w:r>
              <w:rPr>
                <w:color w:val="auto"/>
                <w:highlight w:val="none"/>
              </w:rPr>
              <w:t>cm/s&lt;K</w:t>
            </w:r>
            <w:r>
              <w:rPr>
                <w:rFonts w:hint="eastAsia" w:ascii="宋体"/>
                <w:color w:val="auto"/>
                <w:highlight w:val="none"/>
              </w:rPr>
              <w:t>≦</w:t>
            </w:r>
            <w:r>
              <w:rPr>
                <w:color w:val="auto"/>
                <w:highlight w:val="none"/>
              </w:rPr>
              <w:t>1×10</w:t>
            </w:r>
            <w:r>
              <w:rPr>
                <w:color w:val="auto"/>
                <w:highlight w:val="none"/>
                <w:vertAlign w:val="superscript"/>
              </w:rPr>
              <w:t>-4</w:t>
            </w:r>
            <w:r>
              <w:rPr>
                <w:color w:val="auto"/>
                <w:highlight w:val="none"/>
              </w:rPr>
              <w:t>cm/s，且分布连续、稳定；</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404" w:type="pct"/>
            <w:shd w:val="clear" w:color="auto" w:fill="EEECE1"/>
            <w:vAlign w:val="center"/>
          </w:tcPr>
          <w:p>
            <w:pPr>
              <w:pStyle w:val="41"/>
              <w:rPr>
                <w:color w:val="auto"/>
                <w:highlight w:val="none"/>
              </w:rPr>
            </w:pPr>
            <w:r>
              <w:rPr>
                <w:color w:val="auto"/>
                <w:highlight w:val="none"/>
              </w:rPr>
              <w:t>弱</w:t>
            </w:r>
          </w:p>
        </w:tc>
        <w:tc>
          <w:tcPr>
            <w:tcW w:w="4595" w:type="pct"/>
            <w:shd w:val="clear" w:color="auto" w:fill="EEECE1"/>
            <w:vAlign w:val="center"/>
          </w:tcPr>
          <w:p>
            <w:pPr>
              <w:pStyle w:val="41"/>
              <w:rPr>
                <w:color w:val="auto"/>
                <w:highlight w:val="none"/>
              </w:rPr>
            </w:pPr>
            <w:r>
              <w:rPr>
                <w:color w:val="auto"/>
                <w:highlight w:val="none"/>
              </w:rPr>
              <w:t>岩（土）层不满足上述“强”和“中”条件</w:t>
            </w:r>
          </w:p>
        </w:tc>
      </w:tr>
    </w:tbl>
    <w:p>
      <w:pPr>
        <w:pStyle w:val="54"/>
        <w:keepNext w:val="0"/>
        <w:keepLines w:val="0"/>
        <w:pageBreakBefore w:val="0"/>
        <w:widowControl w:val="0"/>
        <w:kinsoku/>
        <w:wordWrap/>
        <w:overflowPunct/>
        <w:topLinePunct w:val="0"/>
        <w:autoSpaceDE/>
        <w:autoSpaceDN/>
        <w:bidi w:val="0"/>
        <w:adjustRightInd/>
        <w:snapToGrid/>
        <w:spacing w:line="480" w:lineRule="exact"/>
        <w:ind w:left="0" w:leftChars="0" w:firstLine="0" w:firstLineChars="0"/>
        <w:jc w:val="center"/>
        <w:textAlignment w:val="baseline"/>
        <w:rPr>
          <w:color w:val="auto"/>
          <w:highlight w:val="none"/>
          <w:lang w:val="zh-CN"/>
        </w:rPr>
      </w:pPr>
      <w:r>
        <w:rPr>
          <w:color w:val="auto"/>
          <w:highlight w:val="none"/>
          <w:lang w:val="zh-CN"/>
        </w:rPr>
        <w:t>表6.2-</w:t>
      </w:r>
      <w:r>
        <w:rPr>
          <w:rFonts w:hint="eastAsia"/>
          <w:color w:val="auto"/>
          <w:highlight w:val="none"/>
          <w:lang w:val="en-US" w:eastAsia="zh-CN"/>
        </w:rPr>
        <w:t>4</w:t>
      </w:r>
      <w:r>
        <w:rPr>
          <w:color w:val="auto"/>
          <w:highlight w:val="none"/>
          <w:lang w:val="zh-CN"/>
        </w:rPr>
        <w:t xml:space="preserve">         地下水污染防渗分区参照表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356"/>
        <w:gridCol w:w="1482"/>
        <w:gridCol w:w="1417"/>
        <w:gridCol w:w="1823"/>
        <w:gridCol w:w="275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Align w:val="center"/>
          </w:tcPr>
          <w:p>
            <w:pPr>
              <w:pStyle w:val="41"/>
              <w:rPr>
                <w:color w:val="auto"/>
                <w:highlight w:val="none"/>
              </w:rPr>
            </w:pPr>
            <w:r>
              <w:rPr>
                <w:color w:val="auto"/>
                <w:highlight w:val="none"/>
              </w:rPr>
              <w:t>防渗分区</w:t>
            </w:r>
          </w:p>
        </w:tc>
        <w:tc>
          <w:tcPr>
            <w:tcW w:w="839" w:type="pct"/>
            <w:vAlign w:val="center"/>
          </w:tcPr>
          <w:p>
            <w:pPr>
              <w:pStyle w:val="41"/>
              <w:rPr>
                <w:color w:val="auto"/>
                <w:highlight w:val="none"/>
              </w:rPr>
            </w:pPr>
            <w:r>
              <w:rPr>
                <w:color w:val="auto"/>
                <w:highlight w:val="none"/>
              </w:rPr>
              <w:t>天然包气带防污性能</w:t>
            </w:r>
          </w:p>
        </w:tc>
        <w:tc>
          <w:tcPr>
            <w:tcW w:w="802" w:type="pct"/>
            <w:vAlign w:val="center"/>
          </w:tcPr>
          <w:p>
            <w:pPr>
              <w:pStyle w:val="41"/>
              <w:rPr>
                <w:color w:val="auto"/>
                <w:highlight w:val="none"/>
              </w:rPr>
            </w:pPr>
            <w:r>
              <w:rPr>
                <w:color w:val="auto"/>
                <w:highlight w:val="none"/>
              </w:rPr>
              <w:t>污染控制难易程度</w:t>
            </w:r>
          </w:p>
        </w:tc>
        <w:tc>
          <w:tcPr>
            <w:tcW w:w="1032" w:type="pct"/>
            <w:vAlign w:val="center"/>
          </w:tcPr>
          <w:p>
            <w:pPr>
              <w:pStyle w:val="41"/>
              <w:rPr>
                <w:color w:val="auto"/>
                <w:highlight w:val="none"/>
              </w:rPr>
            </w:pPr>
            <w:r>
              <w:rPr>
                <w:color w:val="auto"/>
                <w:highlight w:val="none"/>
              </w:rPr>
              <w:t>污染物类型</w:t>
            </w:r>
          </w:p>
        </w:tc>
        <w:tc>
          <w:tcPr>
            <w:tcW w:w="1557" w:type="pct"/>
            <w:vAlign w:val="center"/>
          </w:tcPr>
          <w:p>
            <w:pPr>
              <w:pStyle w:val="41"/>
              <w:rPr>
                <w:color w:val="auto"/>
                <w:highlight w:val="none"/>
              </w:rPr>
            </w:pPr>
            <w:r>
              <w:rPr>
                <w:color w:val="auto"/>
                <w:highlight w:val="none"/>
              </w:rPr>
              <w:t>防渗技术要求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restart"/>
            <w:vAlign w:val="center"/>
          </w:tcPr>
          <w:p>
            <w:pPr>
              <w:pStyle w:val="41"/>
              <w:rPr>
                <w:color w:val="auto"/>
                <w:highlight w:val="none"/>
              </w:rPr>
            </w:pPr>
            <w:r>
              <w:rPr>
                <w:color w:val="auto"/>
                <w:highlight w:val="none"/>
              </w:rPr>
              <w:t>重点防渗区</w:t>
            </w:r>
          </w:p>
        </w:tc>
        <w:tc>
          <w:tcPr>
            <w:tcW w:w="839" w:type="pct"/>
            <w:vAlign w:val="center"/>
          </w:tcPr>
          <w:p>
            <w:pPr>
              <w:pStyle w:val="41"/>
              <w:rPr>
                <w:color w:val="auto"/>
                <w:highlight w:val="none"/>
              </w:rPr>
            </w:pPr>
            <w:r>
              <w:rPr>
                <w:color w:val="auto"/>
                <w:highlight w:val="none"/>
              </w:rPr>
              <w:t>弱</w:t>
            </w:r>
          </w:p>
        </w:tc>
        <w:tc>
          <w:tcPr>
            <w:tcW w:w="802" w:type="pct"/>
            <w:vAlign w:val="center"/>
          </w:tcPr>
          <w:p>
            <w:pPr>
              <w:pStyle w:val="41"/>
              <w:rPr>
                <w:color w:val="auto"/>
                <w:highlight w:val="none"/>
              </w:rPr>
            </w:pPr>
            <w:r>
              <w:rPr>
                <w:color w:val="auto"/>
                <w:highlight w:val="none"/>
              </w:rPr>
              <w:t>难</w:t>
            </w:r>
          </w:p>
        </w:tc>
        <w:tc>
          <w:tcPr>
            <w:tcW w:w="1032" w:type="pct"/>
            <w:vMerge w:val="restart"/>
            <w:vAlign w:val="center"/>
          </w:tcPr>
          <w:p>
            <w:pPr>
              <w:pStyle w:val="41"/>
              <w:rPr>
                <w:color w:val="auto"/>
                <w:highlight w:val="none"/>
              </w:rPr>
            </w:pPr>
            <w:r>
              <w:rPr>
                <w:color w:val="auto"/>
                <w:highlight w:val="none"/>
              </w:rPr>
              <w:t>重金属、持久性有机污染物</w:t>
            </w:r>
          </w:p>
        </w:tc>
        <w:tc>
          <w:tcPr>
            <w:tcW w:w="1557" w:type="pct"/>
            <w:vMerge w:val="restart"/>
            <w:vAlign w:val="center"/>
          </w:tcPr>
          <w:p>
            <w:pPr>
              <w:pStyle w:val="41"/>
              <w:rPr>
                <w:color w:val="auto"/>
                <w:highlight w:val="none"/>
              </w:rPr>
            </w:pPr>
            <w:r>
              <w:rPr>
                <w:color w:val="auto"/>
                <w:highlight w:val="none"/>
              </w:rPr>
              <w:t>等效粘土防渗层Mb≥6.0m，K≤1×10</w:t>
            </w:r>
            <w:r>
              <w:rPr>
                <w:color w:val="auto"/>
                <w:highlight w:val="none"/>
                <w:vertAlign w:val="superscript"/>
              </w:rPr>
              <w:t>-7</w:t>
            </w:r>
            <w:r>
              <w:rPr>
                <w:color w:val="auto"/>
                <w:highlight w:val="none"/>
              </w:rPr>
              <w:t>cm/s；或参照GB18598执行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vAlign w:val="center"/>
          </w:tcPr>
          <w:p>
            <w:pPr>
              <w:pStyle w:val="41"/>
              <w:rPr>
                <w:color w:val="auto"/>
                <w:highlight w:val="none"/>
              </w:rPr>
            </w:pPr>
          </w:p>
        </w:tc>
        <w:tc>
          <w:tcPr>
            <w:tcW w:w="839" w:type="pct"/>
            <w:vAlign w:val="center"/>
          </w:tcPr>
          <w:p>
            <w:pPr>
              <w:pStyle w:val="41"/>
              <w:rPr>
                <w:color w:val="auto"/>
                <w:highlight w:val="none"/>
              </w:rPr>
            </w:pPr>
            <w:r>
              <w:rPr>
                <w:color w:val="auto"/>
                <w:highlight w:val="none"/>
              </w:rPr>
              <w:t>中-强</w:t>
            </w:r>
          </w:p>
        </w:tc>
        <w:tc>
          <w:tcPr>
            <w:tcW w:w="802" w:type="pct"/>
            <w:vAlign w:val="center"/>
          </w:tcPr>
          <w:p>
            <w:pPr>
              <w:pStyle w:val="41"/>
              <w:rPr>
                <w:color w:val="auto"/>
                <w:highlight w:val="none"/>
              </w:rPr>
            </w:pPr>
            <w:r>
              <w:rPr>
                <w:color w:val="auto"/>
                <w:highlight w:val="none"/>
              </w:rPr>
              <w:t>难</w:t>
            </w:r>
          </w:p>
        </w:tc>
        <w:tc>
          <w:tcPr>
            <w:tcW w:w="1032" w:type="pct"/>
            <w:vMerge w:val="continue"/>
            <w:vAlign w:val="center"/>
          </w:tcPr>
          <w:p>
            <w:pPr>
              <w:pStyle w:val="41"/>
              <w:rPr>
                <w:color w:val="auto"/>
                <w:highlight w:val="none"/>
              </w:rPr>
            </w:pPr>
          </w:p>
        </w:tc>
        <w:tc>
          <w:tcPr>
            <w:tcW w:w="1557" w:type="pct"/>
            <w:vMerge w:val="continue"/>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vAlign w:val="center"/>
          </w:tcPr>
          <w:p>
            <w:pPr>
              <w:pStyle w:val="41"/>
              <w:rPr>
                <w:color w:val="auto"/>
                <w:highlight w:val="none"/>
              </w:rPr>
            </w:pPr>
          </w:p>
        </w:tc>
        <w:tc>
          <w:tcPr>
            <w:tcW w:w="839" w:type="pct"/>
            <w:vAlign w:val="center"/>
          </w:tcPr>
          <w:p>
            <w:pPr>
              <w:pStyle w:val="41"/>
              <w:rPr>
                <w:color w:val="auto"/>
                <w:highlight w:val="none"/>
              </w:rPr>
            </w:pPr>
            <w:r>
              <w:rPr>
                <w:color w:val="auto"/>
                <w:highlight w:val="none"/>
              </w:rPr>
              <w:t>弱</w:t>
            </w:r>
          </w:p>
        </w:tc>
        <w:tc>
          <w:tcPr>
            <w:tcW w:w="802" w:type="pct"/>
            <w:vAlign w:val="center"/>
          </w:tcPr>
          <w:p>
            <w:pPr>
              <w:pStyle w:val="41"/>
              <w:rPr>
                <w:color w:val="auto"/>
                <w:highlight w:val="none"/>
              </w:rPr>
            </w:pPr>
            <w:r>
              <w:rPr>
                <w:color w:val="auto"/>
                <w:highlight w:val="none"/>
              </w:rPr>
              <w:t>易</w:t>
            </w:r>
          </w:p>
        </w:tc>
        <w:tc>
          <w:tcPr>
            <w:tcW w:w="1032" w:type="pct"/>
            <w:vMerge w:val="continue"/>
            <w:vAlign w:val="center"/>
          </w:tcPr>
          <w:p>
            <w:pPr>
              <w:pStyle w:val="41"/>
              <w:rPr>
                <w:color w:val="auto"/>
                <w:highlight w:val="none"/>
              </w:rPr>
            </w:pPr>
          </w:p>
        </w:tc>
        <w:tc>
          <w:tcPr>
            <w:tcW w:w="1557" w:type="pct"/>
            <w:vMerge w:val="continue"/>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restart"/>
            <w:shd w:val="clear" w:color="auto" w:fill="EEECE1"/>
            <w:vAlign w:val="center"/>
          </w:tcPr>
          <w:p>
            <w:pPr>
              <w:pStyle w:val="41"/>
              <w:rPr>
                <w:color w:val="auto"/>
                <w:highlight w:val="none"/>
              </w:rPr>
            </w:pPr>
            <w:r>
              <w:rPr>
                <w:color w:val="auto"/>
                <w:highlight w:val="none"/>
              </w:rPr>
              <w:t>一般防渗区</w:t>
            </w:r>
          </w:p>
        </w:tc>
        <w:tc>
          <w:tcPr>
            <w:tcW w:w="839" w:type="pct"/>
            <w:shd w:val="clear" w:color="auto" w:fill="EEECE1"/>
            <w:vAlign w:val="center"/>
          </w:tcPr>
          <w:p>
            <w:pPr>
              <w:pStyle w:val="41"/>
              <w:rPr>
                <w:color w:val="auto"/>
                <w:highlight w:val="none"/>
              </w:rPr>
            </w:pPr>
            <w:r>
              <w:rPr>
                <w:color w:val="auto"/>
                <w:highlight w:val="none"/>
              </w:rPr>
              <w:t>弱</w:t>
            </w:r>
          </w:p>
        </w:tc>
        <w:tc>
          <w:tcPr>
            <w:tcW w:w="802" w:type="pct"/>
            <w:shd w:val="clear" w:color="auto" w:fill="EEECE1"/>
            <w:vAlign w:val="center"/>
          </w:tcPr>
          <w:p>
            <w:pPr>
              <w:pStyle w:val="41"/>
              <w:rPr>
                <w:color w:val="auto"/>
                <w:highlight w:val="none"/>
              </w:rPr>
            </w:pPr>
            <w:r>
              <w:rPr>
                <w:color w:val="auto"/>
                <w:highlight w:val="none"/>
              </w:rPr>
              <w:t>易-难</w:t>
            </w:r>
          </w:p>
        </w:tc>
        <w:tc>
          <w:tcPr>
            <w:tcW w:w="1032" w:type="pct"/>
            <w:vMerge w:val="restart"/>
            <w:shd w:val="clear" w:color="auto" w:fill="EEECE1"/>
            <w:vAlign w:val="center"/>
          </w:tcPr>
          <w:p>
            <w:pPr>
              <w:pStyle w:val="41"/>
              <w:rPr>
                <w:color w:val="auto"/>
                <w:highlight w:val="none"/>
              </w:rPr>
            </w:pPr>
            <w:r>
              <w:rPr>
                <w:rFonts w:hint="eastAsia"/>
                <w:color w:val="auto"/>
                <w:highlight w:val="none"/>
              </w:rPr>
              <w:t>其他类型</w:t>
            </w:r>
          </w:p>
        </w:tc>
        <w:tc>
          <w:tcPr>
            <w:tcW w:w="1557" w:type="pct"/>
            <w:vMerge w:val="restart"/>
            <w:shd w:val="clear" w:color="auto" w:fill="EEECE1"/>
            <w:vAlign w:val="center"/>
          </w:tcPr>
          <w:p>
            <w:pPr>
              <w:pStyle w:val="41"/>
              <w:rPr>
                <w:color w:val="auto"/>
                <w:highlight w:val="none"/>
              </w:rPr>
            </w:pPr>
            <w:r>
              <w:rPr>
                <w:color w:val="auto"/>
                <w:highlight w:val="none"/>
              </w:rPr>
              <w:t>等效粘土防渗层Mb≥1.5m，K≤1×10</w:t>
            </w:r>
            <w:r>
              <w:rPr>
                <w:color w:val="auto"/>
                <w:highlight w:val="none"/>
                <w:vertAlign w:val="superscript"/>
              </w:rPr>
              <w:t>-7</w:t>
            </w:r>
            <w:r>
              <w:rPr>
                <w:color w:val="auto"/>
                <w:highlight w:val="none"/>
              </w:rPr>
              <w:t>cm/s，或参照GB16889执行</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shd w:val="clear" w:color="auto" w:fill="EEECE1"/>
            <w:vAlign w:val="center"/>
          </w:tcPr>
          <w:p>
            <w:pPr>
              <w:pStyle w:val="41"/>
              <w:rPr>
                <w:color w:val="auto"/>
                <w:highlight w:val="none"/>
              </w:rPr>
            </w:pPr>
          </w:p>
        </w:tc>
        <w:tc>
          <w:tcPr>
            <w:tcW w:w="839" w:type="pct"/>
            <w:shd w:val="clear" w:color="auto" w:fill="auto"/>
            <w:vAlign w:val="center"/>
          </w:tcPr>
          <w:p>
            <w:pPr>
              <w:pStyle w:val="41"/>
              <w:rPr>
                <w:color w:val="auto"/>
                <w:highlight w:val="none"/>
              </w:rPr>
            </w:pPr>
            <w:r>
              <w:rPr>
                <w:color w:val="auto"/>
                <w:highlight w:val="none"/>
              </w:rPr>
              <w:t>中-强</w:t>
            </w:r>
          </w:p>
        </w:tc>
        <w:tc>
          <w:tcPr>
            <w:tcW w:w="802" w:type="pct"/>
            <w:shd w:val="clear" w:color="auto" w:fill="auto"/>
            <w:vAlign w:val="center"/>
          </w:tcPr>
          <w:p>
            <w:pPr>
              <w:pStyle w:val="41"/>
              <w:rPr>
                <w:color w:val="auto"/>
                <w:highlight w:val="none"/>
              </w:rPr>
            </w:pPr>
            <w:r>
              <w:rPr>
                <w:color w:val="auto"/>
                <w:highlight w:val="none"/>
              </w:rPr>
              <w:t>难</w:t>
            </w:r>
          </w:p>
        </w:tc>
        <w:tc>
          <w:tcPr>
            <w:tcW w:w="1032" w:type="pct"/>
            <w:vMerge w:val="continue"/>
            <w:shd w:val="clear" w:color="auto" w:fill="B8CCE4"/>
            <w:vAlign w:val="center"/>
          </w:tcPr>
          <w:p>
            <w:pPr>
              <w:pStyle w:val="41"/>
              <w:rPr>
                <w:color w:val="auto"/>
                <w:highlight w:val="none"/>
              </w:rPr>
            </w:pPr>
          </w:p>
        </w:tc>
        <w:tc>
          <w:tcPr>
            <w:tcW w:w="1557" w:type="pct"/>
            <w:vMerge w:val="continue"/>
            <w:shd w:val="clear" w:color="auto" w:fill="EEECE1"/>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shd w:val="clear" w:color="auto" w:fill="EEECE1"/>
            <w:vAlign w:val="center"/>
          </w:tcPr>
          <w:p>
            <w:pPr>
              <w:pStyle w:val="41"/>
              <w:rPr>
                <w:color w:val="auto"/>
                <w:highlight w:val="none"/>
              </w:rPr>
            </w:pPr>
          </w:p>
        </w:tc>
        <w:tc>
          <w:tcPr>
            <w:tcW w:w="839" w:type="pct"/>
            <w:shd w:val="clear" w:color="auto" w:fill="auto"/>
            <w:vAlign w:val="center"/>
          </w:tcPr>
          <w:p>
            <w:pPr>
              <w:pStyle w:val="41"/>
              <w:rPr>
                <w:color w:val="auto"/>
                <w:highlight w:val="none"/>
              </w:rPr>
            </w:pPr>
            <w:r>
              <w:rPr>
                <w:color w:val="auto"/>
                <w:highlight w:val="none"/>
              </w:rPr>
              <w:t>中</w:t>
            </w:r>
          </w:p>
        </w:tc>
        <w:tc>
          <w:tcPr>
            <w:tcW w:w="802" w:type="pct"/>
            <w:shd w:val="clear" w:color="auto" w:fill="auto"/>
            <w:vAlign w:val="center"/>
          </w:tcPr>
          <w:p>
            <w:pPr>
              <w:pStyle w:val="41"/>
              <w:rPr>
                <w:color w:val="auto"/>
                <w:highlight w:val="none"/>
              </w:rPr>
            </w:pPr>
            <w:r>
              <w:rPr>
                <w:color w:val="auto"/>
                <w:highlight w:val="none"/>
              </w:rPr>
              <w:t>易</w:t>
            </w:r>
          </w:p>
        </w:tc>
        <w:tc>
          <w:tcPr>
            <w:tcW w:w="1032" w:type="pct"/>
            <w:vMerge w:val="restart"/>
            <w:shd w:val="clear" w:color="auto" w:fill="auto"/>
            <w:vAlign w:val="center"/>
          </w:tcPr>
          <w:p>
            <w:pPr>
              <w:pStyle w:val="41"/>
              <w:rPr>
                <w:color w:val="auto"/>
                <w:highlight w:val="none"/>
              </w:rPr>
            </w:pPr>
            <w:r>
              <w:rPr>
                <w:color w:val="auto"/>
                <w:highlight w:val="none"/>
              </w:rPr>
              <w:t>重金属、持久性有机污染物</w:t>
            </w:r>
          </w:p>
        </w:tc>
        <w:tc>
          <w:tcPr>
            <w:tcW w:w="1557" w:type="pct"/>
            <w:vMerge w:val="continue"/>
            <w:shd w:val="clear" w:color="auto" w:fill="EEECE1"/>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Merge w:val="continue"/>
            <w:shd w:val="clear" w:color="auto" w:fill="EEECE1"/>
            <w:vAlign w:val="center"/>
          </w:tcPr>
          <w:p>
            <w:pPr>
              <w:pStyle w:val="41"/>
              <w:rPr>
                <w:color w:val="auto"/>
                <w:highlight w:val="none"/>
              </w:rPr>
            </w:pPr>
          </w:p>
        </w:tc>
        <w:tc>
          <w:tcPr>
            <w:tcW w:w="839" w:type="pct"/>
            <w:shd w:val="clear" w:color="auto" w:fill="auto"/>
            <w:vAlign w:val="center"/>
          </w:tcPr>
          <w:p>
            <w:pPr>
              <w:pStyle w:val="41"/>
              <w:rPr>
                <w:color w:val="auto"/>
                <w:highlight w:val="none"/>
              </w:rPr>
            </w:pPr>
            <w:r>
              <w:rPr>
                <w:color w:val="auto"/>
                <w:highlight w:val="none"/>
              </w:rPr>
              <w:t>强</w:t>
            </w:r>
          </w:p>
        </w:tc>
        <w:tc>
          <w:tcPr>
            <w:tcW w:w="802" w:type="pct"/>
            <w:shd w:val="clear" w:color="auto" w:fill="auto"/>
            <w:vAlign w:val="center"/>
          </w:tcPr>
          <w:p>
            <w:pPr>
              <w:pStyle w:val="41"/>
              <w:rPr>
                <w:color w:val="auto"/>
                <w:highlight w:val="none"/>
              </w:rPr>
            </w:pPr>
            <w:r>
              <w:rPr>
                <w:color w:val="auto"/>
                <w:highlight w:val="none"/>
              </w:rPr>
              <w:t>易</w:t>
            </w:r>
          </w:p>
        </w:tc>
        <w:tc>
          <w:tcPr>
            <w:tcW w:w="1032" w:type="pct"/>
            <w:vMerge w:val="continue"/>
            <w:shd w:val="clear" w:color="auto" w:fill="auto"/>
            <w:vAlign w:val="center"/>
          </w:tcPr>
          <w:p>
            <w:pPr>
              <w:pStyle w:val="41"/>
              <w:rPr>
                <w:color w:val="auto"/>
                <w:highlight w:val="none"/>
              </w:rPr>
            </w:pPr>
          </w:p>
        </w:tc>
        <w:tc>
          <w:tcPr>
            <w:tcW w:w="1557" w:type="pct"/>
            <w:vMerge w:val="continue"/>
            <w:shd w:val="clear" w:color="auto" w:fill="EEECE1"/>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trPr>
        <w:tc>
          <w:tcPr>
            <w:tcW w:w="768" w:type="pct"/>
            <w:vAlign w:val="center"/>
          </w:tcPr>
          <w:p>
            <w:pPr>
              <w:pStyle w:val="41"/>
              <w:rPr>
                <w:color w:val="auto"/>
                <w:highlight w:val="none"/>
              </w:rPr>
            </w:pPr>
            <w:r>
              <w:rPr>
                <w:color w:val="auto"/>
                <w:highlight w:val="none"/>
              </w:rPr>
              <w:t>简单防渗区</w:t>
            </w:r>
          </w:p>
        </w:tc>
        <w:tc>
          <w:tcPr>
            <w:tcW w:w="839" w:type="pct"/>
            <w:vAlign w:val="center"/>
          </w:tcPr>
          <w:p>
            <w:pPr>
              <w:pStyle w:val="41"/>
              <w:rPr>
                <w:color w:val="auto"/>
                <w:highlight w:val="none"/>
              </w:rPr>
            </w:pPr>
            <w:r>
              <w:rPr>
                <w:color w:val="auto"/>
                <w:highlight w:val="none"/>
              </w:rPr>
              <w:t>中-强</w:t>
            </w:r>
          </w:p>
        </w:tc>
        <w:tc>
          <w:tcPr>
            <w:tcW w:w="802" w:type="pct"/>
            <w:vAlign w:val="center"/>
          </w:tcPr>
          <w:p>
            <w:pPr>
              <w:pStyle w:val="41"/>
              <w:rPr>
                <w:color w:val="auto"/>
                <w:highlight w:val="none"/>
              </w:rPr>
            </w:pPr>
            <w:r>
              <w:rPr>
                <w:color w:val="auto"/>
                <w:highlight w:val="none"/>
              </w:rPr>
              <w:t>易</w:t>
            </w:r>
          </w:p>
        </w:tc>
        <w:tc>
          <w:tcPr>
            <w:tcW w:w="1032" w:type="pct"/>
            <w:vAlign w:val="center"/>
          </w:tcPr>
          <w:p>
            <w:pPr>
              <w:pStyle w:val="41"/>
              <w:rPr>
                <w:color w:val="auto"/>
                <w:highlight w:val="none"/>
              </w:rPr>
            </w:pPr>
            <w:r>
              <w:rPr>
                <w:rFonts w:hint="eastAsia"/>
                <w:color w:val="auto"/>
                <w:highlight w:val="none"/>
              </w:rPr>
              <w:t>其他类型</w:t>
            </w:r>
          </w:p>
        </w:tc>
        <w:tc>
          <w:tcPr>
            <w:tcW w:w="1557" w:type="pct"/>
            <w:vAlign w:val="center"/>
          </w:tcPr>
          <w:p>
            <w:pPr>
              <w:pStyle w:val="41"/>
              <w:rPr>
                <w:color w:val="auto"/>
                <w:highlight w:val="none"/>
              </w:rPr>
            </w:pPr>
            <w:r>
              <w:rPr>
                <w:color w:val="auto"/>
                <w:highlight w:val="none"/>
              </w:rPr>
              <w:t>一般地面硬化</w:t>
            </w:r>
          </w:p>
        </w:tc>
      </w:tr>
    </w:tbl>
    <w:p>
      <w:pPr>
        <w:pStyle w:val="57"/>
        <w:rPr>
          <w:color w:val="auto"/>
          <w:highlight w:val="none"/>
        </w:rPr>
      </w:pPr>
      <w:r>
        <w:rPr>
          <w:color w:val="auto"/>
          <w:highlight w:val="none"/>
        </w:rPr>
        <w:t>根据《</w:t>
      </w:r>
      <w:r>
        <w:rPr>
          <w:rFonts w:hint="eastAsia"/>
          <w:color w:val="auto"/>
          <w:highlight w:val="none"/>
          <w:lang w:eastAsia="zh-CN"/>
        </w:rPr>
        <w:t>环境影响评价技术导则 地下水环境</w:t>
      </w:r>
      <w:r>
        <w:rPr>
          <w:color w:val="auto"/>
          <w:highlight w:val="none"/>
        </w:rPr>
        <w:t>》（HJ610-2016）中表6及前文分析，项目区内包气带防污性能为“弱”，生产过程中产生的污水中主要污染物为石油类及COD</w:t>
      </w:r>
      <w:r>
        <w:rPr>
          <w:rFonts w:hint="eastAsia"/>
          <w:color w:val="auto"/>
          <w:highlight w:val="none"/>
        </w:rPr>
        <w:t>、盐分</w:t>
      </w:r>
      <w:r>
        <w:rPr>
          <w:color w:val="auto"/>
          <w:highlight w:val="none"/>
        </w:rPr>
        <w:t>等，不属于重金属和持久性有机物类，为“其他类型”。故运营期将工程区域整体划分为一般防渗区</w:t>
      </w:r>
      <w:r>
        <w:rPr>
          <w:rFonts w:hint="eastAsia"/>
          <w:color w:val="auto"/>
          <w:highlight w:val="none"/>
        </w:rPr>
        <w:t>和简单防渗区</w:t>
      </w:r>
      <w:r>
        <w:rPr>
          <w:color w:val="auto"/>
          <w:highlight w:val="none"/>
        </w:rPr>
        <w:t>。具体划分方案如下：</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lang w:val="zh-CN"/>
        </w:rPr>
      </w:pPr>
      <w:r>
        <w:rPr>
          <w:color w:val="auto"/>
          <w:highlight w:val="none"/>
          <w:lang w:val="zh-CN"/>
        </w:rPr>
        <w:t>表6.2-</w:t>
      </w:r>
      <w:r>
        <w:rPr>
          <w:rFonts w:hint="eastAsia"/>
          <w:color w:val="auto"/>
          <w:highlight w:val="none"/>
          <w:lang w:val="en-US" w:eastAsia="zh-CN"/>
        </w:rPr>
        <w:t>5</w:t>
      </w:r>
      <w:r>
        <w:rPr>
          <w:color w:val="auto"/>
          <w:highlight w:val="none"/>
          <w:lang w:val="zh-CN"/>
        </w:rPr>
        <w:t xml:space="preserve">              项目污染防渗区划分</w:t>
      </w:r>
    </w:p>
    <w:tbl>
      <w:tblPr>
        <w:tblStyle w:val="34"/>
        <w:tblW w:w="5156" w:type="pct"/>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497"/>
        <w:gridCol w:w="2088"/>
        <w:gridCol w:w="55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2" w:type="pct"/>
            <w:vAlign w:val="center"/>
          </w:tcPr>
          <w:p>
            <w:pPr>
              <w:pStyle w:val="41"/>
              <w:rPr>
                <w:color w:val="auto"/>
                <w:highlight w:val="none"/>
              </w:rPr>
            </w:pPr>
            <w:r>
              <w:rPr>
                <w:color w:val="auto"/>
                <w:highlight w:val="none"/>
              </w:rPr>
              <w:t>类别</w:t>
            </w:r>
          </w:p>
        </w:tc>
        <w:tc>
          <w:tcPr>
            <w:tcW w:w="1146" w:type="pct"/>
            <w:vAlign w:val="center"/>
          </w:tcPr>
          <w:p>
            <w:pPr>
              <w:pStyle w:val="41"/>
              <w:rPr>
                <w:color w:val="auto"/>
                <w:highlight w:val="none"/>
              </w:rPr>
            </w:pPr>
            <w:r>
              <w:rPr>
                <w:color w:val="auto"/>
                <w:highlight w:val="none"/>
              </w:rPr>
              <w:t>项目涉及区域</w:t>
            </w:r>
          </w:p>
        </w:tc>
        <w:tc>
          <w:tcPr>
            <w:tcW w:w="3032" w:type="pct"/>
            <w:vAlign w:val="center"/>
          </w:tcPr>
          <w:p>
            <w:pPr>
              <w:pStyle w:val="41"/>
              <w:rPr>
                <w:color w:val="auto"/>
                <w:highlight w:val="none"/>
              </w:rPr>
            </w:pPr>
            <w:r>
              <w:rPr>
                <w:color w:val="auto"/>
                <w:highlight w:val="none"/>
              </w:rPr>
              <w:t>防渗要求</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2" w:type="pct"/>
            <w:vAlign w:val="center"/>
          </w:tcPr>
          <w:p>
            <w:pPr>
              <w:pStyle w:val="41"/>
              <w:rPr>
                <w:color w:val="auto"/>
                <w:highlight w:val="none"/>
              </w:rPr>
            </w:pPr>
            <w:r>
              <w:rPr>
                <w:color w:val="auto"/>
                <w:highlight w:val="none"/>
              </w:rPr>
              <w:t>一般防渗区</w:t>
            </w:r>
          </w:p>
        </w:tc>
        <w:tc>
          <w:tcPr>
            <w:tcW w:w="1146" w:type="pct"/>
            <w:vAlign w:val="center"/>
          </w:tcPr>
          <w:p>
            <w:pPr>
              <w:pStyle w:val="41"/>
              <w:rPr>
                <w:color w:val="auto"/>
                <w:highlight w:val="none"/>
              </w:rPr>
            </w:pPr>
            <w:r>
              <w:rPr>
                <w:rFonts w:hint="eastAsia"/>
                <w:color w:val="auto"/>
                <w:highlight w:val="none"/>
              </w:rPr>
              <w:t>井口区、井场/站场工艺装置区、焚烧池</w:t>
            </w:r>
          </w:p>
        </w:tc>
        <w:tc>
          <w:tcPr>
            <w:tcW w:w="3032" w:type="pct"/>
            <w:vAlign w:val="center"/>
          </w:tcPr>
          <w:p>
            <w:pPr>
              <w:pStyle w:val="41"/>
              <w:rPr>
                <w:color w:val="auto"/>
                <w:highlight w:val="none"/>
              </w:rPr>
            </w:pPr>
            <w:r>
              <w:rPr>
                <w:color w:val="auto"/>
                <w:highlight w:val="none"/>
              </w:rPr>
              <w:t>防渗性能不应低于1.5m厚渗透系数为1.0×10</w:t>
            </w:r>
            <w:r>
              <w:rPr>
                <w:color w:val="auto"/>
                <w:highlight w:val="none"/>
                <w:vertAlign w:val="superscript"/>
              </w:rPr>
              <w:t>-7</w:t>
            </w:r>
            <w:r>
              <w:rPr>
                <w:color w:val="auto"/>
                <w:highlight w:val="none"/>
              </w:rPr>
              <w:t>cm/s的黏土层的防渗性能，施工过程中应有专人负责质量控制，并做好施工记录，同时施工期应留存施工影像。</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822" w:type="pct"/>
            <w:vAlign w:val="center"/>
          </w:tcPr>
          <w:p>
            <w:pPr>
              <w:pStyle w:val="41"/>
              <w:rPr>
                <w:color w:val="auto"/>
                <w:highlight w:val="none"/>
              </w:rPr>
            </w:pPr>
            <w:r>
              <w:rPr>
                <w:rFonts w:hint="eastAsia"/>
                <w:color w:val="auto"/>
                <w:highlight w:val="none"/>
              </w:rPr>
              <w:t>简单防渗区</w:t>
            </w:r>
          </w:p>
        </w:tc>
        <w:tc>
          <w:tcPr>
            <w:tcW w:w="1146" w:type="pct"/>
            <w:vAlign w:val="center"/>
          </w:tcPr>
          <w:p>
            <w:pPr>
              <w:pStyle w:val="41"/>
              <w:rPr>
                <w:color w:val="auto"/>
                <w:highlight w:val="none"/>
              </w:rPr>
            </w:pPr>
            <w:r>
              <w:rPr>
                <w:rFonts w:hint="eastAsia"/>
                <w:color w:val="auto"/>
                <w:highlight w:val="none"/>
              </w:rPr>
              <w:t>撬装设备间</w:t>
            </w:r>
          </w:p>
        </w:tc>
        <w:tc>
          <w:tcPr>
            <w:tcW w:w="3032" w:type="pct"/>
            <w:vAlign w:val="center"/>
          </w:tcPr>
          <w:p>
            <w:pPr>
              <w:pStyle w:val="41"/>
              <w:rPr>
                <w:color w:val="auto"/>
                <w:highlight w:val="none"/>
              </w:rPr>
            </w:pPr>
            <w:r>
              <w:rPr>
                <w:rFonts w:hint="eastAsia"/>
                <w:color w:val="auto"/>
                <w:highlight w:val="none"/>
              </w:rPr>
              <w:t>简单硬化</w:t>
            </w:r>
          </w:p>
        </w:tc>
      </w:tr>
    </w:tbl>
    <w:p>
      <w:pPr>
        <w:pStyle w:val="5"/>
        <w:rPr>
          <w:color w:val="auto"/>
          <w:highlight w:val="none"/>
        </w:rPr>
      </w:pPr>
      <w:r>
        <w:rPr>
          <w:color w:val="auto"/>
          <w:highlight w:val="none"/>
        </w:rPr>
        <w:t>6.2.5.3管道刺漏防范措施</w:t>
      </w:r>
    </w:p>
    <w:p>
      <w:pPr>
        <w:pStyle w:val="57"/>
        <w:rPr>
          <w:color w:val="auto"/>
          <w:highlight w:val="none"/>
        </w:rPr>
      </w:pPr>
      <w:r>
        <w:rPr>
          <w:rFonts w:hint="eastAsia"/>
          <w:color w:val="auto"/>
          <w:highlight w:val="none"/>
        </w:rPr>
        <w:t>（1）各井场设置现场</w:t>
      </w:r>
      <w:r>
        <w:rPr>
          <w:rFonts w:hint="eastAsia"/>
          <w:color w:val="auto"/>
          <w:highlight w:val="none"/>
          <w:lang w:eastAsia="zh-CN"/>
        </w:rPr>
        <w:t>监测仪表</w:t>
      </w:r>
      <w:r>
        <w:rPr>
          <w:rFonts w:hint="eastAsia"/>
          <w:color w:val="auto"/>
          <w:highlight w:val="none"/>
        </w:rPr>
        <w:t>，并由RTU箱中的控制系统实现井场内的生产运行管理和控制，并与所属的联合站SCADA管理系统通信，上传井场的重要生产运行数据，接收上位系统的控制指令，设置现场监控系统，随时通过监控系统观察井场内生产情况。</w:t>
      </w:r>
    </w:p>
    <w:p>
      <w:pPr>
        <w:pStyle w:val="57"/>
        <w:rPr>
          <w:color w:val="auto"/>
          <w:highlight w:val="none"/>
        </w:rPr>
      </w:pPr>
      <w:r>
        <w:rPr>
          <w:rFonts w:hint="eastAsia"/>
          <w:color w:val="auto"/>
          <w:highlight w:val="none"/>
        </w:rPr>
        <w:t>（2）在管道上方设置标志，以防附近的各类施工活动对管道的破坏。减轻管道的内外腐蚀，定期检测管道的内外腐蚀情况，并配备适当的管道抢修、灭火及人员抢救设备。</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3）定期对管线进行检查，对壁厚低于规定要求的管段应及时更换，消除爆管的隐患；按规定进行设备维修、保养，及时更换易损及老化部件，防止油气泄漏事故的发生，定期对管线进行巡视，应加强管线和警示标志的管理工作，提高巡线的有效性，发现对管道安全有影响的行为，应及时制止、采取相应措施并向上级报告。利用管道的压力、流量监控系统，发现异常立即排查，若出现问题，立即派人现场核查，如有突发事件启动应急预案。</w:t>
      </w:r>
    </w:p>
    <w:p>
      <w:pPr>
        <w:pStyle w:val="57"/>
        <w:pageBreakBefore w:val="0"/>
        <w:kinsoku/>
        <w:wordWrap/>
        <w:overflowPunct/>
        <w:topLinePunct w:val="0"/>
        <w:autoSpaceDE/>
        <w:autoSpaceDN/>
        <w:bidi w:val="0"/>
        <w:spacing w:line="480" w:lineRule="exact"/>
        <w:rPr>
          <w:color w:val="auto"/>
          <w:highlight w:val="none"/>
        </w:rPr>
      </w:pPr>
      <w:r>
        <w:rPr>
          <w:rFonts w:hint="eastAsia"/>
          <w:color w:val="auto"/>
          <w:highlight w:val="none"/>
        </w:rPr>
        <w:t>（4）一旦管道发生泄漏事故，井场内设置有流量控制仪及压力变送器，当检测到压力降速率超过设定值时，由SCADA系统发出指令，远程自动关闭阀门。</w:t>
      </w:r>
    </w:p>
    <w:p>
      <w:pPr>
        <w:pStyle w:val="5"/>
        <w:pageBreakBefore w:val="0"/>
        <w:kinsoku/>
        <w:wordWrap/>
        <w:overflowPunct/>
        <w:topLinePunct w:val="0"/>
        <w:autoSpaceDE/>
        <w:autoSpaceDN/>
        <w:bidi w:val="0"/>
        <w:spacing w:line="480" w:lineRule="exact"/>
        <w:rPr>
          <w:color w:val="auto"/>
          <w:highlight w:val="none"/>
        </w:rPr>
      </w:pPr>
      <w:r>
        <w:rPr>
          <w:color w:val="auto"/>
          <w:highlight w:val="none"/>
        </w:rPr>
        <w:t>6.2.5.4地下水环境监测与管理</w:t>
      </w:r>
    </w:p>
    <w:p>
      <w:pPr>
        <w:pStyle w:val="57"/>
        <w:pageBreakBefore w:val="0"/>
        <w:kinsoku/>
        <w:wordWrap/>
        <w:overflowPunct/>
        <w:topLinePunct w:val="0"/>
        <w:autoSpaceDE/>
        <w:autoSpaceDN/>
        <w:bidi w:val="0"/>
        <w:spacing w:line="480" w:lineRule="exact"/>
        <w:rPr>
          <w:rFonts w:hint="eastAsia"/>
          <w:color w:val="auto"/>
          <w:highlight w:val="none"/>
        </w:rPr>
      </w:pPr>
      <w:r>
        <w:rPr>
          <w:rFonts w:hint="eastAsia"/>
          <w:color w:val="auto"/>
          <w:highlight w:val="none"/>
        </w:rPr>
        <w:t>根据本工程特点建立和完善区域地下水环境监测制度和环境管理体系，制定完善的监测计划，环境监测工作可委托当地有资质的环境监测机构承担。根据《环境影响评价技术导则 地下水环境》（HJ610-2016）、《环境影响评价技术导则 陆地石油天然气开发建设项目》</w:t>
      </w:r>
      <w:r>
        <w:rPr>
          <w:rFonts w:hint="eastAsia"/>
          <w:color w:val="auto"/>
          <w:highlight w:val="none"/>
          <w:lang w:eastAsia="zh-CN"/>
        </w:rPr>
        <w:t>（</w:t>
      </w:r>
      <w:r>
        <w:rPr>
          <w:rFonts w:hint="eastAsia"/>
          <w:color w:val="auto"/>
          <w:highlight w:val="none"/>
        </w:rPr>
        <w:t>HJ349-2023</w:t>
      </w:r>
      <w:r>
        <w:rPr>
          <w:rFonts w:hint="eastAsia"/>
          <w:color w:val="auto"/>
          <w:highlight w:val="none"/>
          <w:lang w:eastAsia="zh-CN"/>
        </w:rPr>
        <w:t>）</w:t>
      </w:r>
      <w:r>
        <w:rPr>
          <w:rFonts w:hint="eastAsia"/>
          <w:color w:val="auto"/>
          <w:highlight w:val="none"/>
        </w:rPr>
        <w:t>，</w:t>
      </w:r>
      <w:r>
        <w:rPr>
          <w:color w:val="auto"/>
          <w:highlight w:val="none"/>
        </w:rPr>
        <w:t>结合工程区所在区域的水文地质条件和《环境影响评价技术导则</w:t>
      </w:r>
      <w:r>
        <w:rPr>
          <w:rFonts w:hint="eastAsia"/>
          <w:color w:val="auto"/>
          <w:highlight w:val="none"/>
        </w:rPr>
        <w:t xml:space="preserve"> </w:t>
      </w:r>
      <w:r>
        <w:rPr>
          <w:color w:val="auto"/>
          <w:highlight w:val="none"/>
        </w:rPr>
        <w:t>地下水环境》（HJ 610-2016）中要求，</w:t>
      </w:r>
      <w:r>
        <w:rPr>
          <w:rFonts w:hint="eastAsia"/>
          <w:color w:val="auto"/>
          <w:highlight w:val="none"/>
          <w:lang w:val="en-US" w:eastAsia="zh-CN"/>
        </w:rPr>
        <w:t>二</w:t>
      </w:r>
      <w:r>
        <w:rPr>
          <w:color w:val="auto"/>
          <w:highlight w:val="none"/>
        </w:rPr>
        <w:t>级评价的建设项目</w:t>
      </w:r>
      <w:r>
        <w:rPr>
          <w:rFonts w:hint="eastAsia"/>
          <w:color w:val="auto"/>
          <w:highlight w:val="none"/>
        </w:rPr>
        <w:t>监测点数量一般不少于</w:t>
      </w:r>
      <w:r>
        <w:rPr>
          <w:rFonts w:hint="eastAsia"/>
          <w:color w:val="auto"/>
          <w:highlight w:val="none"/>
          <w:lang w:val="en-US" w:eastAsia="zh-CN"/>
        </w:rPr>
        <w:t>3</w:t>
      </w:r>
      <w:r>
        <w:rPr>
          <w:rFonts w:hint="eastAsia"/>
          <w:color w:val="auto"/>
          <w:highlight w:val="none"/>
        </w:rPr>
        <w:t>个，应至少在建设项目场地，上、下游各布设1个</w:t>
      </w:r>
      <w:r>
        <w:rPr>
          <w:color w:val="auto"/>
          <w:highlight w:val="none"/>
        </w:rPr>
        <w:t>，监测井位的设置可依托已有水井</w:t>
      </w:r>
      <w:r>
        <w:rPr>
          <w:rFonts w:hint="eastAsia"/>
          <w:color w:val="auto"/>
          <w:highlight w:val="none"/>
        </w:rPr>
        <w:t>，</w:t>
      </w:r>
      <w:r>
        <w:rPr>
          <w:color w:val="auto"/>
          <w:highlight w:val="none"/>
        </w:rPr>
        <w:t>根据区域水文地质条件，监测计划、孔深、监测井结构、监测层位、监</w:t>
      </w:r>
      <w:r>
        <w:rPr>
          <w:snapToGrid w:val="0"/>
          <w:color w:val="auto"/>
          <w:highlight w:val="none"/>
        </w:rPr>
        <w:t>测项目、监测频率等详见表6.</w:t>
      </w:r>
      <w:r>
        <w:rPr>
          <w:rFonts w:hint="eastAsia"/>
          <w:snapToGrid w:val="0"/>
          <w:color w:val="auto"/>
          <w:highlight w:val="none"/>
        </w:rPr>
        <w:t>2</w:t>
      </w:r>
      <w:r>
        <w:rPr>
          <w:snapToGrid w:val="0"/>
          <w:color w:val="auto"/>
          <w:highlight w:val="none"/>
        </w:rPr>
        <w:t>-5</w:t>
      </w:r>
      <w:r>
        <w:rPr>
          <w:rFonts w:hint="eastAsia"/>
          <w:color w:val="auto"/>
          <w:highlight w:val="none"/>
        </w:rPr>
        <w:t>。</w:t>
      </w:r>
    </w:p>
    <w:p>
      <w:pPr>
        <w:pStyle w:val="54"/>
        <w:pageBreakBefore w:val="0"/>
        <w:kinsoku/>
        <w:wordWrap/>
        <w:overflowPunct/>
        <w:topLinePunct w:val="0"/>
        <w:autoSpaceDE/>
        <w:autoSpaceDN/>
        <w:bidi w:val="0"/>
        <w:spacing w:line="480" w:lineRule="exact"/>
        <w:ind w:firstLine="482"/>
        <w:rPr>
          <w:color w:val="auto"/>
          <w:highlight w:val="none"/>
          <w:lang w:val="zh-CN"/>
        </w:rPr>
      </w:pPr>
      <w:r>
        <w:rPr>
          <w:color w:val="auto"/>
          <w:highlight w:val="none"/>
          <w:lang w:val="zh-CN"/>
        </w:rPr>
        <w:t>表6.</w:t>
      </w:r>
      <w:r>
        <w:rPr>
          <w:rFonts w:hint="eastAsia"/>
          <w:color w:val="auto"/>
          <w:highlight w:val="none"/>
        </w:rPr>
        <w:t>2</w:t>
      </w:r>
      <w:r>
        <w:rPr>
          <w:color w:val="auto"/>
          <w:highlight w:val="none"/>
          <w:lang w:val="zh-CN"/>
        </w:rPr>
        <w:t>-5  地下水监测点布控一览表</w:t>
      </w:r>
    </w:p>
    <w:tbl>
      <w:tblPr>
        <w:tblStyle w:val="34"/>
        <w:tblW w:w="866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709"/>
        <w:gridCol w:w="1282"/>
        <w:gridCol w:w="1080"/>
        <w:gridCol w:w="1082"/>
        <w:gridCol w:w="1685"/>
        <w:gridCol w:w="282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9" w:type="dxa"/>
            <w:vAlign w:val="center"/>
          </w:tcPr>
          <w:p>
            <w:pPr>
              <w:pStyle w:val="41"/>
              <w:rPr>
                <w:color w:val="auto"/>
                <w:highlight w:val="none"/>
              </w:rPr>
            </w:pPr>
            <w:r>
              <w:rPr>
                <w:color w:val="auto"/>
                <w:highlight w:val="none"/>
              </w:rPr>
              <w:t>孔号</w:t>
            </w:r>
          </w:p>
        </w:tc>
        <w:tc>
          <w:tcPr>
            <w:tcW w:w="1282" w:type="dxa"/>
            <w:vAlign w:val="center"/>
          </w:tcPr>
          <w:p>
            <w:pPr>
              <w:pStyle w:val="41"/>
              <w:rPr>
                <w:color w:val="auto"/>
                <w:highlight w:val="none"/>
              </w:rPr>
            </w:pPr>
            <w:r>
              <w:rPr>
                <w:color w:val="auto"/>
                <w:highlight w:val="none"/>
              </w:rPr>
              <w:t>区位</w:t>
            </w:r>
          </w:p>
        </w:tc>
        <w:tc>
          <w:tcPr>
            <w:tcW w:w="1080" w:type="dxa"/>
            <w:vAlign w:val="center"/>
          </w:tcPr>
          <w:p>
            <w:pPr>
              <w:pStyle w:val="41"/>
              <w:rPr>
                <w:color w:val="auto"/>
                <w:highlight w:val="none"/>
              </w:rPr>
            </w:pPr>
            <w:r>
              <w:rPr>
                <w:color w:val="auto"/>
                <w:highlight w:val="none"/>
              </w:rPr>
              <w:t>监测层位</w:t>
            </w:r>
          </w:p>
        </w:tc>
        <w:tc>
          <w:tcPr>
            <w:tcW w:w="1082" w:type="dxa"/>
            <w:vAlign w:val="center"/>
          </w:tcPr>
          <w:p>
            <w:pPr>
              <w:pStyle w:val="41"/>
              <w:rPr>
                <w:color w:val="auto"/>
                <w:highlight w:val="none"/>
              </w:rPr>
            </w:pPr>
            <w:r>
              <w:rPr>
                <w:color w:val="auto"/>
                <w:highlight w:val="none"/>
              </w:rPr>
              <w:t>功能</w:t>
            </w:r>
          </w:p>
        </w:tc>
        <w:tc>
          <w:tcPr>
            <w:tcW w:w="1685" w:type="dxa"/>
            <w:vAlign w:val="center"/>
          </w:tcPr>
          <w:p>
            <w:pPr>
              <w:pStyle w:val="41"/>
              <w:rPr>
                <w:color w:val="auto"/>
                <w:highlight w:val="none"/>
              </w:rPr>
            </w:pPr>
            <w:r>
              <w:rPr>
                <w:color w:val="auto"/>
                <w:highlight w:val="none"/>
              </w:rPr>
              <w:t>监测频率</w:t>
            </w:r>
          </w:p>
        </w:tc>
        <w:tc>
          <w:tcPr>
            <w:tcW w:w="2828" w:type="dxa"/>
            <w:vAlign w:val="center"/>
          </w:tcPr>
          <w:p>
            <w:pPr>
              <w:pStyle w:val="41"/>
              <w:rPr>
                <w:color w:val="auto"/>
                <w:highlight w:val="none"/>
              </w:rPr>
            </w:pPr>
            <w:r>
              <w:rPr>
                <w:color w:val="auto"/>
                <w:highlight w:val="none"/>
              </w:rPr>
              <w:t>主要监测项目</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847" w:hRule="atLeast"/>
          <w:jc w:val="center"/>
        </w:trPr>
        <w:tc>
          <w:tcPr>
            <w:tcW w:w="709" w:type="dxa"/>
            <w:vAlign w:val="center"/>
          </w:tcPr>
          <w:p>
            <w:pPr>
              <w:pStyle w:val="110"/>
              <w:rPr>
                <w:color w:val="auto"/>
                <w:highlight w:val="none"/>
              </w:rPr>
            </w:pPr>
            <w:r>
              <w:rPr>
                <w:rFonts w:hint="eastAsia"/>
                <w:color w:val="auto"/>
                <w:sz w:val="21"/>
                <w:szCs w:val="21"/>
                <w:highlight w:val="none"/>
                <w:shd w:val="clear" w:color="auto" w:fill="auto"/>
              </w:rPr>
              <w:t>G</w:t>
            </w:r>
            <w:r>
              <w:rPr>
                <w:color w:val="auto"/>
                <w:sz w:val="21"/>
                <w:szCs w:val="21"/>
                <w:highlight w:val="none"/>
                <w:shd w:val="clear" w:color="auto" w:fill="auto"/>
              </w:rPr>
              <w:t>1</w:t>
            </w:r>
          </w:p>
        </w:tc>
        <w:tc>
          <w:tcPr>
            <w:tcW w:w="1282" w:type="dxa"/>
            <w:vAlign w:val="center"/>
          </w:tcPr>
          <w:p>
            <w:pPr>
              <w:pStyle w:val="110"/>
              <w:rPr>
                <w:color w:val="auto"/>
                <w:highlight w:val="none"/>
              </w:rPr>
            </w:pPr>
            <w:r>
              <w:rPr>
                <w:color w:val="auto"/>
                <w:sz w:val="21"/>
                <w:szCs w:val="21"/>
                <w:highlight w:val="none"/>
                <w:shd w:val="clear" w:color="auto" w:fill="auto"/>
              </w:rPr>
              <w:t>项目区周边</w:t>
            </w:r>
          </w:p>
        </w:tc>
        <w:tc>
          <w:tcPr>
            <w:tcW w:w="1080" w:type="dxa"/>
            <w:vMerge w:val="restart"/>
            <w:vAlign w:val="center"/>
          </w:tcPr>
          <w:p>
            <w:pPr>
              <w:pStyle w:val="110"/>
              <w:rPr>
                <w:color w:val="auto"/>
                <w:highlight w:val="none"/>
              </w:rPr>
            </w:pPr>
            <w:r>
              <w:rPr>
                <w:color w:val="auto"/>
                <w:sz w:val="21"/>
                <w:szCs w:val="21"/>
                <w:highlight w:val="none"/>
                <w:shd w:val="clear" w:color="auto" w:fill="auto"/>
              </w:rPr>
              <w:t>孔隙潜水/单管单层</w:t>
            </w:r>
          </w:p>
        </w:tc>
        <w:tc>
          <w:tcPr>
            <w:tcW w:w="1082" w:type="dxa"/>
            <w:vMerge w:val="restart"/>
            <w:vAlign w:val="center"/>
          </w:tcPr>
          <w:p>
            <w:pPr>
              <w:pStyle w:val="110"/>
              <w:rPr>
                <w:color w:val="auto"/>
                <w:highlight w:val="none"/>
              </w:rPr>
            </w:pPr>
            <w:r>
              <w:rPr>
                <w:color w:val="auto"/>
                <w:sz w:val="21"/>
                <w:szCs w:val="21"/>
                <w:highlight w:val="none"/>
                <w:shd w:val="clear" w:color="auto" w:fill="auto"/>
              </w:rPr>
              <w:t>地下水环境影响跟踪监测井</w:t>
            </w:r>
          </w:p>
        </w:tc>
        <w:tc>
          <w:tcPr>
            <w:tcW w:w="1685" w:type="dxa"/>
            <w:vMerge w:val="restart"/>
            <w:vAlign w:val="center"/>
          </w:tcPr>
          <w:p>
            <w:pPr>
              <w:pStyle w:val="110"/>
              <w:rPr>
                <w:color w:val="auto"/>
                <w:highlight w:val="none"/>
              </w:rPr>
            </w:pPr>
            <w:r>
              <w:rPr>
                <w:color w:val="auto"/>
                <w:sz w:val="21"/>
                <w:szCs w:val="21"/>
                <w:highlight w:val="none"/>
                <w:shd w:val="clear" w:color="auto" w:fill="auto"/>
              </w:rPr>
              <w:t>每</w:t>
            </w:r>
            <w:r>
              <w:rPr>
                <w:rFonts w:hint="eastAsia"/>
                <w:color w:val="auto"/>
                <w:sz w:val="21"/>
                <w:szCs w:val="21"/>
                <w:highlight w:val="none"/>
                <w:shd w:val="clear" w:color="auto" w:fill="auto"/>
              </w:rPr>
              <w:t>年采样1次</w:t>
            </w:r>
            <w:r>
              <w:rPr>
                <w:color w:val="auto"/>
                <w:sz w:val="21"/>
                <w:szCs w:val="21"/>
                <w:highlight w:val="none"/>
                <w:shd w:val="clear" w:color="auto" w:fill="auto"/>
              </w:rPr>
              <w:t>。发生事故时加大取样频率。</w:t>
            </w:r>
          </w:p>
        </w:tc>
        <w:tc>
          <w:tcPr>
            <w:tcW w:w="2828" w:type="dxa"/>
            <w:vMerge w:val="restart"/>
            <w:vAlign w:val="center"/>
          </w:tcPr>
          <w:p>
            <w:pPr>
              <w:pStyle w:val="110"/>
              <w:rPr>
                <w:snapToGrid w:val="0"/>
                <w:color w:val="auto"/>
                <w:spacing w:val="10"/>
                <w:highlight w:val="none"/>
              </w:rPr>
            </w:pPr>
            <w:r>
              <w:rPr>
                <w:color w:val="auto"/>
                <w:sz w:val="21"/>
                <w:szCs w:val="21"/>
                <w:highlight w:val="none"/>
                <w:shd w:val="clear" w:color="auto" w:fill="auto"/>
              </w:rPr>
              <w:t>耗氧量、氨氮、挥发性酚类、硫化物、氯化物、硫酸盐、氟化物、石油类等。</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9" w:type="dxa"/>
            <w:vAlign w:val="center"/>
          </w:tcPr>
          <w:p>
            <w:pPr>
              <w:pStyle w:val="110"/>
              <w:rPr>
                <w:color w:val="auto"/>
                <w:highlight w:val="none"/>
              </w:rPr>
            </w:pPr>
            <w:r>
              <w:rPr>
                <w:rFonts w:hint="eastAsia"/>
                <w:color w:val="auto"/>
                <w:sz w:val="21"/>
                <w:szCs w:val="21"/>
                <w:highlight w:val="none"/>
                <w:shd w:val="clear" w:color="auto" w:fill="auto"/>
              </w:rPr>
              <w:t>G</w:t>
            </w:r>
            <w:r>
              <w:rPr>
                <w:color w:val="auto"/>
                <w:sz w:val="21"/>
                <w:szCs w:val="21"/>
                <w:highlight w:val="none"/>
                <w:shd w:val="clear" w:color="auto" w:fill="auto"/>
              </w:rPr>
              <w:t>2</w:t>
            </w:r>
          </w:p>
        </w:tc>
        <w:tc>
          <w:tcPr>
            <w:tcW w:w="1282" w:type="dxa"/>
            <w:vAlign w:val="center"/>
          </w:tcPr>
          <w:p>
            <w:pPr>
              <w:pStyle w:val="110"/>
              <w:rPr>
                <w:color w:val="auto"/>
                <w:highlight w:val="none"/>
              </w:rPr>
            </w:pPr>
            <w:r>
              <w:rPr>
                <w:color w:val="auto"/>
                <w:sz w:val="21"/>
                <w:szCs w:val="21"/>
                <w:highlight w:val="none"/>
                <w:shd w:val="clear" w:color="auto" w:fill="auto"/>
              </w:rPr>
              <w:t>地下水上游</w:t>
            </w:r>
          </w:p>
        </w:tc>
        <w:tc>
          <w:tcPr>
            <w:tcW w:w="1080" w:type="dxa"/>
            <w:vMerge w:val="continue"/>
            <w:vAlign w:val="center"/>
          </w:tcPr>
          <w:p>
            <w:pPr>
              <w:pStyle w:val="41"/>
              <w:rPr>
                <w:color w:val="auto"/>
                <w:highlight w:val="none"/>
              </w:rPr>
            </w:pPr>
          </w:p>
        </w:tc>
        <w:tc>
          <w:tcPr>
            <w:tcW w:w="1082" w:type="dxa"/>
            <w:vMerge w:val="continue"/>
            <w:vAlign w:val="center"/>
          </w:tcPr>
          <w:p>
            <w:pPr>
              <w:pStyle w:val="41"/>
              <w:rPr>
                <w:color w:val="auto"/>
                <w:highlight w:val="none"/>
              </w:rPr>
            </w:pPr>
          </w:p>
        </w:tc>
        <w:tc>
          <w:tcPr>
            <w:tcW w:w="1685" w:type="dxa"/>
            <w:vMerge w:val="continue"/>
            <w:vAlign w:val="center"/>
          </w:tcPr>
          <w:p>
            <w:pPr>
              <w:pStyle w:val="41"/>
              <w:rPr>
                <w:color w:val="auto"/>
                <w:highlight w:val="none"/>
              </w:rPr>
            </w:pPr>
          </w:p>
        </w:tc>
        <w:tc>
          <w:tcPr>
            <w:tcW w:w="2828" w:type="dxa"/>
            <w:vMerge w:val="continue"/>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709" w:type="dxa"/>
            <w:vAlign w:val="center"/>
          </w:tcPr>
          <w:p>
            <w:pPr>
              <w:pStyle w:val="110"/>
              <w:rPr>
                <w:rFonts w:hint="eastAsia"/>
                <w:color w:val="auto"/>
                <w:highlight w:val="none"/>
              </w:rPr>
            </w:pPr>
            <w:r>
              <w:rPr>
                <w:rFonts w:hint="eastAsia"/>
                <w:color w:val="auto"/>
                <w:sz w:val="21"/>
                <w:szCs w:val="21"/>
                <w:highlight w:val="none"/>
                <w:shd w:val="clear" w:color="auto" w:fill="auto"/>
              </w:rPr>
              <w:t>G</w:t>
            </w:r>
            <w:r>
              <w:rPr>
                <w:color w:val="auto"/>
                <w:sz w:val="21"/>
                <w:szCs w:val="21"/>
                <w:highlight w:val="none"/>
                <w:shd w:val="clear" w:color="auto" w:fill="auto"/>
              </w:rPr>
              <w:t>3</w:t>
            </w:r>
          </w:p>
        </w:tc>
        <w:tc>
          <w:tcPr>
            <w:tcW w:w="1282" w:type="dxa"/>
            <w:vAlign w:val="center"/>
          </w:tcPr>
          <w:p>
            <w:pPr>
              <w:pStyle w:val="110"/>
              <w:rPr>
                <w:color w:val="auto"/>
                <w:highlight w:val="none"/>
              </w:rPr>
            </w:pPr>
            <w:r>
              <w:rPr>
                <w:color w:val="auto"/>
                <w:sz w:val="21"/>
                <w:szCs w:val="21"/>
                <w:highlight w:val="none"/>
                <w:shd w:val="clear" w:color="auto" w:fill="auto"/>
              </w:rPr>
              <w:t>地下水下游</w:t>
            </w:r>
          </w:p>
        </w:tc>
        <w:tc>
          <w:tcPr>
            <w:tcW w:w="1080" w:type="dxa"/>
            <w:vMerge w:val="continue"/>
            <w:vAlign w:val="center"/>
          </w:tcPr>
          <w:p>
            <w:pPr>
              <w:pStyle w:val="41"/>
              <w:rPr>
                <w:color w:val="auto"/>
                <w:highlight w:val="none"/>
              </w:rPr>
            </w:pPr>
          </w:p>
        </w:tc>
        <w:tc>
          <w:tcPr>
            <w:tcW w:w="1082" w:type="dxa"/>
            <w:vMerge w:val="continue"/>
            <w:vAlign w:val="center"/>
          </w:tcPr>
          <w:p>
            <w:pPr>
              <w:pStyle w:val="41"/>
              <w:rPr>
                <w:color w:val="auto"/>
                <w:highlight w:val="none"/>
              </w:rPr>
            </w:pPr>
          </w:p>
        </w:tc>
        <w:tc>
          <w:tcPr>
            <w:tcW w:w="1685" w:type="dxa"/>
            <w:vMerge w:val="continue"/>
            <w:vAlign w:val="center"/>
          </w:tcPr>
          <w:p>
            <w:pPr>
              <w:pStyle w:val="41"/>
              <w:rPr>
                <w:color w:val="auto"/>
                <w:highlight w:val="none"/>
              </w:rPr>
            </w:pPr>
          </w:p>
        </w:tc>
        <w:tc>
          <w:tcPr>
            <w:tcW w:w="2828" w:type="dxa"/>
            <w:vMerge w:val="continue"/>
            <w:vAlign w:val="center"/>
          </w:tcPr>
          <w:p>
            <w:pPr>
              <w:pStyle w:val="41"/>
              <w:rPr>
                <w:color w:val="auto"/>
                <w:highlight w:val="none"/>
              </w:rPr>
            </w:pPr>
          </w:p>
        </w:tc>
      </w:tr>
    </w:tbl>
    <w:p>
      <w:pPr>
        <w:pStyle w:val="57"/>
        <w:rPr>
          <w:color w:val="auto"/>
          <w:highlight w:val="none"/>
        </w:rPr>
      </w:pPr>
      <w:r>
        <w:rPr>
          <w:rFonts w:hint="eastAsia"/>
          <w:color w:val="auto"/>
          <w:highlight w:val="none"/>
        </w:rPr>
        <w:t>另外，应对本工程各井井口压力、套管压力、环空压力、流体的流量、水质等指标进行监测。</w:t>
      </w:r>
    </w:p>
    <w:p>
      <w:pPr>
        <w:pStyle w:val="57"/>
        <w:rPr>
          <w:color w:val="auto"/>
          <w:highlight w:val="none"/>
        </w:rPr>
      </w:pPr>
      <w:r>
        <w:rPr>
          <w:color w:val="auto"/>
          <w:highlight w:val="none"/>
        </w:rPr>
        <w:t>上述监测结果应按项目有关规定及时建立档案，并定期向</w:t>
      </w:r>
      <w:r>
        <w:rPr>
          <w:rFonts w:hint="eastAsia"/>
          <w:color w:val="auto"/>
          <w:highlight w:val="none"/>
        </w:rPr>
        <w:t>采油厂</w:t>
      </w:r>
      <w:r>
        <w:rPr>
          <w:color w:val="auto"/>
          <w:highlight w:val="none"/>
        </w:rPr>
        <w:t>安全环保部门汇报，对于常规监测数据应该进行公开。如发现异常或发生事故，加密监测频次，并分析污染原因，确定泄漏污染源，及时采取应急措施。</w:t>
      </w:r>
    </w:p>
    <w:p>
      <w:pPr>
        <w:pStyle w:val="57"/>
        <w:rPr>
          <w:color w:val="auto"/>
          <w:highlight w:val="none"/>
        </w:rPr>
      </w:pPr>
      <w:r>
        <w:rPr>
          <w:color w:val="auto"/>
          <w:highlight w:val="none"/>
        </w:rPr>
        <w:t>另外，井场设置现场</w:t>
      </w:r>
      <w:r>
        <w:rPr>
          <w:rFonts w:hint="eastAsia"/>
          <w:color w:val="auto"/>
          <w:highlight w:val="none"/>
          <w:lang w:eastAsia="zh-CN"/>
        </w:rPr>
        <w:t>监测仪表</w:t>
      </w:r>
      <w:r>
        <w:rPr>
          <w:color w:val="auto"/>
          <w:highlight w:val="none"/>
        </w:rPr>
        <w:t>，并由RTU箱中的控制系统实现井场内的生产运行管理和控制，上传井场的重要生产运行数据，接收上位系统的控制指令，设置现场监控系统，随时通过监控系统观察井场内生产情况。</w:t>
      </w:r>
    </w:p>
    <w:p>
      <w:pPr>
        <w:pStyle w:val="57"/>
        <w:rPr>
          <w:color w:val="auto"/>
          <w:highlight w:val="none"/>
        </w:rPr>
      </w:pPr>
      <w:r>
        <w:rPr>
          <w:color w:val="auto"/>
          <w:highlight w:val="none"/>
        </w:rPr>
        <w:t>为保证地下水监测工作</w:t>
      </w:r>
      <w:r>
        <w:rPr>
          <w:rFonts w:hint="eastAsia"/>
          <w:color w:val="auto"/>
          <w:highlight w:val="none"/>
        </w:rPr>
        <w:t>高效</w:t>
      </w:r>
      <w:r>
        <w:rPr>
          <w:color w:val="auto"/>
          <w:highlight w:val="none"/>
        </w:rPr>
        <w:t>有序运行，须明确职责、制定相关规定进行管理；具体管理措施和技术措施如下：</w:t>
      </w:r>
    </w:p>
    <w:p>
      <w:pPr>
        <w:pStyle w:val="57"/>
        <w:rPr>
          <w:color w:val="auto"/>
          <w:highlight w:val="none"/>
        </w:rPr>
      </w:pPr>
      <w:r>
        <w:rPr>
          <w:rFonts w:hint="eastAsia" w:ascii="宋体"/>
          <w:color w:val="auto"/>
          <w:highlight w:val="none"/>
        </w:rPr>
        <w:t>①</w:t>
      </w:r>
      <w:r>
        <w:rPr>
          <w:color w:val="auto"/>
          <w:highlight w:val="none"/>
        </w:rPr>
        <w:t>管理措施</w:t>
      </w:r>
    </w:p>
    <w:p>
      <w:pPr>
        <w:pStyle w:val="57"/>
        <w:rPr>
          <w:color w:val="auto"/>
          <w:highlight w:val="none"/>
        </w:rPr>
      </w:pPr>
      <w:r>
        <w:rPr>
          <w:color w:val="auto"/>
          <w:highlight w:val="none"/>
        </w:rPr>
        <w:t>1）预防地下水污染的管理工作是生态环境管理部门的职责之一，油田公司环境保护管理部门应指派</w:t>
      </w:r>
      <w:r>
        <w:rPr>
          <w:rFonts w:hint="eastAsia"/>
          <w:color w:val="auto"/>
          <w:highlight w:val="none"/>
        </w:rPr>
        <w:t>人员</w:t>
      </w:r>
      <w:r>
        <w:rPr>
          <w:color w:val="auto"/>
          <w:highlight w:val="none"/>
        </w:rPr>
        <w:t>负责预防地下水污染的管理工作；</w:t>
      </w:r>
    </w:p>
    <w:p>
      <w:pPr>
        <w:pStyle w:val="57"/>
        <w:rPr>
          <w:color w:val="auto"/>
          <w:highlight w:val="none"/>
        </w:rPr>
      </w:pPr>
      <w:r>
        <w:rPr>
          <w:color w:val="auto"/>
          <w:highlight w:val="none"/>
        </w:rPr>
        <w:t>2）建设单位应委托具有监测资质的单位按时、按质、按量完成地下水监测工作，并按要求分析整理原始资料、编写监测报告；</w:t>
      </w:r>
    </w:p>
    <w:p>
      <w:pPr>
        <w:pStyle w:val="57"/>
        <w:rPr>
          <w:color w:val="auto"/>
          <w:highlight w:val="none"/>
        </w:rPr>
      </w:pPr>
      <w:r>
        <w:rPr>
          <w:color w:val="auto"/>
          <w:highlight w:val="none"/>
        </w:rPr>
        <w:t>3）建立与工程区环境管理系统相联系的地下水监测信息管理系统；</w:t>
      </w:r>
    </w:p>
    <w:p>
      <w:pPr>
        <w:pStyle w:val="57"/>
        <w:rPr>
          <w:color w:val="auto"/>
          <w:highlight w:val="none"/>
        </w:rPr>
      </w:pPr>
      <w:r>
        <w:rPr>
          <w:color w:val="auto"/>
          <w:highlight w:val="none"/>
        </w:rPr>
        <w:t>4）按突发事故的性质、类型、影响范围、后果严重性分等级制订相应的应急预案，在制定预案时要根据环境污染事故潜在威胁的情况，认真细致地考虑各项影响因素，并组织有关部门、人员进行适时演练、不断补充完善预案内容。</w:t>
      </w:r>
    </w:p>
    <w:p>
      <w:pPr>
        <w:pStyle w:val="57"/>
        <w:rPr>
          <w:color w:val="auto"/>
          <w:highlight w:val="none"/>
        </w:rPr>
      </w:pPr>
      <w:r>
        <w:rPr>
          <w:rFonts w:hint="eastAsia" w:ascii="宋体"/>
          <w:color w:val="auto"/>
          <w:highlight w:val="none"/>
        </w:rPr>
        <w:t>②</w:t>
      </w:r>
      <w:r>
        <w:rPr>
          <w:color w:val="auto"/>
          <w:highlight w:val="none"/>
        </w:rPr>
        <w:t>技术措施</w:t>
      </w:r>
    </w:p>
    <w:p>
      <w:pPr>
        <w:pStyle w:val="57"/>
        <w:rPr>
          <w:color w:val="auto"/>
          <w:highlight w:val="none"/>
        </w:rPr>
      </w:pPr>
      <w:r>
        <w:rPr>
          <w:color w:val="auto"/>
          <w:highlight w:val="none"/>
        </w:rPr>
        <w:t>1）定期对法兰、阀门、管道</w:t>
      </w:r>
      <w:r>
        <w:rPr>
          <w:rFonts w:hint="eastAsia"/>
          <w:color w:val="auto"/>
          <w:highlight w:val="none"/>
          <w:lang w:eastAsia="zh-CN"/>
        </w:rPr>
        <w:t>、</w:t>
      </w:r>
      <w:r>
        <w:rPr>
          <w:rFonts w:hint="eastAsia"/>
          <w:color w:val="auto"/>
          <w:highlight w:val="none"/>
          <w:lang w:val="en-US" w:eastAsia="zh-CN"/>
        </w:rPr>
        <w:t>储罐</w:t>
      </w:r>
      <w:r>
        <w:rPr>
          <w:color w:val="auto"/>
          <w:highlight w:val="none"/>
        </w:rPr>
        <w:t>等进行检查。</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在日常例行监测中，一旦发现地下水水质监测数据异常，应尽快核查数据，确保数据的正确性，并将核查过的监测数据通告相关部门，由专人负责对数据进行分析、核实，并密切关注生产设施的运行情况。具体内容如下：了解全井场、站场生产是否出现异常情况，出现异常情况的装置、原因；加大监测密度，如监测频率由每年</w:t>
      </w:r>
      <w:r>
        <w:rPr>
          <w:rFonts w:hint="eastAsia"/>
          <w:color w:val="auto"/>
          <w:highlight w:val="none"/>
        </w:rPr>
        <w:t>2</w:t>
      </w:r>
      <w:r>
        <w:rPr>
          <w:color w:val="auto"/>
          <w:highlight w:val="none"/>
        </w:rPr>
        <w:t>次临时加密为每天一次或更多，连续多天，分析变化动向。</w:t>
      </w:r>
    </w:p>
    <w:p>
      <w:pPr>
        <w:pStyle w:val="5"/>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6.2.5.5地下水污染应急预案及处理</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（1）应急预案内容</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在制定井场、站场安全管理体制的基础上，制订专门的地下水污染事故应急措施，并应</w:t>
      </w:r>
      <w:r>
        <w:rPr>
          <w:rFonts w:hint="eastAsia"/>
          <w:color w:val="auto"/>
          <w:highlight w:val="none"/>
        </w:rPr>
        <w:t>与其他类型</w:t>
      </w:r>
      <w:r>
        <w:rPr>
          <w:color w:val="auto"/>
          <w:highlight w:val="none"/>
        </w:rPr>
        <w:t>事故的应急预案相协调，并</w:t>
      </w:r>
      <w:r>
        <w:rPr>
          <w:rFonts w:hint="eastAsia"/>
          <w:color w:val="auto"/>
          <w:highlight w:val="none"/>
        </w:rPr>
        <w:t>纳入</w:t>
      </w:r>
      <w:r>
        <w:rPr>
          <w:rFonts w:hint="eastAsia"/>
          <w:color w:val="auto"/>
          <w:highlight w:val="none"/>
          <w:lang w:eastAsia="zh-CN"/>
        </w:rPr>
        <w:t>风城油田作业区</w:t>
      </w:r>
      <w:r>
        <w:rPr>
          <w:color w:val="auto"/>
          <w:highlight w:val="none"/>
        </w:rPr>
        <w:t>应急预案中。地下水应急预案的具体内容如下：</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①</w:t>
      </w:r>
      <w:r>
        <w:rPr>
          <w:color w:val="auto"/>
          <w:highlight w:val="none"/>
        </w:rPr>
        <w:t>应急预案的日常协调和指挥机构；</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②</w:t>
      </w:r>
      <w:r>
        <w:rPr>
          <w:color w:val="auto"/>
          <w:highlight w:val="none"/>
        </w:rPr>
        <w:t>各部门在应急预案中的职责和分工；</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③</w:t>
      </w:r>
      <w:r>
        <w:rPr>
          <w:color w:val="auto"/>
          <w:highlight w:val="none"/>
        </w:rPr>
        <w:t>确定地下水环境保护目标和对目标采取的紧急处置措施，评估潜在污染可能性；</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④</w:t>
      </w:r>
      <w:r>
        <w:rPr>
          <w:color w:val="auto"/>
          <w:highlight w:val="none"/>
        </w:rPr>
        <w:t>特大事故应急救援组织状况、人员和装备情况，平常的训练和演习。</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（2）污染事故处理</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在发现异常或者事故状态下，建议采取如下污染治理措施。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①</w:t>
      </w:r>
      <w:r>
        <w:rPr>
          <w:color w:val="auto"/>
          <w:highlight w:val="none"/>
        </w:rPr>
        <w:t>如发现异常或发生事故，加密监测频次，改为每周监测一次，并分析污染原因，确定泄漏污染源，及时采取应急措施。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②</w:t>
      </w:r>
      <w:r>
        <w:rPr>
          <w:color w:val="auto"/>
          <w:highlight w:val="none"/>
        </w:rPr>
        <w:t>一旦发生地下水污染事故，应立即启动应急预案。</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③</w:t>
      </w:r>
      <w:r>
        <w:rPr>
          <w:color w:val="auto"/>
          <w:highlight w:val="none"/>
        </w:rPr>
        <w:t>查明并切断污染源。</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④</w:t>
      </w:r>
      <w:r>
        <w:rPr>
          <w:color w:val="auto"/>
          <w:highlight w:val="none"/>
        </w:rPr>
        <w:t>探明地下水污染深度、范围和污染程度。</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⑤</w:t>
      </w:r>
      <w:r>
        <w:rPr>
          <w:color w:val="auto"/>
          <w:highlight w:val="none"/>
        </w:rPr>
        <w:t>依据探明的地下水污染情况，合理布置浅井，并进行试抽工作。</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⑥</w:t>
      </w:r>
      <w:r>
        <w:rPr>
          <w:color w:val="auto"/>
          <w:highlight w:val="none"/>
        </w:rPr>
        <w:t>依据抽水设计方案进行施工，抽取被污染的地下水体，并依据各井孔出水情况进行调整。可采用阻断污染物向周边环境迁移扩散的技术，如泥浆墙、灌浆墙、土工膜阻断、板桩、原位土壤搅拌阻断、可渗透反应墙等，通过在污染源周围构筑低渗透屏障，来隔离污染物，同时操控地下水的流场。</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⑦</w:t>
      </w:r>
      <w:r>
        <w:rPr>
          <w:color w:val="auto"/>
          <w:highlight w:val="none"/>
        </w:rPr>
        <w:t>将抽取的地下水进行集中收集处理，并送实验室进行化验分析。</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⑧</w:t>
      </w:r>
      <w:r>
        <w:rPr>
          <w:color w:val="auto"/>
          <w:highlight w:val="none"/>
        </w:rPr>
        <w:t>当地下水中的特征污染物浓度满足地下水功能区划的标准后，逐步停止抽水，并进行土壤修复治理工作。</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ascii="宋体"/>
          <w:color w:val="auto"/>
          <w:highlight w:val="none"/>
        </w:rPr>
        <w:t>⑨</w:t>
      </w:r>
      <w:r>
        <w:rPr>
          <w:color w:val="auto"/>
          <w:highlight w:val="none"/>
        </w:rPr>
        <w:t>对事故后果进行评估，并制定防止类似事件发生的措施。</w:t>
      </w:r>
    </w:p>
    <w:p>
      <w:pPr>
        <w:pStyle w:val="57"/>
        <w:pageBreakBefore w:val="0"/>
        <w:widowControl/>
        <w:kinsoku/>
        <w:wordWrap/>
        <w:overflowPunct/>
        <w:topLinePunct w:val="0"/>
        <w:autoSpaceDE/>
        <w:autoSpaceDN/>
        <w:bidi w:val="0"/>
        <w:spacing w:line="480" w:lineRule="exact"/>
        <w:textAlignment w:val="auto"/>
        <w:rPr>
          <w:color w:val="auto"/>
          <w:szCs w:val="24"/>
          <w:highlight w:val="none"/>
        </w:rPr>
      </w:pPr>
      <w:r>
        <w:rPr>
          <w:color w:val="auto"/>
          <w:highlight w:val="none"/>
        </w:rPr>
        <w:t>综上，本工程</w:t>
      </w:r>
      <w:r>
        <w:rPr>
          <w:rFonts w:hint="eastAsia"/>
          <w:color w:val="auto"/>
          <w:highlight w:val="none"/>
        </w:rPr>
        <w:t>运营期</w:t>
      </w:r>
      <w:r>
        <w:rPr>
          <w:color w:val="auto"/>
          <w:highlight w:val="none"/>
        </w:rPr>
        <w:t>采取的地下水污染防治措施可行</w:t>
      </w:r>
      <w:r>
        <w:rPr>
          <w:color w:val="auto"/>
          <w:szCs w:val="24"/>
          <w:highlight w:val="none"/>
        </w:rPr>
        <w:t>。</w:t>
      </w:r>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"_Toc13523" </w:instrText>
      </w:r>
      <w:r>
        <w:rPr>
          <w:color w:val="auto"/>
          <w:highlight w:val="none"/>
        </w:rPr>
        <w:fldChar w:fldCharType="separate"/>
      </w:r>
      <w:r>
        <w:rPr>
          <w:rFonts w:hint="eastAsia" w:ascii="Times New Roman" w:hAnsi="Times New Roman" w:eastAsia="宋体"/>
          <w:color w:val="auto"/>
          <w:highlight w:val="none"/>
        </w:rPr>
        <w:t>6.2.3退役期地下水环境保护措施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油井报废或退役后，按照《废弃井封井回填技术指南（试行）》（环办土壤函〔2020〕72号）、《废弃井封井处置规范》（Q/SH0653-2015）对完成采油的废弃井封堵，保证对各类废弃井采取的固井、封井措施有效可行，防止发生油水窜层，污染地下水环境</w:t>
      </w:r>
      <w:r>
        <w:rPr>
          <w:color w:val="auto"/>
          <w:highlight w:val="none"/>
        </w:rPr>
        <w:t>。</w:t>
      </w:r>
    </w:p>
    <w:p>
      <w:pPr>
        <w:pStyle w:val="49"/>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41" w:name="_Toc25704"/>
      <w:bookmarkStart w:id="742" w:name="_Toc4524"/>
      <w:r>
        <w:rPr>
          <w:rFonts w:hint="eastAsia" w:ascii="Times New Roman" w:hAnsi="Times New Roman" w:eastAsia="宋体"/>
          <w:color w:val="auto"/>
          <w:highlight w:val="none"/>
        </w:rPr>
        <w:t>6.3地表水环境保护措施可行性论证</w:t>
      </w:r>
      <w:bookmarkEnd w:id="741"/>
      <w:bookmarkEnd w:id="742"/>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"_Toc13693" </w:instrText>
      </w:r>
      <w:r>
        <w:rPr>
          <w:color w:val="auto"/>
          <w:highlight w:val="none"/>
        </w:rPr>
        <w:fldChar w:fldCharType="separate"/>
      </w:r>
      <w:r>
        <w:rPr>
          <w:rFonts w:hint="eastAsia" w:ascii="Times New Roman" w:hAnsi="Times New Roman" w:eastAsia="宋体"/>
          <w:color w:val="auto"/>
          <w:highlight w:val="none"/>
        </w:rPr>
        <w:t>6.3.1 施工期地表水环境保护措施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在施工期，对地</w:t>
      </w:r>
      <w:r>
        <w:rPr>
          <w:rFonts w:hint="eastAsia"/>
          <w:color w:val="auto"/>
          <w:highlight w:val="none"/>
        </w:rPr>
        <w:t>表</w:t>
      </w:r>
      <w:r>
        <w:rPr>
          <w:color w:val="auto"/>
          <w:highlight w:val="none"/>
        </w:rPr>
        <w:t>水环境可能造成影响的污染源为</w:t>
      </w:r>
      <w:r>
        <w:rPr>
          <w:rFonts w:hint="eastAsia"/>
          <w:color w:val="auto"/>
          <w:highlight w:val="none"/>
          <w:lang w:val="en-US" w:eastAsia="zh-CN"/>
        </w:rPr>
        <w:t>钻井废水、</w:t>
      </w:r>
      <w:r>
        <w:rPr>
          <w:color w:val="auto"/>
          <w:highlight w:val="none"/>
        </w:rPr>
        <w:t>生活污水</w:t>
      </w:r>
      <w:r>
        <w:rPr>
          <w:rFonts w:hint="eastAsia"/>
          <w:color w:val="auto"/>
          <w:highlight w:val="none"/>
        </w:rPr>
        <w:t>、</w:t>
      </w:r>
      <w:r>
        <w:rPr>
          <w:color w:val="auto"/>
          <w:highlight w:val="none"/>
        </w:rPr>
        <w:t>管道试压废水。</w:t>
      </w:r>
    </w:p>
    <w:p>
      <w:pPr>
        <w:pStyle w:val="57"/>
        <w:pageBreakBefore w:val="0"/>
        <w:widowControl/>
        <w:kinsoku/>
        <w:wordWrap/>
        <w:overflowPunct/>
        <w:topLinePunct w:val="0"/>
        <w:autoSpaceDE/>
        <w:autoSpaceDN/>
        <w:bidi w:val="0"/>
        <w:spacing w:line="480" w:lineRule="exact"/>
        <w:textAlignment w:val="auto"/>
        <w:rPr>
          <w:rFonts w:hint="default"/>
          <w:color w:val="auto"/>
          <w:highlight w:val="none"/>
          <w:lang w:val="en-US" w:eastAsia="zh-CN"/>
        </w:rPr>
      </w:pPr>
      <w:r>
        <w:rPr>
          <w:rFonts w:hint="eastAsia"/>
          <w:color w:val="auto"/>
          <w:highlight w:val="none"/>
          <w:lang w:eastAsia="zh-CN"/>
        </w:rPr>
        <w:t>（</w:t>
      </w:r>
      <w:r>
        <w:rPr>
          <w:rFonts w:hint="eastAsia"/>
          <w:color w:val="auto"/>
          <w:highlight w:val="none"/>
          <w:lang w:val="en-US" w:eastAsia="zh-CN"/>
        </w:rPr>
        <w:t>1</w:t>
      </w:r>
      <w:r>
        <w:rPr>
          <w:rFonts w:hint="eastAsia"/>
          <w:color w:val="auto"/>
          <w:highlight w:val="none"/>
          <w:lang w:eastAsia="zh-CN"/>
        </w:rPr>
        <w:t>）</w:t>
      </w:r>
      <w:r>
        <w:rPr>
          <w:rFonts w:hint="eastAsia"/>
          <w:color w:val="auto"/>
          <w:highlight w:val="none"/>
          <w:lang w:val="en-US" w:eastAsia="zh-CN"/>
        </w:rPr>
        <w:t>钻井废水</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lang w:eastAsia="zh-CN"/>
        </w:rPr>
      </w:pPr>
      <w:r>
        <w:rPr>
          <w:rFonts w:hint="eastAsia" w:ascii="Times New Roman" w:hAnsi="Times New Roman"/>
          <w:color w:val="auto"/>
          <w:sz w:val="24"/>
          <w:szCs w:val="24"/>
          <w:highlight w:val="none"/>
          <w:shd w:val="clear" w:color="auto" w:fill="auto"/>
        </w:rPr>
        <w:t>钻井废水与钻井泥浆、岩屑一同进入不落地系统进行分离处理，分离后的液相回用于钻井液配制，不外排</w:t>
      </w:r>
      <w:r>
        <w:rPr>
          <w:rFonts w:ascii="Times New Roman" w:hAnsi="Times New Roman" w:cs="Times New Roman"/>
          <w:color w:val="auto"/>
          <w:kern w:val="2"/>
          <w:sz w:val="24"/>
          <w:szCs w:val="24"/>
          <w:highlight w:val="none"/>
          <w:shd w:val="clear" w:color="auto" w:fill="auto"/>
        </w:rPr>
        <w:t>；工程结束由钻井队回收。</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w:t>
      </w:r>
      <w:r>
        <w:rPr>
          <w:rFonts w:hint="eastAsia"/>
          <w:color w:val="auto"/>
          <w:highlight w:val="none"/>
          <w:lang w:val="en-US" w:eastAsia="zh-CN"/>
        </w:rPr>
        <w:t>2</w:t>
      </w:r>
      <w:r>
        <w:rPr>
          <w:color w:val="auto"/>
          <w:highlight w:val="none"/>
        </w:rPr>
        <w:t>）生活污水</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根据工程分析，本工程施工期生活污水</w:t>
      </w:r>
      <w:r>
        <w:rPr>
          <w:color w:val="auto"/>
          <w:highlight w:val="none"/>
        </w:rPr>
        <w:t>产生总量约为</w:t>
      </w:r>
      <w:r>
        <w:rPr>
          <w:rFonts w:hint="eastAsia"/>
          <w:color w:val="auto"/>
          <w:highlight w:val="none"/>
          <w:lang w:val="en-US" w:eastAsia="zh-CN"/>
        </w:rPr>
        <w:t>2073.6</w:t>
      </w:r>
      <w:r>
        <w:rPr>
          <w:rFonts w:hint="eastAsia"/>
          <w:color w:val="auto"/>
          <w:highlight w:val="none"/>
        </w:rPr>
        <w:t>m³</w:t>
      </w:r>
      <w:r>
        <w:rPr>
          <w:color w:val="auto"/>
          <w:highlight w:val="none"/>
        </w:rPr>
        <w:t>。</w:t>
      </w:r>
      <w:r>
        <w:rPr>
          <w:rFonts w:hint="eastAsia" w:ascii="Times New Roman" w:hAnsi="Times New Roman" w:eastAsia="宋体" w:cs="Times New Roman"/>
          <w:color w:val="auto"/>
          <w:highlight w:val="none"/>
        </w:rPr>
        <w:t>生活营地设置防渗生活污水池，定期拉运至</w:t>
      </w:r>
      <w:r>
        <w:rPr>
          <w:rFonts w:hint="eastAsia" w:ascii="Times New Roman" w:hAnsi="Times New Roman" w:eastAsia="宋体" w:cs="Times New Roman"/>
          <w:color w:val="auto"/>
          <w:highlight w:val="none"/>
          <w:lang w:eastAsia="zh-CN"/>
        </w:rPr>
        <w:t>乌尔禾区污水处理厂</w:t>
      </w:r>
      <w:r>
        <w:rPr>
          <w:rFonts w:hint="eastAsia" w:ascii="Times New Roman" w:hAnsi="Times New Roman" w:eastAsia="宋体" w:cs="Times New Roman"/>
          <w:color w:val="auto"/>
          <w:highlight w:val="none"/>
        </w:rPr>
        <w:t>处理</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每座井场设置1座</w:t>
      </w:r>
      <w:r>
        <w:rPr>
          <w:rFonts w:hint="eastAsia" w:ascii="Times New Roman" w:hAnsi="Times New Roman" w:eastAsia="宋体" w:cs="Times New Roman"/>
          <w:color w:val="auto"/>
          <w:highlight w:val="none"/>
        </w:rPr>
        <w:t>环保厕所</w:t>
      </w:r>
      <w:r>
        <w:rPr>
          <w:rFonts w:hint="eastAsia" w:ascii="Times New Roman" w:hAnsi="Times New Roman" w:eastAsia="宋体" w:cs="Times New Roman"/>
          <w:color w:val="auto"/>
          <w:highlight w:val="none"/>
          <w:lang w:val="en-US" w:eastAsia="zh-CN"/>
        </w:rPr>
        <w:t>，</w:t>
      </w:r>
      <w:r>
        <w:rPr>
          <w:rFonts w:hint="eastAsia" w:ascii="Times New Roman" w:hAnsi="Times New Roman" w:eastAsia="宋体" w:cs="Times New Roman"/>
          <w:color w:val="auto"/>
          <w:highlight w:val="none"/>
        </w:rPr>
        <w:t>粪便排入环保厕所内</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定期由清污车清运至</w:t>
      </w:r>
      <w:r>
        <w:rPr>
          <w:rFonts w:hint="eastAsia" w:ascii="Times New Roman" w:hAnsi="Times New Roman" w:eastAsia="宋体" w:cs="Times New Roman"/>
          <w:color w:val="auto"/>
          <w:highlight w:val="none"/>
        </w:rPr>
        <w:t>乌尔禾区生活垃圾填埋场</w:t>
      </w:r>
      <w:r>
        <w:rPr>
          <w:rFonts w:hint="eastAsia"/>
          <w:color w:val="auto"/>
          <w:highlight w:val="none"/>
        </w:rPr>
        <w:t>。</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w:t>
      </w:r>
      <w:r>
        <w:rPr>
          <w:rFonts w:hint="eastAsia"/>
          <w:color w:val="auto"/>
          <w:highlight w:val="none"/>
          <w:lang w:val="en-US" w:eastAsia="zh-CN"/>
        </w:rPr>
        <w:t>3</w:t>
      </w:r>
      <w:r>
        <w:rPr>
          <w:rFonts w:hint="eastAsia"/>
          <w:color w:val="auto"/>
          <w:highlight w:val="none"/>
        </w:rPr>
        <w:t>）管道试压废水</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color w:val="auto"/>
          <w:highlight w:val="none"/>
        </w:rPr>
        <w:t>本工程</w:t>
      </w:r>
      <w:r>
        <w:rPr>
          <w:color w:val="auto"/>
          <w:highlight w:val="none"/>
        </w:rPr>
        <w:t>管道分段试压，一般采用无腐蚀性的清洁水。试压水由管道排出由</w:t>
      </w:r>
      <w:r>
        <w:rPr>
          <w:rFonts w:hint="eastAsia"/>
          <w:color w:val="auto"/>
          <w:highlight w:val="none"/>
          <w:lang w:val="en-US" w:eastAsia="zh-CN"/>
        </w:rPr>
        <w:t>专用</w:t>
      </w:r>
      <w:r>
        <w:rPr>
          <w:color w:val="auto"/>
          <w:highlight w:val="none"/>
        </w:rPr>
        <w:t>罐收集后，进入下一段管道循环使用，试压结束沉淀后用于</w:t>
      </w:r>
      <w:r>
        <w:rPr>
          <w:rFonts w:hint="eastAsia"/>
          <w:color w:val="auto"/>
          <w:highlight w:val="none"/>
        </w:rPr>
        <w:t>施工区域</w:t>
      </w:r>
      <w:r>
        <w:rPr>
          <w:color w:val="auto"/>
          <w:highlight w:val="none"/>
        </w:rPr>
        <w:t>洒水降尘</w:t>
      </w:r>
      <w:r>
        <w:rPr>
          <w:rFonts w:hint="eastAsia"/>
          <w:color w:val="auto"/>
          <w:highlight w:val="none"/>
        </w:rPr>
        <w:t>，不外排。</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lang w:eastAsia="zh-CN"/>
        </w:rPr>
      </w:pPr>
      <w:bookmarkStart w:id="743" w:name="OLE_LINK85"/>
      <w:r>
        <w:rPr>
          <w:rFonts w:hint="eastAsia"/>
          <w:color w:val="auto"/>
          <w:highlight w:val="none"/>
          <w:lang w:eastAsia="zh-CN"/>
        </w:rPr>
        <w:t>（</w:t>
      </w:r>
      <w:r>
        <w:rPr>
          <w:rFonts w:hint="eastAsia"/>
          <w:color w:val="auto"/>
          <w:highlight w:val="none"/>
          <w:lang w:val="en-US" w:eastAsia="zh-CN"/>
        </w:rPr>
        <w:t>4</w:t>
      </w:r>
      <w:r>
        <w:rPr>
          <w:rFonts w:hint="eastAsia"/>
          <w:color w:val="auto"/>
          <w:highlight w:val="none"/>
          <w:lang w:eastAsia="zh-CN"/>
        </w:rPr>
        <w:t>）</w:t>
      </w:r>
      <w:r>
        <w:rPr>
          <w:rFonts w:hint="eastAsia" w:ascii="Times New Roman" w:hAnsi="Times New Roman" w:eastAsia="宋体" w:cs="Times New Roman"/>
          <w:color w:val="auto"/>
          <w:highlight w:val="none"/>
          <w:lang w:val="en-US" w:eastAsia="zh-CN"/>
        </w:rPr>
        <w:t>压裂返排液</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lang w:eastAsia="zh-CN"/>
        </w:rPr>
      </w:pPr>
      <w:r>
        <w:rPr>
          <w:rFonts w:hint="eastAsia"/>
          <w:color w:val="auto"/>
          <w:highlight w:val="none"/>
          <w:lang w:val="en-US" w:eastAsia="zh-CN"/>
        </w:rPr>
        <w:t>本工程</w:t>
      </w:r>
      <w:r>
        <w:rPr>
          <w:rFonts w:hint="eastAsia" w:ascii="Times New Roman" w:hAnsi="Times New Roman" w:eastAsia="宋体" w:cs="Times New Roman"/>
          <w:color w:val="auto"/>
          <w:highlight w:val="none"/>
          <w:lang w:val="en-US" w:eastAsia="zh-CN"/>
        </w:rPr>
        <w:t>压裂返排液采用专用废液收集罐收集后及时拉运至风城二号稠油联合站处理，经处理达到《碎屑岩油藏注水水质指标技术要求及分析方法》（SY/T5329-2022）</w:t>
      </w:r>
      <w:r>
        <w:rPr>
          <w:rFonts w:hint="eastAsia" w:cs="Times New Roman"/>
          <w:color w:val="auto"/>
          <w:highlight w:val="none"/>
          <w:lang w:val="en-US" w:eastAsia="zh-CN"/>
        </w:rPr>
        <w:t>、《陆上油气田采出水地下注入环境保护技术规范》（SY/T7784-2024）</w:t>
      </w:r>
      <w:r>
        <w:rPr>
          <w:rFonts w:hint="eastAsia" w:ascii="Times New Roman" w:hAnsi="Times New Roman" w:eastAsia="宋体" w:cs="Times New Roman"/>
          <w:color w:val="auto"/>
          <w:highlight w:val="none"/>
          <w:lang w:val="en-US" w:eastAsia="zh-CN"/>
        </w:rPr>
        <w:t>中的有关标准后回注油藏，不对外排放</w:t>
      </w:r>
      <w:r>
        <w:rPr>
          <w:rFonts w:hint="eastAsia" w:eastAsia="宋体" w:cs="Times New Roman"/>
          <w:color w:val="auto"/>
          <w:highlight w:val="none"/>
          <w:lang w:val="en-US" w:eastAsia="zh-CN"/>
        </w:rPr>
        <w:t>。</w:t>
      </w:r>
    </w:p>
    <w:bookmarkEnd w:id="743"/>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综上，本工程</w:t>
      </w:r>
      <w:r>
        <w:rPr>
          <w:color w:val="auto"/>
          <w:highlight w:val="none"/>
        </w:rPr>
        <w:t>施工期间废水</w:t>
      </w:r>
      <w:r>
        <w:rPr>
          <w:rFonts w:hint="eastAsia"/>
          <w:color w:val="auto"/>
          <w:highlight w:val="none"/>
        </w:rPr>
        <w:t>全部妥善处理，不外排，措施可行。</w:t>
      </w:r>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"_Toc13150" </w:instrText>
      </w:r>
      <w:r>
        <w:rPr>
          <w:color w:val="auto"/>
          <w:highlight w:val="none"/>
        </w:rPr>
        <w:fldChar w:fldCharType="separate"/>
      </w:r>
      <w:r>
        <w:rPr>
          <w:rFonts w:hint="eastAsia" w:ascii="Times New Roman" w:hAnsi="Times New Roman" w:eastAsia="宋体"/>
          <w:color w:val="auto"/>
          <w:highlight w:val="none"/>
        </w:rPr>
        <w:t>6.3.2运营期地表水环境保护措施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本工程运营期产生的废水主要有采出水、井下作业废水、设备擦洗废水。</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（1）采出水依托处理环境可行性评价</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根据工程分析，本工程运营期新增采出水最大量为</w:t>
      </w:r>
      <w:r>
        <w:rPr>
          <w:rFonts w:hint="eastAsia"/>
          <w:color w:val="auto"/>
          <w:highlight w:val="none"/>
          <w:lang w:val="en-US" w:eastAsia="zh-CN"/>
        </w:rPr>
        <w:t>118.5t/d（3.91×10</w:t>
      </w:r>
      <w:r>
        <w:rPr>
          <w:rFonts w:hint="eastAsia"/>
          <w:color w:val="auto"/>
          <w:highlight w:val="none"/>
          <w:vertAlign w:val="superscript"/>
          <w:lang w:val="en-US" w:eastAsia="zh-CN"/>
        </w:rPr>
        <w:t>4</w:t>
      </w:r>
      <w:r>
        <w:rPr>
          <w:rFonts w:hint="eastAsia"/>
          <w:color w:val="auto"/>
          <w:highlight w:val="none"/>
          <w:lang w:val="en-US" w:eastAsia="zh-CN"/>
        </w:rPr>
        <w:t>t/a）</w:t>
      </w:r>
      <w:r>
        <w:rPr>
          <w:rFonts w:hint="eastAsia"/>
          <w:color w:val="auto"/>
          <w:highlight w:val="none"/>
        </w:rPr>
        <w:t>，采出水输送至</w:t>
      </w:r>
      <w:r>
        <w:rPr>
          <w:rFonts w:hint="eastAsia"/>
          <w:color w:val="auto"/>
          <w:highlight w:val="none"/>
          <w:lang w:eastAsia="zh-CN"/>
        </w:rPr>
        <w:t>风城二号稠油处理站</w:t>
      </w:r>
      <w:r>
        <w:rPr>
          <w:rFonts w:hint="eastAsia"/>
          <w:color w:val="auto"/>
          <w:highlight w:val="none"/>
        </w:rPr>
        <w:t>污水处理系统处理，达到《碎屑岩油藏注水水质指标技术要求及分析方法》</w:t>
      </w:r>
      <w:r>
        <w:rPr>
          <w:rFonts w:hint="eastAsia"/>
          <w:color w:val="auto"/>
          <w:highlight w:val="none"/>
          <w:lang w:eastAsia="zh-CN"/>
        </w:rPr>
        <w:t>（</w:t>
      </w:r>
      <w:r>
        <w:rPr>
          <w:rFonts w:hint="eastAsia"/>
          <w:color w:val="auto"/>
          <w:highlight w:val="none"/>
        </w:rPr>
        <w:t>SY/T5329-2022</w:t>
      </w:r>
      <w:r>
        <w:rPr>
          <w:rFonts w:hint="eastAsia"/>
          <w:color w:val="auto"/>
          <w:highlight w:val="none"/>
          <w:lang w:eastAsia="zh-CN"/>
        </w:rPr>
        <w:t>）、《陆上油气田采出水地下注入环境保护技术规范》（SY/T7784-2024）</w:t>
      </w:r>
      <w:r>
        <w:rPr>
          <w:rFonts w:hint="eastAsia"/>
          <w:color w:val="auto"/>
          <w:highlight w:val="none"/>
        </w:rPr>
        <w:t>标准后回注地层，不外排。根据前述依托可行性分析，</w:t>
      </w:r>
      <w:r>
        <w:rPr>
          <w:rFonts w:hint="eastAsia"/>
          <w:color w:val="auto"/>
          <w:highlight w:val="none"/>
          <w:lang w:eastAsia="zh-CN"/>
        </w:rPr>
        <w:t>风城二号稠油处理站</w:t>
      </w:r>
      <w:r>
        <w:rPr>
          <w:rFonts w:hint="eastAsia"/>
          <w:color w:val="auto"/>
          <w:highlight w:val="none"/>
        </w:rPr>
        <w:t>污水处理系统运行正常，且</w:t>
      </w:r>
      <w:r>
        <w:rPr>
          <w:color w:val="auto"/>
          <w:highlight w:val="none"/>
        </w:rPr>
        <w:t>富余</w:t>
      </w:r>
      <w:r>
        <w:rPr>
          <w:rFonts w:hint="eastAsia"/>
          <w:color w:val="auto"/>
          <w:highlight w:val="none"/>
        </w:rPr>
        <w:t>能力可满足本工程采出水处理需求</w:t>
      </w:r>
      <w:r>
        <w:rPr>
          <w:color w:val="auto"/>
          <w:highlight w:val="none"/>
        </w:rPr>
        <w:t>，依托处理设施可行。</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（2）井下作业废水依托处理环境可行性评价</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本工程井下作业废水产生量95.2t/a，</w:t>
      </w:r>
      <w:r>
        <w:rPr>
          <w:rFonts w:hint="eastAsia"/>
          <w:color w:val="auto"/>
          <w:highlight w:val="none"/>
          <w:lang w:eastAsia="zh-CN"/>
        </w:rPr>
        <w:t>风城二号稠油联合站</w:t>
      </w:r>
      <w:r>
        <w:rPr>
          <w:rFonts w:hint="eastAsia"/>
          <w:color w:val="auto"/>
          <w:highlight w:val="none"/>
        </w:rPr>
        <w:t>设计钻试修废液处理规模为</w:t>
      </w:r>
      <w:r>
        <w:rPr>
          <w:rFonts w:hint="eastAsia"/>
          <w:color w:val="auto"/>
          <w:highlight w:val="none"/>
          <w:lang w:val="en-US" w:eastAsia="zh-CN"/>
        </w:rPr>
        <w:t>40000</w:t>
      </w:r>
      <w:r>
        <w:rPr>
          <w:rFonts w:hint="eastAsia"/>
          <w:color w:val="auto"/>
          <w:highlight w:val="none"/>
        </w:rPr>
        <w:t>m</w:t>
      </w:r>
      <w:r>
        <w:rPr>
          <w:rFonts w:hint="eastAsia"/>
          <w:color w:val="auto"/>
          <w:highlight w:val="none"/>
          <w:vertAlign w:val="superscript"/>
        </w:rPr>
        <w:t>3</w:t>
      </w:r>
      <w:r>
        <w:rPr>
          <w:rFonts w:hint="eastAsia"/>
          <w:color w:val="auto"/>
          <w:highlight w:val="none"/>
        </w:rPr>
        <w:t>/a，剩余处理规模为</w:t>
      </w:r>
      <w:r>
        <w:rPr>
          <w:rFonts w:hint="eastAsia"/>
          <w:color w:val="auto"/>
          <w:highlight w:val="none"/>
          <w:lang w:val="en-US" w:eastAsia="zh-CN"/>
        </w:rPr>
        <w:t>5000m³/d</w:t>
      </w:r>
      <w:r>
        <w:rPr>
          <w:rFonts w:hint="eastAsia"/>
          <w:color w:val="auto"/>
          <w:highlight w:val="none"/>
        </w:rPr>
        <w:t>，处理能力满足本项目需求。因此本工程井下作业废水可依托</w:t>
      </w:r>
      <w:r>
        <w:rPr>
          <w:rFonts w:hint="eastAsia"/>
          <w:color w:val="auto"/>
          <w:highlight w:val="none"/>
          <w:lang w:eastAsia="zh-CN"/>
        </w:rPr>
        <w:t>风城二号稠油联合站</w:t>
      </w:r>
      <w:r>
        <w:rPr>
          <w:rFonts w:hint="eastAsia"/>
          <w:color w:val="auto"/>
          <w:highlight w:val="none"/>
        </w:rPr>
        <w:t>进行处理。</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对营运期废水拉运建立管理台账，台账记录内容包括污水拉运量、罐车车号、到站时间、离站时间、进出场站登记记录等，必须定点装卸车，按照规定路线限速行驶，禁止沿途倾倒、泄放废水。</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在采取以上措施</w:t>
      </w:r>
      <w:r>
        <w:rPr>
          <w:color w:val="auto"/>
          <w:highlight w:val="none"/>
        </w:rPr>
        <w:t>，</w:t>
      </w:r>
      <w:r>
        <w:rPr>
          <w:rFonts w:hint="eastAsia"/>
          <w:color w:val="auto"/>
          <w:highlight w:val="none"/>
        </w:rPr>
        <w:t>本工程</w:t>
      </w:r>
      <w:r>
        <w:rPr>
          <w:color w:val="auto"/>
          <w:highlight w:val="none"/>
        </w:rPr>
        <w:t>运营期</w:t>
      </w:r>
      <w:r>
        <w:rPr>
          <w:rFonts w:hint="eastAsia"/>
          <w:color w:val="auto"/>
          <w:highlight w:val="none"/>
        </w:rPr>
        <w:t>废水均能妥善处置，不外排。</w:t>
      </w:r>
      <w:r>
        <w:rPr>
          <w:color w:val="auto"/>
          <w:highlight w:val="none"/>
        </w:rPr>
        <w:t>措施可行。</w:t>
      </w:r>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"_Toc13523" </w:instrText>
      </w:r>
      <w:r>
        <w:rPr>
          <w:color w:val="auto"/>
          <w:highlight w:val="none"/>
        </w:rPr>
        <w:fldChar w:fldCharType="separate"/>
      </w:r>
      <w:r>
        <w:rPr>
          <w:rFonts w:hint="eastAsia" w:ascii="Times New Roman" w:hAnsi="Times New Roman" w:eastAsia="宋体"/>
          <w:color w:val="auto"/>
          <w:highlight w:val="none"/>
        </w:rPr>
        <w:t>6.3.3退役期地表水环境保护措施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项目退役期拆除设备、清理站场时，施工时间较短，施工人员产生的生活污水量较少，依托施工区域周边生活设施处理，不外排，</w:t>
      </w:r>
      <w:r>
        <w:rPr>
          <w:color w:val="auto"/>
          <w:highlight w:val="none"/>
        </w:rPr>
        <w:t>措施可行</w:t>
      </w:r>
      <w:r>
        <w:rPr>
          <w:rFonts w:hint="eastAsia"/>
          <w:color w:val="auto"/>
          <w:highlight w:val="none"/>
        </w:rPr>
        <w:t>。</w:t>
      </w:r>
    </w:p>
    <w:p>
      <w:pPr>
        <w:pStyle w:val="49"/>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44" w:name="_Toc3347"/>
      <w:bookmarkStart w:id="745" w:name="_Toc30404"/>
      <w:r>
        <w:rPr>
          <w:rFonts w:hint="eastAsia" w:ascii="Times New Roman" w:hAnsi="Times New Roman" w:eastAsia="宋体"/>
          <w:color w:val="auto"/>
          <w:highlight w:val="none"/>
        </w:rPr>
        <w:t>6.4土壤环境保护措施可行性论证</w:t>
      </w:r>
      <w:bookmarkEnd w:id="744"/>
      <w:bookmarkEnd w:id="745"/>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"_Toc13693" </w:instrText>
      </w:r>
      <w:r>
        <w:rPr>
          <w:color w:val="auto"/>
          <w:highlight w:val="none"/>
        </w:rPr>
        <w:fldChar w:fldCharType="separate"/>
      </w:r>
      <w:r>
        <w:rPr>
          <w:rFonts w:hint="eastAsia" w:ascii="Times New Roman" w:hAnsi="Times New Roman" w:eastAsia="宋体"/>
          <w:color w:val="auto"/>
          <w:highlight w:val="none"/>
        </w:rPr>
        <w:t>6.4.1 施工期土壤环境保护措施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（1）应严格控制施工期临时占地面积，按设计及规划的施工范围进行施工作业，减少土壤扰动。</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（2）施工机械及运输车辆应按规定的道路行驶，减少对土壤的碾压，减少碾压造成的土壤紧实度增加及养分流失。</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（3）施工产生的</w:t>
      </w:r>
      <w:r>
        <w:rPr>
          <w:rFonts w:hint="eastAsia"/>
          <w:color w:val="auto"/>
          <w:highlight w:val="none"/>
        </w:rPr>
        <w:t>废水和固废</w:t>
      </w:r>
      <w:r>
        <w:rPr>
          <w:color w:val="auto"/>
          <w:highlight w:val="none"/>
        </w:rPr>
        <w:t>不得随意抛洒</w:t>
      </w:r>
      <w:r>
        <w:rPr>
          <w:rFonts w:hint="eastAsia"/>
          <w:color w:val="auto"/>
          <w:highlight w:val="none"/>
        </w:rPr>
        <w:t>丢弃</w:t>
      </w:r>
      <w:r>
        <w:rPr>
          <w:color w:val="auto"/>
          <w:highlight w:val="none"/>
        </w:rPr>
        <w:t>，应集中收集并及时清运，防止污染物进入土壤环境造成污染。</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（4）</w:t>
      </w:r>
      <w:r>
        <w:rPr>
          <w:rFonts w:hint="eastAsia"/>
          <w:color w:val="auto"/>
          <w:highlight w:val="none"/>
        </w:rPr>
        <w:t>工程</w:t>
      </w:r>
      <w:r>
        <w:rPr>
          <w:color w:val="auto"/>
          <w:highlight w:val="none"/>
        </w:rPr>
        <w:t>区需要严格采取各项水土流失防治措施，施工完毕后通过对临时占地</w:t>
      </w:r>
      <w:r>
        <w:rPr>
          <w:rFonts w:hint="eastAsia"/>
          <w:color w:val="auto"/>
          <w:highlight w:val="none"/>
        </w:rPr>
        <w:t>进行</w:t>
      </w:r>
      <w:r>
        <w:rPr>
          <w:color w:val="auto"/>
          <w:highlight w:val="none"/>
        </w:rPr>
        <w:t>平整。</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本工程施工期土壤</w:t>
      </w:r>
      <w:r>
        <w:rPr>
          <w:color w:val="auto"/>
          <w:highlight w:val="none"/>
        </w:rPr>
        <w:t>污染防治措施</w:t>
      </w:r>
      <w:r>
        <w:rPr>
          <w:rFonts w:hint="eastAsia"/>
          <w:color w:val="auto"/>
          <w:highlight w:val="none"/>
        </w:rPr>
        <w:t>可行</w:t>
      </w:r>
      <w:r>
        <w:rPr>
          <w:color w:val="auto"/>
          <w:highlight w:val="none"/>
        </w:rPr>
        <w:t>。</w:t>
      </w:r>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"_Toc13150" </w:instrText>
      </w:r>
      <w:r>
        <w:rPr>
          <w:color w:val="auto"/>
          <w:highlight w:val="none"/>
        </w:rPr>
        <w:fldChar w:fldCharType="separate"/>
      </w:r>
      <w:r>
        <w:rPr>
          <w:rFonts w:hint="eastAsia" w:ascii="Times New Roman" w:hAnsi="Times New Roman" w:eastAsia="宋体"/>
          <w:color w:val="auto"/>
          <w:highlight w:val="none"/>
        </w:rPr>
        <w:t>6.4.2运营期土壤环境保护措施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rPr>
      </w:pPr>
      <w:bookmarkStart w:id="746" w:name="_Hlk48604613"/>
      <w:r>
        <w:rPr>
          <w:rFonts w:hint="eastAsia" w:ascii="Times New Roman" w:hAnsi="Times New Roman" w:eastAsia="宋体" w:cs="Times New Roman"/>
          <w:color w:val="auto"/>
          <w:highlight w:val="none"/>
        </w:rPr>
        <w:t>结合</w:t>
      </w:r>
      <w:r>
        <w:rPr>
          <w:rFonts w:hint="eastAsia" w:ascii="Times New Roman" w:hAnsi="Times New Roman" w:eastAsia="宋体" w:cs="Times New Roman"/>
          <w:color w:val="auto"/>
          <w:highlight w:val="none"/>
          <w:lang w:eastAsia="zh-CN"/>
        </w:rPr>
        <w:t>本工程</w:t>
      </w:r>
      <w:r>
        <w:rPr>
          <w:rFonts w:hint="eastAsia" w:ascii="Times New Roman" w:hAnsi="Times New Roman" w:eastAsia="宋体" w:cs="Times New Roman"/>
          <w:color w:val="auto"/>
          <w:highlight w:val="none"/>
        </w:rPr>
        <w:t>特点与调查评价范围内的土壤环境质量现状，在分析土壤污染途径的基础上，根据环境影响预测与评价结果，</w:t>
      </w:r>
      <w:bookmarkStart w:id="747" w:name="_Hlk89191531"/>
      <w:r>
        <w:rPr>
          <w:rFonts w:hint="eastAsia" w:ascii="Times New Roman" w:hAnsi="Times New Roman" w:eastAsia="宋体" w:cs="Times New Roman"/>
          <w:color w:val="auto"/>
          <w:highlight w:val="none"/>
        </w:rPr>
        <w:t>按照“源头控制、过程防控、跟踪监测、应急响应”相结合的原则</w:t>
      </w:r>
      <w:bookmarkEnd w:id="747"/>
      <w:r>
        <w:rPr>
          <w:rFonts w:hint="eastAsia" w:ascii="Times New Roman" w:hAnsi="Times New Roman" w:eastAsia="宋体" w:cs="Times New Roman"/>
          <w:color w:val="auto"/>
          <w:highlight w:val="none"/>
        </w:rPr>
        <w:t>，提出合理、可行、操作性强的土壤环境影响防控措施。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（1）源头控制</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定期检修维护井场压力、流量传感器；定期派人检查井场、井口区</w:t>
      </w:r>
      <w:r>
        <w:rPr>
          <w:rFonts w:hint="eastAsia"/>
          <w:color w:val="auto"/>
          <w:highlight w:val="none"/>
          <w:lang w:val="en-US" w:eastAsia="zh-CN"/>
        </w:rPr>
        <w:t>以及井场和站场的储罐区</w:t>
      </w:r>
      <w:r>
        <w:rPr>
          <w:rFonts w:hint="eastAsia"/>
          <w:color w:val="auto"/>
          <w:highlight w:val="none"/>
        </w:rPr>
        <w:t>，防止采出液</w:t>
      </w:r>
      <w:r>
        <w:rPr>
          <w:rFonts w:hint="eastAsia"/>
          <w:color w:val="auto"/>
          <w:highlight w:val="none"/>
          <w:lang w:eastAsia="zh-CN"/>
        </w:rPr>
        <w:t>泄漏</w:t>
      </w:r>
      <w:r>
        <w:rPr>
          <w:rFonts w:hint="eastAsia"/>
          <w:color w:val="auto"/>
          <w:highlight w:val="none"/>
        </w:rPr>
        <w:t>；选用耐腐蚀性能好、抗老化性能、耐热性能好、抗冻性能好、耐磨性能好的管材作为集输管线，管线工程按照一定比例设置截断阀；</w:t>
      </w:r>
      <w:r>
        <w:rPr>
          <w:color w:val="auto"/>
          <w:highlight w:val="none"/>
        </w:rPr>
        <w:t>通过加强管线内的压力、流量传感器检修维护，保障发生管线阀门连接处泄漏及时切断阀门，减少泄漏量；加强日常巡检监管工作，出现泄漏情况能及时发现；加强法兰、阀门连接处腐蚀情况记录管理，避免因老化、腐蚀导致泄漏情况发生。井下作业按照“带罐上岗”的作业模式，加强站场及管线巡检，避免因“跑、冒、滴、漏”或泄漏事故发生造成原油进入土壤，发生泄漏事故时应及时清理落地油，受污染的土壤应交由具有相应危险废物处置资质的单位负责接收、转运和处置，降低对土壤环境质量的影响程度。</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（2）过程防控措施</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巡检车辆严格按照油田巡检路线行驶，不得因乱碾乱压破坏土壤结构。严格执行地下水章节分区防控措施要求。防渗措施的设计，使用年限不应低于</w:t>
      </w:r>
      <w:r>
        <w:rPr>
          <w:rFonts w:hint="eastAsia"/>
          <w:color w:val="auto"/>
          <w:highlight w:val="none"/>
        </w:rPr>
        <w:t>本工程</w:t>
      </w:r>
      <w:r>
        <w:rPr>
          <w:color w:val="auto"/>
          <w:highlight w:val="none"/>
        </w:rPr>
        <w:t>主体工程的设计使用年限。</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（3）跟踪监测</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制定跟踪监测计划，发生事故</w:t>
      </w:r>
      <w:r>
        <w:rPr>
          <w:rFonts w:hint="eastAsia"/>
          <w:color w:val="auto"/>
          <w:highlight w:val="none"/>
        </w:rPr>
        <w:t>泄漏</w:t>
      </w:r>
      <w:r>
        <w:rPr>
          <w:color w:val="auto"/>
          <w:highlight w:val="none"/>
        </w:rPr>
        <w:t>时对井口区</w:t>
      </w:r>
      <w:r>
        <w:rPr>
          <w:rFonts w:hint="eastAsia"/>
          <w:color w:val="auto"/>
          <w:highlight w:val="none"/>
          <w:lang w:eastAsia="zh-CN"/>
        </w:rPr>
        <w:t>、</w:t>
      </w:r>
      <w:r>
        <w:rPr>
          <w:rFonts w:hint="eastAsia"/>
          <w:color w:val="auto"/>
          <w:highlight w:val="none"/>
          <w:lang w:val="en-US" w:eastAsia="zh-CN"/>
        </w:rPr>
        <w:t>站场设备区</w:t>
      </w:r>
      <w:r>
        <w:rPr>
          <w:color w:val="auto"/>
          <w:highlight w:val="none"/>
        </w:rPr>
        <w:t>及集输管线铺设范围可能影响区域进行跟踪监测。</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综上，</w:t>
      </w:r>
      <w:r>
        <w:rPr>
          <w:rFonts w:hint="eastAsia"/>
          <w:color w:val="auto"/>
          <w:highlight w:val="none"/>
        </w:rPr>
        <w:t>本工程</w:t>
      </w:r>
      <w:r>
        <w:rPr>
          <w:color w:val="auto"/>
          <w:highlight w:val="none"/>
        </w:rPr>
        <w:t>采取的地下水污染防治措施可行。</w:t>
      </w:r>
    </w:p>
    <w:bookmarkEnd w:id="746"/>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rFonts w:hint="eastAsia" w:ascii="Times New Roman" w:hAnsi="Times New Roman" w:eastAsia="宋体"/>
          <w:color w:val="auto"/>
          <w:highlight w:val="none"/>
        </w:rPr>
        <w:fldChar w:fldCharType="begin"/>
      </w:r>
      <w:r>
        <w:rPr>
          <w:rFonts w:hint="eastAsia" w:ascii="Times New Roman" w:hAnsi="Times New Roman" w:eastAsia="宋体"/>
          <w:color w:val="auto"/>
          <w:highlight w:val="none"/>
        </w:rPr>
        <w:instrText xml:space="preserve"> HYPERLINK \l _Toc13523 </w:instrText>
      </w:r>
      <w:r>
        <w:rPr>
          <w:rFonts w:hint="eastAsia" w:ascii="Times New Roman" w:hAnsi="Times New Roman" w:eastAsia="宋体"/>
          <w:color w:val="auto"/>
          <w:highlight w:val="none"/>
        </w:rPr>
        <w:fldChar w:fldCharType="separate"/>
      </w:r>
      <w:r>
        <w:rPr>
          <w:rFonts w:hint="eastAsia" w:ascii="Times New Roman" w:hAnsi="Times New Roman" w:eastAsia="宋体"/>
          <w:color w:val="auto"/>
          <w:highlight w:val="none"/>
        </w:rPr>
        <w:t>6.4.3退役期土壤环境保护措施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w:t>
      </w:r>
      <w:r>
        <w:rPr>
          <w:rFonts w:hint="eastAsia"/>
          <w:color w:val="auto"/>
          <w:highlight w:val="none"/>
        </w:rPr>
        <w:t>1</w:t>
      </w:r>
      <w:r>
        <w:rPr>
          <w:color w:val="auto"/>
          <w:highlight w:val="none"/>
        </w:rPr>
        <w:t>）《参照废弃井封井回填技术指南（试行）》（环办土壤函〔2020〕72号）对完成采</w:t>
      </w:r>
      <w:r>
        <w:rPr>
          <w:rFonts w:hint="eastAsia"/>
          <w:color w:val="auto"/>
          <w:highlight w:val="none"/>
          <w:lang w:val="en-US" w:eastAsia="zh-CN"/>
        </w:rPr>
        <w:t>油</w:t>
      </w:r>
      <w:r>
        <w:rPr>
          <w:color w:val="auto"/>
          <w:highlight w:val="none"/>
        </w:rPr>
        <w:t>的废弃井封堵，拆除井口装置，最后清理场地，清除各种固体废弃物，不得遗留在场地内影响土壤环境质量。</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（2）</w:t>
      </w:r>
      <w:r>
        <w:rPr>
          <w:color w:val="auto"/>
          <w:highlight w:val="none"/>
        </w:rPr>
        <w:t>退役期</w:t>
      </w:r>
      <w:r>
        <w:rPr>
          <w:rFonts w:hint="eastAsia"/>
          <w:color w:val="auto"/>
          <w:highlight w:val="none"/>
        </w:rPr>
        <w:t>地下</w:t>
      </w:r>
      <w:r>
        <w:rPr>
          <w:color w:val="auto"/>
          <w:highlight w:val="none"/>
        </w:rPr>
        <w:t>集输管道维持现状，避免因开挖管道对区域生态环境造成二次破坏。管道内物质应清空干净，并按要求进行吹扫，确保管道内无残留采出液，管道两端使用盲板封堵。</w:t>
      </w:r>
    </w:p>
    <w:p>
      <w:pPr>
        <w:pStyle w:val="49"/>
        <w:rPr>
          <w:color w:val="auto"/>
          <w:sz w:val="25"/>
          <w:szCs w:val="25"/>
          <w:highlight w:val="none"/>
        </w:rPr>
      </w:pPr>
      <w:bookmarkStart w:id="748" w:name="_Toc9734"/>
      <w:bookmarkStart w:id="749" w:name="_Toc27323"/>
      <w:r>
        <w:rPr>
          <w:rFonts w:hint="eastAsia" w:ascii="Times New Roman" w:hAnsi="Times New Roman" w:eastAsia="宋体"/>
          <w:color w:val="auto"/>
          <w:highlight w:val="none"/>
        </w:rPr>
        <w:t>6.5</w:t>
      </w:r>
      <w:r>
        <w:rPr>
          <w:color w:val="auto"/>
          <w:highlight w:val="none"/>
        </w:rPr>
        <w:fldChar w:fldCharType="begin"/>
      </w:r>
      <w:r>
        <w:rPr>
          <w:color w:val="auto"/>
          <w:highlight w:val="none"/>
        </w:rPr>
        <w:instrText xml:space="preserve"> HYPERLINK \l "_Toc24745" </w:instrText>
      </w:r>
      <w:r>
        <w:rPr>
          <w:color w:val="auto"/>
          <w:highlight w:val="none"/>
        </w:rPr>
        <w:fldChar w:fldCharType="separate"/>
      </w:r>
      <w:r>
        <w:rPr>
          <w:rFonts w:hint="eastAsia" w:ascii="Times New Roman" w:hAnsi="Times New Roman" w:eastAsia="宋体"/>
          <w:color w:val="auto"/>
          <w:highlight w:val="none"/>
        </w:rPr>
        <w:t>大气环境保护措施可行性论证</w:t>
      </w:r>
      <w:r>
        <w:rPr>
          <w:rFonts w:hint="eastAsia" w:ascii="Times New Roman" w:hAnsi="Times New Roman" w:eastAsia="宋体"/>
          <w:color w:val="auto"/>
          <w:highlight w:val="none"/>
        </w:rPr>
        <w:fldChar w:fldCharType="end"/>
      </w:r>
      <w:bookmarkEnd w:id="748"/>
      <w:bookmarkEnd w:id="749"/>
    </w:p>
    <w:p>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"_Toc27255" </w:instrText>
      </w:r>
      <w:r>
        <w:rPr>
          <w:color w:val="auto"/>
          <w:highlight w:val="none"/>
        </w:rPr>
        <w:fldChar w:fldCharType="separate"/>
      </w:r>
      <w:r>
        <w:rPr>
          <w:rFonts w:hint="eastAsia" w:ascii="Times New Roman" w:hAnsi="Times New Roman" w:eastAsia="宋体"/>
          <w:color w:val="auto"/>
          <w:highlight w:val="none"/>
        </w:rPr>
        <w:t>6.5.1施工期大气环境保护措施</w:t>
      </w:r>
      <w:r>
        <w:rPr>
          <w:rFonts w:hint="eastAsia" w:ascii="Times New Roman" w:hAnsi="Times New Roman" w:eastAsia="宋体"/>
          <w:color w:val="auto"/>
          <w:highlight w:val="none"/>
        </w:rPr>
        <w:fldChar w:fldCharType="end"/>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拟建工程施工过程中废气包括</w:t>
      </w:r>
      <w:r>
        <w:rPr>
          <w:rFonts w:hint="eastAsia" w:ascii="Times New Roman" w:hAnsi="Times New Roman" w:eastAsia="宋体" w:cs="Times New Roman"/>
          <w:color w:val="auto"/>
          <w:highlight w:val="none"/>
          <w:lang w:val="en-US" w:eastAsia="zh-CN"/>
        </w:rPr>
        <w:t>钻井废气、</w:t>
      </w:r>
      <w:r>
        <w:rPr>
          <w:rFonts w:hint="eastAsia" w:ascii="Times New Roman" w:hAnsi="Times New Roman" w:eastAsia="宋体" w:cs="Times New Roman"/>
          <w:color w:val="auto"/>
          <w:highlight w:val="none"/>
        </w:rPr>
        <w:t>施工扬尘、焊接废气和施工车辆尾气。为有效控制施工期间的废气影响，结合建设单位实际情况，本评价要求建设单位严格执行《关于印发</w:t>
      </w:r>
      <w:r>
        <w:rPr>
          <w:rFonts w:hint="eastAsia" w:ascii="Times New Roman" w:hAnsi="Times New Roman" w:eastAsia="宋体" w:cs="Times New Roman"/>
          <w:color w:val="auto"/>
          <w:highlight w:val="none"/>
          <w:lang w:eastAsia="zh-CN"/>
        </w:rPr>
        <w:t>新疆维吾尔自治区</w:t>
      </w:r>
      <w:r>
        <w:rPr>
          <w:rFonts w:hint="eastAsia" w:ascii="Times New Roman" w:hAnsi="Times New Roman" w:eastAsia="宋体" w:cs="Times New Roman"/>
          <w:color w:val="auto"/>
          <w:highlight w:val="none"/>
        </w:rPr>
        <w:t>大气污染防治行动计划实施方案的通知》（新政发﹝2014﹞35号）相关文件要求，同时结合《建筑工程施工现场扬尘污染防治标准》等采取的抑尘措施，对项目施工提出以下扬尘控制要求。通过采取以下抑尘措施后，可较大限度</w:t>
      </w:r>
      <w:r>
        <w:rPr>
          <w:rFonts w:hint="eastAsia" w:ascii="Times New Roman" w:hAnsi="Times New Roman" w:eastAsia="宋体" w:cs="Times New Roman"/>
          <w:color w:val="auto"/>
          <w:highlight w:val="none"/>
          <w:lang w:eastAsia="zh-CN"/>
        </w:rPr>
        <w:t>地</w:t>
      </w:r>
      <w:r>
        <w:rPr>
          <w:rFonts w:hint="eastAsia" w:ascii="Times New Roman" w:hAnsi="Times New Roman" w:eastAsia="宋体" w:cs="Times New Roman"/>
          <w:color w:val="auto"/>
          <w:highlight w:val="none"/>
        </w:rPr>
        <w:t>降低施工扬尘对周围环境的影响。</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（1）场地平整时，禁止利用挖掘机进行抛洒土石方作业，定期洒水，作业面要保持一定湿度。</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（2）避免在大风季节施工，尽可能缩短施工时间，提高施工效率，减少裸地暴露时间。</w:t>
      </w:r>
    </w:p>
    <w:p>
      <w:pPr>
        <w:pStyle w:val="57"/>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（3）施工单位必须加强施工区的规划管理。挖方堆放应定点定位，并采取防尘、抑尘措施（洒水、遮盖等措施）</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建筑材料采用密闭储存、设置围挡或堆砌围墙、采用防尘布苫盖等措施，并定期洒水抑尘</w:t>
      </w:r>
      <w:r>
        <w:rPr>
          <w:rFonts w:hint="eastAsia" w:ascii="Times New Roman" w:hAnsi="Times New Roman" w:eastAsia="宋体" w:cs="Times New Roman"/>
          <w:color w:val="auto"/>
          <w:highlight w:val="none"/>
          <w:lang w:eastAsia="zh-CN"/>
        </w:rPr>
        <w:t>。</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（4）合理规划、选择最短的运输路线，充分利用油气田现有公路网络，禁止随意开辟道路，运输车辆应以中、低速行驶，减少车辆行驶动力起尘。</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（5）合理规划临时占地，控制临时占地范围，对工作区域外的场地严禁机械及车辆进入、占用，避免破坏植被和造成土地松动。</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（6）管沟开挖深度不宜过深，及时开挖，及时回填，遇大风天气应停止土方作业</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同时作业处用防尘网覆盖。</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焊接作业时使用无毒低尘焊条。</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8</w:t>
      </w:r>
      <w:r>
        <w:rPr>
          <w:rFonts w:hint="eastAsia" w:ascii="Times New Roman" w:hAnsi="Times New Roman" w:eastAsia="宋体" w:cs="Times New Roman"/>
          <w:color w:val="auto"/>
          <w:highlight w:val="none"/>
        </w:rPr>
        <w:t>）加强对施工机械、车辆的维修保养，使用环保节能型柴油机，选用轻质柴油燃料，并加强管理维护，柴油机燃烧烟气排放满足《非道路移动机械用柴油机排气污染物排放限值及测量方法（中国第三、四阶段）》（GB20891-2014）修改单以及《非道路柴油移动机械污染物排放控制技术要求》（HJ1014-2020），禁止以柴油为燃料的施工机械超负荷工作，减少烟尘和尾气的排放。</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9</w:t>
      </w:r>
      <w:r>
        <w:rPr>
          <w:rFonts w:hint="eastAsia" w:ascii="Times New Roman" w:hAnsi="Times New Roman" w:eastAsia="宋体" w:cs="Times New Roman"/>
          <w:color w:val="auto"/>
          <w:highlight w:val="none"/>
        </w:rPr>
        <w:t>）加强施工场地环境管理，提倡文明施工，积极推进绿色施工，严防人为扬尘污染。</w:t>
      </w:r>
    </w:p>
    <w:p>
      <w:pPr>
        <w:pStyle w:val="57"/>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以上施工期大气污染防治措施，简单可行，具有可操作性，废气影响能够减缓到可以接受的程度，以上措施是可行的。</w:t>
      </w:r>
    </w:p>
    <w:p>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"_Toc8090" </w:instrText>
      </w:r>
      <w:r>
        <w:rPr>
          <w:color w:val="auto"/>
          <w:highlight w:val="none"/>
        </w:rPr>
        <w:fldChar w:fldCharType="separate"/>
      </w:r>
      <w:r>
        <w:rPr>
          <w:rFonts w:hint="eastAsia" w:ascii="Times New Roman" w:hAnsi="Times New Roman" w:eastAsia="宋体"/>
          <w:color w:val="auto"/>
          <w:highlight w:val="none"/>
        </w:rPr>
        <w:t>6.5.2运营期大气环境保护措施</w:t>
      </w:r>
      <w:r>
        <w:rPr>
          <w:rFonts w:hint="eastAsia" w:ascii="Times New Roman" w:hAnsi="Times New Roman" w:eastAsia="宋体"/>
          <w:color w:val="auto"/>
          <w:highlight w:val="none"/>
        </w:rPr>
        <w:fldChar w:fldCharType="end"/>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lang w:eastAsia="zh-CN"/>
        </w:rPr>
        <w:t>本工程</w:t>
      </w:r>
      <w:r>
        <w:rPr>
          <w:rFonts w:hint="eastAsia"/>
          <w:color w:val="auto"/>
          <w:sz w:val="24"/>
          <w:szCs w:val="24"/>
        </w:rPr>
        <w:t>运营期的废气排放源主要为井场及站场排放的无组织废气以及温室气体等。无组织排放的污染物主要为井口、</w:t>
      </w:r>
      <w:r>
        <w:rPr>
          <w:rFonts w:hint="eastAsia"/>
          <w:color w:val="auto"/>
          <w:sz w:val="24"/>
          <w:szCs w:val="24"/>
          <w:lang w:val="en-US" w:eastAsia="zh-CN"/>
        </w:rPr>
        <w:t>站场、</w:t>
      </w:r>
      <w:r>
        <w:rPr>
          <w:rFonts w:hint="eastAsia"/>
          <w:color w:val="auto"/>
          <w:sz w:val="24"/>
          <w:szCs w:val="24"/>
        </w:rPr>
        <w:t>管线接口、阀门等处产生的无组织挥发烃类；温室气体的污染物主要为井场开采过程中产生的甲烷等逃逸。针对以上污染源，油田采取了以下大气污染治理措施：</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rPr>
        <w:t>（1）</w:t>
      </w:r>
      <w:r>
        <w:rPr>
          <w:rFonts w:hint="default" w:ascii="Times New Roman" w:hAnsi="Times New Roman" w:cs="Times New Roman"/>
          <w:color w:val="auto"/>
          <w:sz w:val="24"/>
          <w:szCs w:val="24"/>
        </w:rPr>
        <w:t>站场内</w:t>
      </w:r>
      <w:r>
        <w:rPr>
          <w:rFonts w:hint="eastAsia" w:cs="Times New Roman"/>
          <w:color w:val="auto"/>
          <w:sz w:val="24"/>
          <w:szCs w:val="24"/>
          <w:lang w:val="en-US" w:eastAsia="zh-CN"/>
        </w:rPr>
        <w:t>需按实际需要设置</w:t>
      </w:r>
      <w:r>
        <w:rPr>
          <w:rFonts w:hint="default" w:ascii="Times New Roman" w:hAnsi="Times New Roman" w:cs="Times New Roman"/>
          <w:color w:val="auto"/>
          <w:sz w:val="24"/>
          <w:szCs w:val="24"/>
        </w:rPr>
        <w:t>可燃气体检测仪，检测浓度报警后可及时进行维护修理，可有效地控制伴生气的泄漏。</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rPr>
        <w:t>（2）采用了技术质量可靠的设备、仪表控制、阀门等，烃类机泵采用无泄漏屏蔽泵。</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Times New Roman" w:hAnsi="Times New Roman" w:cs="Times New Roman"/>
          <w:color w:val="auto"/>
          <w:sz w:val="24"/>
          <w:szCs w:val="24"/>
        </w:rPr>
      </w:pPr>
      <w:r>
        <w:rPr>
          <w:rFonts w:hint="eastAsia"/>
          <w:color w:val="auto"/>
          <w:sz w:val="24"/>
          <w:szCs w:val="24"/>
        </w:rPr>
        <w:t>（3）在油气集输过程中，为减轻集输过程中烃类的损失，油田开发采用密闭集输流程，NMHC无组织排放可以满足《陆上石油天然气开采工业大气污染物排放标准》（GB39728-2020）无组织排放监控限值要求。一旦发生泄漏事故，紧急切断油、气源，实施关井，从而最大限度地减少油气集输过程中烃类及油的排放量。定期对油气集输管线进行巡检，以便及时发现问题，消除事故隐患，防止油气泄漏进入大</w:t>
      </w:r>
      <w:r>
        <w:rPr>
          <w:rFonts w:hint="eastAsia" w:ascii="Times New Roman" w:hAnsi="Times New Roman" w:cs="Times New Roman"/>
          <w:color w:val="auto"/>
          <w:sz w:val="24"/>
          <w:szCs w:val="24"/>
        </w:rPr>
        <w:t>气环境。</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4</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rPr>
        <w:t>本工程</w:t>
      </w:r>
      <w:r>
        <w:rPr>
          <w:rFonts w:hint="eastAsia" w:ascii="Times New Roman" w:hAnsi="Times New Roman" w:cs="Times New Roman"/>
          <w:color w:val="auto"/>
          <w:sz w:val="24"/>
          <w:szCs w:val="24"/>
          <w:lang w:val="en-US" w:eastAsia="zh-CN"/>
        </w:rPr>
        <w:t>拉油站拉油</w:t>
      </w:r>
      <w:r>
        <w:rPr>
          <w:rFonts w:hint="eastAsia" w:ascii="Times New Roman" w:hAnsi="Times New Roman" w:cs="Times New Roman"/>
          <w:color w:val="auto"/>
          <w:sz w:val="24"/>
          <w:szCs w:val="24"/>
          <w:lang w:eastAsia="zh-CN"/>
        </w:rPr>
        <w:t>罐使用</w:t>
      </w:r>
      <w:r>
        <w:rPr>
          <w:rFonts w:hint="eastAsia" w:ascii="Times New Roman" w:hAnsi="Times New Roman" w:cs="Times New Roman"/>
          <w:color w:val="auto"/>
          <w:sz w:val="24"/>
          <w:szCs w:val="24"/>
        </w:rPr>
        <w:t>固定顶罐</w:t>
      </w:r>
      <w:r>
        <w:rPr>
          <w:rFonts w:hint="eastAsia" w:ascii="Times New Roman" w:hAnsi="Times New Roman" w:cs="Times New Roman"/>
          <w:color w:val="auto"/>
          <w:sz w:val="24"/>
          <w:szCs w:val="24"/>
          <w:lang w:eastAsia="zh-CN"/>
        </w:rPr>
        <w:t>，</w:t>
      </w:r>
      <w:r>
        <w:rPr>
          <w:rFonts w:hint="eastAsia" w:ascii="Times New Roman" w:hAnsi="Times New Roman" w:cs="Times New Roman"/>
          <w:color w:val="auto"/>
          <w:sz w:val="24"/>
          <w:szCs w:val="24"/>
          <w:lang w:val="en-US" w:eastAsia="zh-CN"/>
        </w:rPr>
        <w:t>配备有</w:t>
      </w:r>
      <w:r>
        <w:rPr>
          <w:rFonts w:hint="eastAsia" w:ascii="Times New Roman" w:hAnsi="Times New Roman" w:cs="Times New Roman"/>
          <w:color w:val="auto"/>
          <w:sz w:val="24"/>
          <w:szCs w:val="24"/>
          <w:lang w:eastAsia="zh-CN"/>
        </w:rPr>
        <w:t>低泄漏的呼吸阀，</w:t>
      </w:r>
      <w:r>
        <w:rPr>
          <w:rFonts w:hint="eastAsia" w:ascii="Times New Roman" w:hAnsi="Times New Roman" w:cs="Times New Roman"/>
          <w:color w:val="auto"/>
          <w:sz w:val="24"/>
          <w:szCs w:val="24"/>
          <w:lang w:val="en-US" w:eastAsia="zh-CN"/>
        </w:rPr>
        <w:t>拉油井场采用高架罐，</w:t>
      </w:r>
      <w:r>
        <w:rPr>
          <w:rFonts w:hint="eastAsia" w:ascii="Times New Roman" w:hAnsi="Times New Roman" w:cs="Times New Roman"/>
          <w:color w:val="auto"/>
          <w:sz w:val="24"/>
          <w:szCs w:val="24"/>
        </w:rPr>
        <w:t>储罐应保持完好，不应有孔洞、缝隙；储罐附件开口（孔），除采样、计量、例行检查、维护和其他正常活动外应密闭；定期检查呼吸阀的定压是否符合设定要求，满足《陆上石油天然气开采工业大气污染物排放标准》(GB39728-2020)中挥发性有机液体储存排放控制要求。</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color w:val="auto"/>
          <w:sz w:val="24"/>
          <w:szCs w:val="24"/>
        </w:rPr>
      </w:pPr>
      <w:r>
        <w:rPr>
          <w:rFonts w:hint="eastAsia"/>
          <w:color w:val="auto"/>
          <w:sz w:val="24"/>
          <w:szCs w:val="24"/>
        </w:rPr>
        <w:t>（</w:t>
      </w:r>
      <w:r>
        <w:rPr>
          <w:rFonts w:hint="eastAsia"/>
          <w:color w:val="auto"/>
          <w:sz w:val="24"/>
          <w:szCs w:val="24"/>
          <w:lang w:val="en-US" w:eastAsia="zh-CN"/>
        </w:rPr>
        <w:t>5</w:t>
      </w:r>
      <w:r>
        <w:rPr>
          <w:rFonts w:hint="eastAsia"/>
          <w:color w:val="auto"/>
          <w:sz w:val="24"/>
          <w:szCs w:val="24"/>
        </w:rPr>
        <w:t>）</w:t>
      </w:r>
      <w:r>
        <w:rPr>
          <w:rFonts w:hint="default"/>
          <w:color w:val="auto"/>
          <w:sz w:val="24"/>
          <w:szCs w:val="24"/>
        </w:rPr>
        <w:t>结合《陆上石油天然气开采工业大气污染物排放标准》(GB39728-2020)要求，本工程对无组织废气非甲烷总烃监测和管控提出如下要求：</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color w:val="auto"/>
          <w:sz w:val="24"/>
          <w:szCs w:val="24"/>
        </w:rPr>
      </w:pPr>
      <w:r>
        <w:rPr>
          <w:rFonts w:hint="default"/>
          <w:color w:val="auto"/>
          <w:sz w:val="24"/>
          <w:szCs w:val="24"/>
        </w:rPr>
        <w:fldChar w:fldCharType="begin"/>
      </w:r>
      <w:r>
        <w:rPr>
          <w:rFonts w:hint="default"/>
          <w:color w:val="auto"/>
          <w:sz w:val="24"/>
          <w:szCs w:val="24"/>
        </w:rPr>
        <w:instrText xml:space="preserve"> = 1 \* GB3 </w:instrText>
      </w:r>
      <w:r>
        <w:rPr>
          <w:rFonts w:hint="default"/>
          <w:color w:val="auto"/>
          <w:sz w:val="24"/>
          <w:szCs w:val="24"/>
        </w:rPr>
        <w:fldChar w:fldCharType="separate"/>
      </w:r>
      <w:r>
        <w:rPr>
          <w:rFonts w:hint="default"/>
          <w:color w:val="auto"/>
          <w:sz w:val="24"/>
          <w:szCs w:val="24"/>
        </w:rPr>
        <w:t>①</w:t>
      </w:r>
      <w:r>
        <w:rPr>
          <w:rFonts w:hint="default"/>
          <w:color w:val="auto"/>
          <w:sz w:val="24"/>
          <w:szCs w:val="24"/>
        </w:rPr>
        <w:fldChar w:fldCharType="end"/>
      </w:r>
      <w:r>
        <w:rPr>
          <w:rFonts w:hint="default"/>
          <w:color w:val="auto"/>
          <w:sz w:val="24"/>
          <w:szCs w:val="24"/>
        </w:rPr>
        <w:t>监测要求，加强非甲烷总烃无组织排放例行监测，对典型井场厂界非甲烷总烃每年监测一次，保存原始监测记录，并公布监测结果；对于设备与管线组件泄漏，监测采样和测定方法按HJ733的规定执行。</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default"/>
          <w:color w:val="auto"/>
          <w:sz w:val="24"/>
          <w:szCs w:val="24"/>
        </w:rPr>
        <w:fldChar w:fldCharType="begin"/>
      </w:r>
      <w:r>
        <w:rPr>
          <w:rFonts w:hint="default"/>
          <w:color w:val="auto"/>
          <w:sz w:val="24"/>
          <w:szCs w:val="24"/>
        </w:rPr>
        <w:instrText xml:space="preserve"> = 2 \* GB3 </w:instrText>
      </w:r>
      <w:r>
        <w:rPr>
          <w:rFonts w:hint="default"/>
          <w:color w:val="auto"/>
          <w:sz w:val="24"/>
          <w:szCs w:val="24"/>
        </w:rPr>
        <w:fldChar w:fldCharType="separate"/>
      </w:r>
      <w:r>
        <w:rPr>
          <w:rFonts w:hint="default"/>
          <w:color w:val="auto"/>
          <w:sz w:val="24"/>
          <w:szCs w:val="24"/>
        </w:rPr>
        <w:t>②</w:t>
      </w:r>
      <w:r>
        <w:rPr>
          <w:rFonts w:hint="default"/>
          <w:color w:val="auto"/>
          <w:sz w:val="24"/>
          <w:szCs w:val="24"/>
        </w:rPr>
        <w:fldChar w:fldCharType="end"/>
      </w:r>
      <w:r>
        <w:rPr>
          <w:rFonts w:hint="default"/>
          <w:color w:val="auto"/>
          <w:sz w:val="24"/>
          <w:szCs w:val="24"/>
        </w:rPr>
        <w:t>管控要求，定期对设备与管线组件的密封点进行VOC</w:t>
      </w:r>
      <w:r>
        <w:rPr>
          <w:rFonts w:hint="default"/>
          <w:color w:val="auto"/>
          <w:sz w:val="24"/>
          <w:szCs w:val="24"/>
          <w:vertAlign w:val="subscript"/>
        </w:rPr>
        <w:t>S</w:t>
      </w:r>
      <w:r>
        <w:rPr>
          <w:rFonts w:hint="default"/>
          <w:color w:val="auto"/>
          <w:sz w:val="24"/>
          <w:szCs w:val="24"/>
        </w:rPr>
        <w:t>泄漏检测，对设备与管线组件的密封点每周进行目视观察，检查其密封处是否出现可见泄漏现象。阀门至少每6个月检测一次，法兰至少每12个月检测一次。当检测到泄漏时，对泄漏源应予以标识，并紧急切断油、气源，实施关井，从而最大限度地减少油气集输过程中烃类及油的排放量。泄漏检测应建立台账，记录检测时间、检测仪器读数、修复时间、采取的修复措施、修复后检测仪器读数等，台账保存期限不少于3年。</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rPr>
        <w:t>（</w:t>
      </w:r>
      <w:r>
        <w:rPr>
          <w:rFonts w:hint="eastAsia"/>
          <w:color w:val="auto"/>
          <w:sz w:val="24"/>
          <w:szCs w:val="24"/>
          <w:lang w:val="en-US" w:eastAsia="zh-CN"/>
        </w:rPr>
        <w:t>6</w:t>
      </w:r>
      <w:r>
        <w:rPr>
          <w:rFonts w:hint="eastAsia"/>
          <w:color w:val="auto"/>
          <w:sz w:val="24"/>
          <w:szCs w:val="24"/>
        </w:rPr>
        <w:t>）进一步开展节能减排工作，加强质量控制和技术研发，降低抽油机井工作能耗，加强油气技术管道密闭性能，大力推广应用零散天然气回收和电力系统无功补偿级新能源利用等开采技术，开发清洁能源替代现有能源，从而减少温室气体排放。</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color w:val="auto"/>
          <w:sz w:val="24"/>
          <w:szCs w:val="24"/>
        </w:rPr>
      </w:pPr>
      <w:r>
        <w:rPr>
          <w:rFonts w:hint="eastAsia"/>
          <w:color w:val="auto"/>
          <w:sz w:val="24"/>
          <w:szCs w:val="24"/>
        </w:rPr>
        <w:t>（</w:t>
      </w:r>
      <w:r>
        <w:rPr>
          <w:rFonts w:hint="eastAsia"/>
          <w:color w:val="auto"/>
          <w:sz w:val="24"/>
          <w:szCs w:val="24"/>
          <w:lang w:val="en-US" w:eastAsia="zh-CN"/>
        </w:rPr>
        <w:t>7</w:t>
      </w:r>
      <w:r>
        <w:rPr>
          <w:rFonts w:hint="eastAsia"/>
          <w:color w:val="auto"/>
          <w:sz w:val="24"/>
          <w:szCs w:val="24"/>
        </w:rPr>
        <w:t>）温室气体管控：①进一步开展节能减排工作，加强质量控制和技术研发，降低抽油机井工作能耗，加强油气技术管道密闭性能；②大力推广应用零散天然气回收和电力系统无功补偿</w:t>
      </w:r>
      <w:r>
        <w:rPr>
          <w:rFonts w:hint="eastAsia"/>
          <w:color w:val="auto"/>
          <w:sz w:val="24"/>
          <w:szCs w:val="24"/>
          <w:lang w:eastAsia="zh-CN"/>
        </w:rPr>
        <w:t>及</w:t>
      </w:r>
      <w:r>
        <w:rPr>
          <w:rFonts w:hint="eastAsia"/>
          <w:color w:val="auto"/>
          <w:sz w:val="24"/>
          <w:szCs w:val="24"/>
        </w:rPr>
        <w:t>新能源利用等开采技术，开发清洁能源替代现有能源；③选用质量可靠的设备、仪表、阀门等；④加强对密闭管线及密封点的巡检，一旦发生泄漏立即切断控制阀，并尽快完成修复；⑤加强油井生产管理，减少温室气体的跑、冒，做好油井的压力监测，并准备应急措施，从而减少温室气体排放。</w:t>
      </w:r>
    </w:p>
    <w:p>
      <w:pPr>
        <w:pStyle w:val="57"/>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lang w:eastAsia="zh-CN"/>
        </w:rPr>
      </w:pPr>
      <w:r>
        <w:rPr>
          <w:rFonts w:hint="eastAsia"/>
          <w:color w:val="auto"/>
          <w:sz w:val="24"/>
          <w:szCs w:val="24"/>
        </w:rPr>
        <w:t>综上，</w:t>
      </w:r>
      <w:r>
        <w:rPr>
          <w:rFonts w:hint="eastAsia"/>
          <w:color w:val="auto"/>
          <w:sz w:val="24"/>
          <w:szCs w:val="24"/>
          <w:lang w:eastAsia="zh-CN"/>
        </w:rPr>
        <w:t>本工程</w:t>
      </w:r>
      <w:r>
        <w:rPr>
          <w:rFonts w:hint="eastAsia"/>
          <w:color w:val="auto"/>
          <w:sz w:val="24"/>
          <w:szCs w:val="24"/>
        </w:rPr>
        <w:t>采取的废气污染防治措施可行</w:t>
      </w:r>
      <w:r>
        <w:rPr>
          <w:rFonts w:hint="eastAsia" w:ascii="Times New Roman" w:hAnsi="Times New Roman" w:eastAsia="宋体" w:cs="Times New Roman"/>
          <w:color w:val="auto"/>
          <w:sz w:val="24"/>
          <w:szCs w:val="24"/>
          <w:highlight w:val="none"/>
          <w:lang w:eastAsia="zh-CN"/>
        </w:rPr>
        <w:t>。</w:t>
      </w:r>
    </w:p>
    <w:p>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"_Toc24095" </w:instrText>
      </w:r>
      <w:r>
        <w:rPr>
          <w:color w:val="auto"/>
          <w:highlight w:val="none"/>
        </w:rPr>
        <w:fldChar w:fldCharType="separate"/>
      </w:r>
      <w:r>
        <w:rPr>
          <w:rFonts w:hint="eastAsia" w:ascii="Times New Roman" w:hAnsi="Times New Roman" w:eastAsia="宋体"/>
          <w:color w:val="auto"/>
          <w:highlight w:val="none"/>
        </w:rPr>
        <w:t>6.5.3退役期大气环境保护措施</w:t>
      </w:r>
      <w:r>
        <w:rPr>
          <w:rFonts w:hint="eastAsia" w:ascii="Times New Roman" w:hAnsi="Times New Roman" w:eastAsia="宋体"/>
          <w:color w:val="auto"/>
          <w:highlight w:val="none"/>
        </w:rPr>
        <w:fldChar w:fldCharType="end"/>
      </w:r>
    </w:p>
    <w:p>
      <w:pPr>
        <w:pStyle w:val="57"/>
        <w:rPr>
          <w:color w:val="auto"/>
          <w:highlight w:val="none"/>
        </w:rPr>
      </w:pPr>
      <w:r>
        <w:rPr>
          <w:rFonts w:hint="eastAsia"/>
          <w:color w:val="auto"/>
          <w:highlight w:val="none"/>
        </w:rPr>
        <w:t>（1）运输车辆使用符合国家标准的油品。</w:t>
      </w:r>
    </w:p>
    <w:p>
      <w:pPr>
        <w:pStyle w:val="57"/>
        <w:rPr>
          <w:color w:val="auto"/>
          <w:highlight w:val="none"/>
        </w:rPr>
      </w:pPr>
      <w:r>
        <w:rPr>
          <w:rFonts w:hint="eastAsia"/>
          <w:color w:val="auto"/>
          <w:highlight w:val="none"/>
        </w:rPr>
        <w:t>（2）在闭井施工操作中应做到文明施工，防止水泥等的洒落与飘散；尽量避开大风天气进行作业。</w:t>
      </w:r>
    </w:p>
    <w:p>
      <w:pPr>
        <w:pStyle w:val="57"/>
        <w:rPr>
          <w:color w:val="auto"/>
          <w:highlight w:val="none"/>
        </w:rPr>
      </w:pPr>
      <w:r>
        <w:rPr>
          <w:rFonts w:hint="eastAsia"/>
          <w:color w:val="auto"/>
          <w:highlight w:val="none"/>
        </w:rPr>
        <w:t>（3）退役期封井施工过程中，应加强施工质量管理，避免出现封井不严等非正常工况的烃类泄漏。</w:t>
      </w:r>
    </w:p>
    <w:p>
      <w:pPr>
        <w:pStyle w:val="57"/>
        <w:rPr>
          <w:color w:val="auto"/>
          <w:highlight w:val="none"/>
        </w:rPr>
      </w:pPr>
      <w:r>
        <w:rPr>
          <w:color w:val="auto"/>
          <w:highlight w:val="none"/>
        </w:rPr>
        <w:t>综上所述，采取的大气环境保护措施是可行的。</w:t>
      </w:r>
    </w:p>
    <w:p>
      <w:pPr>
        <w:pStyle w:val="49"/>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50" w:name="_Toc18466"/>
      <w:bookmarkStart w:id="751" w:name="_Toc20965"/>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_Toc32429 </w:instrText>
      </w:r>
      <w:r>
        <w:rPr>
          <w:rFonts w:ascii="Times New Roman" w:hAnsi="Times New Roman" w:eastAsia="宋体"/>
          <w:color w:val="auto"/>
          <w:highlight w:val="none"/>
        </w:rPr>
        <w:fldChar w:fldCharType="separate"/>
      </w:r>
      <w:r>
        <w:rPr>
          <w:rFonts w:hint="eastAsia" w:ascii="Times New Roman" w:hAnsi="Times New Roman" w:eastAsia="宋体"/>
          <w:color w:val="auto"/>
          <w:highlight w:val="none"/>
        </w:rPr>
        <w:t>6.6 声环境保护措施可行性论证</w:t>
      </w:r>
      <w:r>
        <w:rPr>
          <w:rFonts w:ascii="Times New Roman" w:hAnsi="Times New Roman" w:eastAsia="宋体"/>
          <w:color w:val="auto"/>
          <w:highlight w:val="none"/>
        </w:rPr>
        <w:fldChar w:fldCharType="end"/>
      </w:r>
      <w:bookmarkEnd w:id="750"/>
      <w:bookmarkEnd w:id="751"/>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"_Toc5999" </w:instrText>
      </w:r>
      <w:r>
        <w:rPr>
          <w:color w:val="auto"/>
          <w:highlight w:val="none"/>
        </w:rPr>
        <w:fldChar w:fldCharType="separate"/>
      </w:r>
      <w:r>
        <w:rPr>
          <w:rFonts w:hint="eastAsia" w:ascii="Times New Roman" w:hAnsi="Times New Roman" w:eastAsia="宋体"/>
          <w:color w:val="auto"/>
          <w:highlight w:val="none"/>
        </w:rPr>
        <w:t>6.6.1施工期声环境保护措施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本工程施工期噪声源主要是各类施工机械和运输车辆。为最大限度避免和减轻施工及运输噪声对周围声环境的不利影响，本评价对施工期噪声控制提出以下要求和建议：</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1）钻井期做好泥浆泵、发电机和柴油机等高噪声设备的基础减振和设置隔声罩减少噪声传播，合理安排施工时间，高噪声施工设备减少夜间使用或禁止使用，避免形成污染影响；在不能对声源采取有效措施情况下，对可能受噪声影响的油田工作人员发放噪声个人防护器材，消除噪声污染影响。</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（2）施工设备选型时，在满足施工需要的前提下，尽可能选取噪声低、振动小、能耗小的先进设备。</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（3）加强施工机械的维护保养，避免由于设备性能差而使机械噪声增大的现象发生。</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（4）运输车辆进出工地时应低速行驶，少鸣笛或不鸣笛。</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val="en-US" w:eastAsia="zh-CN"/>
        </w:rPr>
        <w:t>综上所述，项目区200m范围内没有声环境敏感点，</w:t>
      </w:r>
      <w:r>
        <w:rPr>
          <w:rFonts w:hint="eastAsia" w:cs="Times New Roman"/>
          <w:color w:val="auto"/>
          <w:highlight w:val="none"/>
          <w:lang w:val="en-US" w:eastAsia="zh-CN"/>
        </w:rPr>
        <w:t>采取</w:t>
      </w:r>
      <w:r>
        <w:rPr>
          <w:rFonts w:hint="eastAsia" w:ascii="Times New Roman" w:hAnsi="Times New Roman" w:eastAsia="宋体" w:cs="Times New Roman"/>
          <w:color w:val="auto"/>
          <w:highlight w:val="none"/>
          <w:lang w:val="en-US" w:eastAsia="zh-CN"/>
        </w:rPr>
        <w:t>噪声污染防治措施是可行的</w:t>
      </w:r>
      <w:r>
        <w:rPr>
          <w:rFonts w:hint="eastAsia" w:ascii="Times New Roman" w:hAnsi="Times New Roman" w:eastAsia="宋体" w:cs="Times New Roman"/>
          <w:color w:val="auto"/>
          <w:highlight w:val="none"/>
        </w:rPr>
        <w:t>。</w:t>
      </w:r>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"_Toc23239" </w:instrText>
      </w:r>
      <w:r>
        <w:rPr>
          <w:color w:val="auto"/>
          <w:highlight w:val="none"/>
        </w:rPr>
        <w:fldChar w:fldCharType="separate"/>
      </w:r>
      <w:r>
        <w:rPr>
          <w:rFonts w:hint="eastAsia" w:ascii="Times New Roman" w:hAnsi="Times New Roman" w:eastAsia="宋体"/>
          <w:color w:val="auto"/>
          <w:highlight w:val="none"/>
        </w:rPr>
        <w:t>6.6.2运营期声环境保护措施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运营期噪声源主要包括井场</w:t>
      </w:r>
      <w:r>
        <w:rPr>
          <w:rFonts w:hint="eastAsia"/>
          <w:color w:val="auto"/>
          <w:highlight w:val="none"/>
          <w:lang w:val="en-US" w:eastAsia="zh-CN"/>
        </w:rPr>
        <w:t>抽油机</w:t>
      </w:r>
      <w:r>
        <w:rPr>
          <w:color w:val="auto"/>
          <w:highlight w:val="none"/>
        </w:rPr>
        <w:t>、</w:t>
      </w:r>
      <w:r>
        <w:rPr>
          <w:rFonts w:hint="eastAsia"/>
          <w:color w:val="auto"/>
          <w:highlight w:val="none"/>
          <w:lang w:val="en-US" w:eastAsia="zh-CN"/>
        </w:rPr>
        <w:t>站场装车泵</w:t>
      </w:r>
      <w:r>
        <w:rPr>
          <w:rFonts w:hint="eastAsia"/>
          <w:color w:val="auto"/>
          <w:highlight w:val="none"/>
        </w:rPr>
        <w:t>等机泵</w:t>
      </w:r>
      <w:r>
        <w:rPr>
          <w:color w:val="auto"/>
          <w:highlight w:val="none"/>
        </w:rPr>
        <w:t>产生的噪声。采取的</w:t>
      </w:r>
      <w:r>
        <w:rPr>
          <w:rFonts w:hint="eastAsia"/>
          <w:color w:val="auto"/>
          <w:highlight w:val="none"/>
        </w:rPr>
        <w:t>降噪</w:t>
      </w:r>
      <w:r>
        <w:rPr>
          <w:color w:val="auto"/>
          <w:highlight w:val="none"/>
        </w:rPr>
        <w:t>措施如下：</w:t>
      </w:r>
    </w:p>
    <w:p>
      <w:pPr>
        <w:pStyle w:val="57"/>
        <w:pageBreakBefore w:val="0"/>
        <w:widowControl/>
        <w:kinsoku/>
        <w:wordWrap/>
        <w:overflowPunct/>
        <w:topLinePunct w:val="0"/>
        <w:autoSpaceDE/>
        <w:autoSpaceDN/>
        <w:bidi w:val="0"/>
        <w:spacing w:line="480" w:lineRule="exact"/>
        <w:textAlignment w:val="auto"/>
        <w:rPr>
          <w:rFonts w:ascii="Times New Roman" w:hAnsi="Times New Roman" w:eastAsia="宋体" w:cs="Times New Roman"/>
          <w:color w:val="auto"/>
          <w:highlight w:val="none"/>
        </w:rPr>
      </w:pPr>
      <w:r>
        <w:rPr>
          <w:rFonts w:ascii="Times New Roman" w:hAnsi="Times New Roman" w:eastAsia="宋体" w:cs="Times New Roman"/>
          <w:color w:val="auto"/>
          <w:highlight w:val="none"/>
        </w:rPr>
        <w:t>（1）</w:t>
      </w:r>
      <w:r>
        <w:rPr>
          <w:rFonts w:hint="eastAsia" w:ascii="Times New Roman" w:hAnsi="Times New Roman" w:eastAsia="宋体" w:cs="Times New Roman"/>
          <w:color w:val="auto"/>
          <w:highlight w:val="none"/>
        </w:rPr>
        <w:t>对声源强度较大的设备进行减噪处理，根据各种设备类型所产生噪声的特性，采用定期给机泵等设备加润滑油和减振垫，对各种机械设备定期保养等不同的控制手段</w:t>
      </w:r>
      <w:r>
        <w:rPr>
          <w:rFonts w:ascii="Times New Roman" w:hAnsi="Times New Roman" w:eastAsia="宋体" w:cs="Times New Roman"/>
          <w:color w:val="auto"/>
          <w:highlight w:val="none"/>
        </w:rPr>
        <w:t>。</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（2）提高工艺过程自动化水平，尽量减少操作人员在噪声源的停留时间。设备采用巡检的方式，由操作人员定期对装置区进行检查，尽量减少人员与噪声的接触时间。</w:t>
      </w:r>
    </w:p>
    <w:p>
      <w:pPr>
        <w:pStyle w:val="57"/>
        <w:pageBreakBefore w:val="0"/>
        <w:widowControl/>
        <w:kinsoku/>
        <w:wordWrap/>
        <w:overflowPunct/>
        <w:topLinePunct w:val="0"/>
        <w:autoSpaceDE/>
        <w:autoSpaceDN/>
        <w:bidi w:val="0"/>
        <w:spacing w:line="480" w:lineRule="exact"/>
        <w:textAlignment w:val="auto"/>
        <w:rPr>
          <w:rFonts w:hint="eastAsia"/>
          <w:color w:val="auto"/>
          <w:highlight w:val="none"/>
        </w:rPr>
      </w:pPr>
      <w:r>
        <w:rPr>
          <w:rFonts w:hint="eastAsia" w:ascii="Times New Roman" w:hAnsi="Times New Roman" w:eastAsia="宋体" w:cs="Times New Roman"/>
          <w:color w:val="auto"/>
          <w:highlight w:val="none"/>
        </w:rPr>
        <w:t>（3）定时保养设备，避免设备转动部件在无润滑条件下运转。</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综上，</w:t>
      </w:r>
      <w:r>
        <w:rPr>
          <w:color w:val="auto"/>
          <w:highlight w:val="none"/>
        </w:rPr>
        <w:t>运营期井场场界噪声不会对周围声环境产生明显影响，措施</w:t>
      </w:r>
      <w:r>
        <w:rPr>
          <w:rFonts w:hint="eastAsia"/>
          <w:color w:val="auto"/>
          <w:highlight w:val="none"/>
        </w:rPr>
        <w:t>可</w:t>
      </w:r>
      <w:r>
        <w:rPr>
          <w:color w:val="auto"/>
          <w:highlight w:val="none"/>
        </w:rPr>
        <w:t>行</w:t>
      </w:r>
      <w:r>
        <w:rPr>
          <w:rFonts w:hint="eastAsia"/>
          <w:color w:val="auto"/>
          <w:highlight w:val="none"/>
        </w:rPr>
        <w:t>。</w:t>
      </w:r>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"_Toc3803" </w:instrText>
      </w:r>
      <w:r>
        <w:rPr>
          <w:color w:val="auto"/>
          <w:highlight w:val="none"/>
        </w:rPr>
        <w:fldChar w:fldCharType="separate"/>
      </w:r>
      <w:r>
        <w:rPr>
          <w:rFonts w:hint="eastAsia" w:ascii="Times New Roman" w:hAnsi="Times New Roman" w:eastAsia="宋体"/>
          <w:color w:val="auto"/>
          <w:highlight w:val="none"/>
        </w:rPr>
        <w:t>6.6.3退役期声环境保护措施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（1）选用低噪声机械和车辆。</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（2）加强设备检查维修，保证其正常运行。</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（3）加强运输车辆管理，合理规划运输路线，禁止运输车辆随意高声鸣笛。</w:t>
      </w:r>
    </w:p>
    <w:p>
      <w:pPr>
        <w:pStyle w:val="57"/>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综上所述，采取的噪声污染防治措施是可行的。</w:t>
      </w:r>
    </w:p>
    <w:p>
      <w:pPr>
        <w:pStyle w:val="49"/>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bookmarkStart w:id="752" w:name="_Toc21082"/>
      <w:bookmarkStart w:id="753" w:name="_Toc5304"/>
      <w:r>
        <w:rPr>
          <w:rFonts w:ascii="Times New Roman" w:hAnsi="Times New Roman" w:eastAsia="宋体"/>
          <w:color w:val="auto"/>
          <w:highlight w:val="none"/>
        </w:rPr>
        <w:fldChar w:fldCharType="begin"/>
      </w:r>
      <w:r>
        <w:rPr>
          <w:rFonts w:ascii="Times New Roman" w:hAnsi="Times New Roman" w:eastAsia="宋体"/>
          <w:color w:val="auto"/>
          <w:highlight w:val="none"/>
        </w:rPr>
        <w:instrText xml:space="preserve"> HYPERLINK \l _Toc24103 </w:instrText>
      </w:r>
      <w:r>
        <w:rPr>
          <w:rFonts w:ascii="Times New Roman" w:hAnsi="Times New Roman" w:eastAsia="宋体"/>
          <w:color w:val="auto"/>
          <w:highlight w:val="none"/>
        </w:rPr>
        <w:fldChar w:fldCharType="separate"/>
      </w:r>
      <w:r>
        <w:rPr>
          <w:rFonts w:hint="eastAsia" w:ascii="Times New Roman" w:hAnsi="Times New Roman" w:eastAsia="宋体"/>
          <w:color w:val="auto"/>
          <w:highlight w:val="none"/>
        </w:rPr>
        <w:t>6.7 固体废物处理措施可行性论证</w:t>
      </w:r>
      <w:r>
        <w:rPr>
          <w:rFonts w:ascii="Times New Roman" w:hAnsi="Times New Roman" w:eastAsia="宋体"/>
          <w:color w:val="auto"/>
          <w:highlight w:val="none"/>
        </w:rPr>
        <w:fldChar w:fldCharType="end"/>
      </w:r>
      <w:bookmarkEnd w:id="752"/>
      <w:bookmarkEnd w:id="753"/>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"_Toc22106" </w:instrText>
      </w:r>
      <w:r>
        <w:rPr>
          <w:color w:val="auto"/>
          <w:highlight w:val="none"/>
        </w:rPr>
        <w:fldChar w:fldCharType="separate"/>
      </w:r>
      <w:r>
        <w:rPr>
          <w:rFonts w:hint="eastAsia" w:ascii="Times New Roman" w:hAnsi="Times New Roman" w:eastAsia="宋体"/>
          <w:color w:val="auto"/>
          <w:highlight w:val="none"/>
        </w:rPr>
        <w:t>6.7.1施工期固体废物污染防治措施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本次油田建设在施工期产生的固体废物主要包括钻井泥浆、岩屑、施工废料、施工人员产生的生活垃圾、废油和含油废弃物。施工单位不准将各种固体废物随意丢弃和随意排放。</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（1）钻井岩屑</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本工程钻井采用泥浆不落地系统。</w:t>
      </w:r>
      <w:r>
        <w:rPr>
          <w:rFonts w:hint="eastAsia"/>
          <w:color w:val="auto"/>
          <w:spacing w:val="-6"/>
          <w:sz w:val="24"/>
          <w:highlight w:val="none"/>
          <w:shd w:val="clear" w:color="auto" w:fill="auto"/>
          <w:lang w:val="en-US" w:eastAsia="zh-CN"/>
        </w:rPr>
        <w:t>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r>
        <w:rPr>
          <w:rFonts w:hint="eastAsia" w:ascii="Times New Roman" w:hAnsi="Times New Roman" w:eastAsia="宋体" w:cs="Times New Roman"/>
          <w:color w:val="auto"/>
          <w:highlight w:val="none"/>
          <w:lang w:eastAsia="zh-CN"/>
        </w:rPr>
        <w:t>。</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2</w:t>
      </w:r>
      <w:r>
        <w:rPr>
          <w:rFonts w:hint="eastAsia" w:ascii="Times New Roman" w:hAnsi="Times New Roman" w:eastAsia="宋体" w:cs="Times New Roman"/>
          <w:color w:val="auto"/>
          <w:highlight w:val="none"/>
        </w:rPr>
        <w:t>）施工废料</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施工废料主要包括管材边角料、焊接作业中产生的废焊渣等，首先考虑回收利用，不可回收利用部分拉运至</w:t>
      </w:r>
      <w:r>
        <w:rPr>
          <w:rFonts w:hint="eastAsia" w:ascii="Times New Roman" w:hAnsi="Times New Roman" w:eastAsia="宋体" w:cs="Times New Roman"/>
          <w:color w:val="auto"/>
          <w:highlight w:val="none"/>
          <w:lang w:eastAsia="zh-CN"/>
        </w:rPr>
        <w:t>克拉玛依市建筑垃圾填埋场填埋处置</w:t>
      </w:r>
      <w:r>
        <w:rPr>
          <w:rFonts w:hint="eastAsia" w:ascii="Times New Roman" w:hAnsi="Times New Roman" w:eastAsia="宋体" w:cs="Times New Roman"/>
          <w:color w:val="auto"/>
          <w:highlight w:val="none"/>
        </w:rPr>
        <w:t>。施工单位对固废要进行收集并固定地点集中暂存，争取日产日清。同时要做好固废暂存点的防护工作，避免风吹、流失。</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3</w:t>
      </w:r>
      <w:r>
        <w:rPr>
          <w:rFonts w:hint="eastAsia" w:ascii="Times New Roman" w:hAnsi="Times New Roman" w:eastAsia="宋体" w:cs="Times New Roman"/>
          <w:color w:val="auto"/>
          <w:highlight w:val="none"/>
        </w:rPr>
        <w:t>）生活垃圾</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施工人员生活垃圾集中收集后运至</w:t>
      </w:r>
      <w:r>
        <w:rPr>
          <w:rFonts w:hint="eastAsia" w:ascii="Times New Roman" w:hAnsi="Times New Roman" w:eastAsia="宋体" w:cs="Times New Roman"/>
          <w:color w:val="auto"/>
          <w:highlight w:val="none"/>
          <w:lang w:eastAsia="zh-CN"/>
        </w:rPr>
        <w:t>乌尔禾区生活垃圾填埋场进行处置</w:t>
      </w:r>
      <w:r>
        <w:rPr>
          <w:rFonts w:hint="eastAsia" w:ascii="Times New Roman" w:hAnsi="Times New Roman" w:eastAsia="宋体" w:cs="Times New Roman"/>
          <w:color w:val="auto"/>
          <w:highlight w:val="none"/>
        </w:rPr>
        <w:t>。生活垃圾应定点存放，由施工单位定时和统一集中处置。</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4</w:t>
      </w:r>
      <w:r>
        <w:rPr>
          <w:rFonts w:hint="eastAsia" w:ascii="Times New Roman" w:hAnsi="Times New Roman" w:eastAsia="宋体" w:cs="Times New Roman"/>
          <w:color w:val="auto"/>
          <w:highlight w:val="none"/>
        </w:rPr>
        <w:t>）机械设备废油和含油废弃物</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rPr>
        <w:t>施工期间使用的机械设备运行过程中需进行维护、保养、维修等工作，以使其能正常运转，此过程中将产生少量的废油，如废液压油、废润滑油、废机油、含油废弃物等，</w:t>
      </w:r>
      <w:r>
        <w:rPr>
          <w:rFonts w:hint="eastAsia" w:ascii="Times New Roman" w:hAnsi="Times New Roman" w:eastAsia="宋体" w:cs="Times New Roman"/>
          <w:color w:val="auto"/>
          <w:highlight w:val="none"/>
          <w:lang w:eastAsia="zh-CN"/>
        </w:rPr>
        <w:t>委托克拉玛依顺通环保科技有限责任公司或其他有危废处置资质单位接收处置</w:t>
      </w:r>
      <w:r>
        <w:rPr>
          <w:rFonts w:hint="eastAsia" w:ascii="Times New Roman" w:hAnsi="Times New Roman" w:eastAsia="宋体" w:cs="Times New Roman"/>
          <w:color w:val="auto"/>
          <w:highlight w:val="none"/>
        </w:rPr>
        <w:t>。</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5</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施工期产生的废纯碱、膨润土、水泥等包装袋</w:t>
      </w:r>
      <w:r>
        <w:rPr>
          <w:rFonts w:hint="eastAsia" w:ascii="Times New Roman" w:hAnsi="Times New Roman" w:eastAsia="宋体" w:cs="Times New Roman"/>
          <w:color w:val="auto"/>
          <w:highlight w:val="none"/>
          <w:lang w:eastAsia="zh-CN"/>
        </w:rPr>
        <w:t>属于一般工业固体废物，参照执行《一般工业固体废物贮存和填埋污染控制标准》（GB18599-2020）要求，由钻井施工单位集中收集后统一回收处置。</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lang w:eastAsia="zh-CN"/>
        </w:rPr>
      </w:pPr>
      <w:r>
        <w:rPr>
          <w:rFonts w:hint="eastAsia"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6</w:t>
      </w:r>
      <w:r>
        <w:rPr>
          <w:rFonts w:hint="eastAsia" w:ascii="Times New Roman" w:hAnsi="Times New Roman" w:eastAsia="宋体" w:cs="Times New Roman"/>
          <w:color w:val="auto"/>
          <w:highlight w:val="none"/>
        </w:rPr>
        <w:t>）优选钻井液材料，尽可能采用无毒、低毒材料，禁止使用国家明文规定有毒有害成分的钻井液材料。</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lang w:val="en-US" w:eastAsia="zh-CN"/>
        </w:rPr>
        <w:t>7</w:t>
      </w:r>
      <w:r>
        <w:rPr>
          <w:rFonts w:hint="eastAsia" w:ascii="Times New Roman" w:hAnsi="Times New Roman" w:eastAsia="宋体" w:cs="Times New Roman"/>
          <w:color w:val="auto"/>
          <w:highlight w:val="none"/>
          <w:lang w:eastAsia="zh-CN"/>
        </w:rPr>
        <w:t>）</w:t>
      </w:r>
      <w:r>
        <w:rPr>
          <w:rFonts w:hint="eastAsia" w:ascii="Times New Roman" w:hAnsi="Times New Roman" w:eastAsia="宋体" w:cs="Times New Roman"/>
          <w:color w:val="auto"/>
          <w:highlight w:val="none"/>
        </w:rPr>
        <w:t>加强油料的管理，避免外泄，含油废弃物单独堆放，减少含油废弃物的产生量</w:t>
      </w:r>
    </w:p>
    <w:p>
      <w:pPr>
        <w:pStyle w:val="53"/>
        <w:pageBreakBefore w:val="0"/>
        <w:widowControl/>
        <w:kinsoku/>
        <w:wordWrap/>
        <w:overflowPunct/>
        <w:topLinePunct w:val="0"/>
        <w:autoSpaceDE/>
        <w:autoSpaceDN/>
        <w:bidi w:val="0"/>
        <w:spacing w:line="480" w:lineRule="exact"/>
        <w:textAlignment w:val="auto"/>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"_Toc6498" </w:instrText>
      </w:r>
      <w:r>
        <w:rPr>
          <w:color w:val="auto"/>
          <w:highlight w:val="none"/>
        </w:rPr>
        <w:fldChar w:fldCharType="separate"/>
      </w:r>
      <w:r>
        <w:rPr>
          <w:rFonts w:hint="eastAsia" w:ascii="Times New Roman" w:hAnsi="Times New Roman" w:eastAsia="宋体"/>
          <w:color w:val="auto"/>
          <w:highlight w:val="none"/>
        </w:rPr>
        <w:t>6.7.2 运营期固体废物污染防治措施</w:t>
      </w:r>
      <w:r>
        <w:rPr>
          <w:rFonts w:hint="eastAsia" w:ascii="Times New Roman" w:hAnsi="Times New Roman" w:eastAsia="宋体"/>
          <w:color w:val="auto"/>
          <w:highlight w:val="none"/>
        </w:rPr>
        <w:fldChar w:fldCharType="end"/>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本工程运营期主要产生的固体废物主要有油泥（砂）、清管废渣、废润滑油、落地原油、废防渗膜。</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（1）运营期产生的含油污泥、清管废渣、废润滑油</w:t>
      </w:r>
      <w:r>
        <w:rPr>
          <w:rFonts w:hint="default" w:ascii="Times New Roman" w:hAnsi="Times New Roman" w:eastAsia="宋体" w:cs="Times New Roman"/>
          <w:color w:val="auto"/>
          <w:highlight w:val="none"/>
          <w:lang w:eastAsia="zh-CN"/>
        </w:rPr>
        <w:t>、</w:t>
      </w:r>
      <w:r>
        <w:rPr>
          <w:rFonts w:hint="default" w:ascii="Times New Roman" w:hAnsi="Times New Roman" w:eastAsia="宋体" w:cs="Times New Roman"/>
          <w:color w:val="auto"/>
          <w:highlight w:val="none"/>
          <w:lang w:val="en-US" w:eastAsia="zh-CN"/>
        </w:rPr>
        <w:t>废防渗膜</w:t>
      </w:r>
      <w:r>
        <w:rPr>
          <w:rFonts w:hint="default" w:ascii="Times New Roman" w:hAnsi="Times New Roman" w:eastAsia="宋体" w:cs="Times New Roman"/>
          <w:color w:val="auto"/>
          <w:highlight w:val="none"/>
        </w:rPr>
        <w:t>等危废</w:t>
      </w:r>
      <w:r>
        <w:rPr>
          <w:rFonts w:hint="eastAsia" w:ascii="Times New Roman" w:hAnsi="Times New Roman" w:eastAsia="宋体" w:cs="Times New Roman"/>
          <w:color w:val="auto"/>
          <w:highlight w:val="none"/>
          <w:lang w:eastAsia="zh-CN"/>
        </w:rPr>
        <w:t>委托克拉玛依顺通环保科技有限责任公司或其他有危废处置资质单位接收处置</w:t>
      </w:r>
      <w:r>
        <w:rPr>
          <w:rFonts w:hint="default" w:ascii="Times New Roman" w:hAnsi="Times New Roman" w:eastAsia="宋体" w:cs="Times New Roman"/>
          <w:color w:val="auto"/>
          <w:highlight w:val="none"/>
        </w:rPr>
        <w:t>。</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（2）井下作业时带罐作业，落地油100%回收。</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3</w:t>
      </w:r>
      <w:r>
        <w:rPr>
          <w:rFonts w:hint="default" w:ascii="Times New Roman" w:hAnsi="Times New Roman" w:eastAsia="宋体" w:cs="Times New Roman"/>
          <w:color w:val="auto"/>
          <w:highlight w:val="none"/>
        </w:rPr>
        <w:t>）加强巡检频率，尽量杜绝管线、阀门“跑、冒、滴、漏”及人为破坏现象。</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bookmarkStart w:id="754" w:name="_Hlk93496966"/>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4</w:t>
      </w: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eastAsia="zh-CN"/>
        </w:rPr>
        <w:t>风城油田作业区</w:t>
      </w:r>
      <w:r>
        <w:rPr>
          <w:rFonts w:hint="default" w:ascii="Times New Roman" w:hAnsi="Times New Roman" w:eastAsia="宋体" w:cs="Times New Roman"/>
          <w:color w:val="auto"/>
          <w:highlight w:val="none"/>
        </w:rPr>
        <w:t>已建立了完善的危废管理计划，并定期向生态环境主管部门上报备案，项目建成后总体按照</w:t>
      </w:r>
      <w:r>
        <w:rPr>
          <w:rFonts w:hint="eastAsia" w:ascii="Times New Roman" w:hAnsi="Times New Roman" w:eastAsia="宋体" w:cs="Times New Roman"/>
          <w:color w:val="auto"/>
          <w:highlight w:val="none"/>
          <w:lang w:eastAsia="zh-CN"/>
        </w:rPr>
        <w:t>既定</w:t>
      </w:r>
      <w:r>
        <w:rPr>
          <w:rFonts w:hint="default" w:ascii="Times New Roman" w:hAnsi="Times New Roman" w:eastAsia="宋体" w:cs="Times New Roman"/>
          <w:color w:val="auto"/>
          <w:highlight w:val="none"/>
        </w:rPr>
        <w:t>计划进行危废管理。</w:t>
      </w:r>
      <w:bookmarkEnd w:id="754"/>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5</w:t>
      </w:r>
      <w:r>
        <w:rPr>
          <w:rFonts w:hint="default" w:ascii="Times New Roman" w:hAnsi="Times New Roman" w:eastAsia="宋体" w:cs="Times New Roman"/>
          <w:color w:val="auto"/>
          <w:highlight w:val="none"/>
        </w:rPr>
        <w:t>）及时清理回收因管线破损产生的油污，定期委托具有含油污泥处置资质的单位处置。</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6</w:t>
      </w:r>
      <w:r>
        <w:rPr>
          <w:rFonts w:hint="default" w:ascii="Times New Roman" w:hAnsi="Times New Roman" w:eastAsia="宋体" w:cs="Times New Roman"/>
          <w:color w:val="auto"/>
          <w:highlight w:val="none"/>
        </w:rPr>
        <w:t>）加强管线的日常巡检工作，在原有基础上增加巡检频次和密度，巡检的内容包括定期对管线进行超声波检查，对壁厚低于规定要求的管段及时更换，消除爆管的隐患。</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7</w:t>
      </w:r>
      <w:r>
        <w:rPr>
          <w:rFonts w:hint="default" w:ascii="Times New Roman" w:hAnsi="Times New Roman" w:eastAsia="宋体" w:cs="Times New Roman"/>
          <w:color w:val="auto"/>
          <w:highlight w:val="none"/>
        </w:rPr>
        <w:t>）加强员工危险废物知识培训，增强员工的危险废物安全管理及处置意识；加强原油落地。</w:t>
      </w:r>
    </w:p>
    <w:p>
      <w:pPr>
        <w:pStyle w:val="57"/>
        <w:pageBreakBefore w:val="0"/>
        <w:widowControl/>
        <w:kinsoku/>
        <w:wordWrap/>
        <w:overflowPunct/>
        <w:topLinePunct w:val="0"/>
        <w:autoSpaceDE/>
        <w:autoSpaceDN/>
        <w:bidi w:val="0"/>
        <w:spacing w:line="480" w:lineRule="exact"/>
        <w:textAlignment w:val="auto"/>
        <w:rPr>
          <w:rFonts w:hint="default" w:ascii="Times New Roman" w:hAnsi="Times New Roman" w:eastAsia="宋体" w:cs="Times New Roman"/>
          <w:color w:val="auto"/>
          <w:highlight w:val="none"/>
        </w:rPr>
      </w:pPr>
      <w:r>
        <w:rPr>
          <w:rFonts w:hint="default" w:ascii="Times New Roman" w:hAnsi="Times New Roman" w:eastAsia="宋体" w:cs="Times New Roman"/>
          <w:color w:val="auto"/>
          <w:highlight w:val="none"/>
        </w:rPr>
        <w:t>（</w:t>
      </w:r>
      <w:r>
        <w:rPr>
          <w:rFonts w:hint="eastAsia" w:ascii="Times New Roman" w:hAnsi="Times New Roman" w:eastAsia="宋体" w:cs="Times New Roman"/>
          <w:color w:val="auto"/>
          <w:highlight w:val="none"/>
          <w:lang w:val="en-US" w:eastAsia="zh-CN"/>
        </w:rPr>
        <w:t>8</w:t>
      </w:r>
      <w:r>
        <w:rPr>
          <w:rFonts w:hint="default" w:ascii="Times New Roman" w:hAnsi="Times New Roman" w:eastAsia="宋体" w:cs="Times New Roman"/>
          <w:color w:val="auto"/>
          <w:highlight w:val="none"/>
        </w:rPr>
        <w:t xml:space="preserve">）事故应急培训，能够在第一时间对原油落地做出反应和处理。 </w:t>
      </w:r>
    </w:p>
    <w:p>
      <w:pPr>
        <w:pStyle w:val="57"/>
        <w:pageBreakBefore w:val="0"/>
        <w:widowControl/>
        <w:kinsoku/>
        <w:wordWrap/>
        <w:overflowPunct/>
        <w:topLinePunct w:val="0"/>
        <w:autoSpaceDE/>
        <w:autoSpaceDN/>
        <w:bidi w:val="0"/>
        <w:spacing w:line="480" w:lineRule="exact"/>
        <w:textAlignment w:val="auto"/>
        <w:rPr>
          <w:rFonts w:hint="eastAsia" w:ascii="Times New Roman" w:hAnsi="Times New Roman" w:eastAsia="宋体" w:cs="Times New Roman"/>
          <w:color w:val="auto"/>
          <w:highlight w:val="none"/>
        </w:rPr>
      </w:pPr>
      <w:r>
        <w:rPr>
          <w:rFonts w:hint="default" w:ascii="Times New Roman" w:hAnsi="Times New Roman" w:eastAsia="宋体" w:cs="Times New Roman"/>
          <w:color w:val="auto"/>
          <w:highlight w:val="none"/>
        </w:rPr>
        <w:t>以上措施符合固体废物处置“减量化、资源化、无害化”原则，不会对周围环境产生不利影响</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工程产生的危险废物运输委托有资质单位进行运输，运输过程中全部采用密闭容器收集储存，沿线避让水体、重要敏感目标，转运结束后及时对转运路线进行检查和清理，确保无危险废物散落或泄漏在转运路线上，危险废物运输过程符合《</w:t>
      </w:r>
      <w:r>
        <w:rPr>
          <w:rFonts w:hint="eastAsia"/>
          <w:color w:val="auto"/>
          <w:highlight w:val="none"/>
          <w:lang w:eastAsia="zh-CN"/>
        </w:rPr>
        <w:t>危险废物收集 贮存 运输技术规范</w:t>
      </w:r>
      <w:r>
        <w:rPr>
          <w:rFonts w:hint="eastAsia"/>
          <w:color w:val="auto"/>
          <w:highlight w:val="none"/>
        </w:rPr>
        <w:t>》</w:t>
      </w:r>
      <w:r>
        <w:rPr>
          <w:rFonts w:hint="eastAsia"/>
          <w:color w:val="auto"/>
          <w:highlight w:val="none"/>
          <w:lang w:eastAsia="zh-CN"/>
        </w:rPr>
        <w:t>（</w:t>
      </w:r>
      <w:r>
        <w:rPr>
          <w:color w:val="auto"/>
          <w:highlight w:val="none"/>
        </w:rPr>
        <w:t>HJ2025-2012</w:t>
      </w:r>
      <w:r>
        <w:rPr>
          <w:rFonts w:hint="eastAsia"/>
          <w:color w:val="auto"/>
          <w:highlight w:val="none"/>
          <w:lang w:eastAsia="zh-CN"/>
        </w:rPr>
        <w:t>）</w:t>
      </w:r>
      <w:r>
        <w:rPr>
          <w:rFonts w:hint="eastAsia"/>
          <w:color w:val="auto"/>
          <w:highlight w:val="none"/>
        </w:rPr>
        <w:t>中的相关要求。</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本项目产生的危险废物应按照《危险废物环境管理指南 陆上石油天然气开采》</w:t>
      </w:r>
      <w:r>
        <w:rPr>
          <w:rFonts w:hint="eastAsia"/>
          <w:color w:val="auto"/>
          <w:highlight w:val="none"/>
          <w:lang w:eastAsia="zh-CN"/>
        </w:rPr>
        <w:t>（</w:t>
      </w:r>
      <w:r>
        <w:rPr>
          <w:rFonts w:hint="eastAsia"/>
          <w:color w:val="auto"/>
          <w:highlight w:val="none"/>
        </w:rPr>
        <w:t>生态环境部公告</w:t>
      </w:r>
      <w:r>
        <w:rPr>
          <w:rFonts w:hint="eastAsia"/>
          <w:color w:val="auto"/>
          <w:highlight w:val="none"/>
          <w:lang w:val="en-US" w:eastAsia="zh-CN"/>
        </w:rPr>
        <w:t xml:space="preserve"> </w:t>
      </w:r>
      <w:r>
        <w:rPr>
          <w:color w:val="auto"/>
          <w:highlight w:val="none"/>
        </w:rPr>
        <w:t>2021</w:t>
      </w:r>
      <w:r>
        <w:rPr>
          <w:rFonts w:hint="eastAsia"/>
          <w:color w:val="auto"/>
          <w:highlight w:val="none"/>
        </w:rPr>
        <w:t>年第</w:t>
      </w:r>
      <w:r>
        <w:rPr>
          <w:color w:val="auto"/>
          <w:highlight w:val="none"/>
        </w:rPr>
        <w:t>74</w:t>
      </w:r>
      <w:r>
        <w:rPr>
          <w:rFonts w:hint="eastAsia"/>
          <w:color w:val="auto"/>
          <w:highlight w:val="none"/>
        </w:rPr>
        <w:t>号</w:t>
      </w:r>
      <w:r>
        <w:rPr>
          <w:rFonts w:hint="eastAsia"/>
          <w:color w:val="auto"/>
          <w:highlight w:val="none"/>
          <w:lang w:eastAsia="zh-CN"/>
        </w:rPr>
        <w:t>）</w:t>
      </w:r>
      <w:r>
        <w:rPr>
          <w:rFonts w:hint="eastAsia"/>
          <w:color w:val="auto"/>
          <w:highlight w:val="none"/>
        </w:rPr>
        <w:t>、《危险废物转移管理办法》</w:t>
      </w:r>
      <w:r>
        <w:rPr>
          <w:rFonts w:hint="eastAsia"/>
          <w:color w:val="auto"/>
          <w:highlight w:val="none"/>
          <w:lang w:eastAsia="zh-CN"/>
        </w:rPr>
        <w:t>（</w:t>
      </w:r>
      <w:r>
        <w:rPr>
          <w:rFonts w:hint="eastAsia"/>
          <w:color w:val="auto"/>
          <w:highlight w:val="none"/>
        </w:rPr>
        <w:t xml:space="preserve">生态环境部令第 </w:t>
      </w:r>
      <w:r>
        <w:rPr>
          <w:color w:val="auto"/>
          <w:highlight w:val="none"/>
        </w:rPr>
        <w:t xml:space="preserve">23 </w:t>
      </w:r>
      <w:r>
        <w:rPr>
          <w:rFonts w:hint="eastAsia"/>
          <w:color w:val="auto"/>
          <w:highlight w:val="none"/>
        </w:rPr>
        <w:t>号</w:t>
      </w:r>
      <w:r>
        <w:rPr>
          <w:rFonts w:hint="eastAsia"/>
          <w:color w:val="auto"/>
          <w:highlight w:val="none"/>
          <w:lang w:eastAsia="zh-CN"/>
        </w:rPr>
        <w:t>）</w:t>
      </w:r>
      <w:r>
        <w:rPr>
          <w:rFonts w:hint="eastAsia"/>
          <w:color w:val="auto"/>
          <w:highlight w:val="none"/>
        </w:rPr>
        <w:t>中相关要求，落实危险废物经营许可证制度，禁止将危险废物提供或 委托给无危险废物经营许可证的单位或者其他生产经营者从事收集、贮存、利用、 处置活动。并严格按照《危险废物转移管理办法》（</w:t>
      </w:r>
      <w:r>
        <w:rPr>
          <w:color w:val="auto"/>
          <w:highlight w:val="none"/>
        </w:rPr>
        <w:t xml:space="preserve">2021 </w:t>
      </w:r>
      <w:r>
        <w:rPr>
          <w:rFonts w:hint="eastAsia"/>
          <w:color w:val="auto"/>
          <w:highlight w:val="none"/>
        </w:rPr>
        <w:t xml:space="preserve">年 </w:t>
      </w:r>
      <w:r>
        <w:rPr>
          <w:color w:val="auto"/>
          <w:highlight w:val="none"/>
        </w:rPr>
        <w:t xml:space="preserve">11 </w:t>
      </w:r>
      <w:r>
        <w:rPr>
          <w:rFonts w:hint="eastAsia"/>
          <w:color w:val="auto"/>
          <w:highlight w:val="none"/>
        </w:rPr>
        <w:t xml:space="preserve">月 </w:t>
      </w:r>
      <w:r>
        <w:rPr>
          <w:color w:val="auto"/>
          <w:highlight w:val="none"/>
        </w:rPr>
        <w:t xml:space="preserve">30 </w:t>
      </w:r>
      <w:r>
        <w:rPr>
          <w:rFonts w:hint="eastAsia"/>
          <w:color w:val="auto"/>
          <w:highlight w:val="none"/>
        </w:rPr>
        <w:t xml:space="preserve">日生态环境部、公安部、交通运输部令第 </w:t>
      </w:r>
      <w:r>
        <w:rPr>
          <w:color w:val="auto"/>
          <w:highlight w:val="none"/>
        </w:rPr>
        <w:t xml:space="preserve">23 </w:t>
      </w:r>
      <w:r>
        <w:rPr>
          <w:rFonts w:hint="eastAsia"/>
          <w:color w:val="auto"/>
          <w:highlight w:val="none"/>
        </w:rPr>
        <w:t>号）、《危险废物管理计划和管理台账制定 技术导则》（</w:t>
      </w:r>
      <w:r>
        <w:rPr>
          <w:color w:val="auto"/>
          <w:highlight w:val="none"/>
        </w:rPr>
        <w:t>HJ1259-2022</w:t>
      </w:r>
      <w:r>
        <w:rPr>
          <w:rFonts w:hint="eastAsia"/>
          <w:color w:val="auto"/>
          <w:highlight w:val="none"/>
        </w:rPr>
        <w:t>）等相关要求制定危险废物管理台账。</w:t>
      </w:r>
    </w:p>
    <w:p>
      <w:pPr>
        <w:pStyle w:val="57"/>
        <w:pageBreakBefore w:val="0"/>
        <w:widowControl/>
        <w:kinsoku/>
        <w:wordWrap/>
        <w:overflowPunct/>
        <w:topLinePunct w:val="0"/>
        <w:autoSpaceDE/>
        <w:autoSpaceDN/>
        <w:bidi w:val="0"/>
        <w:spacing w:line="480" w:lineRule="exact"/>
        <w:textAlignment w:val="auto"/>
        <w:rPr>
          <w:color w:val="auto"/>
          <w:highlight w:val="none"/>
        </w:rPr>
      </w:pPr>
      <w:r>
        <w:rPr>
          <w:rFonts w:hint="eastAsia"/>
          <w:color w:val="auto"/>
          <w:highlight w:val="none"/>
        </w:rPr>
        <w:t>因此，本项目危险废物处置措施可行。</w:t>
      </w:r>
    </w:p>
    <w:p>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"_Toc1174" </w:instrText>
      </w:r>
      <w:r>
        <w:rPr>
          <w:color w:val="auto"/>
          <w:highlight w:val="none"/>
        </w:rPr>
        <w:fldChar w:fldCharType="separate"/>
      </w:r>
      <w:r>
        <w:rPr>
          <w:rFonts w:hint="eastAsia" w:ascii="Times New Roman" w:hAnsi="Times New Roman" w:eastAsia="宋体"/>
          <w:color w:val="auto"/>
          <w:highlight w:val="none"/>
        </w:rPr>
        <w:t>6.7.3退役期固体废物污染防治措施</w:t>
      </w:r>
      <w:r>
        <w:rPr>
          <w:rFonts w:hint="eastAsia" w:ascii="Times New Roman" w:hAnsi="Times New Roman" w:eastAsia="宋体"/>
          <w:color w:val="auto"/>
          <w:highlight w:val="none"/>
        </w:rPr>
        <w:fldChar w:fldCharType="end"/>
      </w:r>
    </w:p>
    <w:bookmarkEnd w:id="724"/>
    <w:bookmarkEnd w:id="725"/>
    <w:bookmarkEnd w:id="726"/>
    <w:bookmarkEnd w:id="727"/>
    <w:p>
      <w:pPr>
        <w:pStyle w:val="57"/>
        <w:rPr>
          <w:color w:val="auto"/>
          <w:highlight w:val="none"/>
        </w:rPr>
      </w:pPr>
      <w:r>
        <w:rPr>
          <w:color w:val="auto"/>
          <w:highlight w:val="none"/>
        </w:rPr>
        <w:t>（1）地面设施拆除、井场清理等工作中会产生废弃管线、废弃建筑残渣，应集中清理收集。</w:t>
      </w:r>
      <w:r>
        <w:rPr>
          <w:rFonts w:hint="eastAsia"/>
          <w:color w:val="auto"/>
          <w:highlight w:val="none"/>
        </w:rPr>
        <w:t>地面管线拆除，地下埋地管线清管封堵后不再挖出，地面</w:t>
      </w:r>
      <w:r>
        <w:rPr>
          <w:color w:val="auto"/>
          <w:highlight w:val="none"/>
        </w:rPr>
        <w:t>管线</w:t>
      </w:r>
      <w:r>
        <w:rPr>
          <w:rFonts w:hint="eastAsia"/>
          <w:color w:val="auto"/>
          <w:highlight w:val="none"/>
        </w:rPr>
        <w:t>拆除</w:t>
      </w:r>
      <w:r>
        <w:rPr>
          <w:color w:val="auto"/>
          <w:highlight w:val="none"/>
        </w:rPr>
        <w:t>外运清洗后可回收利用，废弃建筑残渣</w:t>
      </w:r>
      <w:r>
        <w:rPr>
          <w:color w:val="auto"/>
          <w:spacing w:val="-3"/>
          <w:highlight w:val="none"/>
        </w:rPr>
        <w:t>等收集后送</w:t>
      </w:r>
      <w:r>
        <w:rPr>
          <w:rFonts w:hint="eastAsia"/>
          <w:color w:val="auto"/>
          <w:spacing w:val="-3"/>
          <w:highlight w:val="none"/>
          <w:lang w:eastAsia="zh-CN"/>
        </w:rPr>
        <w:t>克拉玛依市建筑垃圾填埋场</w:t>
      </w:r>
      <w:r>
        <w:rPr>
          <w:color w:val="auto"/>
          <w:spacing w:val="-3"/>
          <w:highlight w:val="none"/>
        </w:rPr>
        <w:t>处理</w:t>
      </w:r>
      <w:r>
        <w:rPr>
          <w:rFonts w:hint="eastAsia"/>
          <w:color w:val="auto"/>
          <w:highlight w:val="none"/>
        </w:rPr>
        <w:t>或生态环境部门</w:t>
      </w:r>
      <w:r>
        <w:rPr>
          <w:color w:val="auto"/>
          <w:highlight w:val="none"/>
        </w:rPr>
        <w:t>指定建筑垃圾填埋场填埋处理。</w:t>
      </w:r>
    </w:p>
    <w:p>
      <w:pPr>
        <w:pStyle w:val="57"/>
        <w:rPr>
          <w:color w:val="auto"/>
          <w:highlight w:val="none"/>
        </w:rPr>
      </w:pPr>
      <w:r>
        <w:rPr>
          <w:color w:val="auto"/>
          <w:highlight w:val="none"/>
        </w:rPr>
        <w:t>（2）《参照废弃井封井回填技术指南（试行）》（环办土壤函</w:t>
      </w:r>
      <w:r>
        <w:rPr>
          <w:rFonts w:hint="eastAsia"/>
          <w:color w:val="auto"/>
          <w:highlight w:val="none"/>
        </w:rPr>
        <w:t>〔</w:t>
      </w:r>
      <w:r>
        <w:rPr>
          <w:color w:val="auto"/>
          <w:highlight w:val="none"/>
        </w:rPr>
        <w:t>2020</w:t>
      </w:r>
      <w:r>
        <w:rPr>
          <w:rFonts w:hint="eastAsia"/>
          <w:color w:val="auto"/>
          <w:highlight w:val="none"/>
        </w:rPr>
        <w:t>〕</w:t>
      </w:r>
      <w:r>
        <w:rPr>
          <w:color w:val="auto"/>
          <w:highlight w:val="none"/>
        </w:rPr>
        <w:t>72号）对完成</w:t>
      </w:r>
      <w:bookmarkStart w:id="755" w:name="OLE_LINK122"/>
      <w:r>
        <w:rPr>
          <w:color w:val="auto"/>
          <w:highlight w:val="none"/>
        </w:rPr>
        <w:t>采</w:t>
      </w:r>
      <w:r>
        <w:rPr>
          <w:rFonts w:hint="eastAsia"/>
          <w:color w:val="auto"/>
          <w:highlight w:val="none"/>
          <w:lang w:val="en-US" w:eastAsia="zh-CN"/>
        </w:rPr>
        <w:t>油</w:t>
      </w:r>
      <w:bookmarkEnd w:id="755"/>
      <w:r>
        <w:rPr>
          <w:color w:val="auto"/>
          <w:highlight w:val="none"/>
        </w:rPr>
        <w:t>的废弃井封堵，拆除井口装置，最后清理场地，清除各种固体废弃物，自然植被区域自然恢复。</w:t>
      </w:r>
    </w:p>
    <w:p>
      <w:pPr>
        <w:pStyle w:val="57"/>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r>
        <w:rPr>
          <w:color w:val="auto"/>
          <w:highlight w:val="none"/>
        </w:rPr>
        <w:t>（3）运输过程中运输车辆均加盖篷布，以防止行驶过程中固体废物的散落</w:t>
      </w:r>
      <w:r>
        <w:rPr>
          <w:rFonts w:hint="eastAsia"/>
          <w:color w:val="auto"/>
          <w:highlight w:val="none"/>
        </w:rPr>
        <w:t>。</w:t>
      </w:r>
    </w:p>
    <w:p>
      <w:pPr>
        <w:pStyle w:val="47"/>
        <w:rPr>
          <w:color w:val="auto"/>
          <w:highlight w:val="none"/>
        </w:rPr>
      </w:pPr>
      <w:bookmarkStart w:id="756" w:name="_Toc21379"/>
      <w:bookmarkStart w:id="757" w:name="_Toc173941754"/>
      <w:bookmarkStart w:id="758" w:name="_Toc3717"/>
      <w:bookmarkStart w:id="759" w:name="_Toc20757"/>
      <w:bookmarkStart w:id="760" w:name="_Toc173941973"/>
      <w:bookmarkStart w:id="761" w:name="_Toc173942708"/>
      <w:bookmarkStart w:id="762" w:name="_Toc173941940"/>
      <w:bookmarkStart w:id="763" w:name="_Toc173942700"/>
      <w:bookmarkStart w:id="764" w:name="_Toc173941746"/>
      <w:bookmarkStart w:id="765" w:name="_Toc8537"/>
      <w:r>
        <w:rPr>
          <w:rFonts w:hint="eastAsia"/>
          <w:color w:val="auto"/>
          <w:highlight w:val="none"/>
        </w:rPr>
        <w:t>7.温室气体排放影响评价</w:t>
      </w:r>
      <w:bookmarkEnd w:id="756"/>
      <w:bookmarkEnd w:id="757"/>
      <w:bookmarkEnd w:id="758"/>
      <w:bookmarkEnd w:id="759"/>
      <w:bookmarkEnd w:id="760"/>
      <w:bookmarkEnd w:id="761"/>
    </w:p>
    <w:p>
      <w:pPr>
        <w:pStyle w:val="57"/>
        <w:ind w:firstLine="496"/>
        <w:rPr>
          <w:color w:val="auto"/>
          <w:spacing w:val="4"/>
          <w:kern w:val="24"/>
          <w:szCs w:val="28"/>
          <w:highlight w:val="none"/>
        </w:rPr>
      </w:pPr>
      <w:r>
        <w:rPr>
          <w:rFonts w:hint="eastAsia"/>
          <w:color w:val="auto"/>
          <w:spacing w:val="4"/>
          <w:kern w:val="24"/>
          <w:szCs w:val="22"/>
          <w:highlight w:val="none"/>
        </w:rPr>
        <w:t>为</w:t>
      </w:r>
      <w:r>
        <w:rPr>
          <w:rFonts w:hint="eastAsia"/>
          <w:color w:val="auto"/>
          <w:highlight w:val="none"/>
        </w:rPr>
        <w:t>贯彻落实中央和生态环境部关于“碳达峰、碳中和”相关决策部署和文件精神，充分发挥环境影响评价的源头防控、过程管理中的基础性作用，</w:t>
      </w:r>
      <w:r>
        <w:rPr>
          <w:rFonts w:hint="eastAsia"/>
          <w:color w:val="auto"/>
          <w:highlight w:val="none"/>
          <w:lang w:eastAsia="zh-CN"/>
        </w:rPr>
        <w:t>本次</w:t>
      </w:r>
      <w:r>
        <w:rPr>
          <w:rFonts w:hint="eastAsia"/>
          <w:color w:val="auto"/>
          <w:highlight w:val="none"/>
        </w:rPr>
        <w:t>评价按照相关政策及文件要求，根据《中国石油天然气生产企业 温室气体排放核算方法与报告指南（试行）》核算方法，计算本工程实施后碳排放量及碳排放强度，提出碳减排建议，并分析减污降碳措施可行性及碳排放水平。</w:t>
      </w:r>
    </w:p>
    <w:p>
      <w:pPr>
        <w:pStyle w:val="49"/>
        <w:rPr>
          <w:color w:val="auto"/>
          <w:highlight w:val="none"/>
        </w:rPr>
      </w:pPr>
      <w:bookmarkStart w:id="766" w:name="_Toc173941974"/>
      <w:bookmarkStart w:id="767" w:name="_Toc31930"/>
      <w:bookmarkStart w:id="768" w:name="_Toc153807749"/>
      <w:bookmarkStart w:id="769" w:name="_Toc151643467"/>
      <w:bookmarkStart w:id="770" w:name="_Toc24666"/>
      <w:bookmarkStart w:id="771" w:name="_Toc6302"/>
      <w:bookmarkStart w:id="772" w:name="_Toc173942709"/>
      <w:bookmarkStart w:id="773" w:name="_Toc173941755"/>
      <w:bookmarkStart w:id="774" w:name="_Toc16025"/>
      <w:r>
        <w:rPr>
          <w:rFonts w:hint="eastAsia"/>
          <w:color w:val="auto"/>
          <w:highlight w:val="none"/>
        </w:rPr>
        <w:t>7.1 温室气体排放分析</w:t>
      </w:r>
      <w:bookmarkEnd w:id="766"/>
      <w:bookmarkEnd w:id="767"/>
      <w:bookmarkEnd w:id="768"/>
      <w:bookmarkEnd w:id="769"/>
      <w:bookmarkEnd w:id="770"/>
      <w:bookmarkEnd w:id="771"/>
      <w:bookmarkEnd w:id="772"/>
      <w:bookmarkEnd w:id="773"/>
      <w:bookmarkEnd w:id="774"/>
    </w:p>
    <w:p>
      <w:pPr>
        <w:pStyle w:val="53"/>
        <w:rPr>
          <w:color w:val="auto"/>
          <w:highlight w:val="none"/>
        </w:rPr>
      </w:pPr>
      <w:bookmarkStart w:id="775" w:name="_Toc173941975"/>
      <w:r>
        <w:rPr>
          <w:rFonts w:hint="eastAsia"/>
          <w:color w:val="auto"/>
          <w:highlight w:val="none"/>
        </w:rPr>
        <w:t>7.1.1温室气体排放影响因素分析</w:t>
      </w:r>
      <w:bookmarkEnd w:id="775"/>
    </w:p>
    <w:p>
      <w:pPr>
        <w:pStyle w:val="5"/>
        <w:rPr>
          <w:color w:val="auto"/>
          <w:highlight w:val="none"/>
        </w:rPr>
      </w:pPr>
      <w:r>
        <w:rPr>
          <w:rFonts w:hint="eastAsia"/>
          <w:color w:val="auto"/>
          <w:highlight w:val="none"/>
        </w:rPr>
        <w:t>7.1.1.1 碳排放源分析</w:t>
      </w:r>
    </w:p>
    <w:p>
      <w:pPr>
        <w:pStyle w:val="57"/>
        <w:rPr>
          <w:color w:val="auto"/>
          <w:spacing w:val="4"/>
          <w:kern w:val="24"/>
          <w:szCs w:val="28"/>
          <w:highlight w:val="none"/>
        </w:rPr>
      </w:pPr>
      <w:r>
        <w:rPr>
          <w:rFonts w:hint="eastAsia"/>
          <w:color w:val="auto"/>
          <w:highlight w:val="none"/>
        </w:rPr>
        <w:t>根据《中国石油天然气生产企业 温室气体排放核算方法与报告指南（试行）》，石油天然气开采企业碳排放源主要包括：燃料燃烧</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排放、火炬燃烧排放、工艺放空排放、</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highlight w:val="none"/>
        </w:rPr>
        <w:t>逃逸排放、</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highlight w:val="none"/>
        </w:rPr>
        <w:t>回收利用量、</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回收利用量、净购入电力和热力隐含的</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spacing w:val="4"/>
          <w:kern w:val="24"/>
          <w:szCs w:val="28"/>
          <w:highlight w:val="none"/>
        </w:rPr>
        <w:t>排放。</w:t>
      </w:r>
    </w:p>
    <w:p>
      <w:pPr>
        <w:pStyle w:val="57"/>
        <w:rPr>
          <w:color w:val="auto"/>
          <w:highlight w:val="none"/>
        </w:rPr>
      </w:pPr>
      <w:r>
        <w:rPr>
          <w:rFonts w:hint="eastAsia"/>
          <w:color w:val="auto"/>
          <w:highlight w:val="none"/>
        </w:rPr>
        <w:t>（1）燃料燃烧CO</w:t>
      </w:r>
      <w:r>
        <w:rPr>
          <w:rFonts w:hint="eastAsia"/>
          <w:color w:val="auto"/>
          <w:highlight w:val="none"/>
          <w:vertAlign w:val="subscript"/>
        </w:rPr>
        <w:t>2</w:t>
      </w:r>
      <w:r>
        <w:rPr>
          <w:rFonts w:hint="eastAsia"/>
          <w:color w:val="auto"/>
          <w:highlight w:val="none"/>
        </w:rPr>
        <w:t>排放</w:t>
      </w:r>
    </w:p>
    <w:p>
      <w:pPr>
        <w:pStyle w:val="57"/>
        <w:rPr>
          <w:color w:val="auto"/>
          <w:spacing w:val="4"/>
          <w:kern w:val="24"/>
          <w:szCs w:val="28"/>
          <w:highlight w:val="none"/>
        </w:rPr>
      </w:pPr>
      <w:r>
        <w:rPr>
          <w:rFonts w:hint="eastAsia"/>
          <w:color w:val="auto"/>
          <w:highlight w:val="none"/>
        </w:rPr>
        <w:t>主要指石油天然气生产各个业务环节化石燃料用于动力或热力供应的燃烧过程产生的</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spacing w:val="4"/>
          <w:kern w:val="24"/>
          <w:szCs w:val="28"/>
          <w:highlight w:val="none"/>
        </w:rPr>
        <w:t>排放。</w:t>
      </w:r>
    </w:p>
    <w:p>
      <w:pPr>
        <w:pStyle w:val="57"/>
        <w:rPr>
          <w:color w:val="auto"/>
          <w:spacing w:val="4"/>
          <w:kern w:val="24"/>
          <w:szCs w:val="28"/>
          <w:highlight w:val="none"/>
        </w:rPr>
      </w:pPr>
      <w:r>
        <w:rPr>
          <w:rFonts w:hint="eastAsia"/>
          <w:color w:val="auto"/>
          <w:highlight w:val="none"/>
        </w:rPr>
        <w:t>本项目新增井场以及站场采用电加热，无需核算该部分产生的CO2排放量</w:t>
      </w:r>
      <w:r>
        <w:rPr>
          <w:rFonts w:hint="eastAsia"/>
          <w:color w:val="auto"/>
          <w:spacing w:val="4"/>
          <w:kern w:val="24"/>
          <w:szCs w:val="28"/>
          <w:highlight w:val="none"/>
        </w:rPr>
        <w:t>。</w:t>
      </w:r>
    </w:p>
    <w:p>
      <w:pPr>
        <w:pStyle w:val="57"/>
        <w:rPr>
          <w:color w:val="auto"/>
          <w:highlight w:val="none"/>
        </w:rPr>
      </w:pPr>
      <w:r>
        <w:rPr>
          <w:rFonts w:hint="eastAsia"/>
          <w:color w:val="auto"/>
          <w:highlight w:val="none"/>
        </w:rPr>
        <w:t>（2）火炬燃烧排放</w:t>
      </w:r>
    </w:p>
    <w:p>
      <w:pPr>
        <w:pStyle w:val="57"/>
        <w:rPr>
          <w:color w:val="auto"/>
          <w:spacing w:val="4"/>
          <w:kern w:val="24"/>
          <w:szCs w:val="28"/>
          <w:highlight w:val="none"/>
        </w:rPr>
      </w:pPr>
      <w:r>
        <w:rPr>
          <w:rFonts w:hint="eastAsia"/>
          <w:color w:val="auto"/>
          <w:highlight w:val="none"/>
        </w:rPr>
        <w:t>出于安全等目的，石油天然气生产企业通常将各生产活动产生的可燃废气集中到一至数只火炬系统中进行排放前的燃烧处理。火炬燃烧除了</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排放外，还可能产生少量的</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spacing w:val="4"/>
          <w:kern w:val="24"/>
          <w:szCs w:val="28"/>
          <w:highlight w:val="none"/>
        </w:rPr>
        <w:t>排</w:t>
      </w:r>
      <w:r>
        <w:rPr>
          <w:rFonts w:hint="eastAsia"/>
          <w:color w:val="auto"/>
          <w:highlight w:val="none"/>
        </w:rPr>
        <w:t>放，石油天然气生产的火炬系统需同时核算</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和</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highlight w:val="none"/>
        </w:rPr>
        <w:t>排放。</w:t>
      </w:r>
    </w:p>
    <w:p>
      <w:pPr>
        <w:pStyle w:val="57"/>
        <w:rPr>
          <w:color w:val="auto"/>
          <w:spacing w:val="4"/>
          <w:kern w:val="24"/>
          <w:szCs w:val="28"/>
          <w:highlight w:val="none"/>
        </w:rPr>
      </w:pPr>
      <w:r>
        <w:rPr>
          <w:rFonts w:hint="eastAsia" w:ascii="Times New Roman" w:hAnsi="Times New Roman" w:eastAsia="宋体" w:cs="Times New Roman"/>
          <w:color w:val="auto"/>
          <w:highlight w:val="none"/>
          <w:shd w:val="clear" w:color="auto" w:fill="auto"/>
          <w:lang w:eastAsia="zh-CN"/>
        </w:rPr>
        <w:t>本项目井场测试放喷过程中产生的天然气通过井场临时火炬点燃，需核算该部分产生的CO</w:t>
      </w:r>
      <w:r>
        <w:rPr>
          <w:rFonts w:hint="eastAsia" w:ascii="Times New Roman" w:hAnsi="Times New Roman" w:eastAsia="宋体" w:cs="Times New Roman"/>
          <w:color w:val="auto"/>
          <w:highlight w:val="none"/>
          <w:shd w:val="clear" w:color="auto" w:fill="auto"/>
          <w:vertAlign w:val="subscript"/>
          <w:lang w:eastAsia="zh-CN"/>
        </w:rPr>
        <w:t>2</w:t>
      </w:r>
      <w:r>
        <w:rPr>
          <w:rFonts w:hint="eastAsia" w:ascii="Times New Roman" w:hAnsi="Times New Roman" w:eastAsia="宋体" w:cs="Times New Roman"/>
          <w:color w:val="auto"/>
          <w:highlight w:val="none"/>
          <w:shd w:val="clear" w:color="auto" w:fill="auto"/>
          <w:lang w:eastAsia="zh-CN"/>
        </w:rPr>
        <w:t>和CH</w:t>
      </w:r>
      <w:r>
        <w:rPr>
          <w:rFonts w:hint="eastAsia" w:ascii="Times New Roman" w:hAnsi="Times New Roman" w:eastAsia="宋体" w:cs="Times New Roman"/>
          <w:color w:val="auto"/>
          <w:highlight w:val="none"/>
          <w:shd w:val="clear" w:color="auto" w:fill="auto"/>
          <w:vertAlign w:val="subscript"/>
          <w:lang w:eastAsia="zh-CN"/>
        </w:rPr>
        <w:t>4</w:t>
      </w:r>
      <w:r>
        <w:rPr>
          <w:rFonts w:hint="eastAsia" w:ascii="Times New Roman" w:hAnsi="Times New Roman" w:eastAsia="宋体" w:cs="Times New Roman"/>
          <w:color w:val="auto"/>
          <w:highlight w:val="none"/>
          <w:shd w:val="clear" w:color="auto" w:fill="auto"/>
          <w:lang w:eastAsia="zh-CN"/>
        </w:rPr>
        <w:t>排放量</w:t>
      </w:r>
      <w:r>
        <w:rPr>
          <w:rFonts w:hint="eastAsia"/>
          <w:color w:val="auto"/>
          <w:spacing w:val="4"/>
          <w:kern w:val="24"/>
          <w:szCs w:val="28"/>
          <w:highlight w:val="none"/>
        </w:rPr>
        <w:t>。</w:t>
      </w:r>
    </w:p>
    <w:p>
      <w:pPr>
        <w:pStyle w:val="57"/>
        <w:rPr>
          <w:color w:val="auto"/>
          <w:highlight w:val="none"/>
        </w:rPr>
      </w:pPr>
      <w:r>
        <w:rPr>
          <w:rFonts w:hint="eastAsia"/>
          <w:color w:val="auto"/>
          <w:highlight w:val="none"/>
        </w:rPr>
        <w:t>（3）工艺放空排放</w:t>
      </w:r>
    </w:p>
    <w:p>
      <w:pPr>
        <w:pStyle w:val="57"/>
        <w:rPr>
          <w:color w:val="auto"/>
          <w:highlight w:val="none"/>
        </w:rPr>
      </w:pPr>
      <w:r>
        <w:rPr>
          <w:rFonts w:hint="eastAsia"/>
          <w:color w:val="auto"/>
          <w:highlight w:val="none"/>
        </w:rPr>
        <w:t>主要指石油天然气生产各业务环节通过工艺装置泄放口或安全阀门有意释放到大气中的</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spacing w:val="4"/>
          <w:kern w:val="24"/>
          <w:szCs w:val="28"/>
          <w:highlight w:val="none"/>
        </w:rPr>
        <w:t>或CO</w:t>
      </w:r>
      <w:r>
        <w:rPr>
          <w:rFonts w:hint="eastAsia"/>
          <w:color w:val="auto"/>
          <w:spacing w:val="4"/>
          <w:kern w:val="24"/>
          <w:szCs w:val="28"/>
          <w:highlight w:val="none"/>
          <w:vertAlign w:val="subscript"/>
        </w:rPr>
        <w:t>2</w:t>
      </w:r>
      <w:r>
        <w:rPr>
          <w:rFonts w:hint="eastAsia"/>
          <w:color w:val="auto"/>
          <w:spacing w:val="4"/>
          <w:kern w:val="24"/>
          <w:szCs w:val="28"/>
          <w:highlight w:val="none"/>
        </w:rPr>
        <w:t>气体，</w:t>
      </w:r>
      <w:r>
        <w:rPr>
          <w:rFonts w:hint="eastAsia"/>
          <w:color w:val="auto"/>
          <w:highlight w:val="none"/>
        </w:rPr>
        <w:t>如驱动气动装置运转的天然气排放、泄压排放、设备吹扫排放、工艺过程尾气排放、储罐溶解气排放等。石油天然气生产企业业务环节较多且各具特色，其工艺放空排放应区分不同业务环节分开核算。</w:t>
      </w:r>
    </w:p>
    <w:p>
      <w:pPr>
        <w:pStyle w:val="57"/>
        <w:rPr>
          <w:color w:val="auto"/>
          <w:highlight w:val="none"/>
        </w:rPr>
      </w:pPr>
      <w:r>
        <w:rPr>
          <w:rFonts w:hint="eastAsia"/>
          <w:color w:val="auto"/>
          <w:highlight w:val="none"/>
        </w:rPr>
        <w:t>本工程不涉及工艺部分放空排放，不再核算该部分</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spacing w:val="4"/>
          <w:kern w:val="24"/>
          <w:szCs w:val="28"/>
          <w:highlight w:val="none"/>
        </w:rPr>
        <w:t>或CO</w:t>
      </w:r>
      <w:r>
        <w:rPr>
          <w:rFonts w:hint="eastAsia"/>
          <w:color w:val="auto"/>
          <w:spacing w:val="4"/>
          <w:kern w:val="24"/>
          <w:szCs w:val="28"/>
          <w:highlight w:val="none"/>
          <w:vertAlign w:val="subscript"/>
        </w:rPr>
        <w:t>2</w:t>
      </w:r>
      <w:r>
        <w:rPr>
          <w:rFonts w:hint="eastAsia"/>
          <w:color w:val="auto"/>
          <w:highlight w:val="none"/>
        </w:rPr>
        <w:t>气体排放量。</w:t>
      </w:r>
    </w:p>
    <w:p>
      <w:pPr>
        <w:pStyle w:val="57"/>
        <w:rPr>
          <w:color w:val="auto"/>
          <w:highlight w:val="none"/>
        </w:rPr>
      </w:pPr>
      <w:r>
        <w:rPr>
          <w:rFonts w:hint="eastAsia"/>
          <w:color w:val="auto"/>
          <w:highlight w:val="none"/>
        </w:rPr>
        <w:t>（4）CH</w:t>
      </w:r>
      <w:r>
        <w:rPr>
          <w:rFonts w:hint="eastAsia"/>
          <w:color w:val="auto"/>
          <w:highlight w:val="none"/>
          <w:vertAlign w:val="subscript"/>
        </w:rPr>
        <w:t>4</w:t>
      </w:r>
      <w:r>
        <w:rPr>
          <w:rFonts w:hint="eastAsia"/>
          <w:color w:val="auto"/>
          <w:highlight w:val="none"/>
        </w:rPr>
        <w:t>逃逸排放</w:t>
      </w:r>
    </w:p>
    <w:p>
      <w:pPr>
        <w:pStyle w:val="57"/>
        <w:rPr>
          <w:color w:val="auto"/>
          <w:highlight w:val="none"/>
        </w:rPr>
      </w:pPr>
      <w:r>
        <w:rPr>
          <w:rFonts w:hint="eastAsia"/>
          <w:color w:val="auto"/>
          <w:highlight w:val="none"/>
        </w:rPr>
        <w:t>主要是指石油天然气生产各业务环节由于设备泄漏产生的无组织CH</w:t>
      </w:r>
      <w:r>
        <w:rPr>
          <w:rFonts w:hint="eastAsia"/>
          <w:color w:val="auto"/>
          <w:highlight w:val="none"/>
          <w:vertAlign w:val="subscript"/>
        </w:rPr>
        <w:t>4</w:t>
      </w:r>
      <w:r>
        <w:rPr>
          <w:rFonts w:hint="eastAsia"/>
          <w:color w:val="auto"/>
          <w:highlight w:val="none"/>
        </w:rPr>
        <w:t>排放，如阀门、法兰、泵轮密封、压缩机密封、减压阀、取样接口、工艺排水、开口管路、套管、储罐泄漏及未被定义为工艺放空的其他压力设备泄漏；石油天然气生产企业业务环节较多且各具特色，其逃逸排放应区分不同业务环节分开核算。</w:t>
      </w:r>
    </w:p>
    <w:p>
      <w:pPr>
        <w:pStyle w:val="57"/>
        <w:rPr>
          <w:color w:val="auto"/>
          <w:highlight w:val="none"/>
        </w:rPr>
      </w:pPr>
      <w:r>
        <w:rPr>
          <w:rFonts w:hint="eastAsia"/>
          <w:color w:val="auto"/>
          <w:highlight w:val="none"/>
        </w:rPr>
        <w:t>本工程井场、站场法兰、阀门等处产生的无组织废气中涉及甲烷排放，需核算该部分气体排放量。</w:t>
      </w:r>
    </w:p>
    <w:p>
      <w:pPr>
        <w:pStyle w:val="57"/>
        <w:rPr>
          <w:color w:val="auto"/>
          <w:highlight w:val="none"/>
        </w:rPr>
      </w:pPr>
      <w:r>
        <w:rPr>
          <w:rFonts w:hint="eastAsia"/>
          <w:color w:val="auto"/>
          <w:highlight w:val="none"/>
        </w:rPr>
        <w:t>（5）CH</w:t>
      </w:r>
      <w:r>
        <w:rPr>
          <w:rFonts w:hint="eastAsia"/>
          <w:color w:val="auto"/>
          <w:highlight w:val="none"/>
          <w:vertAlign w:val="subscript"/>
        </w:rPr>
        <w:t>4</w:t>
      </w:r>
      <w:r>
        <w:rPr>
          <w:rFonts w:hint="eastAsia"/>
          <w:color w:val="auto"/>
          <w:highlight w:val="none"/>
        </w:rPr>
        <w:t>回收利用量</w:t>
      </w:r>
    </w:p>
    <w:p>
      <w:pPr>
        <w:pStyle w:val="57"/>
        <w:rPr>
          <w:color w:val="auto"/>
          <w:spacing w:val="4"/>
          <w:kern w:val="24"/>
          <w:szCs w:val="28"/>
          <w:highlight w:val="none"/>
        </w:rPr>
      </w:pPr>
      <w:r>
        <w:rPr>
          <w:rFonts w:hint="eastAsia"/>
          <w:color w:val="auto"/>
          <w:highlight w:val="none"/>
        </w:rPr>
        <w:t>主要指企业通过节能减排技术回收工艺放空废气流中携带的CH</w:t>
      </w:r>
      <w:r>
        <w:rPr>
          <w:rFonts w:hint="eastAsia"/>
          <w:color w:val="auto"/>
          <w:highlight w:val="none"/>
          <w:vertAlign w:val="subscript"/>
        </w:rPr>
        <w:t>4</w:t>
      </w:r>
      <w:r>
        <w:rPr>
          <w:rFonts w:hint="eastAsia"/>
          <w:color w:val="auto"/>
          <w:highlight w:val="none"/>
        </w:rPr>
        <w:t>从而免于排放到大气中的那部分</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spacing w:val="4"/>
          <w:kern w:val="24"/>
          <w:szCs w:val="28"/>
          <w:highlight w:val="none"/>
        </w:rPr>
        <w:t>。CH</w:t>
      </w:r>
      <w:r>
        <w:rPr>
          <w:rFonts w:hint="eastAsia"/>
          <w:color w:val="auto"/>
          <w:spacing w:val="4"/>
          <w:kern w:val="24"/>
          <w:szCs w:val="28"/>
          <w:highlight w:val="none"/>
          <w:vertAlign w:val="subscript"/>
        </w:rPr>
        <w:t>4</w:t>
      </w:r>
      <w:r>
        <w:rPr>
          <w:rFonts w:hint="eastAsia"/>
          <w:color w:val="auto"/>
          <w:highlight w:val="none"/>
        </w:rPr>
        <w:t>回收利用量可从企业总排放量中予以扣除。</w:t>
      </w:r>
    </w:p>
    <w:p>
      <w:pPr>
        <w:pStyle w:val="57"/>
        <w:rPr>
          <w:color w:val="auto"/>
          <w:highlight w:val="none"/>
        </w:rPr>
      </w:pPr>
      <w:r>
        <w:rPr>
          <w:rFonts w:hint="eastAsia"/>
          <w:color w:val="auto"/>
          <w:highlight w:val="none"/>
        </w:rPr>
        <w:t>本工程未实施甲烷回收利用。</w:t>
      </w:r>
    </w:p>
    <w:p>
      <w:pPr>
        <w:pStyle w:val="57"/>
        <w:rPr>
          <w:color w:val="auto"/>
          <w:highlight w:val="none"/>
        </w:rPr>
      </w:pPr>
      <w:r>
        <w:rPr>
          <w:rFonts w:hint="eastAsia"/>
          <w:color w:val="auto"/>
          <w:highlight w:val="none"/>
        </w:rPr>
        <w:t>（6）CO</w:t>
      </w:r>
      <w:r>
        <w:rPr>
          <w:rFonts w:hint="eastAsia"/>
          <w:color w:val="auto"/>
          <w:highlight w:val="none"/>
          <w:vertAlign w:val="subscript"/>
        </w:rPr>
        <w:t>2</w:t>
      </w:r>
      <w:r>
        <w:rPr>
          <w:rFonts w:hint="eastAsia"/>
          <w:color w:val="auto"/>
          <w:highlight w:val="none"/>
        </w:rPr>
        <w:t>回收利用量</w:t>
      </w:r>
    </w:p>
    <w:p>
      <w:pPr>
        <w:pStyle w:val="57"/>
        <w:rPr>
          <w:color w:val="auto"/>
          <w:spacing w:val="4"/>
          <w:kern w:val="24"/>
          <w:szCs w:val="28"/>
          <w:highlight w:val="none"/>
        </w:rPr>
      </w:pPr>
      <w:r>
        <w:rPr>
          <w:rFonts w:hint="eastAsia"/>
          <w:color w:val="auto"/>
          <w:highlight w:val="none"/>
        </w:rPr>
        <w:t>主要指企业回收燃料燃烧或工艺放空过程产生的</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作为生产原料或外供产品从而免于排放到大气中的那部分</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回收利用量可从企业总排放量中予以扣除。因缺乏适当的核算方法暂不考虑</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地质埋存或驱油的减排问题。</w:t>
      </w:r>
    </w:p>
    <w:p>
      <w:pPr>
        <w:pStyle w:val="57"/>
        <w:rPr>
          <w:color w:val="auto"/>
          <w:highlight w:val="none"/>
        </w:rPr>
      </w:pPr>
      <w:r>
        <w:rPr>
          <w:rFonts w:hint="eastAsia"/>
          <w:color w:val="auto"/>
          <w:highlight w:val="none"/>
        </w:rPr>
        <w:t>本工程不涉及</w:t>
      </w:r>
      <w:r>
        <w:rPr>
          <w:rFonts w:hint="eastAsia"/>
          <w:color w:val="auto"/>
          <w:spacing w:val="4"/>
          <w:kern w:val="24"/>
          <w:szCs w:val="28"/>
          <w:highlight w:val="none"/>
        </w:rPr>
        <w:t>，</w:t>
      </w:r>
      <w:r>
        <w:rPr>
          <w:rFonts w:hint="eastAsia"/>
          <w:color w:val="auto"/>
          <w:highlight w:val="none"/>
        </w:rPr>
        <w:t>因此该部分回收利用量均为0。</w:t>
      </w:r>
    </w:p>
    <w:p>
      <w:pPr>
        <w:pStyle w:val="57"/>
        <w:rPr>
          <w:color w:val="auto"/>
          <w:spacing w:val="4"/>
          <w:kern w:val="24"/>
          <w:szCs w:val="28"/>
          <w:highlight w:val="none"/>
        </w:rPr>
      </w:pPr>
      <w:r>
        <w:rPr>
          <w:rFonts w:hint="eastAsia"/>
          <w:color w:val="auto"/>
          <w:highlight w:val="none"/>
        </w:rPr>
        <w:t>（7）净购入电力和热力隐含的</w:t>
      </w:r>
      <w:r>
        <w:rPr>
          <w:rFonts w:hint="eastAsia"/>
          <w:color w:val="auto"/>
          <w:spacing w:val="4"/>
          <w:kern w:val="24"/>
          <w:szCs w:val="28"/>
          <w:highlight w:val="none"/>
        </w:rPr>
        <w:t>CO</w:t>
      </w:r>
      <w:r>
        <w:rPr>
          <w:rFonts w:hint="eastAsia"/>
          <w:color w:val="auto"/>
          <w:spacing w:val="4"/>
          <w:kern w:val="24"/>
          <w:szCs w:val="28"/>
          <w:highlight w:val="none"/>
          <w:vertAlign w:val="subscript"/>
        </w:rPr>
        <w:t>2</w:t>
      </w:r>
      <w:r>
        <w:rPr>
          <w:rFonts w:hint="eastAsia"/>
          <w:color w:val="auto"/>
          <w:highlight w:val="none"/>
        </w:rPr>
        <w:t>排放量</w:t>
      </w:r>
    </w:p>
    <w:p>
      <w:pPr>
        <w:pStyle w:val="57"/>
        <w:rPr>
          <w:color w:val="auto"/>
          <w:highlight w:val="none"/>
        </w:rPr>
      </w:pPr>
      <w:r>
        <w:rPr>
          <w:rFonts w:hint="eastAsia"/>
          <w:color w:val="auto"/>
          <w:highlight w:val="none"/>
        </w:rPr>
        <w:t>该部分排放实际上发生在生产这些电力或热力的企业，但由报告主体的消费活动引起，依照约定也计入报告主体名下。</w:t>
      </w:r>
    </w:p>
    <w:p>
      <w:pPr>
        <w:pStyle w:val="57"/>
        <w:rPr>
          <w:color w:val="auto"/>
          <w:highlight w:val="none"/>
        </w:rPr>
      </w:pPr>
      <w:r>
        <w:rPr>
          <w:rFonts w:hint="eastAsia"/>
          <w:color w:val="auto"/>
          <w:highlight w:val="none"/>
        </w:rPr>
        <w:t>本工程实施后，需消耗电量，不涉及蒸汽用量。</w:t>
      </w:r>
    </w:p>
    <w:p>
      <w:pPr>
        <w:pStyle w:val="5"/>
        <w:rPr>
          <w:color w:val="auto"/>
          <w:highlight w:val="none"/>
        </w:rPr>
      </w:pPr>
      <w:r>
        <w:rPr>
          <w:rFonts w:hint="eastAsia"/>
          <w:color w:val="auto"/>
          <w:highlight w:val="none"/>
        </w:rPr>
        <w:t>7.1.1.2二氧化碳产排节点</w:t>
      </w:r>
    </w:p>
    <w:p>
      <w:pPr>
        <w:pStyle w:val="57"/>
        <w:rPr>
          <w:rFonts w:hint="eastAsia"/>
          <w:color w:val="auto"/>
          <w:highlight w:val="none"/>
        </w:rPr>
      </w:pPr>
      <w:r>
        <w:rPr>
          <w:rFonts w:hint="eastAsia"/>
          <w:color w:val="auto"/>
          <w:highlight w:val="none"/>
        </w:rPr>
        <w:t>本工程生产工艺流程中涉及二氧化碳的产排节点表7.1-1所示。</w:t>
      </w:r>
    </w:p>
    <w:p>
      <w:pPr>
        <w:rPr>
          <w:rFonts w:hint="eastAsia"/>
          <w:color w:val="auto"/>
          <w:highlight w:val="none"/>
        </w:rPr>
      </w:pPr>
      <w:r>
        <w:rPr>
          <w:rFonts w:hint="eastAsia"/>
          <w:color w:val="auto"/>
          <w:highlight w:val="none"/>
        </w:rPr>
        <w:br w:type="page"/>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color w:val="auto"/>
          <w:highlight w:val="none"/>
        </w:rPr>
        <w:t>表7.1-1         二氧化碳产排污节点汇总一览表</w:t>
      </w:r>
    </w:p>
    <w:tbl>
      <w:tblPr>
        <w:tblStyle w:val="34"/>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1254"/>
        <w:gridCol w:w="2043"/>
        <w:gridCol w:w="2931"/>
        <w:gridCol w:w="1423"/>
        <w:gridCol w:w="101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3" w:type="pct"/>
            <w:tcBorders>
              <w:tl2br w:val="nil"/>
              <w:tr2bl w:val="nil"/>
            </w:tcBorders>
            <w:vAlign w:val="center"/>
          </w:tcPr>
          <w:p>
            <w:pPr>
              <w:pStyle w:val="41"/>
              <w:rPr>
                <w:color w:val="auto"/>
                <w:highlight w:val="none"/>
              </w:rPr>
            </w:pPr>
            <w:r>
              <w:rPr>
                <w:color w:val="auto"/>
                <w:highlight w:val="none"/>
              </w:rPr>
              <w:t>序号</w:t>
            </w:r>
          </w:p>
        </w:tc>
        <w:tc>
          <w:tcPr>
            <w:tcW w:w="1178" w:type="pct"/>
            <w:tcBorders>
              <w:tl2br w:val="nil"/>
              <w:tr2bl w:val="nil"/>
            </w:tcBorders>
            <w:vAlign w:val="center"/>
          </w:tcPr>
          <w:p>
            <w:pPr>
              <w:pStyle w:val="41"/>
              <w:rPr>
                <w:color w:val="auto"/>
                <w:highlight w:val="none"/>
              </w:rPr>
            </w:pPr>
            <w:r>
              <w:rPr>
                <w:color w:val="auto"/>
                <w:highlight w:val="none"/>
              </w:rPr>
              <w:t>类别</w:t>
            </w:r>
          </w:p>
        </w:tc>
        <w:tc>
          <w:tcPr>
            <w:tcW w:w="1690" w:type="pct"/>
            <w:tcBorders>
              <w:tl2br w:val="nil"/>
              <w:tr2bl w:val="nil"/>
            </w:tcBorders>
            <w:vAlign w:val="center"/>
          </w:tcPr>
          <w:p>
            <w:pPr>
              <w:pStyle w:val="41"/>
              <w:rPr>
                <w:color w:val="auto"/>
                <w:highlight w:val="none"/>
              </w:rPr>
            </w:pPr>
            <w:r>
              <w:rPr>
                <w:color w:val="auto"/>
                <w:highlight w:val="none"/>
              </w:rPr>
              <w:t>产污环节</w:t>
            </w:r>
          </w:p>
        </w:tc>
        <w:tc>
          <w:tcPr>
            <w:tcW w:w="820" w:type="pct"/>
            <w:tcBorders>
              <w:tl2br w:val="nil"/>
              <w:tr2bl w:val="nil"/>
            </w:tcBorders>
            <w:vAlign w:val="center"/>
          </w:tcPr>
          <w:p>
            <w:pPr>
              <w:pStyle w:val="41"/>
              <w:rPr>
                <w:color w:val="auto"/>
                <w:highlight w:val="none"/>
              </w:rPr>
            </w:pPr>
            <w:r>
              <w:rPr>
                <w:color w:val="auto"/>
                <w:highlight w:val="none"/>
              </w:rPr>
              <w:t>碳排放因子</w:t>
            </w:r>
          </w:p>
        </w:tc>
        <w:tc>
          <w:tcPr>
            <w:tcW w:w="586" w:type="pct"/>
            <w:tcBorders>
              <w:tl2br w:val="nil"/>
              <w:tr2bl w:val="nil"/>
            </w:tcBorders>
            <w:vAlign w:val="center"/>
          </w:tcPr>
          <w:p>
            <w:pPr>
              <w:pStyle w:val="41"/>
              <w:rPr>
                <w:color w:val="auto"/>
                <w:highlight w:val="none"/>
              </w:rPr>
            </w:pPr>
            <w:r>
              <w:rPr>
                <w:color w:val="auto"/>
                <w:highlight w:val="none"/>
              </w:rPr>
              <w:t>排放形式</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3" w:type="pct"/>
            <w:tcBorders>
              <w:tl2br w:val="nil"/>
              <w:tr2bl w:val="nil"/>
            </w:tcBorders>
            <w:vAlign w:val="center"/>
          </w:tcPr>
          <w:p>
            <w:pPr>
              <w:pStyle w:val="41"/>
              <w:rPr>
                <w:color w:val="auto"/>
                <w:highlight w:val="none"/>
              </w:rPr>
            </w:pPr>
            <w:r>
              <w:rPr>
                <w:color w:val="auto"/>
                <w:highlight w:val="none"/>
              </w:rPr>
              <w:t>1</w:t>
            </w:r>
          </w:p>
        </w:tc>
        <w:tc>
          <w:tcPr>
            <w:tcW w:w="1178" w:type="pct"/>
            <w:tcBorders>
              <w:tl2br w:val="nil"/>
              <w:tr2bl w:val="nil"/>
            </w:tcBorders>
            <w:shd w:val="clear" w:color="auto" w:fill="auto"/>
            <w:vAlign w:val="center"/>
          </w:tcPr>
          <w:p>
            <w:pPr>
              <w:pStyle w:val="41"/>
              <w:rPr>
                <w:color w:val="auto"/>
                <w:highlight w:val="none"/>
              </w:rPr>
            </w:pPr>
            <w:r>
              <w:rPr>
                <w:rFonts w:hint="eastAsia"/>
                <w:color w:val="auto"/>
                <w:highlight w:val="none"/>
              </w:rPr>
              <w:t>火炬</w:t>
            </w:r>
            <w:r>
              <w:rPr>
                <w:color w:val="auto"/>
                <w:highlight w:val="none"/>
              </w:rPr>
              <w:t>燃烧排放</w:t>
            </w:r>
          </w:p>
        </w:tc>
        <w:tc>
          <w:tcPr>
            <w:tcW w:w="1690" w:type="pct"/>
            <w:tcBorders>
              <w:tl2br w:val="nil"/>
              <w:tr2bl w:val="nil"/>
            </w:tcBorders>
            <w:shd w:val="clear" w:color="auto" w:fill="auto"/>
            <w:vAlign w:val="center"/>
          </w:tcPr>
          <w:p>
            <w:pPr>
              <w:pStyle w:val="41"/>
              <w:rPr>
                <w:color w:val="auto"/>
                <w:highlight w:val="none"/>
              </w:rPr>
            </w:pPr>
            <w:r>
              <w:rPr>
                <w:rFonts w:hint="eastAsia"/>
                <w:color w:val="auto"/>
                <w:highlight w:val="none"/>
              </w:rPr>
              <w:t>井场、站场事故状态下的</w:t>
            </w:r>
            <w:r>
              <w:rPr>
                <w:color w:val="auto"/>
                <w:highlight w:val="none"/>
              </w:rPr>
              <w:t>燃烧</w:t>
            </w:r>
          </w:p>
        </w:tc>
        <w:tc>
          <w:tcPr>
            <w:tcW w:w="820" w:type="pct"/>
            <w:tcBorders>
              <w:tl2br w:val="nil"/>
              <w:tr2bl w:val="nil"/>
            </w:tcBorders>
            <w:shd w:val="clear" w:color="auto" w:fill="auto"/>
            <w:vAlign w:val="center"/>
          </w:tcPr>
          <w:p>
            <w:pPr>
              <w:pStyle w:val="41"/>
              <w:rPr>
                <w:color w:val="auto"/>
                <w:highlight w:val="none"/>
              </w:rPr>
            </w:pPr>
            <w:r>
              <w:rPr>
                <w:color w:val="auto"/>
                <w:highlight w:val="none"/>
              </w:rPr>
              <w:t>CO</w:t>
            </w:r>
            <w:r>
              <w:rPr>
                <w:color w:val="auto"/>
                <w:highlight w:val="none"/>
                <w:vertAlign w:val="subscript"/>
              </w:rPr>
              <w:t>2</w:t>
            </w:r>
            <w:r>
              <w:rPr>
                <w:color w:val="auto"/>
                <w:highlight w:val="none"/>
              </w:rPr>
              <w:t>和CH</w:t>
            </w:r>
            <w:r>
              <w:rPr>
                <w:color w:val="auto"/>
                <w:highlight w:val="none"/>
                <w:vertAlign w:val="subscript"/>
              </w:rPr>
              <w:t>4</w:t>
            </w:r>
          </w:p>
        </w:tc>
        <w:tc>
          <w:tcPr>
            <w:tcW w:w="586" w:type="pct"/>
            <w:tcBorders>
              <w:tl2br w:val="nil"/>
              <w:tr2bl w:val="nil"/>
            </w:tcBorders>
            <w:shd w:val="clear" w:color="auto" w:fill="auto"/>
            <w:vAlign w:val="center"/>
          </w:tcPr>
          <w:p>
            <w:pPr>
              <w:pStyle w:val="41"/>
              <w:rPr>
                <w:color w:val="auto"/>
                <w:highlight w:val="none"/>
              </w:rPr>
            </w:pPr>
            <w:r>
              <w:rPr>
                <w:rFonts w:hint="eastAsia"/>
                <w:color w:val="auto"/>
                <w:highlight w:val="none"/>
              </w:rPr>
              <w:t>无</w:t>
            </w:r>
            <w:r>
              <w:rPr>
                <w:color w:val="auto"/>
                <w:highlight w:val="none"/>
              </w:rPr>
              <w:t>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3" w:type="pct"/>
            <w:tcBorders>
              <w:tl2br w:val="nil"/>
              <w:tr2bl w:val="nil"/>
            </w:tcBorders>
            <w:vAlign w:val="center"/>
          </w:tcPr>
          <w:p>
            <w:pPr>
              <w:pStyle w:val="41"/>
              <w:rPr>
                <w:color w:val="auto"/>
                <w:highlight w:val="none"/>
              </w:rPr>
            </w:pPr>
            <w:r>
              <w:rPr>
                <w:color w:val="auto"/>
                <w:highlight w:val="none"/>
              </w:rPr>
              <w:t>2</w:t>
            </w:r>
          </w:p>
        </w:tc>
        <w:tc>
          <w:tcPr>
            <w:tcW w:w="1178" w:type="pct"/>
            <w:tcBorders>
              <w:tl2br w:val="nil"/>
              <w:tr2bl w:val="nil"/>
            </w:tcBorders>
            <w:shd w:val="clear" w:color="auto" w:fill="auto"/>
            <w:vAlign w:val="center"/>
          </w:tcPr>
          <w:p>
            <w:pPr>
              <w:pStyle w:val="41"/>
              <w:rPr>
                <w:color w:val="auto"/>
                <w:highlight w:val="none"/>
              </w:rPr>
            </w:pPr>
            <w:r>
              <w:rPr>
                <w:color w:val="auto"/>
                <w:highlight w:val="none"/>
              </w:rPr>
              <w:t>CH</w:t>
            </w:r>
            <w:r>
              <w:rPr>
                <w:color w:val="auto"/>
                <w:highlight w:val="none"/>
                <w:vertAlign w:val="subscript"/>
              </w:rPr>
              <w:t>4</w:t>
            </w:r>
            <w:r>
              <w:rPr>
                <w:color w:val="auto"/>
                <w:highlight w:val="none"/>
              </w:rPr>
              <w:t>逃逸排放</w:t>
            </w:r>
          </w:p>
        </w:tc>
        <w:tc>
          <w:tcPr>
            <w:tcW w:w="1690" w:type="pct"/>
            <w:tcBorders>
              <w:tl2br w:val="nil"/>
              <w:tr2bl w:val="nil"/>
            </w:tcBorders>
            <w:shd w:val="clear" w:color="auto" w:fill="auto"/>
            <w:vAlign w:val="center"/>
          </w:tcPr>
          <w:p>
            <w:pPr>
              <w:pStyle w:val="41"/>
              <w:rPr>
                <w:color w:val="auto"/>
                <w:highlight w:val="none"/>
              </w:rPr>
            </w:pPr>
            <w:r>
              <w:rPr>
                <w:color w:val="auto"/>
                <w:highlight w:val="none"/>
              </w:rPr>
              <w:t>井场</w:t>
            </w:r>
            <w:r>
              <w:rPr>
                <w:rFonts w:hint="eastAsia"/>
                <w:color w:val="auto"/>
                <w:highlight w:val="none"/>
              </w:rPr>
              <w:t>、站场</w:t>
            </w:r>
            <w:r>
              <w:rPr>
                <w:color w:val="auto"/>
                <w:highlight w:val="none"/>
              </w:rPr>
              <w:t>法兰、阀门等处逸散的废气</w:t>
            </w:r>
          </w:p>
        </w:tc>
        <w:tc>
          <w:tcPr>
            <w:tcW w:w="820" w:type="pct"/>
            <w:tcBorders>
              <w:tl2br w:val="nil"/>
              <w:tr2bl w:val="nil"/>
            </w:tcBorders>
            <w:shd w:val="clear" w:color="auto" w:fill="auto"/>
            <w:vAlign w:val="center"/>
          </w:tcPr>
          <w:p>
            <w:pPr>
              <w:pStyle w:val="41"/>
              <w:rPr>
                <w:color w:val="auto"/>
                <w:highlight w:val="none"/>
              </w:rPr>
            </w:pPr>
            <w:r>
              <w:rPr>
                <w:color w:val="auto"/>
                <w:highlight w:val="none"/>
              </w:rPr>
              <w:t>CH</w:t>
            </w:r>
            <w:r>
              <w:rPr>
                <w:color w:val="auto"/>
                <w:highlight w:val="none"/>
                <w:vertAlign w:val="subscript"/>
              </w:rPr>
              <w:t>4</w:t>
            </w:r>
          </w:p>
        </w:tc>
        <w:tc>
          <w:tcPr>
            <w:tcW w:w="586" w:type="pct"/>
            <w:tcBorders>
              <w:tl2br w:val="nil"/>
              <w:tr2bl w:val="nil"/>
            </w:tcBorders>
            <w:shd w:val="clear" w:color="auto" w:fill="auto"/>
            <w:vAlign w:val="center"/>
          </w:tcPr>
          <w:p>
            <w:pPr>
              <w:pStyle w:val="41"/>
              <w:rPr>
                <w:color w:val="auto"/>
                <w:highlight w:val="none"/>
              </w:rPr>
            </w:pPr>
            <w:r>
              <w:rPr>
                <w:color w:val="auto"/>
                <w:highlight w:val="none"/>
              </w:rPr>
              <w:t>无组织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723" w:type="pct"/>
            <w:tcBorders>
              <w:tl2br w:val="nil"/>
              <w:tr2bl w:val="nil"/>
            </w:tcBorders>
            <w:vAlign w:val="center"/>
          </w:tcPr>
          <w:p>
            <w:pPr>
              <w:pStyle w:val="41"/>
              <w:rPr>
                <w:color w:val="auto"/>
                <w:highlight w:val="none"/>
              </w:rPr>
            </w:pPr>
            <w:r>
              <w:rPr>
                <w:color w:val="auto"/>
                <w:highlight w:val="none"/>
              </w:rPr>
              <w:t>3</w:t>
            </w:r>
          </w:p>
        </w:tc>
        <w:tc>
          <w:tcPr>
            <w:tcW w:w="1178" w:type="pct"/>
            <w:tcBorders>
              <w:tl2br w:val="nil"/>
              <w:tr2bl w:val="nil"/>
            </w:tcBorders>
            <w:shd w:val="clear" w:color="auto" w:fill="auto"/>
            <w:vAlign w:val="center"/>
          </w:tcPr>
          <w:p>
            <w:pPr>
              <w:pStyle w:val="41"/>
              <w:rPr>
                <w:color w:val="auto"/>
                <w:highlight w:val="none"/>
              </w:rPr>
            </w:pPr>
            <w:r>
              <w:rPr>
                <w:color w:val="auto"/>
                <w:highlight w:val="none"/>
              </w:rPr>
              <w:t>净购入电力和热力隐含的CO</w:t>
            </w:r>
            <w:r>
              <w:rPr>
                <w:color w:val="auto"/>
                <w:highlight w:val="none"/>
                <w:vertAlign w:val="subscript"/>
              </w:rPr>
              <w:t>2</w:t>
            </w:r>
            <w:r>
              <w:rPr>
                <w:color w:val="auto"/>
                <w:highlight w:val="none"/>
              </w:rPr>
              <w:t>排放量</w:t>
            </w:r>
          </w:p>
        </w:tc>
        <w:tc>
          <w:tcPr>
            <w:tcW w:w="1690" w:type="pct"/>
            <w:tcBorders>
              <w:tl2br w:val="nil"/>
              <w:tr2bl w:val="nil"/>
            </w:tcBorders>
            <w:shd w:val="clear" w:color="auto" w:fill="auto"/>
            <w:vAlign w:val="center"/>
          </w:tcPr>
          <w:p>
            <w:pPr>
              <w:pStyle w:val="41"/>
              <w:rPr>
                <w:color w:val="auto"/>
                <w:highlight w:val="none"/>
              </w:rPr>
            </w:pPr>
            <w:r>
              <w:rPr>
                <w:color w:val="auto"/>
                <w:highlight w:val="none"/>
              </w:rPr>
              <w:t>电力隐含排放</w:t>
            </w:r>
          </w:p>
        </w:tc>
        <w:tc>
          <w:tcPr>
            <w:tcW w:w="820" w:type="pct"/>
            <w:tcBorders>
              <w:tl2br w:val="nil"/>
              <w:tr2bl w:val="nil"/>
            </w:tcBorders>
            <w:shd w:val="clear" w:color="auto" w:fill="auto"/>
            <w:vAlign w:val="center"/>
          </w:tcPr>
          <w:p>
            <w:pPr>
              <w:pStyle w:val="41"/>
              <w:rPr>
                <w:color w:val="auto"/>
                <w:highlight w:val="none"/>
              </w:rPr>
            </w:pPr>
            <w:r>
              <w:rPr>
                <w:color w:val="auto"/>
                <w:highlight w:val="none"/>
              </w:rPr>
              <w:t>CO</w:t>
            </w:r>
            <w:r>
              <w:rPr>
                <w:color w:val="auto"/>
                <w:highlight w:val="none"/>
                <w:vertAlign w:val="subscript"/>
              </w:rPr>
              <w:t>2</w:t>
            </w:r>
          </w:p>
        </w:tc>
        <w:tc>
          <w:tcPr>
            <w:tcW w:w="586" w:type="pct"/>
            <w:tcBorders>
              <w:tl2br w:val="nil"/>
              <w:tr2bl w:val="nil"/>
            </w:tcBorders>
            <w:shd w:val="clear" w:color="auto" w:fill="auto"/>
            <w:vAlign w:val="center"/>
          </w:tcPr>
          <w:p>
            <w:pPr>
              <w:pStyle w:val="41"/>
              <w:rPr>
                <w:color w:val="auto"/>
                <w:highlight w:val="none"/>
              </w:rPr>
            </w:pPr>
            <w:r>
              <w:rPr>
                <w:color w:val="auto"/>
                <w:highlight w:val="none"/>
              </w:rPr>
              <w:t>--</w:t>
            </w:r>
          </w:p>
        </w:tc>
      </w:tr>
    </w:tbl>
    <w:p>
      <w:pPr>
        <w:pStyle w:val="53"/>
        <w:rPr>
          <w:color w:val="auto"/>
          <w:highlight w:val="none"/>
        </w:rPr>
      </w:pPr>
      <w:bookmarkStart w:id="776" w:name="_Toc173941976"/>
      <w:r>
        <w:rPr>
          <w:rFonts w:hint="eastAsia"/>
          <w:color w:val="auto"/>
          <w:highlight w:val="none"/>
        </w:rPr>
        <w:t>7.1.2 温室气体排放量核算</w:t>
      </w:r>
      <w:bookmarkEnd w:id="776"/>
    </w:p>
    <w:p>
      <w:pPr>
        <w:pStyle w:val="5"/>
        <w:rPr>
          <w:color w:val="auto"/>
          <w:highlight w:val="none"/>
        </w:rPr>
      </w:pPr>
      <w:r>
        <w:rPr>
          <w:rFonts w:hint="eastAsia"/>
          <w:color w:val="auto"/>
          <w:highlight w:val="none"/>
        </w:rPr>
        <w:t>7.1.2.1 碳排放核算边界</w:t>
      </w:r>
    </w:p>
    <w:p>
      <w:pPr>
        <w:pStyle w:val="57"/>
        <w:rPr>
          <w:color w:val="auto"/>
          <w:highlight w:val="none"/>
        </w:rPr>
      </w:pPr>
      <w:r>
        <w:rPr>
          <w:rFonts w:hint="eastAsia"/>
          <w:color w:val="auto"/>
          <w:highlight w:val="none"/>
        </w:rPr>
        <w:t>本工程碳排放核算边界及核算内容见表7.1-2所示。</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表7.1-2  核算边界及核算内容一览表</w:t>
      </w:r>
    </w:p>
    <w:tbl>
      <w:tblPr>
        <w:tblStyle w:val="34"/>
        <w:tblW w:w="4998"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812"/>
        <w:gridCol w:w="2001"/>
        <w:gridCol w:w="585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68" w:type="pct"/>
            <w:tcBorders>
              <w:tl2br w:val="nil"/>
              <w:tr2bl w:val="nil"/>
            </w:tcBorders>
            <w:vAlign w:val="center"/>
          </w:tcPr>
          <w:p>
            <w:pPr>
              <w:pStyle w:val="41"/>
              <w:rPr>
                <w:color w:val="auto"/>
                <w:highlight w:val="none"/>
              </w:rPr>
            </w:pPr>
            <w:r>
              <w:rPr>
                <w:color w:val="auto"/>
                <w:highlight w:val="none"/>
              </w:rPr>
              <w:t>序号</w:t>
            </w:r>
          </w:p>
        </w:tc>
        <w:tc>
          <w:tcPr>
            <w:tcW w:w="1154" w:type="pct"/>
            <w:tcBorders>
              <w:tl2br w:val="nil"/>
              <w:tr2bl w:val="nil"/>
            </w:tcBorders>
            <w:vAlign w:val="center"/>
          </w:tcPr>
          <w:p>
            <w:pPr>
              <w:pStyle w:val="41"/>
              <w:rPr>
                <w:color w:val="auto"/>
                <w:highlight w:val="none"/>
              </w:rPr>
            </w:pPr>
            <w:r>
              <w:rPr>
                <w:color w:val="auto"/>
                <w:highlight w:val="none"/>
              </w:rPr>
              <w:t>核算主体/核算边界</w:t>
            </w:r>
          </w:p>
        </w:tc>
        <w:tc>
          <w:tcPr>
            <w:tcW w:w="3378" w:type="pct"/>
            <w:tcBorders>
              <w:tl2br w:val="nil"/>
              <w:tr2bl w:val="nil"/>
            </w:tcBorders>
            <w:vAlign w:val="center"/>
          </w:tcPr>
          <w:p>
            <w:pPr>
              <w:pStyle w:val="41"/>
              <w:rPr>
                <w:color w:val="auto"/>
                <w:highlight w:val="none"/>
              </w:rPr>
            </w:pPr>
            <w:r>
              <w:rPr>
                <w:color w:val="auto"/>
                <w:highlight w:val="none"/>
              </w:rPr>
              <w:t>碳排放核算内容</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trPr>
        <w:tc>
          <w:tcPr>
            <w:tcW w:w="468" w:type="pct"/>
            <w:tcBorders>
              <w:tl2br w:val="nil"/>
              <w:tr2bl w:val="nil"/>
            </w:tcBorders>
            <w:vAlign w:val="center"/>
          </w:tcPr>
          <w:p>
            <w:pPr>
              <w:pStyle w:val="41"/>
              <w:rPr>
                <w:color w:val="auto"/>
                <w:highlight w:val="none"/>
              </w:rPr>
            </w:pPr>
            <w:r>
              <w:rPr>
                <w:color w:val="auto"/>
                <w:highlight w:val="none"/>
              </w:rPr>
              <w:t>1</w:t>
            </w:r>
          </w:p>
        </w:tc>
        <w:tc>
          <w:tcPr>
            <w:tcW w:w="1154" w:type="pct"/>
            <w:tcBorders>
              <w:tl2br w:val="nil"/>
              <w:tr2bl w:val="nil"/>
            </w:tcBorders>
            <w:vAlign w:val="center"/>
          </w:tcPr>
          <w:p>
            <w:pPr>
              <w:pStyle w:val="41"/>
              <w:rPr>
                <w:rFonts w:hint="eastAsia" w:eastAsia="宋体"/>
                <w:color w:val="auto"/>
                <w:highlight w:val="none"/>
                <w:lang w:eastAsia="zh-CN"/>
              </w:rPr>
            </w:pPr>
            <w:r>
              <w:rPr>
                <w:rFonts w:hint="eastAsia"/>
                <w:color w:val="auto"/>
                <w:highlight w:val="none"/>
                <w:lang w:eastAsia="zh-CN"/>
              </w:rPr>
              <w:t>新疆夏子街油田丰探1井区二叠系风城组页岩油2025年产能建设项目</w:t>
            </w:r>
          </w:p>
        </w:tc>
        <w:tc>
          <w:tcPr>
            <w:tcW w:w="3378" w:type="pct"/>
            <w:tcBorders>
              <w:tl2br w:val="nil"/>
              <w:tr2bl w:val="nil"/>
            </w:tcBorders>
            <w:vAlign w:val="center"/>
          </w:tcPr>
          <w:p>
            <w:pPr>
              <w:pStyle w:val="41"/>
              <w:jc w:val="left"/>
              <w:rPr>
                <w:color w:val="auto"/>
                <w:highlight w:val="none"/>
              </w:rPr>
            </w:pPr>
            <w:r>
              <w:rPr>
                <w:color w:val="auto"/>
                <w:highlight w:val="none"/>
              </w:rPr>
              <w:t>包括油气开采、油气处理及油气储运各个业务环节的基本生产系统、辅助生产系统，以及直接为生产服务的附属生产系统。排放量核算内容包括：</w:t>
            </w:r>
          </w:p>
          <w:p>
            <w:pPr>
              <w:pStyle w:val="41"/>
              <w:jc w:val="left"/>
              <w:rPr>
                <w:color w:val="auto"/>
                <w:highlight w:val="none"/>
              </w:rPr>
            </w:pPr>
            <w:r>
              <w:rPr>
                <w:rFonts w:hint="eastAsia"/>
                <w:color w:val="auto"/>
                <w:highlight w:val="none"/>
              </w:rPr>
              <w:t>（1）</w:t>
            </w:r>
            <w:r>
              <w:rPr>
                <w:color w:val="auto"/>
                <w:highlight w:val="none"/>
              </w:rPr>
              <w:t>火炬燃烧排放</w:t>
            </w:r>
          </w:p>
          <w:p>
            <w:pPr>
              <w:pStyle w:val="41"/>
              <w:jc w:val="left"/>
              <w:rPr>
                <w:color w:val="auto"/>
                <w:highlight w:val="none"/>
              </w:rPr>
            </w:pPr>
            <w:r>
              <w:rPr>
                <w:color w:val="auto"/>
                <w:highlight w:val="none"/>
              </w:rPr>
              <w:t>（</w:t>
            </w:r>
            <w:r>
              <w:rPr>
                <w:rFonts w:hint="eastAsia"/>
                <w:color w:val="auto"/>
                <w:highlight w:val="none"/>
              </w:rPr>
              <w:t>2</w:t>
            </w:r>
            <w:r>
              <w:rPr>
                <w:color w:val="auto"/>
                <w:highlight w:val="none"/>
              </w:rPr>
              <w:t>）CH</w:t>
            </w:r>
            <w:r>
              <w:rPr>
                <w:color w:val="auto"/>
                <w:highlight w:val="none"/>
                <w:vertAlign w:val="subscript"/>
              </w:rPr>
              <w:t>4</w:t>
            </w:r>
            <w:r>
              <w:rPr>
                <w:color w:val="auto"/>
                <w:highlight w:val="none"/>
              </w:rPr>
              <w:t>逃逸排放</w:t>
            </w:r>
          </w:p>
          <w:p>
            <w:pPr>
              <w:pStyle w:val="41"/>
              <w:jc w:val="left"/>
              <w:rPr>
                <w:color w:val="auto"/>
                <w:highlight w:val="none"/>
              </w:rPr>
            </w:pPr>
            <w:r>
              <w:rPr>
                <w:color w:val="auto"/>
                <w:highlight w:val="none"/>
              </w:rPr>
              <w:t>（</w:t>
            </w:r>
            <w:r>
              <w:rPr>
                <w:rFonts w:hint="eastAsia"/>
                <w:color w:val="auto"/>
                <w:highlight w:val="none"/>
              </w:rPr>
              <w:t>3</w:t>
            </w:r>
            <w:r>
              <w:rPr>
                <w:color w:val="auto"/>
                <w:highlight w:val="none"/>
              </w:rPr>
              <w:t>）净购入电力和热力隐含的CO</w:t>
            </w:r>
            <w:r>
              <w:rPr>
                <w:color w:val="auto"/>
                <w:highlight w:val="none"/>
                <w:vertAlign w:val="subscript"/>
              </w:rPr>
              <w:t>2</w:t>
            </w:r>
            <w:r>
              <w:rPr>
                <w:color w:val="auto"/>
                <w:highlight w:val="none"/>
              </w:rPr>
              <w:t>排放量</w:t>
            </w:r>
          </w:p>
        </w:tc>
      </w:tr>
    </w:tbl>
    <w:p>
      <w:pPr>
        <w:pStyle w:val="5"/>
        <w:rPr>
          <w:color w:val="auto"/>
          <w:highlight w:val="none"/>
        </w:rPr>
      </w:pPr>
      <w:r>
        <w:rPr>
          <w:rFonts w:hint="eastAsia"/>
          <w:color w:val="auto"/>
          <w:highlight w:val="none"/>
        </w:rPr>
        <w:t>7.1.2.2 碳排放量核算过程</w:t>
      </w:r>
    </w:p>
    <w:p>
      <w:pPr>
        <w:pStyle w:val="57"/>
        <w:keepNext w:val="0"/>
        <w:keepLines w:val="0"/>
        <w:pageBreakBefore w:val="0"/>
        <w:kinsoku/>
        <w:wordWrap/>
        <w:overflowPunct/>
        <w:topLinePunct w:val="0"/>
        <w:autoSpaceDE/>
        <w:autoSpaceDN/>
        <w:bidi w:val="0"/>
        <w:spacing w:line="480" w:lineRule="exact"/>
        <w:jc w:val="left"/>
        <w:rPr>
          <w:color w:val="auto"/>
          <w:spacing w:val="4"/>
          <w:kern w:val="24"/>
          <w:sz w:val="24"/>
          <w:szCs w:val="24"/>
          <w:highlight w:val="none"/>
        </w:rPr>
      </w:pPr>
      <w:r>
        <w:rPr>
          <w:rFonts w:hint="eastAsia"/>
          <w:color w:val="auto"/>
          <w:sz w:val="24"/>
          <w:szCs w:val="24"/>
          <w:highlight w:val="none"/>
        </w:rPr>
        <w:t>本工程涉及火炬燃烧排放、</w:t>
      </w:r>
      <w:r>
        <w:rPr>
          <w:rFonts w:hint="eastAsia"/>
          <w:color w:val="auto"/>
          <w:spacing w:val="4"/>
          <w:kern w:val="24"/>
          <w:sz w:val="24"/>
          <w:szCs w:val="24"/>
          <w:highlight w:val="none"/>
        </w:rPr>
        <w:t>CH</w:t>
      </w:r>
      <w:r>
        <w:rPr>
          <w:rFonts w:hint="eastAsia"/>
          <w:color w:val="auto"/>
          <w:spacing w:val="4"/>
          <w:kern w:val="24"/>
          <w:sz w:val="24"/>
          <w:szCs w:val="24"/>
          <w:highlight w:val="none"/>
          <w:vertAlign w:val="subscript"/>
        </w:rPr>
        <w:t>4</w:t>
      </w:r>
      <w:r>
        <w:rPr>
          <w:rFonts w:hint="eastAsia"/>
          <w:color w:val="auto"/>
          <w:sz w:val="24"/>
          <w:szCs w:val="24"/>
          <w:highlight w:val="none"/>
        </w:rPr>
        <w:t>逃逸排放、净购入电力和热力隐含的</w:t>
      </w:r>
      <w:r>
        <w:rPr>
          <w:rFonts w:hint="eastAsia"/>
          <w:color w:val="auto"/>
          <w:spacing w:val="4"/>
          <w:kern w:val="24"/>
          <w:sz w:val="24"/>
          <w:szCs w:val="24"/>
          <w:highlight w:val="none"/>
        </w:rPr>
        <w:t>CO</w:t>
      </w:r>
      <w:r>
        <w:rPr>
          <w:rFonts w:hint="eastAsia"/>
          <w:color w:val="auto"/>
          <w:spacing w:val="4"/>
          <w:kern w:val="24"/>
          <w:sz w:val="24"/>
          <w:szCs w:val="24"/>
          <w:highlight w:val="none"/>
          <w:vertAlign w:val="subscript"/>
        </w:rPr>
        <w:t>2</w:t>
      </w:r>
      <w:r>
        <w:rPr>
          <w:rFonts w:hint="eastAsia"/>
          <w:color w:val="auto"/>
          <w:spacing w:val="4"/>
          <w:kern w:val="24"/>
          <w:sz w:val="24"/>
          <w:szCs w:val="24"/>
          <w:highlight w:val="none"/>
        </w:rPr>
        <w:t>排</w:t>
      </w:r>
      <w:r>
        <w:rPr>
          <w:rFonts w:hint="eastAsia"/>
          <w:color w:val="auto"/>
          <w:sz w:val="24"/>
          <w:szCs w:val="24"/>
          <w:highlight w:val="none"/>
        </w:rPr>
        <w:t>放量。具体核算过程如下：</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val="en-US" w:eastAsia="zh-CN"/>
        </w:rPr>
        <w:t>1</w:t>
      </w:r>
      <w:r>
        <w:rPr>
          <w:rFonts w:hint="eastAsia" w:ascii="Times New Roman" w:hAnsi="Times New Roman" w:eastAsia="宋体" w:cs="Times New Roman"/>
          <w:color w:val="auto"/>
          <w:sz w:val="24"/>
          <w:szCs w:val="24"/>
          <w:highlight w:val="none"/>
          <w:shd w:val="clear" w:color="auto" w:fill="auto"/>
          <w:lang w:eastAsia="zh-CN"/>
        </w:rPr>
        <w:t>）火炬燃烧排放</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石油天然气生产企业火炬燃烧可分为正常工况下的火炬气燃烧及由于事故导致的火炬气燃烧两种，本项目主要核算正常工况下的火炬气燃烧（主要为井场测试放喷阶段的火炬燃烧碳排放量）。另外，考虑到石油天然气生产企业火炬气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含量较高且火炬气燃烧不充分，因此石油天然气生产企业的火炬燃烧排放同时考虑CO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及CH4排放。</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①计算公式</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a.火炬燃烧排放计算公式：</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88960" behindDoc="0" locked="0" layoutInCell="1" allowOverlap="1">
            <wp:simplePos x="0" y="0"/>
            <wp:positionH relativeFrom="column">
              <wp:posOffset>304800</wp:posOffset>
            </wp:positionH>
            <wp:positionV relativeFrom="paragraph">
              <wp:posOffset>-289560</wp:posOffset>
            </wp:positionV>
            <wp:extent cx="4993640" cy="516255"/>
            <wp:effectExtent l="0" t="0" r="16510" b="17145"/>
            <wp:wrapNone/>
            <wp:docPr id="1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9"/>
                    <pic:cNvPicPr>
                      <a:picLocks noChangeAspect="1"/>
                    </pic:cNvPicPr>
                  </pic:nvPicPr>
                  <pic:blipFill>
                    <a:blip r:embed="rId76"/>
                    <a:stretch>
                      <a:fillRect/>
                    </a:stretch>
                  </pic:blipFill>
                  <pic:spPr>
                    <a:xfrm>
                      <a:off x="0" y="0"/>
                      <a:ext cx="4993640" cy="5162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式中：</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GHG-火炬</w:t>
      </w:r>
      <w:r>
        <w:rPr>
          <w:rFonts w:hint="eastAsia" w:cs="Times New Roman"/>
          <w:color w:val="auto"/>
          <w:sz w:val="24"/>
          <w:szCs w:val="24"/>
          <w:highlight w:val="none"/>
          <w:shd w:val="clear" w:color="auto" w:fill="auto"/>
          <w:vertAlign w:val="subscript"/>
          <w:lang w:eastAsia="zh-CN"/>
        </w:rPr>
        <w:t>－</w:t>
      </w:r>
      <w:r>
        <w:rPr>
          <w:rFonts w:hint="eastAsia" w:ascii="Times New Roman" w:hAnsi="Times New Roman" w:eastAsia="宋体" w:cs="Times New Roman"/>
          <w:color w:val="auto"/>
          <w:sz w:val="24"/>
          <w:szCs w:val="24"/>
          <w:highlight w:val="none"/>
          <w:shd w:val="clear" w:color="auto" w:fill="auto"/>
          <w:lang w:eastAsia="zh-CN"/>
        </w:rPr>
        <w:t>火炬燃烧产生的CO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排放量，单位为吨CO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 xml:space="preserve">；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CO2-正常火炬</w:t>
      </w:r>
      <w:r>
        <w:rPr>
          <w:rFonts w:hint="eastAsia" w:cs="Times New Roman"/>
          <w:color w:val="auto"/>
          <w:sz w:val="24"/>
          <w:szCs w:val="24"/>
          <w:highlight w:val="none"/>
          <w:shd w:val="clear" w:color="auto" w:fill="auto"/>
          <w:vertAlign w:val="subscript"/>
          <w:lang w:eastAsia="zh-CN"/>
        </w:rPr>
        <w:t>－</w:t>
      </w:r>
      <w:r>
        <w:rPr>
          <w:rFonts w:hint="eastAsia" w:ascii="Times New Roman" w:hAnsi="Times New Roman" w:eastAsia="宋体" w:cs="Times New Roman"/>
          <w:color w:val="auto"/>
          <w:sz w:val="24"/>
          <w:szCs w:val="24"/>
          <w:highlight w:val="none"/>
          <w:shd w:val="clear" w:color="auto" w:fill="auto"/>
          <w:lang w:eastAsia="zh-CN"/>
        </w:rPr>
        <w:t>正常工况下火炬系统产生的CO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排放，单位为吨CO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CO2-事故火炬</w:t>
      </w:r>
      <w:r>
        <w:rPr>
          <w:rFonts w:hint="eastAsia" w:ascii="Times New Roman" w:hAnsi="Times New Roman" w:eastAsia="宋体" w:cs="Times New Roman"/>
          <w:color w:val="auto"/>
          <w:sz w:val="24"/>
          <w:szCs w:val="24"/>
          <w:highlight w:val="none"/>
          <w:shd w:val="clear" w:color="auto" w:fill="auto"/>
          <w:lang w:eastAsia="zh-CN"/>
        </w:rPr>
        <w:t>-由于事故火炬产生的CO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排放，单位为吨CO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 xml:space="preserve">；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CH4-正常火炬</w:t>
      </w:r>
      <w:r>
        <w:rPr>
          <w:rFonts w:hint="eastAsia" w:cs="Times New Roman"/>
          <w:color w:val="auto"/>
          <w:sz w:val="24"/>
          <w:szCs w:val="24"/>
          <w:highlight w:val="none"/>
          <w:shd w:val="clear" w:color="auto" w:fill="auto"/>
          <w:vertAlign w:val="subscript"/>
          <w:lang w:eastAsia="zh-CN"/>
        </w:rPr>
        <w:t>－</w:t>
      </w:r>
      <w:r>
        <w:rPr>
          <w:rFonts w:hint="eastAsia" w:ascii="Times New Roman" w:hAnsi="Times New Roman" w:eastAsia="宋体" w:cs="Times New Roman"/>
          <w:color w:val="auto"/>
          <w:sz w:val="24"/>
          <w:szCs w:val="24"/>
          <w:highlight w:val="none"/>
          <w:shd w:val="clear" w:color="auto" w:fill="auto"/>
          <w:lang w:eastAsia="zh-CN"/>
        </w:rPr>
        <w:t>正常工况下火炬系统产生的CH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排放，单位为吨CH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 xml:space="preserve">；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w:t>
      </w:r>
      <w:r>
        <w:rPr>
          <w:rFonts w:hint="eastAsia" w:ascii="Times New Roman" w:hAnsi="Times New Roman" w:eastAsia="宋体" w:cs="Times New Roman"/>
          <w:color w:val="auto"/>
          <w:sz w:val="24"/>
          <w:szCs w:val="24"/>
          <w:highlight w:val="none"/>
          <w:shd w:val="clear" w:color="auto" w:fill="auto"/>
          <w:vertAlign w:val="subscript"/>
          <w:lang w:eastAsia="zh-CN"/>
        </w:rPr>
        <w:t>CH4-事故火炬</w:t>
      </w:r>
      <w:r>
        <w:rPr>
          <w:rFonts w:hint="eastAsia" w:cs="Times New Roman"/>
          <w:color w:val="auto"/>
          <w:sz w:val="24"/>
          <w:szCs w:val="24"/>
          <w:highlight w:val="none"/>
          <w:shd w:val="clear" w:color="auto" w:fill="auto"/>
          <w:vertAlign w:val="subscript"/>
          <w:lang w:eastAsia="zh-CN"/>
        </w:rPr>
        <w:t>－</w:t>
      </w:r>
      <w:r>
        <w:rPr>
          <w:rFonts w:hint="eastAsia" w:ascii="Times New Roman" w:hAnsi="Times New Roman" w:eastAsia="宋体" w:cs="Times New Roman"/>
          <w:color w:val="auto"/>
          <w:sz w:val="24"/>
          <w:szCs w:val="24"/>
          <w:highlight w:val="none"/>
          <w:shd w:val="clear" w:color="auto" w:fill="auto"/>
          <w:lang w:eastAsia="zh-CN"/>
        </w:rPr>
        <w:t>事故火炬产生的CH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排放，单位为吨CH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GWPCH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相比CO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的全球变暖潜势值。根据IPCC第二次评估报告，100年时间尺度内1吨CH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相当于21吨CO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的增温能力，因此GWPCH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等于21。</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b.正常工况下火炬气体温室气体排放公式如下：</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89984" behindDoc="0" locked="0" layoutInCell="1" allowOverlap="1">
            <wp:simplePos x="0" y="0"/>
            <wp:positionH relativeFrom="column">
              <wp:posOffset>304800</wp:posOffset>
            </wp:positionH>
            <wp:positionV relativeFrom="paragraph">
              <wp:posOffset>-194310</wp:posOffset>
            </wp:positionV>
            <wp:extent cx="3936365" cy="437515"/>
            <wp:effectExtent l="0" t="0" r="6985" b="635"/>
            <wp:wrapNone/>
            <wp:docPr id="16"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0"/>
                    <pic:cNvPicPr>
                      <a:picLocks noChangeAspect="1"/>
                    </pic:cNvPicPr>
                  </pic:nvPicPr>
                  <pic:blipFill>
                    <a:blip r:embed="rId77"/>
                    <a:stretch>
                      <a:fillRect/>
                    </a:stretch>
                  </pic:blipFill>
                  <pic:spPr>
                    <a:xfrm>
                      <a:off x="0" y="0"/>
                      <a:ext cx="3936365" cy="43751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91008" behindDoc="0" locked="0" layoutInCell="1" allowOverlap="1">
            <wp:simplePos x="0" y="0"/>
            <wp:positionH relativeFrom="column">
              <wp:posOffset>304800</wp:posOffset>
            </wp:positionH>
            <wp:positionV relativeFrom="paragraph">
              <wp:posOffset>-232410</wp:posOffset>
            </wp:positionV>
            <wp:extent cx="3419475" cy="464185"/>
            <wp:effectExtent l="0" t="0" r="9525" b="12065"/>
            <wp:wrapNone/>
            <wp:docPr id="13"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1"/>
                    <pic:cNvPicPr>
                      <a:picLocks noChangeAspect="1"/>
                    </pic:cNvPicPr>
                  </pic:nvPicPr>
                  <pic:blipFill>
                    <a:blip r:embed="rId78"/>
                    <a:stretch>
                      <a:fillRect/>
                    </a:stretch>
                  </pic:blipFill>
                  <pic:spPr>
                    <a:xfrm>
                      <a:off x="0" y="0"/>
                      <a:ext cx="3419475" cy="46418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式中：</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i</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火炬系统序号；</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Q正常火炬</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正常生产状态下第i号火炬系统的火炬气流量，单位为万Nm</w:t>
      </w:r>
      <w:r>
        <w:rPr>
          <w:rFonts w:hint="eastAsia" w:ascii="Times New Roman" w:hAnsi="Times New Roman" w:eastAsia="宋体" w:cs="Times New Roman"/>
          <w:color w:val="auto"/>
          <w:sz w:val="24"/>
          <w:szCs w:val="24"/>
          <w:highlight w:val="none"/>
          <w:shd w:val="clear" w:color="auto" w:fill="auto"/>
          <w:vertAlign w:val="superscript"/>
          <w:lang w:eastAsia="zh-CN"/>
        </w:rPr>
        <w:t>3</w:t>
      </w:r>
      <w:r>
        <w:rPr>
          <w:rFonts w:hint="eastAsia" w:ascii="Times New Roman" w:hAnsi="Times New Roman" w:eastAsia="宋体" w:cs="Times New Roman"/>
          <w:color w:val="auto"/>
          <w:sz w:val="24"/>
          <w:szCs w:val="24"/>
          <w:highlight w:val="none"/>
          <w:shd w:val="clear" w:color="auto" w:fill="auto"/>
          <w:lang w:eastAsia="zh-CN"/>
        </w:rPr>
        <w:t xml:space="preserve">；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CC非CO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-火炬气中除CO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-外其他含碳化合物的总含碳量，单位为吨碳/万Nm</w:t>
      </w:r>
      <w:r>
        <w:rPr>
          <w:rFonts w:hint="eastAsia" w:ascii="Times New Roman" w:hAnsi="Times New Roman" w:eastAsia="宋体" w:cs="Times New Roman"/>
          <w:color w:val="auto"/>
          <w:sz w:val="24"/>
          <w:szCs w:val="24"/>
          <w:highlight w:val="none"/>
          <w:shd w:val="clear" w:color="auto" w:fill="auto"/>
          <w:vertAlign w:val="superscript"/>
          <w:lang w:eastAsia="zh-CN"/>
        </w:rPr>
        <w:t>3</w:t>
      </w:r>
      <w:r>
        <w:rPr>
          <w:rFonts w:hint="eastAsia" w:ascii="Times New Roman" w:hAnsi="Times New Roman" w:eastAsia="宋体" w:cs="Times New Roman"/>
          <w:color w:val="auto"/>
          <w:sz w:val="24"/>
          <w:szCs w:val="24"/>
          <w:highlight w:val="none"/>
          <w:shd w:val="clear" w:color="auto" w:fill="auto"/>
          <w:lang w:eastAsia="zh-CN"/>
        </w:rPr>
        <w:t xml:space="preserve">；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OF</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 xml:space="preserve">第i号火炬系统的碳氧化率，如无实测数据可采用缺省值0.98；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VCO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火炬气中CO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 xml:space="preserve">-的体积浓度，取值范围为0～1；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VCH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为火炬气中CH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的体积浓度；</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93056" behindDoc="0" locked="0" layoutInCell="1" allowOverlap="1">
            <wp:simplePos x="0" y="0"/>
            <wp:positionH relativeFrom="column">
              <wp:posOffset>320675</wp:posOffset>
            </wp:positionH>
            <wp:positionV relativeFrom="paragraph">
              <wp:posOffset>281940</wp:posOffset>
            </wp:positionV>
            <wp:extent cx="3770630" cy="497840"/>
            <wp:effectExtent l="0" t="0" r="1270" b="16510"/>
            <wp:wrapNone/>
            <wp:docPr id="17"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3"/>
                    <pic:cNvPicPr>
                      <a:picLocks noChangeAspect="1"/>
                    </pic:cNvPicPr>
                  </pic:nvPicPr>
                  <pic:blipFill>
                    <a:blip r:embed="rId79"/>
                    <a:stretch>
                      <a:fillRect/>
                    </a:stretch>
                  </pic:blipFill>
                  <pic:spPr>
                    <a:xfrm>
                      <a:off x="0" y="0"/>
                      <a:ext cx="3770630" cy="497840"/>
                    </a:xfrm>
                    <a:prstGeom prst="rect">
                      <a:avLst/>
                    </a:prstGeom>
                    <a:noFill/>
                    <a:ln>
                      <a:noFill/>
                    </a:ln>
                  </pic:spPr>
                </pic:pic>
              </a:graphicData>
            </a:graphic>
          </wp:anchor>
        </w:drawing>
      </w:r>
      <w:r>
        <w:rPr>
          <w:rFonts w:hint="eastAsia" w:ascii="Times New Roman" w:hAnsi="Times New Roman" w:eastAsia="宋体" w:cs="Times New Roman"/>
          <w:color w:val="auto"/>
          <w:sz w:val="24"/>
          <w:szCs w:val="24"/>
          <w:highlight w:val="none"/>
          <w:shd w:val="clear" w:color="auto" w:fill="auto"/>
          <w:lang w:eastAsia="zh-CN"/>
        </w:rPr>
        <w:drawing>
          <wp:anchor distT="0" distB="0" distL="114300" distR="114300" simplePos="0" relativeHeight="251692032" behindDoc="0" locked="0" layoutInCell="1" allowOverlap="1">
            <wp:simplePos x="0" y="0"/>
            <wp:positionH relativeFrom="column">
              <wp:posOffset>304800</wp:posOffset>
            </wp:positionH>
            <wp:positionV relativeFrom="paragraph">
              <wp:posOffset>-289560</wp:posOffset>
            </wp:positionV>
            <wp:extent cx="4161790" cy="528955"/>
            <wp:effectExtent l="0" t="0" r="10160" b="4445"/>
            <wp:wrapNone/>
            <wp:docPr id="15"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2"/>
                    <pic:cNvPicPr>
                      <a:picLocks noChangeAspect="1"/>
                    </pic:cNvPicPr>
                  </pic:nvPicPr>
                  <pic:blipFill>
                    <a:blip r:embed="rId80"/>
                    <a:stretch>
                      <a:fillRect/>
                    </a:stretch>
                  </pic:blipFill>
                  <pic:spPr>
                    <a:xfrm>
                      <a:off x="0" y="0"/>
                      <a:ext cx="4161790" cy="528955"/>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spacing w:line="480" w:lineRule="exact"/>
        <w:jc w:val="left"/>
        <w:rPr>
          <w:rFonts w:hint="eastAsia" w:ascii="Times New Roman" w:hAnsi="Times New Roman" w:eastAsia="宋体" w:cs="Times New Roman"/>
          <w:color w:val="auto"/>
          <w:sz w:val="24"/>
          <w:szCs w:val="24"/>
          <w:highlight w:val="none"/>
          <w:shd w:val="clear" w:color="auto" w:fill="auto"/>
          <w:lang w:eastAsia="zh-CN"/>
        </w:rPr>
      </w:pPr>
    </w:p>
    <w:p>
      <w:pPr>
        <w:keepNext w:val="0"/>
        <w:keepLines w:val="0"/>
        <w:pageBreakBefore w:val="0"/>
        <w:kinsoku/>
        <w:wordWrap/>
        <w:overflowPunct/>
        <w:topLinePunct w:val="0"/>
        <w:autoSpaceDE/>
        <w:autoSpaceDN/>
        <w:bidi w:val="0"/>
        <w:spacing w:line="480" w:lineRule="exact"/>
        <w:jc w:val="left"/>
        <w:rPr>
          <w:rFonts w:hint="eastAsia" w:ascii="Times New Roman" w:hAnsi="Times New Roman" w:eastAsia="宋体" w:cs="Times New Roman"/>
          <w:color w:val="auto"/>
          <w:sz w:val="24"/>
          <w:szCs w:val="24"/>
          <w:highlight w:val="none"/>
          <w:shd w:val="clear" w:color="auto" w:fill="auto"/>
          <w:lang w:eastAsia="zh-CN"/>
        </w:rPr>
      </w:pP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c.事故工况下火炬气体温室气体排放公式如下：</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式中：</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 xml:space="preserve">事故次数；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GF事故，j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报告期内第j次事故状态时的火炬气流速度，单位为万Nm</w:t>
      </w:r>
      <w:r>
        <w:rPr>
          <w:rFonts w:hint="eastAsia" w:ascii="Times New Roman" w:hAnsi="Times New Roman" w:eastAsia="宋体" w:cs="Times New Roman"/>
          <w:color w:val="auto"/>
          <w:sz w:val="24"/>
          <w:szCs w:val="24"/>
          <w:highlight w:val="none"/>
          <w:shd w:val="clear" w:color="auto" w:fill="auto"/>
          <w:vertAlign w:val="superscript"/>
          <w:lang w:eastAsia="zh-CN"/>
        </w:rPr>
        <w:t>3</w:t>
      </w:r>
      <w:r>
        <w:rPr>
          <w:rFonts w:hint="eastAsia" w:ascii="Times New Roman" w:hAnsi="Times New Roman" w:eastAsia="宋体" w:cs="Times New Roman"/>
          <w:color w:val="auto"/>
          <w:sz w:val="24"/>
          <w:szCs w:val="24"/>
          <w:highlight w:val="none"/>
          <w:shd w:val="clear" w:color="auto" w:fill="auto"/>
          <w:lang w:eastAsia="zh-CN"/>
        </w:rPr>
        <w:t xml:space="preserve">/小时；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T事故，j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 xml:space="preserve">报告期内第j次事故的持续时间，单位为小时；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CC（非CO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第j次事故</w:t>
      </w:r>
      <w:bookmarkStart w:id="777" w:name="OLE_LINK87"/>
      <w:r>
        <w:rPr>
          <w:rFonts w:hint="eastAsia" w:ascii="Times New Roman" w:hAnsi="Times New Roman" w:eastAsia="宋体" w:cs="Times New Roman"/>
          <w:color w:val="auto"/>
          <w:sz w:val="24"/>
          <w:szCs w:val="24"/>
          <w:highlight w:val="none"/>
          <w:shd w:val="clear" w:color="auto" w:fill="auto"/>
          <w:lang w:eastAsia="zh-CN"/>
        </w:rPr>
        <w:t>火炬气中除CO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外</w:t>
      </w:r>
      <w:bookmarkStart w:id="778" w:name="OLE_LINK88"/>
      <w:r>
        <w:rPr>
          <w:rFonts w:hint="eastAsia" w:ascii="Times New Roman" w:hAnsi="Times New Roman" w:eastAsia="宋体" w:cs="Times New Roman"/>
          <w:color w:val="auto"/>
          <w:sz w:val="24"/>
          <w:szCs w:val="24"/>
          <w:highlight w:val="none"/>
          <w:shd w:val="clear" w:color="auto" w:fill="auto"/>
          <w:lang w:eastAsia="zh-CN"/>
        </w:rPr>
        <w:t>其他含碳化合物的总含碳量</w:t>
      </w:r>
      <w:bookmarkEnd w:id="777"/>
      <w:bookmarkEnd w:id="778"/>
      <w:r>
        <w:rPr>
          <w:rFonts w:hint="eastAsia" w:ascii="Times New Roman" w:hAnsi="Times New Roman" w:eastAsia="宋体" w:cs="Times New Roman"/>
          <w:color w:val="auto"/>
          <w:sz w:val="24"/>
          <w:szCs w:val="24"/>
          <w:highlight w:val="none"/>
          <w:shd w:val="clear" w:color="auto" w:fill="auto"/>
          <w:lang w:eastAsia="zh-CN"/>
        </w:rPr>
        <w:t>，单位为吨碳/万Nm</w:t>
      </w:r>
      <w:r>
        <w:rPr>
          <w:rFonts w:hint="eastAsia" w:ascii="Times New Roman" w:hAnsi="Times New Roman" w:eastAsia="宋体" w:cs="Times New Roman"/>
          <w:color w:val="auto"/>
          <w:sz w:val="24"/>
          <w:szCs w:val="24"/>
          <w:highlight w:val="none"/>
          <w:shd w:val="clear" w:color="auto" w:fill="auto"/>
          <w:vertAlign w:val="superscript"/>
          <w:lang w:eastAsia="zh-CN"/>
        </w:rPr>
        <w:t>3</w:t>
      </w:r>
      <w:r>
        <w:rPr>
          <w:rFonts w:hint="eastAsia" w:ascii="Times New Roman" w:hAnsi="Times New Roman" w:eastAsia="宋体" w:cs="Times New Roman"/>
          <w:color w:val="auto"/>
          <w:sz w:val="24"/>
          <w:szCs w:val="24"/>
          <w:highlight w:val="none"/>
          <w:shd w:val="clear" w:color="auto" w:fill="auto"/>
          <w:lang w:eastAsia="zh-CN"/>
        </w:rPr>
        <w:t xml:space="preserve">；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OF</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 xml:space="preserve">火炬燃烧的碳氧化率，如无实测数据可采用缺省值0.98； </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V(CO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)j</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第j次事故火炬气中CO</w:t>
      </w:r>
      <w:r>
        <w:rPr>
          <w:rFonts w:hint="eastAsia" w:ascii="Times New Roman" w:hAnsi="Times New Roman" w:eastAsia="宋体" w:cs="Times New Roman"/>
          <w:color w:val="auto"/>
          <w:sz w:val="24"/>
          <w:szCs w:val="24"/>
          <w:highlight w:val="none"/>
          <w:shd w:val="clear" w:color="auto" w:fill="auto"/>
          <w:vertAlign w:val="subscript"/>
          <w:lang w:eastAsia="zh-CN"/>
        </w:rPr>
        <w:t>2</w:t>
      </w:r>
      <w:r>
        <w:rPr>
          <w:rFonts w:hint="eastAsia" w:ascii="Times New Roman" w:hAnsi="Times New Roman" w:eastAsia="宋体" w:cs="Times New Roman"/>
          <w:color w:val="auto"/>
          <w:sz w:val="24"/>
          <w:szCs w:val="24"/>
          <w:highlight w:val="none"/>
          <w:shd w:val="clear" w:color="auto" w:fill="auto"/>
          <w:lang w:eastAsia="zh-CN"/>
        </w:rPr>
        <w:t>的体积浓度；</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VCH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cs="Times New Roman"/>
          <w:color w:val="auto"/>
          <w:sz w:val="24"/>
          <w:szCs w:val="24"/>
          <w:highlight w:val="none"/>
          <w:shd w:val="clear" w:color="auto" w:fill="auto"/>
          <w:lang w:eastAsia="zh-CN"/>
        </w:rPr>
        <w:t>－</w:t>
      </w:r>
      <w:r>
        <w:rPr>
          <w:rFonts w:hint="eastAsia" w:ascii="Times New Roman" w:hAnsi="Times New Roman" w:eastAsia="宋体" w:cs="Times New Roman"/>
          <w:color w:val="auto"/>
          <w:sz w:val="24"/>
          <w:szCs w:val="24"/>
          <w:highlight w:val="none"/>
          <w:shd w:val="clear" w:color="auto" w:fill="auto"/>
          <w:lang w:eastAsia="zh-CN"/>
        </w:rPr>
        <w:t>事故火炬气中CH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的体积浓度；</w:t>
      </w:r>
    </w:p>
    <w:p>
      <w:pPr>
        <w:keepNext w:val="0"/>
        <w:keepLines w:val="0"/>
        <w:pageBreakBefore w:val="0"/>
        <w:kinsoku/>
        <w:wordWrap/>
        <w:overflowPunct/>
        <w:topLinePunct w:val="0"/>
        <w:autoSpaceDE/>
        <w:autoSpaceDN/>
        <w:bidi w:val="0"/>
        <w:spacing w:line="480" w:lineRule="exact"/>
        <w:ind w:firstLine="480" w:firstLineChars="200"/>
        <w:jc w:val="left"/>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②计算结果</w:t>
      </w:r>
    </w:p>
    <w:p>
      <w:pPr>
        <w:pStyle w:val="57"/>
        <w:keepNext w:val="0"/>
        <w:keepLines w:val="0"/>
        <w:pageBreakBefore w:val="0"/>
        <w:kinsoku/>
        <w:wordWrap/>
        <w:overflowPunct/>
        <w:topLinePunct w:val="0"/>
        <w:autoSpaceDE/>
        <w:autoSpaceDN/>
        <w:bidi w:val="0"/>
        <w:spacing w:line="480" w:lineRule="exact"/>
        <w:jc w:val="left"/>
        <w:rPr>
          <w:color w:val="auto"/>
          <w:sz w:val="24"/>
          <w:szCs w:val="24"/>
          <w:highlight w:val="none"/>
        </w:rPr>
      </w:pPr>
      <w:r>
        <w:rPr>
          <w:rFonts w:hint="eastAsia" w:ascii="Times New Roman" w:hAnsi="Times New Roman" w:eastAsia="宋体" w:cs="Times New Roman"/>
          <w:color w:val="auto"/>
          <w:sz w:val="24"/>
          <w:szCs w:val="24"/>
          <w:highlight w:val="none"/>
          <w:shd w:val="clear" w:color="auto" w:fill="auto"/>
          <w:lang w:eastAsia="zh-CN"/>
        </w:rPr>
        <w:t>本项目核算火炬气温室气体排放主要为井场试采过程中火炬气排放量。相关参数如下表</w:t>
      </w:r>
      <w:r>
        <w:rPr>
          <w:rFonts w:hint="eastAsia"/>
          <w:color w:val="auto"/>
          <w:sz w:val="24"/>
          <w:szCs w:val="24"/>
          <w:highlight w:val="none"/>
        </w:rPr>
        <w:t>。</w:t>
      </w:r>
    </w:p>
    <w:p>
      <w:pPr>
        <w:pStyle w:val="54"/>
        <w:keepNext w:val="0"/>
        <w:keepLines w:val="0"/>
        <w:pageBreakBefore w:val="0"/>
        <w:kinsoku/>
        <w:wordWrap/>
        <w:overflowPunct/>
        <w:topLinePunct w:val="0"/>
        <w:autoSpaceDE/>
        <w:autoSpaceDN/>
        <w:bidi w:val="0"/>
        <w:spacing w:line="480" w:lineRule="exact"/>
        <w:ind w:firstLine="482"/>
        <w:rPr>
          <w:color w:val="auto"/>
          <w:highlight w:val="none"/>
        </w:rPr>
      </w:pPr>
      <w:r>
        <w:rPr>
          <w:rFonts w:hint="eastAsia"/>
          <w:color w:val="auto"/>
          <w:highlight w:val="none"/>
        </w:rPr>
        <w:t>表7.1-3        火炬燃烧排放活动相关参数一览表</w:t>
      </w:r>
    </w:p>
    <w:tbl>
      <w:tblPr>
        <w:tblStyle w:val="34"/>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310"/>
        <w:gridCol w:w="495"/>
        <w:gridCol w:w="511"/>
        <w:gridCol w:w="964"/>
        <w:gridCol w:w="756"/>
        <w:gridCol w:w="1620"/>
        <w:gridCol w:w="740"/>
        <w:gridCol w:w="833"/>
        <w:gridCol w:w="916"/>
        <w:gridCol w:w="724"/>
        <w:gridCol w:w="80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41"/>
              <w:rPr>
                <w:color w:val="auto"/>
                <w:highlight w:val="none"/>
              </w:rPr>
            </w:pPr>
            <w:r>
              <w:rPr>
                <w:color w:val="auto"/>
                <w:highlight w:val="none"/>
              </w:rPr>
              <w:t>序号</w:t>
            </w:r>
          </w:p>
        </w:tc>
        <w:tc>
          <w:tcPr>
            <w:tcW w:w="495" w:type="dxa"/>
            <w:vAlign w:val="center"/>
          </w:tcPr>
          <w:p>
            <w:pPr>
              <w:pStyle w:val="41"/>
              <w:rPr>
                <w:color w:val="auto"/>
                <w:highlight w:val="none"/>
              </w:rPr>
            </w:pPr>
            <w:r>
              <w:rPr>
                <w:color w:val="auto"/>
                <w:highlight w:val="none"/>
              </w:rPr>
              <w:t>场所</w:t>
            </w:r>
          </w:p>
        </w:tc>
        <w:tc>
          <w:tcPr>
            <w:tcW w:w="511" w:type="dxa"/>
            <w:vAlign w:val="center"/>
          </w:tcPr>
          <w:p>
            <w:pPr>
              <w:pStyle w:val="41"/>
              <w:rPr>
                <w:color w:val="auto"/>
                <w:highlight w:val="none"/>
              </w:rPr>
            </w:pPr>
            <w:r>
              <w:rPr>
                <w:color w:val="auto"/>
                <w:highlight w:val="none"/>
              </w:rPr>
              <w:t>工况</w:t>
            </w:r>
          </w:p>
        </w:tc>
        <w:tc>
          <w:tcPr>
            <w:tcW w:w="964" w:type="dxa"/>
            <w:vAlign w:val="center"/>
          </w:tcPr>
          <w:p>
            <w:pPr>
              <w:pStyle w:val="41"/>
              <w:rPr>
                <w:color w:val="auto"/>
                <w:highlight w:val="none"/>
              </w:rPr>
            </w:pPr>
            <w:r>
              <w:rPr>
                <w:color w:val="auto"/>
                <w:highlight w:val="none"/>
              </w:rPr>
              <w:t>火炬气流速</w:t>
            </w:r>
            <w:r>
              <w:rPr>
                <w:rFonts w:hint="eastAsia"/>
                <w:color w:val="auto"/>
                <w:highlight w:val="none"/>
              </w:rPr>
              <w:t>（</w:t>
            </w:r>
            <w:r>
              <w:rPr>
                <w:color w:val="auto"/>
                <w:highlight w:val="none"/>
                <w:lang w:bidi="ar"/>
              </w:rPr>
              <w:t>万Nm</w:t>
            </w:r>
            <w:r>
              <w:rPr>
                <w:color w:val="auto"/>
                <w:highlight w:val="none"/>
                <w:vertAlign w:val="superscript"/>
                <w:lang w:bidi="ar"/>
              </w:rPr>
              <w:t>3</w:t>
            </w:r>
            <w:r>
              <w:rPr>
                <w:color w:val="auto"/>
                <w:highlight w:val="none"/>
                <w:lang w:bidi="ar"/>
              </w:rPr>
              <w:t>/h</w:t>
            </w:r>
            <w:r>
              <w:rPr>
                <w:rFonts w:hint="eastAsia"/>
                <w:color w:val="auto"/>
                <w:highlight w:val="none"/>
                <w:lang w:bidi="ar"/>
              </w:rPr>
              <w:t>）</w:t>
            </w:r>
          </w:p>
        </w:tc>
        <w:tc>
          <w:tcPr>
            <w:tcW w:w="0" w:type="auto"/>
            <w:vAlign w:val="center"/>
          </w:tcPr>
          <w:p>
            <w:pPr>
              <w:pStyle w:val="41"/>
              <w:rPr>
                <w:color w:val="auto"/>
                <w:highlight w:val="none"/>
              </w:rPr>
            </w:pPr>
            <w:r>
              <w:rPr>
                <w:color w:val="auto"/>
                <w:highlight w:val="none"/>
              </w:rPr>
              <w:t>持续时间</w:t>
            </w:r>
            <w:r>
              <w:rPr>
                <w:rFonts w:hint="eastAsia"/>
                <w:color w:val="auto"/>
                <w:highlight w:val="none"/>
              </w:rPr>
              <w:t>（</w:t>
            </w:r>
            <w:r>
              <w:rPr>
                <w:color w:val="auto"/>
                <w:highlight w:val="none"/>
              </w:rPr>
              <w:t>h</w:t>
            </w:r>
            <w:r>
              <w:rPr>
                <w:rFonts w:hint="eastAsia"/>
                <w:color w:val="auto"/>
                <w:highlight w:val="none"/>
              </w:rPr>
              <w:t>）</w:t>
            </w:r>
          </w:p>
        </w:tc>
        <w:tc>
          <w:tcPr>
            <w:tcW w:w="0" w:type="auto"/>
            <w:vAlign w:val="center"/>
          </w:tcPr>
          <w:p>
            <w:pPr>
              <w:pStyle w:val="41"/>
              <w:rPr>
                <w:color w:val="auto"/>
                <w:highlight w:val="none"/>
              </w:rPr>
            </w:pPr>
            <w:r>
              <w:rPr>
                <w:color w:val="auto"/>
                <w:highlight w:val="none"/>
              </w:rPr>
              <w:t>火炬气中除CO</w:t>
            </w:r>
            <w:r>
              <w:rPr>
                <w:color w:val="auto"/>
                <w:highlight w:val="none"/>
                <w:vertAlign w:val="subscript"/>
              </w:rPr>
              <w:t>2</w:t>
            </w:r>
            <w:r>
              <w:rPr>
                <w:color w:val="auto"/>
                <w:highlight w:val="none"/>
              </w:rPr>
              <w:t>外其他含碳化合物的总含碳量</w:t>
            </w:r>
            <w:r>
              <w:rPr>
                <w:rFonts w:hint="eastAsia"/>
                <w:color w:val="auto"/>
                <w:highlight w:val="none"/>
              </w:rPr>
              <w:t>（</w:t>
            </w:r>
            <w:r>
              <w:rPr>
                <w:color w:val="auto"/>
                <w:highlight w:val="none"/>
              </w:rPr>
              <w:t>吨碳/</w:t>
            </w:r>
            <w:r>
              <w:rPr>
                <w:color w:val="auto"/>
                <w:highlight w:val="none"/>
                <w:lang w:bidi="ar"/>
              </w:rPr>
              <w:t>万Nm</w:t>
            </w:r>
            <w:r>
              <w:rPr>
                <w:color w:val="auto"/>
                <w:highlight w:val="none"/>
                <w:vertAlign w:val="superscript"/>
                <w:lang w:bidi="ar"/>
              </w:rPr>
              <w:t>3</w:t>
            </w:r>
            <w:r>
              <w:rPr>
                <w:rFonts w:hint="eastAsia"/>
                <w:color w:val="auto"/>
                <w:highlight w:val="none"/>
                <w:vertAlign w:val="superscript"/>
                <w:lang w:bidi="ar"/>
              </w:rPr>
              <w:t>）</w:t>
            </w:r>
          </w:p>
        </w:tc>
        <w:tc>
          <w:tcPr>
            <w:tcW w:w="0" w:type="auto"/>
            <w:vAlign w:val="center"/>
          </w:tcPr>
          <w:p>
            <w:pPr>
              <w:pStyle w:val="41"/>
              <w:rPr>
                <w:color w:val="auto"/>
                <w:highlight w:val="none"/>
              </w:rPr>
            </w:pPr>
            <w:r>
              <w:rPr>
                <w:color w:val="auto"/>
                <w:highlight w:val="none"/>
                <w:lang w:bidi="ar"/>
              </w:rPr>
              <w:t>火炬燃烧的碳氧化率</w:t>
            </w:r>
          </w:p>
        </w:tc>
        <w:tc>
          <w:tcPr>
            <w:tcW w:w="0" w:type="auto"/>
            <w:vAlign w:val="center"/>
          </w:tcPr>
          <w:p>
            <w:pPr>
              <w:pStyle w:val="41"/>
              <w:rPr>
                <w:color w:val="auto"/>
                <w:highlight w:val="none"/>
              </w:rPr>
            </w:pPr>
            <w:r>
              <w:rPr>
                <w:color w:val="auto"/>
                <w:highlight w:val="none"/>
                <w:lang w:bidi="ar"/>
              </w:rPr>
              <w:t>火炬气中CO</w:t>
            </w:r>
            <w:r>
              <w:rPr>
                <w:color w:val="auto"/>
                <w:highlight w:val="none"/>
                <w:vertAlign w:val="subscript"/>
                <w:lang w:bidi="ar"/>
              </w:rPr>
              <w:t>2</w:t>
            </w:r>
            <w:r>
              <w:rPr>
                <w:color w:val="auto"/>
                <w:highlight w:val="none"/>
                <w:lang w:bidi="ar"/>
              </w:rPr>
              <w:t>的体积浓度</w:t>
            </w:r>
          </w:p>
        </w:tc>
        <w:tc>
          <w:tcPr>
            <w:tcW w:w="0" w:type="auto"/>
            <w:vAlign w:val="center"/>
          </w:tcPr>
          <w:p>
            <w:pPr>
              <w:pStyle w:val="41"/>
              <w:rPr>
                <w:color w:val="auto"/>
                <w:highlight w:val="none"/>
              </w:rPr>
            </w:pPr>
            <w:r>
              <w:rPr>
                <w:color w:val="auto"/>
                <w:highlight w:val="none"/>
                <w:lang w:bidi="ar"/>
              </w:rPr>
              <w:t>火炬气中CH</w:t>
            </w:r>
            <w:r>
              <w:rPr>
                <w:color w:val="auto"/>
                <w:highlight w:val="none"/>
                <w:vertAlign w:val="subscript"/>
                <w:lang w:bidi="ar"/>
              </w:rPr>
              <w:t>4</w:t>
            </w:r>
            <w:r>
              <w:rPr>
                <w:color w:val="auto"/>
                <w:highlight w:val="none"/>
                <w:lang w:bidi="ar"/>
              </w:rPr>
              <w:t>的体积浓度</w:t>
            </w:r>
          </w:p>
        </w:tc>
        <w:tc>
          <w:tcPr>
            <w:tcW w:w="724" w:type="dxa"/>
            <w:shd w:val="clear" w:color="auto" w:fill="auto"/>
          </w:tcPr>
          <w:p>
            <w:pPr>
              <w:pStyle w:val="41"/>
              <w:rPr>
                <w:color w:val="auto"/>
                <w:highlight w:val="none"/>
                <w:vertAlign w:val="subscript"/>
                <w:lang w:bidi="ar"/>
              </w:rPr>
            </w:pPr>
            <w:r>
              <w:rPr>
                <w:rFonts w:hint="eastAsia"/>
                <w:color w:val="auto"/>
                <w:highlight w:val="none"/>
                <w:lang w:bidi="ar"/>
              </w:rPr>
              <w:t>E</w:t>
            </w:r>
            <w:r>
              <w:rPr>
                <w:rFonts w:hint="eastAsia"/>
                <w:color w:val="auto"/>
                <w:highlight w:val="none"/>
                <w:vertAlign w:val="subscript"/>
                <w:lang w:bidi="ar"/>
              </w:rPr>
              <w:t>C</w:t>
            </w:r>
            <w:r>
              <w:rPr>
                <w:color w:val="auto"/>
                <w:highlight w:val="none"/>
                <w:vertAlign w:val="subscript"/>
                <w:lang w:bidi="ar"/>
              </w:rPr>
              <w:t>O2</w:t>
            </w:r>
          </w:p>
          <w:p>
            <w:pPr>
              <w:pStyle w:val="41"/>
              <w:rPr>
                <w:color w:val="auto"/>
                <w:highlight w:val="none"/>
                <w:lang w:bidi="ar"/>
              </w:rPr>
            </w:pPr>
            <w:r>
              <w:rPr>
                <w:rFonts w:hint="eastAsia"/>
                <w:color w:val="auto"/>
                <w:highlight w:val="none"/>
              </w:rPr>
              <w:t>（</w:t>
            </w:r>
            <w:r>
              <w:rPr>
                <w:color w:val="auto"/>
                <w:highlight w:val="none"/>
              </w:rPr>
              <w:t>吨CO</w:t>
            </w:r>
            <w:r>
              <w:rPr>
                <w:color w:val="auto"/>
                <w:highlight w:val="none"/>
                <w:vertAlign w:val="subscript"/>
              </w:rPr>
              <w:t>2</w:t>
            </w:r>
            <w:r>
              <w:rPr>
                <w:rFonts w:hint="eastAsia"/>
                <w:color w:val="auto"/>
                <w:highlight w:val="none"/>
                <w:lang w:bidi="ar"/>
              </w:rPr>
              <w:t>）</w:t>
            </w:r>
          </w:p>
        </w:tc>
        <w:tc>
          <w:tcPr>
            <w:tcW w:w="804" w:type="dxa"/>
            <w:shd w:val="clear" w:color="auto" w:fill="auto"/>
          </w:tcPr>
          <w:p>
            <w:pPr>
              <w:pStyle w:val="41"/>
              <w:rPr>
                <w:color w:val="auto"/>
                <w:highlight w:val="none"/>
                <w:lang w:bidi="ar"/>
              </w:rPr>
            </w:pPr>
            <w:r>
              <w:rPr>
                <w:rFonts w:hint="eastAsia"/>
                <w:color w:val="auto"/>
                <w:highlight w:val="none"/>
                <w:lang w:bidi="ar"/>
              </w:rPr>
              <w:t>E</w:t>
            </w:r>
            <w:r>
              <w:rPr>
                <w:rFonts w:hint="eastAsia"/>
                <w:color w:val="auto"/>
                <w:highlight w:val="none"/>
                <w:vertAlign w:val="subscript"/>
                <w:lang w:bidi="ar"/>
              </w:rPr>
              <w:t>C</w:t>
            </w:r>
            <w:r>
              <w:rPr>
                <w:color w:val="auto"/>
                <w:highlight w:val="none"/>
                <w:vertAlign w:val="subscript"/>
                <w:lang w:bidi="ar"/>
              </w:rPr>
              <w:t>H4</w:t>
            </w:r>
            <w:r>
              <w:rPr>
                <w:rFonts w:hint="eastAsia"/>
                <w:color w:val="auto"/>
                <w:highlight w:val="none"/>
              </w:rPr>
              <w:t>（</w:t>
            </w:r>
            <w:r>
              <w:rPr>
                <w:color w:val="auto"/>
                <w:highlight w:val="none"/>
              </w:rPr>
              <w:t>吨CO</w:t>
            </w:r>
            <w:r>
              <w:rPr>
                <w:color w:val="auto"/>
                <w:highlight w:val="none"/>
                <w:vertAlign w:val="subscript"/>
              </w:rPr>
              <w:t>2</w:t>
            </w:r>
            <w:r>
              <w:rPr>
                <w:rFonts w:hint="eastAsia"/>
                <w:color w:val="auto"/>
                <w:highlight w:val="none"/>
                <w:lang w:bidi="ar"/>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41"/>
              <w:rPr>
                <w:color w:val="auto"/>
                <w:highlight w:val="none"/>
              </w:rPr>
            </w:pPr>
            <w:r>
              <w:rPr>
                <w:color w:val="auto"/>
                <w:highlight w:val="none"/>
              </w:rPr>
              <w:t>1</w:t>
            </w:r>
          </w:p>
        </w:tc>
        <w:tc>
          <w:tcPr>
            <w:tcW w:w="495" w:type="dxa"/>
            <w:vAlign w:val="center"/>
          </w:tcPr>
          <w:p>
            <w:pPr>
              <w:pStyle w:val="41"/>
              <w:rPr>
                <w:color w:val="auto"/>
                <w:highlight w:val="none"/>
              </w:rPr>
            </w:pPr>
            <w:r>
              <w:rPr>
                <w:rFonts w:hint="eastAsia"/>
                <w:color w:val="auto"/>
                <w:highlight w:val="none"/>
              </w:rPr>
              <w:t>单</w:t>
            </w:r>
            <w:r>
              <w:rPr>
                <w:color w:val="auto"/>
                <w:highlight w:val="none"/>
              </w:rPr>
              <w:t>座井场</w:t>
            </w:r>
          </w:p>
        </w:tc>
        <w:tc>
          <w:tcPr>
            <w:tcW w:w="511" w:type="dxa"/>
            <w:vAlign w:val="center"/>
          </w:tcPr>
          <w:p>
            <w:pPr>
              <w:pStyle w:val="41"/>
              <w:rPr>
                <w:color w:val="auto"/>
                <w:highlight w:val="none"/>
              </w:rPr>
            </w:pPr>
            <w:r>
              <w:rPr>
                <w:rFonts w:hint="eastAsia"/>
                <w:color w:val="auto"/>
                <w:highlight w:val="none"/>
              </w:rPr>
              <w:t>事故</w:t>
            </w:r>
            <w:r>
              <w:rPr>
                <w:color w:val="auto"/>
                <w:highlight w:val="none"/>
              </w:rPr>
              <w:t>工况</w:t>
            </w:r>
          </w:p>
        </w:tc>
        <w:tc>
          <w:tcPr>
            <w:tcW w:w="964" w:type="dxa"/>
            <w:vAlign w:val="center"/>
          </w:tcPr>
          <w:p>
            <w:pPr>
              <w:pStyle w:val="41"/>
              <w:rPr>
                <w:color w:val="auto"/>
                <w:highlight w:val="none"/>
              </w:rPr>
            </w:pPr>
            <w:r>
              <w:rPr>
                <w:color w:val="auto"/>
                <w:highlight w:val="none"/>
              </w:rPr>
              <w:t>0.</w:t>
            </w:r>
            <w:r>
              <w:rPr>
                <w:rFonts w:hint="eastAsia"/>
                <w:color w:val="auto"/>
                <w:highlight w:val="none"/>
              </w:rPr>
              <w:t>38</w:t>
            </w:r>
          </w:p>
        </w:tc>
        <w:tc>
          <w:tcPr>
            <w:tcW w:w="0" w:type="auto"/>
            <w:vAlign w:val="center"/>
          </w:tcPr>
          <w:p>
            <w:pPr>
              <w:pStyle w:val="41"/>
              <w:rPr>
                <w:color w:val="auto"/>
                <w:highlight w:val="none"/>
              </w:rPr>
            </w:pPr>
            <w:r>
              <w:rPr>
                <w:rFonts w:hint="eastAsia"/>
                <w:color w:val="auto"/>
                <w:highlight w:val="none"/>
              </w:rPr>
              <w:t>0.5</w:t>
            </w:r>
          </w:p>
        </w:tc>
        <w:tc>
          <w:tcPr>
            <w:tcW w:w="0" w:type="auto"/>
            <w:vAlign w:val="center"/>
          </w:tcPr>
          <w:p>
            <w:pPr>
              <w:pStyle w:val="41"/>
              <w:rPr>
                <w:rFonts w:hint="default" w:eastAsia="宋体"/>
                <w:color w:val="auto"/>
                <w:highlight w:val="none"/>
                <w:lang w:val="en-US" w:eastAsia="zh-CN"/>
              </w:rPr>
            </w:pPr>
            <w:r>
              <w:rPr>
                <w:rFonts w:hint="eastAsia"/>
                <w:color w:val="auto"/>
                <w:highlight w:val="none"/>
                <w:lang w:val="en-US" w:eastAsia="zh-CN"/>
              </w:rPr>
              <w:t>7.555</w:t>
            </w:r>
          </w:p>
        </w:tc>
        <w:tc>
          <w:tcPr>
            <w:tcW w:w="0" w:type="auto"/>
            <w:vAlign w:val="center"/>
          </w:tcPr>
          <w:p>
            <w:pPr>
              <w:pStyle w:val="41"/>
              <w:rPr>
                <w:color w:val="auto"/>
                <w:highlight w:val="none"/>
              </w:rPr>
            </w:pPr>
            <w:r>
              <w:rPr>
                <w:color w:val="auto"/>
                <w:highlight w:val="none"/>
              </w:rPr>
              <w:t>0.98</w:t>
            </w:r>
          </w:p>
        </w:tc>
        <w:tc>
          <w:tcPr>
            <w:tcW w:w="0" w:type="auto"/>
            <w:vAlign w:val="center"/>
          </w:tcPr>
          <w:p>
            <w:pPr>
              <w:pStyle w:val="41"/>
              <w:rPr>
                <w:rFonts w:hint="default" w:eastAsia="宋体"/>
                <w:color w:val="auto"/>
                <w:highlight w:val="none"/>
                <w:lang w:val="en-US" w:eastAsia="zh-CN"/>
              </w:rPr>
            </w:pPr>
            <w:r>
              <w:rPr>
                <w:rFonts w:hint="eastAsia"/>
                <w:color w:val="auto"/>
                <w:highlight w:val="none"/>
                <w:lang w:val="en-US" w:eastAsia="zh-CN"/>
              </w:rPr>
              <w:t>0.18</w:t>
            </w:r>
          </w:p>
        </w:tc>
        <w:tc>
          <w:tcPr>
            <w:tcW w:w="0" w:type="auto"/>
            <w:vAlign w:val="center"/>
          </w:tcPr>
          <w:p>
            <w:pPr>
              <w:pStyle w:val="41"/>
              <w:rPr>
                <w:rFonts w:hint="default" w:eastAsia="宋体"/>
                <w:color w:val="auto"/>
                <w:highlight w:val="none"/>
                <w:lang w:val="en-US" w:eastAsia="zh-CN"/>
              </w:rPr>
            </w:pPr>
            <w:r>
              <w:rPr>
                <w:rFonts w:hint="eastAsia"/>
                <w:color w:val="auto"/>
                <w:highlight w:val="none"/>
                <w:lang w:val="en-US" w:eastAsia="zh-CN"/>
              </w:rPr>
              <w:t>73.24</w:t>
            </w:r>
          </w:p>
        </w:tc>
        <w:tc>
          <w:tcPr>
            <w:tcW w:w="724" w:type="dxa"/>
            <w:vAlign w:val="center"/>
          </w:tcPr>
          <w:p>
            <w:pPr>
              <w:pStyle w:val="41"/>
              <w:rPr>
                <w:rFonts w:hint="default" w:eastAsia="宋体"/>
                <w:color w:val="auto"/>
                <w:highlight w:val="none"/>
                <w:lang w:val="en-US" w:eastAsia="zh-CN"/>
              </w:rPr>
            </w:pPr>
            <w:r>
              <w:rPr>
                <w:rFonts w:hint="eastAsia"/>
                <w:color w:val="auto"/>
                <w:highlight w:val="none"/>
                <w:lang w:val="en-US" w:eastAsia="zh-CN"/>
              </w:rPr>
              <w:t>5.83</w:t>
            </w:r>
          </w:p>
        </w:tc>
        <w:tc>
          <w:tcPr>
            <w:tcW w:w="804" w:type="dxa"/>
            <w:vAlign w:val="center"/>
          </w:tcPr>
          <w:p>
            <w:pPr>
              <w:pStyle w:val="41"/>
              <w:rPr>
                <w:rFonts w:hint="eastAsia" w:eastAsia="宋体"/>
                <w:color w:val="auto"/>
                <w:highlight w:val="none"/>
                <w:lang w:eastAsia="zh-CN"/>
              </w:rPr>
            </w:pPr>
            <w:r>
              <w:rPr>
                <w:rFonts w:hint="eastAsia"/>
                <w:color w:val="auto"/>
                <w:highlight w:val="none"/>
                <w:lang w:val="en-US" w:eastAsia="zh-CN"/>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0" w:type="auto"/>
            <w:vAlign w:val="center"/>
          </w:tcPr>
          <w:p>
            <w:pPr>
              <w:pStyle w:val="41"/>
              <w:rPr>
                <w:color w:val="auto"/>
                <w:highlight w:val="none"/>
              </w:rPr>
            </w:pPr>
            <w:r>
              <w:rPr>
                <w:rFonts w:hint="eastAsia"/>
                <w:color w:val="auto"/>
                <w:highlight w:val="none"/>
              </w:rPr>
              <w:t>2</w:t>
            </w:r>
          </w:p>
        </w:tc>
        <w:tc>
          <w:tcPr>
            <w:tcW w:w="495" w:type="dxa"/>
            <w:vAlign w:val="center"/>
          </w:tcPr>
          <w:p>
            <w:pPr>
              <w:pStyle w:val="41"/>
              <w:rPr>
                <w:rFonts w:hint="default" w:eastAsia="宋体"/>
                <w:color w:val="auto"/>
                <w:highlight w:val="none"/>
                <w:lang w:val="en-US" w:eastAsia="zh-CN"/>
              </w:rPr>
            </w:pPr>
            <w:r>
              <w:rPr>
                <w:rFonts w:hint="eastAsia"/>
                <w:color w:val="auto"/>
                <w:highlight w:val="none"/>
                <w:lang w:val="en-US" w:eastAsia="zh-CN"/>
              </w:rPr>
              <w:t>集中拉油站</w:t>
            </w:r>
          </w:p>
        </w:tc>
        <w:tc>
          <w:tcPr>
            <w:tcW w:w="511" w:type="dxa"/>
            <w:vAlign w:val="center"/>
          </w:tcPr>
          <w:p>
            <w:pPr>
              <w:pStyle w:val="41"/>
              <w:rPr>
                <w:color w:val="auto"/>
                <w:highlight w:val="none"/>
              </w:rPr>
            </w:pPr>
            <w:r>
              <w:rPr>
                <w:rFonts w:hint="eastAsia"/>
                <w:color w:val="auto"/>
                <w:highlight w:val="none"/>
              </w:rPr>
              <w:t>事故</w:t>
            </w:r>
            <w:r>
              <w:rPr>
                <w:color w:val="auto"/>
                <w:highlight w:val="none"/>
              </w:rPr>
              <w:t>工况</w:t>
            </w:r>
          </w:p>
        </w:tc>
        <w:tc>
          <w:tcPr>
            <w:tcW w:w="964" w:type="dxa"/>
            <w:vAlign w:val="center"/>
          </w:tcPr>
          <w:p>
            <w:pPr>
              <w:pStyle w:val="41"/>
              <w:rPr>
                <w:rFonts w:hint="default" w:eastAsia="宋体"/>
                <w:color w:val="auto"/>
                <w:highlight w:val="none"/>
                <w:lang w:val="en-US" w:eastAsia="zh-CN"/>
              </w:rPr>
            </w:pPr>
            <w:r>
              <w:rPr>
                <w:rFonts w:hint="eastAsia"/>
                <w:color w:val="auto"/>
                <w:highlight w:val="none"/>
                <w:lang w:val="en-US" w:eastAsia="zh-CN"/>
              </w:rPr>
              <w:t>0.625</w:t>
            </w:r>
          </w:p>
        </w:tc>
        <w:tc>
          <w:tcPr>
            <w:tcW w:w="0" w:type="auto"/>
            <w:vAlign w:val="center"/>
          </w:tcPr>
          <w:p>
            <w:pPr>
              <w:pStyle w:val="41"/>
              <w:rPr>
                <w:color w:val="auto"/>
                <w:highlight w:val="none"/>
              </w:rPr>
            </w:pPr>
            <w:r>
              <w:rPr>
                <w:rFonts w:hint="eastAsia"/>
                <w:color w:val="auto"/>
                <w:highlight w:val="none"/>
              </w:rPr>
              <w:t>0.5</w:t>
            </w:r>
          </w:p>
        </w:tc>
        <w:tc>
          <w:tcPr>
            <w:tcW w:w="0" w:type="auto"/>
            <w:vAlign w:val="center"/>
          </w:tcPr>
          <w:p>
            <w:pPr>
              <w:pStyle w:val="41"/>
              <w:rPr>
                <w:rFonts w:hint="default" w:eastAsia="宋体"/>
                <w:color w:val="auto"/>
                <w:highlight w:val="none"/>
                <w:lang w:val="en-US" w:eastAsia="zh-CN"/>
              </w:rPr>
            </w:pPr>
            <w:r>
              <w:rPr>
                <w:rFonts w:hint="eastAsia"/>
                <w:color w:val="auto"/>
                <w:highlight w:val="none"/>
                <w:lang w:val="en-US" w:eastAsia="zh-CN"/>
              </w:rPr>
              <w:t>7.555</w:t>
            </w:r>
          </w:p>
        </w:tc>
        <w:tc>
          <w:tcPr>
            <w:tcW w:w="0" w:type="auto"/>
            <w:vAlign w:val="center"/>
          </w:tcPr>
          <w:p>
            <w:pPr>
              <w:pStyle w:val="41"/>
              <w:rPr>
                <w:color w:val="auto"/>
                <w:highlight w:val="none"/>
              </w:rPr>
            </w:pPr>
            <w:r>
              <w:rPr>
                <w:rFonts w:hint="eastAsia"/>
                <w:color w:val="auto"/>
                <w:highlight w:val="none"/>
              </w:rPr>
              <w:t>0.98</w:t>
            </w:r>
          </w:p>
        </w:tc>
        <w:tc>
          <w:tcPr>
            <w:tcW w:w="0" w:type="auto"/>
            <w:shd w:val="clear" w:color="auto" w:fill="auto"/>
            <w:vAlign w:val="center"/>
          </w:tcPr>
          <w:p>
            <w:pPr>
              <w:pStyle w:val="41"/>
              <w:rPr>
                <w:rFonts w:hint="default" w:eastAsia="宋体"/>
                <w:color w:val="auto"/>
                <w:highlight w:val="none"/>
                <w:lang w:val="en-US" w:eastAsia="zh-CN"/>
              </w:rPr>
            </w:pPr>
            <w:r>
              <w:rPr>
                <w:rFonts w:hint="eastAsia"/>
                <w:color w:val="auto"/>
                <w:highlight w:val="none"/>
                <w:lang w:val="en-US" w:eastAsia="zh-CN"/>
              </w:rPr>
              <w:t>0.18</w:t>
            </w:r>
          </w:p>
        </w:tc>
        <w:tc>
          <w:tcPr>
            <w:tcW w:w="0" w:type="auto"/>
            <w:shd w:val="clear" w:color="auto" w:fill="auto"/>
            <w:vAlign w:val="center"/>
          </w:tcPr>
          <w:p>
            <w:pPr>
              <w:pStyle w:val="41"/>
              <w:rPr>
                <w:rFonts w:hint="default" w:eastAsia="宋体"/>
                <w:color w:val="auto"/>
                <w:highlight w:val="none"/>
                <w:lang w:val="en-US" w:eastAsia="zh-CN"/>
              </w:rPr>
            </w:pPr>
            <w:r>
              <w:rPr>
                <w:rFonts w:hint="eastAsia"/>
                <w:color w:val="auto"/>
                <w:highlight w:val="none"/>
                <w:lang w:val="en-US" w:eastAsia="zh-CN"/>
              </w:rPr>
              <w:t>73.24</w:t>
            </w:r>
          </w:p>
        </w:tc>
        <w:tc>
          <w:tcPr>
            <w:tcW w:w="724" w:type="dxa"/>
            <w:shd w:val="clear" w:color="auto" w:fill="auto"/>
            <w:vAlign w:val="center"/>
          </w:tcPr>
          <w:p>
            <w:pPr>
              <w:pStyle w:val="41"/>
              <w:rPr>
                <w:rFonts w:hint="default" w:eastAsia="宋体"/>
                <w:color w:val="auto"/>
                <w:highlight w:val="none"/>
                <w:lang w:val="en-US" w:eastAsia="zh-CN"/>
              </w:rPr>
            </w:pPr>
            <w:r>
              <w:rPr>
                <w:rFonts w:hint="eastAsia"/>
                <w:color w:val="auto"/>
                <w:highlight w:val="none"/>
                <w:lang w:val="en-US" w:eastAsia="zh-CN"/>
              </w:rPr>
              <w:t>30.1</w:t>
            </w:r>
          </w:p>
        </w:tc>
        <w:tc>
          <w:tcPr>
            <w:tcW w:w="804" w:type="dxa"/>
            <w:shd w:val="clear" w:color="auto" w:fill="auto"/>
            <w:vAlign w:val="center"/>
          </w:tcPr>
          <w:p>
            <w:pPr>
              <w:pStyle w:val="41"/>
              <w:rPr>
                <w:rFonts w:hint="default" w:eastAsia="宋体"/>
                <w:color w:val="auto"/>
                <w:highlight w:val="none"/>
                <w:lang w:val="en-US" w:eastAsia="zh-CN"/>
              </w:rPr>
            </w:pPr>
            <w:r>
              <w:rPr>
                <w:rFonts w:hint="eastAsia"/>
                <w:color w:val="auto"/>
                <w:highlight w:val="none"/>
                <w:lang w:val="en-US" w:eastAsia="zh-CN"/>
              </w:rPr>
              <w:t>3.3</w:t>
            </w:r>
          </w:p>
        </w:tc>
      </w:tr>
    </w:tbl>
    <w:p>
      <w:pPr>
        <w:pStyle w:val="57"/>
        <w:rPr>
          <w:color w:val="auto"/>
          <w:highlight w:val="none"/>
        </w:rPr>
      </w:pPr>
      <w:r>
        <w:rPr>
          <w:color w:val="auto"/>
          <w:highlight w:val="none"/>
        </w:rPr>
        <w:t>根据表中参数，结合公式计算可知，</w:t>
      </w:r>
      <w:r>
        <w:rPr>
          <w:rFonts w:hint="eastAsia"/>
          <w:color w:val="auto"/>
          <w:highlight w:val="none"/>
        </w:rPr>
        <w:t>本工程</w:t>
      </w:r>
      <w:r>
        <w:rPr>
          <w:rFonts w:hint="eastAsia"/>
          <w:color w:val="auto"/>
          <w:highlight w:val="none"/>
          <w:lang w:val="en-US" w:eastAsia="zh-CN"/>
        </w:rPr>
        <w:t>18</w:t>
      </w:r>
      <w:r>
        <w:rPr>
          <w:rFonts w:hint="eastAsia"/>
          <w:color w:val="auto"/>
          <w:highlight w:val="none"/>
        </w:rPr>
        <w:t>座井场、1座</w:t>
      </w:r>
      <w:r>
        <w:rPr>
          <w:rFonts w:hint="eastAsia"/>
          <w:color w:val="auto"/>
          <w:highlight w:val="none"/>
          <w:lang w:val="en-US" w:eastAsia="zh-CN"/>
        </w:rPr>
        <w:t>集中拉油站</w:t>
      </w:r>
      <w:r>
        <w:rPr>
          <w:color w:val="auto"/>
          <w:highlight w:val="none"/>
        </w:rPr>
        <w:t>火炬燃烧排放温室气体</w:t>
      </w:r>
      <w:r>
        <w:rPr>
          <w:rFonts w:hint="eastAsia"/>
          <w:color w:val="auto"/>
          <w:highlight w:val="none"/>
        </w:rPr>
        <w:t>总</w:t>
      </w:r>
      <w:r>
        <w:rPr>
          <w:color w:val="auto"/>
          <w:highlight w:val="none"/>
        </w:rPr>
        <w:t>量为</w:t>
      </w:r>
      <w:r>
        <w:rPr>
          <w:rFonts w:hint="eastAsia"/>
          <w:color w:val="auto"/>
          <w:highlight w:val="none"/>
          <w:lang w:val="en-US" w:eastAsia="zh-CN"/>
        </w:rPr>
        <w:t>960.34</w:t>
      </w:r>
      <w:r>
        <w:rPr>
          <w:rFonts w:hint="eastAsia"/>
          <w:color w:val="auto"/>
          <w:highlight w:val="none"/>
        </w:rPr>
        <w:t>吨</w:t>
      </w:r>
      <w:r>
        <w:rPr>
          <w:color w:val="auto"/>
          <w:highlight w:val="none"/>
        </w:rPr>
        <w:t>CO</w:t>
      </w:r>
      <w:r>
        <w:rPr>
          <w:color w:val="auto"/>
          <w:highlight w:val="none"/>
          <w:vertAlign w:val="subscript"/>
        </w:rPr>
        <w:t>2</w:t>
      </w:r>
      <w:r>
        <w:rPr>
          <w:color w:val="auto"/>
          <w:highlight w:val="none"/>
        </w:rPr>
        <w:t>。</w:t>
      </w:r>
    </w:p>
    <w:p>
      <w:pPr>
        <w:pStyle w:val="57"/>
        <w:rPr>
          <w:color w:val="auto"/>
          <w:highlight w:val="none"/>
        </w:rPr>
      </w:pPr>
      <w:r>
        <w:rPr>
          <w:rFonts w:hint="eastAsia"/>
          <w:color w:val="auto"/>
          <w:highlight w:val="none"/>
        </w:rPr>
        <w:t>（</w:t>
      </w:r>
      <w:r>
        <w:rPr>
          <w:color w:val="auto"/>
          <w:highlight w:val="none"/>
        </w:rPr>
        <w:t>2）CH</w:t>
      </w:r>
      <w:r>
        <w:rPr>
          <w:color w:val="auto"/>
          <w:highlight w:val="none"/>
          <w:vertAlign w:val="subscript"/>
        </w:rPr>
        <w:t>4</w:t>
      </w:r>
      <w:r>
        <w:rPr>
          <w:color w:val="auto"/>
          <w:highlight w:val="none"/>
        </w:rPr>
        <w:t>逃逸排放</w:t>
      </w:r>
    </w:p>
    <w:p>
      <w:pPr>
        <w:pStyle w:val="57"/>
        <w:rPr>
          <w:color w:val="auto"/>
          <w:highlight w:val="none"/>
        </w:rPr>
      </w:pPr>
      <w:r>
        <w:rPr>
          <w:rFonts w:hint="eastAsia"/>
          <w:color w:val="auto"/>
          <w:highlight w:val="none"/>
        </w:rPr>
        <w:t>本工程运营期</w:t>
      </w:r>
      <w:r>
        <w:rPr>
          <w:color w:val="auto"/>
          <w:highlight w:val="none"/>
        </w:rPr>
        <w:t>CH</w:t>
      </w:r>
      <w:r>
        <w:rPr>
          <w:color w:val="auto"/>
          <w:highlight w:val="none"/>
          <w:vertAlign w:val="subscript"/>
        </w:rPr>
        <w:t>4</w:t>
      </w:r>
      <w:r>
        <w:rPr>
          <w:color w:val="auto"/>
          <w:highlight w:val="none"/>
        </w:rPr>
        <w:t>逃逸排放</w:t>
      </w:r>
      <w:r>
        <w:rPr>
          <w:rFonts w:hint="eastAsia"/>
          <w:color w:val="auto"/>
          <w:highlight w:val="none"/>
        </w:rPr>
        <w:t>主要来自天然气开采过程中井口装置和站场逃逸排放的CH</w:t>
      </w:r>
      <w:r>
        <w:rPr>
          <w:rFonts w:hint="eastAsia"/>
          <w:color w:val="auto"/>
          <w:highlight w:val="none"/>
          <w:vertAlign w:val="subscript"/>
        </w:rPr>
        <w:t>4</w:t>
      </w:r>
      <w:r>
        <w:rPr>
          <w:rFonts w:hint="eastAsia"/>
          <w:color w:val="auto"/>
          <w:highlight w:val="none"/>
        </w:rPr>
        <w:t>。《中国石油和天然气生产企业温室气体排放核算方法与报告指南（试行）》（发改办气候〔2014〕2920号）中“油气开采业务CH</w:t>
      </w:r>
      <w:r>
        <w:rPr>
          <w:rFonts w:hint="eastAsia"/>
          <w:color w:val="auto"/>
          <w:highlight w:val="none"/>
          <w:vertAlign w:val="subscript"/>
        </w:rPr>
        <w:t>4</w:t>
      </w:r>
      <w:r>
        <w:rPr>
          <w:rFonts w:hint="eastAsia"/>
          <w:color w:val="auto"/>
          <w:highlight w:val="none"/>
        </w:rPr>
        <w:t>逃逸排放”计算公式进行计算：</w:t>
      </w:r>
    </w:p>
    <w:p>
      <w:pPr>
        <w:pStyle w:val="57"/>
        <w:rPr>
          <w:color w:val="auto"/>
          <w:highlight w:val="none"/>
        </w:rPr>
      </w:pPr>
    </w:p>
    <w:p>
      <w:pPr>
        <w:pStyle w:val="57"/>
        <w:rPr>
          <w:color w:val="auto"/>
          <w:highlight w:val="none"/>
        </w:rPr>
      </w:pPr>
      <w:r>
        <w:rPr>
          <w:color w:val="auto"/>
          <w:highlight w:val="none"/>
        </w:rPr>
        <w:drawing>
          <wp:anchor distT="0" distB="0" distL="114300" distR="114300" simplePos="0" relativeHeight="251694080" behindDoc="0" locked="0" layoutInCell="1" allowOverlap="1">
            <wp:simplePos x="0" y="0"/>
            <wp:positionH relativeFrom="column">
              <wp:posOffset>304800</wp:posOffset>
            </wp:positionH>
            <wp:positionV relativeFrom="paragraph">
              <wp:posOffset>-289560</wp:posOffset>
            </wp:positionV>
            <wp:extent cx="3825240" cy="516255"/>
            <wp:effectExtent l="0" t="0" r="3810" b="17145"/>
            <wp:wrapNone/>
            <wp:docPr id="243"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36"/>
                    <pic:cNvPicPr>
                      <a:picLocks noChangeAspect="1"/>
                    </pic:cNvPicPr>
                  </pic:nvPicPr>
                  <pic:blipFill>
                    <a:blip r:embed="rId81"/>
                    <a:stretch>
                      <a:fillRect/>
                    </a:stretch>
                  </pic:blipFill>
                  <pic:spPr>
                    <a:xfrm>
                      <a:off x="0" y="0"/>
                      <a:ext cx="3825240" cy="516255"/>
                    </a:xfrm>
                    <a:prstGeom prst="rect">
                      <a:avLst/>
                    </a:prstGeom>
                    <a:noFill/>
                    <a:ln>
                      <a:noFill/>
                    </a:ln>
                  </pic:spPr>
                </pic:pic>
              </a:graphicData>
            </a:graphic>
          </wp:anchor>
        </w:drawing>
      </w:r>
    </w:p>
    <w:p>
      <w:pPr>
        <w:pStyle w:val="57"/>
        <w:rPr>
          <w:color w:val="auto"/>
          <w:highlight w:val="none"/>
        </w:rPr>
      </w:pPr>
      <w:r>
        <w:rPr>
          <w:color w:val="auto"/>
          <w:highlight w:val="none"/>
          <w:lang w:val="zh-CN"/>
        </w:rPr>
        <w:t>式中：</w:t>
      </w:r>
      <w:r>
        <w:rPr>
          <w:i/>
          <w:iCs/>
          <w:color w:val="auto"/>
          <w:highlight w:val="none"/>
        </w:rPr>
        <w:t>E</w:t>
      </w:r>
      <w:r>
        <w:rPr>
          <w:rFonts w:hint="eastAsia"/>
          <w:i/>
          <w:iCs/>
          <w:color w:val="auto"/>
          <w:highlight w:val="none"/>
          <w:vertAlign w:val="subscript"/>
        </w:rPr>
        <w:t>CH4_</w:t>
      </w:r>
      <w:r>
        <w:rPr>
          <w:rFonts w:hint="eastAsia"/>
          <w:color w:val="auto"/>
          <w:highlight w:val="none"/>
          <w:vertAlign w:val="subscript"/>
        </w:rPr>
        <w:t>开采逃逸</w:t>
      </w:r>
      <w:r>
        <w:rPr>
          <w:color w:val="auto"/>
          <w:highlight w:val="none"/>
        </w:rPr>
        <w:t>——原油开采或天然气开采中所有设施类型</w:t>
      </w:r>
      <w:r>
        <w:rPr>
          <w:rFonts w:hint="eastAsia"/>
          <w:color w:val="auto"/>
          <w:highlight w:val="none"/>
        </w:rPr>
        <w:t>（</w:t>
      </w:r>
      <w:r>
        <w:rPr>
          <w:color w:val="auto"/>
          <w:highlight w:val="none"/>
        </w:rPr>
        <w:t>包括原油开采的井口装置、单井储油装置、接转站、联合站及天然气开采中的井口装置、集气站、计量/配气站、储气站等</w:t>
      </w:r>
      <w:r>
        <w:rPr>
          <w:rFonts w:hint="eastAsia"/>
          <w:color w:val="auto"/>
          <w:highlight w:val="none"/>
        </w:rPr>
        <w:t>）</w:t>
      </w:r>
      <w:r>
        <w:rPr>
          <w:color w:val="auto"/>
          <w:highlight w:val="none"/>
        </w:rPr>
        <w:t>产生的CH</w:t>
      </w:r>
      <w:r>
        <w:rPr>
          <w:rFonts w:hint="eastAsia"/>
          <w:color w:val="auto"/>
          <w:highlight w:val="none"/>
          <w:vertAlign w:val="subscript"/>
        </w:rPr>
        <w:t>4</w:t>
      </w:r>
      <w:r>
        <w:rPr>
          <w:color w:val="auto"/>
          <w:highlight w:val="none"/>
        </w:rPr>
        <w:t>逃逸排放</w:t>
      </w:r>
      <w:r>
        <w:rPr>
          <w:rFonts w:hint="eastAsia"/>
          <w:color w:val="auto"/>
          <w:highlight w:val="none"/>
        </w:rPr>
        <w:t>，</w:t>
      </w:r>
      <w:r>
        <w:rPr>
          <w:color w:val="auto"/>
          <w:highlight w:val="none"/>
        </w:rPr>
        <w:t>单位为吨</w:t>
      </w:r>
      <w:r>
        <w:rPr>
          <w:rFonts w:hint="eastAsia"/>
          <w:color w:val="auto"/>
          <w:highlight w:val="none"/>
        </w:rPr>
        <w:t>CH</w:t>
      </w:r>
      <w:r>
        <w:rPr>
          <w:rFonts w:hint="eastAsia"/>
          <w:color w:val="auto"/>
          <w:highlight w:val="none"/>
          <w:vertAlign w:val="subscript"/>
        </w:rPr>
        <w:t>4</w:t>
      </w:r>
      <w:r>
        <w:rPr>
          <w:color w:val="auto"/>
          <w:highlight w:val="none"/>
        </w:rPr>
        <w:t>；</w:t>
      </w:r>
    </w:p>
    <w:p>
      <w:pPr>
        <w:pStyle w:val="57"/>
        <w:rPr>
          <w:color w:val="auto"/>
          <w:highlight w:val="none"/>
        </w:rPr>
      </w:pPr>
      <w:r>
        <w:rPr>
          <w:rFonts w:hint="eastAsia"/>
          <w:i/>
          <w:iCs/>
          <w:color w:val="auto"/>
          <w:highlight w:val="none"/>
        </w:rPr>
        <w:t>j</w:t>
      </w:r>
      <w:r>
        <w:rPr>
          <w:color w:val="auto"/>
          <w:highlight w:val="none"/>
        </w:rPr>
        <w:t>——不同的设施类型；</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default" w:ascii="Times New Roman" w:hAnsi="Times New Roman" w:eastAsia="宋体" w:cs="Times New Roman"/>
          <w:color w:val="auto"/>
          <w:spacing w:val="0"/>
          <w:sz w:val="24"/>
          <w:szCs w:val="24"/>
          <w:highlight w:val="none"/>
          <w:shd w:val="clear" w:color="auto" w:fill="auto"/>
          <w:lang w:val="en-US" w:eastAsia="zh-CN"/>
        </w:rPr>
      </w:pPr>
      <w:r>
        <w:rPr>
          <w:rFonts w:hint="eastAsia" w:ascii="Times New Roman" w:hAnsi="Times New Roman" w:eastAsia="宋体" w:cs="Times New Roman"/>
          <w:color w:val="auto"/>
          <w:spacing w:val="0"/>
          <w:sz w:val="24"/>
          <w:szCs w:val="24"/>
          <w:highlight w:val="none"/>
          <w:shd w:val="clear" w:color="auto" w:fill="auto"/>
          <w:lang w:eastAsia="zh-CN"/>
        </w:rPr>
        <w:t>Numoil,j——原油开采业务所涉及的泄漏设施类型数量，单位为个；</w:t>
      </w:r>
      <w:r>
        <w:rPr>
          <w:rFonts w:hint="eastAsia" w:ascii="Times New Roman" w:hAnsi="Times New Roman" w:eastAsia="宋体" w:cs="Times New Roman"/>
          <w:color w:val="auto"/>
          <w:spacing w:val="0"/>
          <w:sz w:val="24"/>
          <w:szCs w:val="24"/>
          <w:highlight w:val="none"/>
          <w:shd w:val="clear" w:color="auto" w:fill="auto"/>
          <w:lang w:val="en-US" w:eastAsia="zh-CN"/>
        </w:rPr>
        <w:t>井场</w:t>
      </w:r>
      <w:r>
        <w:rPr>
          <w:rFonts w:hint="eastAsia" w:ascii="Times New Roman" w:hAnsi="Times New Roman" w:eastAsia="宋体" w:cs="Times New Roman"/>
          <w:color w:val="auto"/>
          <w:spacing w:val="0"/>
          <w:sz w:val="24"/>
          <w:szCs w:val="24"/>
          <w:highlight w:val="none"/>
          <w:shd w:val="clear" w:color="auto" w:fill="auto"/>
          <w:lang w:eastAsia="zh-CN"/>
        </w:rPr>
        <w:t>为</w:t>
      </w:r>
      <w:r>
        <w:rPr>
          <w:rFonts w:hint="eastAsia" w:ascii="Times New Roman" w:hAnsi="Times New Roman" w:eastAsia="宋体" w:cs="Times New Roman"/>
          <w:color w:val="auto"/>
          <w:spacing w:val="0"/>
          <w:sz w:val="24"/>
          <w:szCs w:val="24"/>
          <w:highlight w:val="none"/>
          <w:shd w:val="clear" w:color="auto" w:fill="auto"/>
          <w:lang w:val="en-US" w:eastAsia="zh-CN"/>
        </w:rPr>
        <w:t>14</w:t>
      </w:r>
      <w:r>
        <w:rPr>
          <w:rFonts w:hint="eastAsia" w:ascii="Times New Roman" w:hAnsi="Times New Roman" w:eastAsia="宋体" w:cs="Times New Roman"/>
          <w:color w:val="auto"/>
          <w:spacing w:val="0"/>
          <w:sz w:val="24"/>
          <w:szCs w:val="24"/>
          <w:highlight w:val="none"/>
          <w:shd w:val="clear" w:color="auto" w:fill="auto"/>
          <w:lang w:eastAsia="zh-CN"/>
        </w:rPr>
        <w:t>个，</w:t>
      </w:r>
      <w:r>
        <w:rPr>
          <w:rFonts w:hint="eastAsia" w:ascii="Times New Roman" w:hAnsi="Times New Roman" w:eastAsia="宋体" w:cs="Times New Roman"/>
          <w:color w:val="auto"/>
          <w:spacing w:val="0"/>
          <w:sz w:val="24"/>
          <w:szCs w:val="24"/>
          <w:highlight w:val="none"/>
          <w:shd w:val="clear" w:color="auto" w:fill="auto"/>
          <w:lang w:val="en-US" w:eastAsia="zh-CN"/>
        </w:rPr>
        <w:t>站场为3个；</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hint="eastAsia" w:ascii="Times New Roman" w:hAnsi="Times New Roman" w:eastAsia="宋体" w:cs="Times New Roman"/>
          <w:color w:val="auto"/>
          <w:sz w:val="24"/>
          <w:szCs w:val="24"/>
          <w:highlight w:val="none"/>
          <w:shd w:val="clear" w:color="auto" w:fill="auto"/>
          <w:lang w:eastAsia="zh-CN"/>
        </w:rPr>
      </w:pPr>
      <w:r>
        <w:rPr>
          <w:rFonts w:hint="eastAsia" w:ascii="Times New Roman" w:hAnsi="Times New Roman" w:eastAsia="宋体" w:cs="Times New Roman"/>
          <w:color w:val="auto"/>
          <w:sz w:val="24"/>
          <w:szCs w:val="24"/>
          <w:highlight w:val="none"/>
          <w:shd w:val="clear" w:color="auto" w:fill="auto"/>
          <w:lang w:eastAsia="zh-CN"/>
        </w:rPr>
        <w:t>EFoil,j——原油开采业务中涉及的每种设施类型j的CH4逃逸排放因子，单位为吨CH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/（年·个）；井口装置为0.23</w:t>
      </w:r>
      <w:r>
        <w:rPr>
          <w:rFonts w:hint="default" w:ascii="Times New Roman" w:hAnsi="Times New Roman" w:cs="Times New Roman"/>
          <w:color w:val="auto"/>
          <w:sz w:val="24"/>
          <w:szCs w:val="24"/>
          <w:highlight w:val="none"/>
          <w:shd w:val="clear" w:color="auto" w:fill="auto"/>
        </w:rPr>
        <w:t>，接转站为0.18</w:t>
      </w:r>
      <w:r>
        <w:rPr>
          <w:rFonts w:hint="eastAsia" w:ascii="Times New Roman" w:hAnsi="Times New Roman" w:eastAsia="宋体" w:cs="Times New Roman"/>
          <w:color w:val="auto"/>
          <w:sz w:val="24"/>
          <w:szCs w:val="24"/>
          <w:highlight w:val="none"/>
          <w:shd w:val="clear" w:color="auto" w:fill="auto"/>
          <w:lang w:eastAsia="zh-CN"/>
        </w:rPr>
        <w:t>；</w:t>
      </w:r>
    </w:p>
    <w:p>
      <w:pPr>
        <w:pStyle w:val="57"/>
        <w:keepNext w:val="0"/>
        <w:keepLines w:val="0"/>
        <w:pageBreakBefore w:val="0"/>
        <w:widowControl/>
        <w:kinsoku/>
        <w:wordWrap/>
        <w:overflowPunct/>
        <w:topLinePunct w:val="0"/>
        <w:autoSpaceDE/>
        <w:autoSpaceDN/>
        <w:bidi w:val="0"/>
        <w:spacing w:line="480" w:lineRule="exact"/>
        <w:ind w:left="479" w:leftChars="228" w:firstLine="0" w:firstLineChars="0"/>
        <w:jc w:val="left"/>
        <w:textAlignment w:val="auto"/>
        <w:rPr>
          <w:color w:val="auto"/>
          <w:sz w:val="24"/>
          <w:szCs w:val="24"/>
          <w:highlight w:val="none"/>
        </w:rPr>
      </w:pPr>
      <w:r>
        <w:rPr>
          <w:rFonts w:hint="eastAsia" w:ascii="Times New Roman" w:hAnsi="Times New Roman" w:eastAsia="宋体" w:cs="Times New Roman"/>
          <w:color w:val="auto"/>
          <w:sz w:val="24"/>
          <w:szCs w:val="24"/>
          <w:highlight w:val="none"/>
          <w:shd w:val="clear" w:color="auto" w:fill="auto"/>
          <w:lang w:eastAsia="zh-CN"/>
        </w:rPr>
        <w:t>Numgas,j——天然气开采业务所涉及的泄漏设施类型数量，单位为个；EFgas,j——天然气开采业务中涉及的每种设施类型j的CH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逃逸排放因子，单位为吨CH</w:t>
      </w:r>
      <w:r>
        <w:rPr>
          <w:rFonts w:hint="eastAsia" w:ascii="Times New Roman" w:hAnsi="Times New Roman" w:eastAsia="宋体" w:cs="Times New Roman"/>
          <w:color w:val="auto"/>
          <w:sz w:val="24"/>
          <w:szCs w:val="24"/>
          <w:highlight w:val="none"/>
          <w:shd w:val="clear" w:color="auto" w:fill="auto"/>
          <w:vertAlign w:val="subscript"/>
          <w:lang w:eastAsia="zh-CN"/>
        </w:rPr>
        <w:t>4</w:t>
      </w:r>
      <w:r>
        <w:rPr>
          <w:rFonts w:hint="eastAsia" w:ascii="Times New Roman" w:hAnsi="Times New Roman" w:eastAsia="宋体" w:cs="Times New Roman"/>
          <w:color w:val="auto"/>
          <w:sz w:val="24"/>
          <w:szCs w:val="24"/>
          <w:highlight w:val="none"/>
          <w:shd w:val="clear" w:color="auto" w:fill="auto"/>
          <w:lang w:eastAsia="zh-CN"/>
        </w:rPr>
        <w:t>/（年·个）；井口装置为2.5</w:t>
      </w:r>
      <w:r>
        <w:rPr>
          <w:color w:val="auto"/>
          <w:sz w:val="24"/>
          <w:szCs w:val="24"/>
          <w:highlight w:val="none"/>
        </w:rPr>
        <w:t>。</w:t>
      </w:r>
    </w:p>
    <w:p>
      <w:pPr>
        <w:pStyle w:val="57"/>
        <w:rPr>
          <w:color w:val="auto"/>
          <w:highlight w:val="none"/>
        </w:rPr>
      </w:pPr>
      <w:r>
        <w:rPr>
          <w:rFonts w:hint="eastAsia"/>
          <w:color w:val="auto"/>
          <w:highlight w:val="none"/>
        </w:rPr>
        <w:t>本工程涉及逃逸的CH</w:t>
      </w:r>
      <w:r>
        <w:rPr>
          <w:rFonts w:hint="eastAsia"/>
          <w:color w:val="auto"/>
          <w:highlight w:val="none"/>
          <w:vertAlign w:val="subscript"/>
        </w:rPr>
        <w:t>4</w:t>
      </w:r>
      <w:r>
        <w:rPr>
          <w:rFonts w:hint="eastAsia"/>
          <w:color w:val="auto"/>
          <w:highlight w:val="none"/>
        </w:rPr>
        <w:t>的装置有</w:t>
      </w:r>
      <w:r>
        <w:rPr>
          <w:rFonts w:hint="eastAsia"/>
          <w:color w:val="auto"/>
          <w:highlight w:val="none"/>
          <w:lang w:val="en-US" w:eastAsia="zh-CN"/>
        </w:rPr>
        <w:t>18</w:t>
      </w:r>
      <w:r>
        <w:rPr>
          <w:rFonts w:hint="eastAsia"/>
          <w:color w:val="auto"/>
          <w:highlight w:val="none"/>
        </w:rPr>
        <w:t>座井口装置，新增</w:t>
      </w:r>
      <w:r>
        <w:rPr>
          <w:rFonts w:hint="eastAsia"/>
          <w:color w:val="auto"/>
          <w:highlight w:val="none"/>
          <w:lang w:val="en-US" w:eastAsia="zh-CN"/>
        </w:rPr>
        <w:t>计量站1座、</w:t>
      </w:r>
      <w:r>
        <w:rPr>
          <w:rFonts w:hint="eastAsia"/>
          <w:color w:val="auto"/>
          <w:highlight w:val="none"/>
        </w:rPr>
        <w:t>阀室</w:t>
      </w:r>
      <w:r>
        <w:rPr>
          <w:rFonts w:hint="eastAsia"/>
          <w:color w:val="auto"/>
          <w:highlight w:val="none"/>
          <w:lang w:val="en-US" w:eastAsia="zh-CN"/>
        </w:rPr>
        <w:t>1</w:t>
      </w:r>
      <w:r>
        <w:rPr>
          <w:rFonts w:hint="eastAsia"/>
          <w:color w:val="auto"/>
          <w:highlight w:val="none"/>
        </w:rPr>
        <w:t>座，新建</w:t>
      </w:r>
      <w:r>
        <w:rPr>
          <w:rFonts w:hint="eastAsia"/>
          <w:color w:val="auto"/>
          <w:highlight w:val="none"/>
          <w:lang w:val="en-US" w:eastAsia="zh-CN"/>
        </w:rPr>
        <w:t>集中拉油站1座</w:t>
      </w:r>
      <w:r>
        <w:rPr>
          <w:rFonts w:hint="eastAsia"/>
          <w:color w:val="auto"/>
          <w:highlight w:val="none"/>
        </w:rPr>
        <w:t>。</w:t>
      </w:r>
    </w:p>
    <w:p>
      <w:pPr>
        <w:pStyle w:val="57"/>
        <w:rPr>
          <w:color w:val="auto"/>
          <w:highlight w:val="none"/>
        </w:rPr>
      </w:pPr>
      <w:r>
        <w:rPr>
          <w:rFonts w:hint="eastAsia"/>
          <w:color w:val="auto"/>
          <w:highlight w:val="none"/>
        </w:rPr>
        <w:t>开采逃逸的CH</w:t>
      </w:r>
      <w:r>
        <w:rPr>
          <w:rFonts w:hint="eastAsia"/>
          <w:color w:val="auto"/>
          <w:highlight w:val="none"/>
          <w:vertAlign w:val="subscript"/>
        </w:rPr>
        <w:t>4</w:t>
      </w:r>
      <w:r>
        <w:rPr>
          <w:rFonts w:hint="eastAsia"/>
          <w:color w:val="auto"/>
          <w:highlight w:val="none"/>
        </w:rPr>
        <w:t>为：</w:t>
      </w:r>
    </w:p>
    <w:p>
      <w:pPr>
        <w:pStyle w:val="57"/>
        <w:rPr>
          <w:color w:val="auto"/>
          <w:highlight w:val="none"/>
        </w:rPr>
      </w:pPr>
      <w:r>
        <w:rPr>
          <w:rFonts w:hint="eastAsia" w:ascii="Calibri" w:hAnsi="Calibri"/>
          <w:color w:val="auto"/>
          <w:highlight w:val="none"/>
        </w:rPr>
        <w:t>E</w:t>
      </w:r>
      <w:r>
        <w:rPr>
          <w:rFonts w:hint="eastAsia" w:ascii="Calibri" w:hAnsi="Calibri"/>
          <w:color w:val="auto"/>
          <w:highlight w:val="none"/>
          <w:vertAlign w:val="subscript"/>
        </w:rPr>
        <w:t>CH4-开采逃逸</w:t>
      </w:r>
      <w:r>
        <w:rPr>
          <w:rFonts w:hint="eastAsia" w:ascii="Calibri" w:hAnsi="Calibri"/>
          <w:color w:val="auto"/>
          <w:highlight w:val="none"/>
        </w:rPr>
        <w:t>=</w:t>
      </w:r>
      <w:r>
        <w:rPr>
          <w:rFonts w:hint="eastAsia" w:cs="Times New Roman"/>
          <w:color w:val="auto"/>
          <w:highlight w:val="none"/>
          <w:shd w:val="clear" w:color="auto" w:fill="auto"/>
          <w:lang w:val="en-US" w:eastAsia="zh-CN"/>
        </w:rPr>
        <w:t>18</w:t>
      </w:r>
      <w:r>
        <w:rPr>
          <w:rFonts w:hint="eastAsia" w:ascii="Times New Roman" w:hAnsi="Times New Roman" w:eastAsia="宋体" w:cs="Times New Roman"/>
          <w:color w:val="auto"/>
          <w:highlight w:val="none"/>
          <w:shd w:val="clear" w:color="auto" w:fill="auto"/>
          <w:lang w:eastAsia="zh-CN"/>
        </w:rPr>
        <w:t>×0.23tCH</w:t>
      </w:r>
      <w:r>
        <w:rPr>
          <w:rFonts w:hint="eastAsia" w:ascii="Times New Roman" w:hAnsi="Times New Roman" w:eastAsia="宋体" w:cs="Times New Roman"/>
          <w:color w:val="auto"/>
          <w:highlight w:val="none"/>
          <w:shd w:val="clear" w:color="auto" w:fill="auto"/>
          <w:vertAlign w:val="subscript"/>
          <w:lang w:eastAsia="zh-CN"/>
        </w:rPr>
        <w:t>4</w:t>
      </w:r>
      <w:r>
        <w:rPr>
          <w:rFonts w:hint="eastAsia" w:ascii="Times New Roman" w:hAnsi="Times New Roman" w:eastAsia="宋体" w:cs="Times New Roman"/>
          <w:color w:val="auto"/>
          <w:highlight w:val="none"/>
          <w:shd w:val="clear" w:color="auto" w:fill="auto"/>
          <w:lang w:eastAsia="zh-CN"/>
        </w:rPr>
        <w:t>+</w:t>
      </w:r>
      <w:r>
        <w:rPr>
          <w:rFonts w:hint="eastAsia" w:ascii="Times New Roman" w:hAnsi="Times New Roman" w:eastAsia="宋体" w:cs="Times New Roman"/>
          <w:color w:val="auto"/>
          <w:highlight w:val="none"/>
          <w:shd w:val="clear" w:color="auto" w:fill="auto"/>
          <w:lang w:val="en-US" w:eastAsia="zh-CN"/>
        </w:rPr>
        <w:t>3</w:t>
      </w:r>
      <w:r>
        <w:rPr>
          <w:rFonts w:hint="eastAsia" w:ascii="Times New Roman" w:hAnsi="Times New Roman" w:eastAsia="宋体" w:cs="Times New Roman"/>
          <w:color w:val="auto"/>
          <w:highlight w:val="none"/>
          <w:shd w:val="clear" w:color="auto" w:fill="auto"/>
          <w:lang w:eastAsia="zh-CN"/>
        </w:rPr>
        <w:t>×0.18tCH4=</w:t>
      </w:r>
      <w:r>
        <w:rPr>
          <w:rFonts w:hint="eastAsia" w:cs="Times New Roman"/>
          <w:color w:val="auto"/>
          <w:highlight w:val="none"/>
          <w:shd w:val="clear" w:color="auto" w:fill="auto"/>
          <w:lang w:val="en-US" w:eastAsia="zh-CN"/>
        </w:rPr>
        <w:t>4.68</w:t>
      </w:r>
      <w:r>
        <w:rPr>
          <w:rFonts w:hint="eastAsia" w:ascii="Times New Roman" w:hAnsi="Times New Roman" w:eastAsia="宋体" w:cs="Times New Roman"/>
          <w:color w:val="auto"/>
          <w:highlight w:val="none"/>
          <w:shd w:val="clear" w:color="auto" w:fill="auto"/>
          <w:lang w:eastAsia="zh-CN"/>
        </w:rPr>
        <w:t>tCH</w:t>
      </w:r>
      <w:r>
        <w:rPr>
          <w:rFonts w:hint="eastAsia" w:ascii="Times New Roman" w:hAnsi="Times New Roman" w:eastAsia="宋体" w:cs="Times New Roman"/>
          <w:color w:val="auto"/>
          <w:highlight w:val="none"/>
          <w:shd w:val="clear" w:color="auto" w:fill="auto"/>
          <w:vertAlign w:val="subscript"/>
          <w:lang w:eastAsia="zh-CN"/>
        </w:rPr>
        <w:t>4</w:t>
      </w:r>
    </w:p>
    <w:p>
      <w:pPr>
        <w:pStyle w:val="57"/>
        <w:rPr>
          <w:color w:val="auto"/>
          <w:highlight w:val="none"/>
        </w:rPr>
      </w:pPr>
      <w:r>
        <w:rPr>
          <w:color w:val="auto"/>
          <w:highlight w:val="none"/>
        </w:rPr>
        <w:t>根据表中参数，结合公式计算可知，甲烷逃逸排放</w:t>
      </w:r>
      <w:r>
        <w:rPr>
          <w:rFonts w:hint="eastAsia"/>
          <w:color w:val="auto"/>
          <w:highlight w:val="none"/>
          <w:lang w:val="en-US" w:eastAsia="zh-CN"/>
        </w:rPr>
        <w:t>4.68</w:t>
      </w:r>
      <w:r>
        <w:rPr>
          <w:rFonts w:hint="eastAsia"/>
          <w:color w:val="auto"/>
          <w:highlight w:val="none"/>
        </w:rPr>
        <w:t>t</w:t>
      </w:r>
      <w:r>
        <w:rPr>
          <w:color w:val="auto"/>
          <w:highlight w:val="none"/>
        </w:rPr>
        <w:t>，折算成CO</w:t>
      </w:r>
      <w:r>
        <w:rPr>
          <w:color w:val="auto"/>
          <w:highlight w:val="none"/>
          <w:vertAlign w:val="subscript"/>
        </w:rPr>
        <w:t>2</w:t>
      </w:r>
      <w:r>
        <w:rPr>
          <w:color w:val="auto"/>
          <w:highlight w:val="none"/>
        </w:rPr>
        <w:t>排放量为</w:t>
      </w:r>
      <w:r>
        <w:rPr>
          <w:rFonts w:hint="eastAsia"/>
          <w:color w:val="auto"/>
          <w:highlight w:val="none"/>
          <w:lang w:val="en-US" w:eastAsia="zh-CN"/>
        </w:rPr>
        <w:t>4.68</w:t>
      </w:r>
      <w:r>
        <w:rPr>
          <w:color w:val="auto"/>
          <w:highlight w:val="none"/>
        </w:rPr>
        <w:t>×21=</w:t>
      </w:r>
      <w:r>
        <w:rPr>
          <w:rFonts w:hint="eastAsia"/>
          <w:color w:val="auto"/>
          <w:highlight w:val="none"/>
          <w:lang w:val="en-US" w:eastAsia="zh-CN"/>
        </w:rPr>
        <w:t>98.28</w:t>
      </w:r>
      <w:r>
        <w:rPr>
          <w:rFonts w:hint="eastAsia"/>
          <w:color w:val="auto"/>
          <w:highlight w:val="none"/>
        </w:rPr>
        <w:t>t</w:t>
      </w:r>
      <w:r>
        <w:rPr>
          <w:color w:val="auto"/>
          <w:highlight w:val="none"/>
        </w:rPr>
        <w:t>。</w:t>
      </w:r>
    </w:p>
    <w:p>
      <w:pPr>
        <w:pStyle w:val="57"/>
        <w:rPr>
          <w:color w:val="auto"/>
          <w:highlight w:val="none"/>
        </w:rPr>
      </w:pPr>
      <w:r>
        <w:rPr>
          <w:rFonts w:hint="eastAsia"/>
          <w:color w:val="auto"/>
          <w:highlight w:val="none"/>
        </w:rPr>
        <w:t>（3）净购入电力和热力隐含的CO</w:t>
      </w:r>
      <w:r>
        <w:rPr>
          <w:rFonts w:hint="eastAsia"/>
          <w:color w:val="auto"/>
          <w:highlight w:val="none"/>
          <w:vertAlign w:val="subscript"/>
        </w:rPr>
        <w:t>2</w:t>
      </w:r>
      <w:r>
        <w:rPr>
          <w:rFonts w:hint="eastAsia"/>
          <w:color w:val="auto"/>
          <w:highlight w:val="none"/>
        </w:rPr>
        <w:t>排放</w:t>
      </w:r>
    </w:p>
    <w:p>
      <w:pPr>
        <w:pStyle w:val="57"/>
        <w:rPr>
          <w:color w:val="auto"/>
          <w:highlight w:val="none"/>
        </w:rPr>
      </w:pPr>
      <w:r>
        <w:rPr>
          <w:rFonts w:hint="eastAsia"/>
          <w:color w:val="auto"/>
          <w:highlight w:val="none"/>
        </w:rPr>
        <w:t>①计算公式</w:t>
      </w:r>
    </w:p>
    <w:p>
      <w:pPr>
        <w:pStyle w:val="57"/>
        <w:rPr>
          <w:color w:val="auto"/>
          <w:highlight w:val="none"/>
        </w:rPr>
      </w:pPr>
      <w:r>
        <w:rPr>
          <w:rFonts w:hint="eastAsia"/>
          <w:color w:val="auto"/>
          <w:highlight w:val="none"/>
        </w:rPr>
        <w:t>a.净购入电力的CO</w:t>
      </w:r>
      <w:r>
        <w:rPr>
          <w:rFonts w:hint="eastAsia"/>
          <w:color w:val="auto"/>
          <w:highlight w:val="none"/>
          <w:vertAlign w:val="subscript"/>
        </w:rPr>
        <w:t>2</w:t>
      </w:r>
      <w:r>
        <w:rPr>
          <w:rFonts w:hint="eastAsia"/>
          <w:color w:val="auto"/>
          <w:highlight w:val="none"/>
        </w:rPr>
        <w:t>排放计算公式</w:t>
      </w:r>
    </w:p>
    <w:p>
      <w:pPr>
        <w:pStyle w:val="57"/>
        <w:rPr>
          <w:color w:val="auto"/>
          <w:highlight w:val="none"/>
        </w:rPr>
      </w:pPr>
      <w:r>
        <w:rPr>
          <w:color w:val="auto"/>
          <w:highlight w:val="none"/>
        </w:rPr>
        <w:drawing>
          <wp:inline distT="0" distB="0" distL="114300" distR="114300">
            <wp:extent cx="1610360" cy="180975"/>
            <wp:effectExtent l="0" t="0" r="8890" b="8890"/>
            <wp:docPr id="242"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59"/>
                    <pic:cNvPicPr>
                      <a:picLocks noChangeAspect="1"/>
                    </pic:cNvPicPr>
                  </pic:nvPicPr>
                  <pic:blipFill>
                    <a:blip r:embed="rId82"/>
                    <a:stretch>
                      <a:fillRect/>
                    </a:stretch>
                  </pic:blipFill>
                  <pic:spPr>
                    <a:xfrm>
                      <a:off x="0" y="0"/>
                      <a:ext cx="1610360" cy="180975"/>
                    </a:xfrm>
                    <a:prstGeom prst="rect">
                      <a:avLst/>
                    </a:prstGeom>
                    <a:noFill/>
                    <a:ln>
                      <a:noFill/>
                    </a:ln>
                  </pic:spPr>
                </pic:pic>
              </a:graphicData>
            </a:graphic>
          </wp:inline>
        </w:drawing>
      </w:r>
    </w:p>
    <w:p>
      <w:pPr>
        <w:pStyle w:val="57"/>
        <w:rPr>
          <w:color w:val="auto"/>
          <w:highlight w:val="none"/>
        </w:rPr>
      </w:pPr>
      <w:r>
        <w:rPr>
          <w:rFonts w:hint="eastAsia"/>
          <w:color w:val="auto"/>
          <w:highlight w:val="none"/>
        </w:rPr>
        <w:t>式中：</w:t>
      </w:r>
    </w:p>
    <w:p>
      <w:pPr>
        <w:pStyle w:val="57"/>
        <w:rPr>
          <w:color w:val="auto"/>
          <w:highlight w:val="none"/>
        </w:rPr>
      </w:pPr>
      <w:r>
        <w:rPr>
          <w:rFonts w:hint="eastAsia"/>
          <w:color w:val="auto"/>
          <w:highlight w:val="none"/>
        </w:rPr>
        <w:t>ECO</w:t>
      </w:r>
      <w:r>
        <w:rPr>
          <w:rFonts w:hint="eastAsia"/>
          <w:color w:val="auto"/>
          <w:highlight w:val="none"/>
          <w:vertAlign w:val="subscript"/>
        </w:rPr>
        <w:t>2</w:t>
      </w:r>
      <w:r>
        <w:rPr>
          <w:rFonts w:hint="eastAsia"/>
          <w:color w:val="auto"/>
          <w:highlight w:val="none"/>
        </w:rPr>
        <w:t>-净电为报告主体净购入电力隐含的CO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pPr>
        <w:pStyle w:val="57"/>
        <w:rPr>
          <w:color w:val="auto"/>
          <w:highlight w:val="none"/>
        </w:rPr>
      </w:pPr>
      <w:r>
        <w:rPr>
          <w:rFonts w:hint="eastAsia"/>
          <w:color w:val="auto"/>
          <w:highlight w:val="none"/>
        </w:rPr>
        <w:t>AD电力为企业净购入的电力消费量，单位为兆瓦时（MWh）；</w:t>
      </w:r>
    </w:p>
    <w:p>
      <w:pPr>
        <w:pStyle w:val="57"/>
        <w:rPr>
          <w:color w:val="auto"/>
          <w:highlight w:val="none"/>
        </w:rPr>
      </w:pPr>
      <w:r>
        <w:rPr>
          <w:rFonts w:hint="eastAsia"/>
          <w:color w:val="auto"/>
          <w:highlight w:val="none"/>
        </w:rPr>
        <w:t>EF电力为电力供应的CO</w:t>
      </w:r>
      <w:r>
        <w:rPr>
          <w:rFonts w:hint="eastAsia"/>
          <w:color w:val="auto"/>
          <w:highlight w:val="none"/>
          <w:vertAlign w:val="subscript"/>
        </w:rPr>
        <w:t>2</w:t>
      </w:r>
      <w:r>
        <w:rPr>
          <w:rFonts w:hint="eastAsia"/>
          <w:color w:val="auto"/>
          <w:highlight w:val="none"/>
        </w:rPr>
        <w:t>排放因子，单位为吨CO</w:t>
      </w:r>
      <w:r>
        <w:rPr>
          <w:rFonts w:hint="eastAsia"/>
          <w:color w:val="auto"/>
          <w:highlight w:val="none"/>
          <w:vertAlign w:val="subscript"/>
        </w:rPr>
        <w:t>2</w:t>
      </w:r>
      <w:r>
        <w:rPr>
          <w:rFonts w:hint="eastAsia"/>
          <w:color w:val="auto"/>
          <w:highlight w:val="none"/>
        </w:rPr>
        <w:t>/MWh。</w:t>
      </w:r>
    </w:p>
    <w:p>
      <w:pPr>
        <w:pStyle w:val="57"/>
        <w:rPr>
          <w:color w:val="auto"/>
          <w:highlight w:val="none"/>
        </w:rPr>
      </w:pPr>
      <w:r>
        <w:rPr>
          <w:rFonts w:hint="eastAsia"/>
          <w:color w:val="auto"/>
          <w:highlight w:val="none"/>
        </w:rPr>
        <w:t>b.净购入热力的CO</w:t>
      </w:r>
      <w:r>
        <w:rPr>
          <w:rFonts w:hint="eastAsia"/>
          <w:color w:val="auto"/>
          <w:highlight w:val="none"/>
          <w:vertAlign w:val="subscript"/>
        </w:rPr>
        <w:t>2</w:t>
      </w:r>
      <w:r>
        <w:rPr>
          <w:rFonts w:hint="eastAsia"/>
          <w:color w:val="auto"/>
          <w:highlight w:val="none"/>
        </w:rPr>
        <w:t>排放计算公式</w:t>
      </w:r>
    </w:p>
    <w:p>
      <w:pPr>
        <w:pStyle w:val="57"/>
        <w:rPr>
          <w:color w:val="auto"/>
          <w:highlight w:val="none"/>
        </w:rPr>
      </w:pPr>
      <w:r>
        <w:rPr>
          <w:color w:val="auto"/>
          <w:highlight w:val="none"/>
        </w:rPr>
        <w:drawing>
          <wp:inline distT="0" distB="0" distL="114300" distR="114300">
            <wp:extent cx="1610360" cy="180975"/>
            <wp:effectExtent l="0" t="0" r="8890" b="8890"/>
            <wp:docPr id="24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60"/>
                    <pic:cNvPicPr>
                      <a:picLocks noChangeAspect="1"/>
                    </pic:cNvPicPr>
                  </pic:nvPicPr>
                  <pic:blipFill>
                    <a:blip r:embed="rId83"/>
                    <a:stretch>
                      <a:fillRect/>
                    </a:stretch>
                  </pic:blipFill>
                  <pic:spPr>
                    <a:xfrm>
                      <a:off x="0" y="0"/>
                      <a:ext cx="1610360" cy="180975"/>
                    </a:xfrm>
                    <a:prstGeom prst="rect">
                      <a:avLst/>
                    </a:prstGeom>
                    <a:noFill/>
                    <a:ln>
                      <a:noFill/>
                    </a:ln>
                  </pic:spPr>
                </pic:pic>
              </a:graphicData>
            </a:graphic>
          </wp:inline>
        </w:drawing>
      </w:r>
    </w:p>
    <w:p>
      <w:pPr>
        <w:pStyle w:val="57"/>
        <w:rPr>
          <w:color w:val="auto"/>
          <w:highlight w:val="none"/>
        </w:rPr>
      </w:pPr>
      <w:r>
        <w:rPr>
          <w:rFonts w:hint="eastAsia"/>
          <w:color w:val="auto"/>
          <w:highlight w:val="none"/>
        </w:rPr>
        <w:t>式中：</w:t>
      </w:r>
    </w:p>
    <w:p>
      <w:pPr>
        <w:pStyle w:val="57"/>
        <w:rPr>
          <w:color w:val="auto"/>
          <w:highlight w:val="none"/>
        </w:rPr>
      </w:pPr>
      <w:r>
        <w:rPr>
          <w:rFonts w:hint="eastAsia"/>
          <w:color w:val="auto"/>
          <w:highlight w:val="none"/>
        </w:rPr>
        <w:t>ECO</w:t>
      </w:r>
      <w:r>
        <w:rPr>
          <w:rFonts w:hint="eastAsia"/>
          <w:color w:val="auto"/>
          <w:highlight w:val="none"/>
          <w:vertAlign w:val="subscript"/>
        </w:rPr>
        <w:t>2</w:t>
      </w:r>
      <w:r>
        <w:rPr>
          <w:rFonts w:hint="eastAsia"/>
          <w:color w:val="auto"/>
          <w:highlight w:val="none"/>
        </w:rPr>
        <w:t>-净热为报告主体净购入热力隐含的CO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pPr>
        <w:pStyle w:val="57"/>
        <w:rPr>
          <w:color w:val="auto"/>
          <w:highlight w:val="none"/>
        </w:rPr>
      </w:pPr>
      <w:r>
        <w:rPr>
          <w:rFonts w:hint="eastAsia"/>
          <w:color w:val="auto"/>
          <w:highlight w:val="none"/>
        </w:rPr>
        <w:t>AD热力为企业净购入的热力消费量，单位为GJ；</w:t>
      </w:r>
    </w:p>
    <w:p>
      <w:pPr>
        <w:pStyle w:val="57"/>
        <w:rPr>
          <w:color w:val="auto"/>
          <w:highlight w:val="none"/>
        </w:rPr>
      </w:pPr>
      <w:r>
        <w:rPr>
          <w:rFonts w:hint="eastAsia"/>
          <w:color w:val="auto"/>
          <w:highlight w:val="none"/>
        </w:rPr>
        <w:t>EF热力为热力供应的CO</w:t>
      </w:r>
      <w:r>
        <w:rPr>
          <w:rFonts w:hint="eastAsia"/>
          <w:color w:val="auto"/>
          <w:highlight w:val="none"/>
          <w:vertAlign w:val="subscript"/>
        </w:rPr>
        <w:t>2</w:t>
      </w:r>
      <w:r>
        <w:rPr>
          <w:rFonts w:hint="eastAsia"/>
          <w:color w:val="auto"/>
          <w:highlight w:val="none"/>
        </w:rPr>
        <w:t>排放因子，单位为吨CO</w:t>
      </w:r>
      <w:r>
        <w:rPr>
          <w:rFonts w:hint="eastAsia"/>
          <w:color w:val="auto"/>
          <w:highlight w:val="none"/>
          <w:vertAlign w:val="subscript"/>
        </w:rPr>
        <w:t>2</w:t>
      </w:r>
      <w:r>
        <w:rPr>
          <w:rFonts w:hint="eastAsia"/>
          <w:color w:val="auto"/>
          <w:highlight w:val="none"/>
        </w:rPr>
        <w:t>/GJ。</w:t>
      </w:r>
    </w:p>
    <w:p>
      <w:pPr>
        <w:pStyle w:val="57"/>
        <w:rPr>
          <w:color w:val="auto"/>
          <w:highlight w:val="none"/>
        </w:rPr>
      </w:pPr>
      <w:r>
        <w:rPr>
          <w:rFonts w:hint="eastAsia"/>
          <w:color w:val="auto"/>
          <w:highlight w:val="none"/>
        </w:rPr>
        <w:fldChar w:fldCharType="begin"/>
      </w:r>
      <w:r>
        <w:rPr>
          <w:color w:val="auto"/>
          <w:highlight w:val="none"/>
        </w:rPr>
        <w:instrText xml:space="preserve"> = 2 \* GB3 \* MERGEFORMAT </w:instrText>
      </w:r>
      <w:r>
        <w:rPr>
          <w:rFonts w:hint="eastAsia"/>
          <w:color w:val="auto"/>
          <w:highlight w:val="none"/>
        </w:rPr>
        <w:fldChar w:fldCharType="separate"/>
      </w:r>
      <w:r>
        <w:rPr>
          <w:rFonts w:hint="eastAsia"/>
          <w:color w:val="auto"/>
          <w:highlight w:val="none"/>
        </w:rPr>
        <w:t>②</w:t>
      </w:r>
      <w:r>
        <w:rPr>
          <w:rFonts w:hint="eastAsia"/>
          <w:color w:val="auto"/>
          <w:highlight w:val="none"/>
        </w:rPr>
        <w:fldChar w:fldCharType="end"/>
      </w:r>
      <w:r>
        <w:rPr>
          <w:rFonts w:hint="eastAsia"/>
          <w:color w:val="auto"/>
          <w:highlight w:val="none"/>
        </w:rPr>
        <w:t>计算结果</w:t>
      </w:r>
    </w:p>
    <w:p>
      <w:pPr>
        <w:pStyle w:val="57"/>
        <w:rPr>
          <w:color w:val="auto"/>
          <w:highlight w:val="none"/>
        </w:rPr>
      </w:pPr>
      <w:r>
        <w:rPr>
          <w:rFonts w:hint="eastAsia"/>
          <w:color w:val="auto"/>
          <w:highlight w:val="none"/>
        </w:rPr>
        <w:t>本工程</w:t>
      </w:r>
      <w:r>
        <w:rPr>
          <w:color w:val="auto"/>
          <w:highlight w:val="none"/>
        </w:rPr>
        <w:t>生产过程中不涉及使用蒸汽，不涉及发电内容，使用的电力消耗量为</w:t>
      </w:r>
      <w:bookmarkStart w:id="779" w:name="OLE_LINK89"/>
      <w:r>
        <w:rPr>
          <w:rFonts w:hint="eastAsia"/>
          <w:color w:val="auto"/>
          <w:highlight w:val="none"/>
          <w:lang w:val="en-US" w:eastAsia="zh-CN"/>
        </w:rPr>
        <w:t>3166.4</w:t>
      </w:r>
      <w:r>
        <w:rPr>
          <w:color w:val="auto"/>
          <w:highlight w:val="none"/>
        </w:rPr>
        <w:t>MWh</w:t>
      </w:r>
      <w:bookmarkEnd w:id="779"/>
      <w:r>
        <w:rPr>
          <w:color w:val="auto"/>
          <w:highlight w:val="none"/>
        </w:rPr>
        <w:t>，电力排放因子按照西北地区电力排放因子0.6671吨CO</w:t>
      </w:r>
      <w:r>
        <w:rPr>
          <w:color w:val="auto"/>
          <w:highlight w:val="none"/>
          <w:vertAlign w:val="subscript"/>
        </w:rPr>
        <w:t>2</w:t>
      </w:r>
      <w:r>
        <w:rPr>
          <w:color w:val="auto"/>
          <w:highlight w:val="none"/>
        </w:rPr>
        <w:t>/MWh。根据前述公式计算可知，核算净购入电力和热力隐含的CO</w:t>
      </w:r>
      <w:r>
        <w:rPr>
          <w:color w:val="auto"/>
          <w:highlight w:val="none"/>
          <w:vertAlign w:val="subscript"/>
        </w:rPr>
        <w:t>2</w:t>
      </w:r>
      <w:r>
        <w:rPr>
          <w:color w:val="auto"/>
          <w:highlight w:val="none"/>
        </w:rPr>
        <w:t>排放量为</w:t>
      </w:r>
      <w:r>
        <w:rPr>
          <w:rFonts w:hint="eastAsia"/>
          <w:color w:val="auto"/>
          <w:highlight w:val="none"/>
          <w:lang w:val="en-US" w:eastAsia="zh-CN"/>
        </w:rPr>
        <w:t>2112.3</w:t>
      </w:r>
      <w:r>
        <w:rPr>
          <w:color w:val="auto"/>
          <w:highlight w:val="none"/>
        </w:rPr>
        <w:t>t。</w:t>
      </w:r>
    </w:p>
    <w:p>
      <w:pPr>
        <w:pStyle w:val="57"/>
        <w:rPr>
          <w:color w:val="auto"/>
          <w:highlight w:val="none"/>
        </w:rPr>
      </w:pPr>
      <w:r>
        <w:rPr>
          <w:rFonts w:hint="eastAsia"/>
          <w:color w:val="auto"/>
          <w:highlight w:val="none"/>
        </w:rPr>
        <w:t>（4）碳排放核算结果汇总</w:t>
      </w:r>
    </w:p>
    <w:p>
      <w:pPr>
        <w:pStyle w:val="57"/>
        <w:rPr>
          <w:color w:val="auto"/>
          <w:highlight w:val="none"/>
        </w:rPr>
      </w:pPr>
      <w:r>
        <w:rPr>
          <w:rFonts w:hint="eastAsia"/>
          <w:color w:val="auto"/>
          <w:highlight w:val="none"/>
        </w:rPr>
        <w:t>根据《中国石油天然气生产企业 温室气体排放核算方法与报告指南（试行）》，化工企业的CO</w:t>
      </w:r>
      <w:r>
        <w:rPr>
          <w:rFonts w:hint="eastAsia"/>
          <w:color w:val="auto"/>
          <w:highlight w:val="none"/>
          <w:vertAlign w:val="subscript"/>
        </w:rPr>
        <w:t>2</w:t>
      </w:r>
      <w:r>
        <w:rPr>
          <w:rFonts w:hint="eastAsia"/>
          <w:color w:val="auto"/>
          <w:highlight w:val="none"/>
        </w:rPr>
        <w:t>排放总量计算公式为：</w:t>
      </w:r>
    </w:p>
    <w:p>
      <w:pPr>
        <w:pStyle w:val="57"/>
        <w:rPr>
          <w:color w:val="auto"/>
          <w:highlight w:val="none"/>
        </w:rPr>
      </w:pPr>
    </w:p>
    <w:p>
      <w:pPr>
        <w:pStyle w:val="57"/>
        <w:rPr>
          <w:color w:val="auto"/>
          <w:highlight w:val="none"/>
        </w:rPr>
      </w:pPr>
    </w:p>
    <w:p>
      <w:pPr>
        <w:pStyle w:val="57"/>
        <w:rPr>
          <w:color w:val="auto"/>
          <w:highlight w:val="none"/>
        </w:rPr>
      </w:pPr>
      <w:r>
        <w:rPr>
          <w:color w:val="auto"/>
          <w:highlight w:val="none"/>
        </w:rPr>
        <w:drawing>
          <wp:anchor distT="0" distB="0" distL="114300" distR="114300" simplePos="0" relativeHeight="251695104" behindDoc="0" locked="0" layoutInCell="1" allowOverlap="1">
            <wp:simplePos x="0" y="0"/>
            <wp:positionH relativeFrom="column">
              <wp:posOffset>304800</wp:posOffset>
            </wp:positionH>
            <wp:positionV relativeFrom="paragraph">
              <wp:posOffset>-499110</wp:posOffset>
            </wp:positionV>
            <wp:extent cx="4010660" cy="739775"/>
            <wp:effectExtent l="0" t="0" r="8890" b="3175"/>
            <wp:wrapNone/>
            <wp:docPr id="24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11"/>
                    <pic:cNvPicPr>
                      <a:picLocks noChangeAspect="1"/>
                    </pic:cNvPicPr>
                  </pic:nvPicPr>
                  <pic:blipFill>
                    <a:blip r:embed="rId84"/>
                    <a:stretch>
                      <a:fillRect/>
                    </a:stretch>
                  </pic:blipFill>
                  <pic:spPr>
                    <a:xfrm>
                      <a:off x="0" y="0"/>
                      <a:ext cx="4010660" cy="739775"/>
                    </a:xfrm>
                    <a:prstGeom prst="rect">
                      <a:avLst/>
                    </a:prstGeom>
                    <a:noFill/>
                    <a:ln>
                      <a:noFill/>
                    </a:ln>
                  </pic:spPr>
                </pic:pic>
              </a:graphicData>
            </a:graphic>
          </wp:anchor>
        </w:drawing>
      </w:r>
    </w:p>
    <w:p>
      <w:pPr>
        <w:pStyle w:val="57"/>
        <w:rPr>
          <w:color w:val="auto"/>
          <w:highlight w:val="none"/>
        </w:rPr>
      </w:pPr>
      <w:r>
        <w:rPr>
          <w:rFonts w:hint="eastAsia"/>
          <w:color w:val="auto"/>
          <w:highlight w:val="none"/>
        </w:rPr>
        <w:t>式中：</w:t>
      </w:r>
    </w:p>
    <w:p>
      <w:pPr>
        <w:pStyle w:val="57"/>
        <w:rPr>
          <w:color w:val="auto"/>
          <w:highlight w:val="none"/>
        </w:rPr>
      </w:pPr>
      <w:r>
        <w:rPr>
          <w:rFonts w:hint="eastAsia"/>
          <w:i/>
          <w:iCs/>
          <w:color w:val="auto"/>
          <w:highlight w:val="none"/>
        </w:rPr>
        <w:t>E</w:t>
      </w:r>
      <w:r>
        <w:rPr>
          <w:rFonts w:hint="eastAsia"/>
          <w:i/>
          <w:iCs/>
          <w:color w:val="auto"/>
          <w:highlight w:val="none"/>
          <w:vertAlign w:val="subscript"/>
        </w:rPr>
        <w:t>GHG</w:t>
      </w:r>
      <w:r>
        <w:rPr>
          <w:rFonts w:hint="eastAsia"/>
          <w:color w:val="auto"/>
          <w:highlight w:val="none"/>
        </w:rPr>
        <w:t>-温室气体排放总量，单位为吨CO</w:t>
      </w:r>
      <w:r>
        <w:rPr>
          <w:rFonts w:hint="eastAsia"/>
          <w:color w:val="auto"/>
          <w:highlight w:val="none"/>
          <w:vertAlign w:val="subscript"/>
        </w:rPr>
        <w:t>2</w:t>
      </w:r>
      <w:r>
        <w:rPr>
          <w:rFonts w:hint="eastAsia"/>
          <w:color w:val="auto"/>
          <w:highlight w:val="none"/>
        </w:rPr>
        <w:t>；</w:t>
      </w:r>
    </w:p>
    <w:p>
      <w:pPr>
        <w:pStyle w:val="57"/>
        <w:rPr>
          <w:color w:val="auto"/>
          <w:highlight w:val="none"/>
        </w:rPr>
      </w:pPr>
      <w:r>
        <w:rPr>
          <w:rFonts w:hint="eastAsia"/>
          <w:i/>
          <w:iCs/>
          <w:color w:val="auto"/>
          <w:highlight w:val="none"/>
        </w:rPr>
        <w:t>E</w:t>
      </w:r>
      <w:r>
        <w:rPr>
          <w:rFonts w:hint="eastAsia"/>
          <w:i/>
          <w:iCs/>
          <w:color w:val="auto"/>
          <w:highlight w:val="none"/>
          <w:vertAlign w:val="subscript"/>
        </w:rPr>
        <w:t>CO2</w:t>
      </w:r>
      <w:r>
        <w:rPr>
          <w:rFonts w:hint="eastAsia"/>
          <w:color w:val="auto"/>
          <w:highlight w:val="none"/>
        </w:rPr>
        <w:t>-燃烧-核算边界内由于化石燃料燃烧活动产生的CO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pPr>
        <w:pStyle w:val="57"/>
        <w:rPr>
          <w:color w:val="auto"/>
          <w:highlight w:val="none"/>
        </w:rPr>
      </w:pPr>
      <w:r>
        <w:rPr>
          <w:rFonts w:hint="eastAsia"/>
          <w:i/>
          <w:iCs/>
          <w:color w:val="auto"/>
          <w:highlight w:val="none"/>
        </w:rPr>
        <w:t>E</w:t>
      </w:r>
      <w:r>
        <w:rPr>
          <w:rFonts w:hint="eastAsia"/>
          <w:i/>
          <w:iCs/>
          <w:color w:val="auto"/>
          <w:highlight w:val="none"/>
          <w:vertAlign w:val="subscript"/>
        </w:rPr>
        <w:t>GHG</w:t>
      </w:r>
      <w:r>
        <w:rPr>
          <w:rFonts w:hint="eastAsia"/>
          <w:color w:val="auto"/>
          <w:highlight w:val="none"/>
        </w:rPr>
        <w:t>-火炬</w:t>
      </w:r>
      <w:r>
        <w:rPr>
          <w:rFonts w:hint="eastAsia"/>
          <w:color w:val="auto"/>
          <w:highlight w:val="none"/>
          <w:lang w:eastAsia="zh-CN"/>
        </w:rPr>
        <w:t>－</w:t>
      </w:r>
      <w:r>
        <w:rPr>
          <w:rFonts w:hint="eastAsia"/>
          <w:color w:val="auto"/>
          <w:highlight w:val="none"/>
        </w:rPr>
        <w:t>企业因火炬燃烧导致的温室气体排放，单位为吨CO</w:t>
      </w:r>
      <w:r>
        <w:rPr>
          <w:rFonts w:hint="eastAsia"/>
          <w:color w:val="auto"/>
          <w:highlight w:val="none"/>
          <w:vertAlign w:val="subscript"/>
        </w:rPr>
        <w:t>2</w:t>
      </w:r>
      <w:r>
        <w:rPr>
          <w:rFonts w:hint="eastAsia"/>
          <w:color w:val="auto"/>
          <w:highlight w:val="none"/>
        </w:rPr>
        <w:t>当量；</w:t>
      </w:r>
    </w:p>
    <w:p>
      <w:pPr>
        <w:pStyle w:val="57"/>
        <w:rPr>
          <w:color w:val="auto"/>
          <w:highlight w:val="none"/>
        </w:rPr>
      </w:pPr>
      <w:r>
        <w:rPr>
          <w:rFonts w:hint="eastAsia"/>
          <w:i/>
          <w:iCs/>
          <w:color w:val="auto"/>
          <w:highlight w:val="none"/>
        </w:rPr>
        <w:t>E</w:t>
      </w:r>
      <w:r>
        <w:rPr>
          <w:rFonts w:hint="eastAsia"/>
          <w:i/>
          <w:iCs/>
          <w:color w:val="auto"/>
          <w:highlight w:val="none"/>
          <w:vertAlign w:val="subscript"/>
        </w:rPr>
        <w:t>GHG</w:t>
      </w:r>
      <w:r>
        <w:rPr>
          <w:rFonts w:hint="eastAsia"/>
          <w:color w:val="auto"/>
          <w:highlight w:val="none"/>
        </w:rPr>
        <w:t>-工艺</w:t>
      </w:r>
      <w:r>
        <w:rPr>
          <w:rFonts w:hint="eastAsia"/>
          <w:color w:val="auto"/>
          <w:highlight w:val="none"/>
          <w:lang w:eastAsia="zh-CN"/>
        </w:rPr>
        <w:t>－</w:t>
      </w:r>
      <w:r>
        <w:rPr>
          <w:rFonts w:hint="eastAsia"/>
          <w:color w:val="auto"/>
          <w:highlight w:val="none"/>
        </w:rPr>
        <w:t>企业各业务类型的工艺放空排放，单位为吨CO</w:t>
      </w:r>
      <w:r>
        <w:rPr>
          <w:rFonts w:hint="eastAsia"/>
          <w:color w:val="auto"/>
          <w:highlight w:val="none"/>
          <w:vertAlign w:val="subscript"/>
        </w:rPr>
        <w:t>2</w:t>
      </w:r>
      <w:r>
        <w:rPr>
          <w:rFonts w:hint="eastAsia"/>
          <w:color w:val="auto"/>
          <w:highlight w:val="none"/>
        </w:rPr>
        <w:t>当量；</w:t>
      </w:r>
    </w:p>
    <w:p>
      <w:pPr>
        <w:pStyle w:val="57"/>
        <w:rPr>
          <w:color w:val="auto"/>
          <w:highlight w:val="none"/>
        </w:rPr>
      </w:pPr>
      <w:r>
        <w:rPr>
          <w:rFonts w:hint="eastAsia"/>
          <w:i/>
          <w:iCs/>
          <w:color w:val="auto"/>
          <w:highlight w:val="none"/>
        </w:rPr>
        <w:t>E</w:t>
      </w:r>
      <w:r>
        <w:rPr>
          <w:rFonts w:hint="eastAsia"/>
          <w:i/>
          <w:iCs/>
          <w:color w:val="auto"/>
          <w:highlight w:val="none"/>
          <w:vertAlign w:val="subscript"/>
        </w:rPr>
        <w:t>GHG</w:t>
      </w:r>
      <w:r>
        <w:rPr>
          <w:rFonts w:hint="eastAsia"/>
          <w:color w:val="auto"/>
          <w:highlight w:val="none"/>
        </w:rPr>
        <w:t>-逃逸</w:t>
      </w:r>
      <w:r>
        <w:rPr>
          <w:rFonts w:hint="eastAsia"/>
          <w:color w:val="auto"/>
          <w:highlight w:val="none"/>
          <w:lang w:eastAsia="zh-CN"/>
        </w:rPr>
        <w:t>－</w:t>
      </w:r>
      <w:r>
        <w:rPr>
          <w:rFonts w:hint="eastAsia"/>
          <w:color w:val="auto"/>
          <w:highlight w:val="none"/>
        </w:rPr>
        <w:t>企业各业务类型的设备逃逸排放，单位为吨CO</w:t>
      </w:r>
      <w:r>
        <w:rPr>
          <w:rFonts w:hint="eastAsia"/>
          <w:color w:val="auto"/>
          <w:highlight w:val="none"/>
          <w:vertAlign w:val="subscript"/>
        </w:rPr>
        <w:t>2</w:t>
      </w:r>
      <w:r>
        <w:rPr>
          <w:rFonts w:hint="eastAsia"/>
          <w:color w:val="auto"/>
          <w:highlight w:val="none"/>
        </w:rPr>
        <w:t>当量；</w:t>
      </w:r>
    </w:p>
    <w:p>
      <w:pPr>
        <w:pStyle w:val="57"/>
        <w:rPr>
          <w:color w:val="auto"/>
          <w:highlight w:val="none"/>
        </w:rPr>
      </w:pPr>
      <w:r>
        <w:rPr>
          <w:rFonts w:hint="eastAsia"/>
          <w:i/>
          <w:iCs/>
          <w:color w:val="auto"/>
          <w:highlight w:val="none"/>
        </w:rPr>
        <w:t>S</w:t>
      </w:r>
      <w:r>
        <w:rPr>
          <w:rFonts w:hint="eastAsia"/>
          <w:color w:val="auto"/>
          <w:highlight w:val="none"/>
          <w:lang w:eastAsia="zh-CN"/>
        </w:rPr>
        <w:t>－</w:t>
      </w:r>
      <w:r>
        <w:rPr>
          <w:rFonts w:hint="eastAsia"/>
          <w:color w:val="auto"/>
          <w:highlight w:val="none"/>
        </w:rPr>
        <w:t>企业涉及的业务类型，包括油气勘探、油气开采、油气处理、油气储运业务；</w:t>
      </w:r>
    </w:p>
    <w:p>
      <w:pPr>
        <w:pStyle w:val="57"/>
        <w:rPr>
          <w:color w:val="auto"/>
          <w:highlight w:val="none"/>
        </w:rPr>
      </w:pPr>
      <w:r>
        <w:rPr>
          <w:rFonts w:hint="eastAsia"/>
          <w:i/>
          <w:iCs/>
          <w:color w:val="auto"/>
          <w:highlight w:val="none"/>
        </w:rPr>
        <w:t>R</w:t>
      </w:r>
      <w:r>
        <w:rPr>
          <w:rFonts w:hint="eastAsia"/>
          <w:i/>
          <w:iCs/>
          <w:color w:val="auto"/>
          <w:highlight w:val="none"/>
          <w:vertAlign w:val="subscript"/>
        </w:rPr>
        <w:t>CH4</w:t>
      </w:r>
      <w:r>
        <w:rPr>
          <w:rFonts w:hint="eastAsia"/>
          <w:i/>
          <w:iCs/>
          <w:color w:val="auto"/>
          <w:highlight w:val="none"/>
          <w:vertAlign w:val="subscript"/>
          <w:lang w:eastAsia="zh-CN"/>
        </w:rPr>
        <w:t>－</w:t>
      </w:r>
      <w:r>
        <w:rPr>
          <w:rFonts w:hint="eastAsia"/>
          <w:color w:val="auto"/>
          <w:highlight w:val="none"/>
        </w:rPr>
        <w:t>回收</w:t>
      </w:r>
      <w:r>
        <w:rPr>
          <w:rFonts w:hint="eastAsia"/>
          <w:color w:val="auto"/>
          <w:highlight w:val="none"/>
          <w:lang w:eastAsia="zh-CN"/>
        </w:rPr>
        <w:t>－</w:t>
      </w:r>
      <w:r>
        <w:rPr>
          <w:rFonts w:hint="eastAsia"/>
          <w:color w:val="auto"/>
          <w:highlight w:val="none"/>
        </w:rPr>
        <w:t>企业的CH</w:t>
      </w:r>
      <w:r>
        <w:rPr>
          <w:rFonts w:hint="eastAsia"/>
          <w:color w:val="auto"/>
          <w:highlight w:val="none"/>
          <w:vertAlign w:val="subscript"/>
        </w:rPr>
        <w:t>4</w:t>
      </w:r>
      <w:r>
        <w:rPr>
          <w:rFonts w:hint="eastAsia"/>
          <w:color w:val="auto"/>
          <w:highlight w:val="none"/>
        </w:rPr>
        <w:t>回收利用量，单位为吨CH</w:t>
      </w:r>
      <w:r>
        <w:rPr>
          <w:rFonts w:hint="eastAsia"/>
          <w:color w:val="auto"/>
          <w:highlight w:val="none"/>
          <w:vertAlign w:val="subscript"/>
        </w:rPr>
        <w:t>4</w:t>
      </w:r>
      <w:r>
        <w:rPr>
          <w:rFonts w:hint="eastAsia"/>
          <w:color w:val="auto"/>
          <w:highlight w:val="none"/>
        </w:rPr>
        <w:t>；</w:t>
      </w:r>
    </w:p>
    <w:p>
      <w:pPr>
        <w:pStyle w:val="57"/>
        <w:rPr>
          <w:color w:val="auto"/>
          <w:highlight w:val="none"/>
        </w:rPr>
      </w:pPr>
      <w:r>
        <w:rPr>
          <w:rFonts w:hint="eastAsia"/>
          <w:i/>
          <w:iCs/>
          <w:color w:val="auto"/>
          <w:highlight w:val="none"/>
        </w:rPr>
        <w:t>GWP</w:t>
      </w:r>
      <w:r>
        <w:rPr>
          <w:rFonts w:hint="eastAsia"/>
          <w:i/>
          <w:iCs/>
          <w:color w:val="auto"/>
          <w:highlight w:val="none"/>
          <w:vertAlign w:val="subscript"/>
        </w:rPr>
        <w:t>CH4</w:t>
      </w:r>
      <w:r>
        <w:rPr>
          <w:rFonts w:hint="eastAsia"/>
          <w:color w:val="auto"/>
          <w:highlight w:val="none"/>
        </w:rPr>
        <w:t>-CH</w:t>
      </w:r>
      <w:r>
        <w:rPr>
          <w:rFonts w:hint="eastAsia"/>
          <w:color w:val="auto"/>
          <w:highlight w:val="none"/>
          <w:vertAlign w:val="subscript"/>
        </w:rPr>
        <w:t>4</w:t>
      </w:r>
      <w:r>
        <w:rPr>
          <w:rFonts w:hint="eastAsia"/>
          <w:color w:val="auto"/>
          <w:highlight w:val="none"/>
        </w:rPr>
        <w:t>相比CO</w:t>
      </w:r>
      <w:r>
        <w:rPr>
          <w:rFonts w:hint="eastAsia"/>
          <w:color w:val="auto"/>
          <w:highlight w:val="none"/>
          <w:vertAlign w:val="subscript"/>
        </w:rPr>
        <w:t>2</w:t>
      </w:r>
      <w:r>
        <w:rPr>
          <w:rFonts w:hint="eastAsia"/>
          <w:color w:val="auto"/>
          <w:highlight w:val="none"/>
        </w:rPr>
        <w:t>的全球变暖潜势值。取值21；</w:t>
      </w:r>
    </w:p>
    <w:p>
      <w:pPr>
        <w:pStyle w:val="57"/>
        <w:rPr>
          <w:color w:val="auto"/>
          <w:highlight w:val="none"/>
        </w:rPr>
      </w:pPr>
      <w:r>
        <w:rPr>
          <w:rFonts w:hint="eastAsia"/>
          <w:i/>
          <w:iCs/>
          <w:color w:val="auto"/>
          <w:highlight w:val="none"/>
        </w:rPr>
        <w:t>R</w:t>
      </w:r>
      <w:r>
        <w:rPr>
          <w:rFonts w:hint="eastAsia"/>
          <w:i/>
          <w:iCs/>
          <w:color w:val="auto"/>
          <w:highlight w:val="none"/>
          <w:vertAlign w:val="subscript"/>
        </w:rPr>
        <w:t>CO2</w:t>
      </w:r>
      <w:r>
        <w:rPr>
          <w:rFonts w:hint="eastAsia"/>
          <w:color w:val="auto"/>
          <w:highlight w:val="none"/>
        </w:rPr>
        <w:t>-回收</w:t>
      </w:r>
      <w:r>
        <w:rPr>
          <w:rFonts w:hint="eastAsia"/>
          <w:color w:val="auto"/>
          <w:highlight w:val="none"/>
          <w:lang w:eastAsia="zh-CN"/>
        </w:rPr>
        <w:t>－</w:t>
      </w:r>
      <w:r>
        <w:rPr>
          <w:rFonts w:hint="eastAsia"/>
          <w:color w:val="auto"/>
          <w:highlight w:val="none"/>
        </w:rPr>
        <w:t>企业的CO</w:t>
      </w:r>
      <w:r>
        <w:rPr>
          <w:rFonts w:hint="eastAsia"/>
          <w:color w:val="auto"/>
          <w:highlight w:val="none"/>
          <w:vertAlign w:val="subscript"/>
        </w:rPr>
        <w:t>2</w:t>
      </w:r>
      <w:r>
        <w:rPr>
          <w:rFonts w:hint="eastAsia"/>
          <w:color w:val="auto"/>
          <w:highlight w:val="none"/>
        </w:rPr>
        <w:t>回收利用量，单位为吨CO</w:t>
      </w:r>
      <w:r>
        <w:rPr>
          <w:rFonts w:hint="eastAsia"/>
          <w:color w:val="auto"/>
          <w:highlight w:val="none"/>
          <w:vertAlign w:val="subscript"/>
        </w:rPr>
        <w:t>2</w:t>
      </w:r>
      <w:r>
        <w:rPr>
          <w:rFonts w:hint="eastAsia"/>
          <w:color w:val="auto"/>
          <w:highlight w:val="none"/>
        </w:rPr>
        <w:t>。</w:t>
      </w:r>
    </w:p>
    <w:p>
      <w:pPr>
        <w:pStyle w:val="57"/>
        <w:rPr>
          <w:color w:val="auto"/>
          <w:highlight w:val="none"/>
        </w:rPr>
      </w:pPr>
      <w:r>
        <w:rPr>
          <w:rFonts w:hint="eastAsia"/>
          <w:i/>
          <w:iCs/>
          <w:color w:val="auto"/>
          <w:highlight w:val="none"/>
        </w:rPr>
        <w:t>E</w:t>
      </w:r>
      <w:r>
        <w:rPr>
          <w:rFonts w:hint="eastAsia"/>
          <w:i/>
          <w:iCs/>
          <w:color w:val="auto"/>
          <w:highlight w:val="none"/>
          <w:vertAlign w:val="subscript"/>
        </w:rPr>
        <w:t>CO2</w:t>
      </w:r>
      <w:r>
        <w:rPr>
          <w:rFonts w:hint="eastAsia"/>
          <w:color w:val="auto"/>
          <w:highlight w:val="none"/>
        </w:rPr>
        <w:t>-净电</w:t>
      </w:r>
      <w:r>
        <w:rPr>
          <w:rFonts w:hint="eastAsia"/>
          <w:color w:val="auto"/>
          <w:highlight w:val="none"/>
          <w:lang w:eastAsia="zh-CN"/>
        </w:rPr>
        <w:t>－</w:t>
      </w:r>
      <w:r>
        <w:rPr>
          <w:rFonts w:hint="eastAsia"/>
          <w:color w:val="auto"/>
          <w:highlight w:val="none"/>
        </w:rPr>
        <w:t>报告主体净购入电力隐含的CO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pPr>
        <w:pStyle w:val="57"/>
        <w:rPr>
          <w:color w:val="auto"/>
          <w:highlight w:val="none"/>
        </w:rPr>
      </w:pPr>
      <w:r>
        <w:rPr>
          <w:rFonts w:hint="eastAsia"/>
          <w:i/>
          <w:iCs/>
          <w:color w:val="auto"/>
          <w:highlight w:val="none"/>
        </w:rPr>
        <w:t>E</w:t>
      </w:r>
      <w:r>
        <w:rPr>
          <w:rFonts w:hint="eastAsia"/>
          <w:i/>
          <w:iCs/>
          <w:color w:val="auto"/>
          <w:highlight w:val="none"/>
          <w:vertAlign w:val="subscript"/>
        </w:rPr>
        <w:t>CO2</w:t>
      </w:r>
      <w:r>
        <w:rPr>
          <w:rFonts w:hint="eastAsia"/>
          <w:color w:val="auto"/>
          <w:highlight w:val="none"/>
        </w:rPr>
        <w:t>-净热为报告主体净购入热力隐含的CO</w:t>
      </w:r>
      <w:r>
        <w:rPr>
          <w:rFonts w:hint="eastAsia"/>
          <w:color w:val="auto"/>
          <w:highlight w:val="none"/>
          <w:vertAlign w:val="subscript"/>
        </w:rPr>
        <w:t>2</w:t>
      </w:r>
      <w:r>
        <w:rPr>
          <w:rFonts w:hint="eastAsia"/>
          <w:color w:val="auto"/>
          <w:highlight w:val="none"/>
        </w:rPr>
        <w:t>排放量，单位为吨CO</w:t>
      </w:r>
      <w:r>
        <w:rPr>
          <w:rFonts w:hint="eastAsia"/>
          <w:color w:val="auto"/>
          <w:highlight w:val="none"/>
          <w:vertAlign w:val="subscript"/>
        </w:rPr>
        <w:t>2</w:t>
      </w:r>
      <w:r>
        <w:rPr>
          <w:rFonts w:hint="eastAsia"/>
          <w:color w:val="auto"/>
          <w:highlight w:val="none"/>
        </w:rPr>
        <w:t>。</w:t>
      </w:r>
    </w:p>
    <w:p>
      <w:pPr>
        <w:pStyle w:val="57"/>
        <w:rPr>
          <w:color w:val="auto"/>
          <w:highlight w:val="none"/>
        </w:rPr>
      </w:pPr>
      <w:r>
        <w:rPr>
          <w:rFonts w:hint="eastAsia"/>
          <w:color w:val="auto"/>
          <w:highlight w:val="none"/>
        </w:rPr>
        <w:t>按照</w:t>
      </w:r>
      <w:r>
        <w:rPr>
          <w:color w:val="auto"/>
          <w:highlight w:val="none"/>
        </w:rPr>
        <w:t>上述CO</w:t>
      </w:r>
      <w:r>
        <w:rPr>
          <w:color w:val="auto"/>
          <w:highlight w:val="none"/>
          <w:vertAlign w:val="subscript"/>
        </w:rPr>
        <w:t>2</w:t>
      </w:r>
      <w:r>
        <w:rPr>
          <w:color w:val="auto"/>
          <w:highlight w:val="none"/>
        </w:rPr>
        <w:t>排放总量计算公式，则</w:t>
      </w:r>
      <w:r>
        <w:rPr>
          <w:rFonts w:hint="eastAsia"/>
          <w:color w:val="auto"/>
          <w:highlight w:val="none"/>
        </w:rPr>
        <w:t>本工程</w:t>
      </w:r>
      <w:r>
        <w:rPr>
          <w:color w:val="auto"/>
          <w:highlight w:val="none"/>
        </w:rPr>
        <w:t>实施后CO</w:t>
      </w:r>
      <w:r>
        <w:rPr>
          <w:color w:val="auto"/>
          <w:highlight w:val="none"/>
          <w:vertAlign w:val="subscript"/>
        </w:rPr>
        <w:t>2</w:t>
      </w:r>
      <w:r>
        <w:rPr>
          <w:color w:val="auto"/>
          <w:highlight w:val="none"/>
        </w:rPr>
        <w:t>排放总量见表</w:t>
      </w:r>
      <w:r>
        <w:rPr>
          <w:rFonts w:hint="eastAsia"/>
          <w:color w:val="auto"/>
          <w:highlight w:val="none"/>
        </w:rPr>
        <w:t>7.</w:t>
      </w:r>
      <w:r>
        <w:rPr>
          <w:color w:val="auto"/>
          <w:highlight w:val="none"/>
        </w:rPr>
        <w:t>1-4所示。</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780" w:name="_Toc24493"/>
      <w:r>
        <w:rPr>
          <w:color w:val="auto"/>
          <w:highlight w:val="none"/>
        </w:rPr>
        <w:t>表</w:t>
      </w:r>
      <w:r>
        <w:rPr>
          <w:rFonts w:hint="eastAsia"/>
          <w:color w:val="auto"/>
          <w:highlight w:val="none"/>
        </w:rPr>
        <w:t>7</w:t>
      </w:r>
      <w:r>
        <w:rPr>
          <w:color w:val="auto"/>
          <w:highlight w:val="none"/>
        </w:rPr>
        <w:t>.1-4      CO</w:t>
      </w:r>
      <w:r>
        <w:rPr>
          <w:color w:val="auto"/>
          <w:highlight w:val="none"/>
          <w:vertAlign w:val="subscript"/>
        </w:rPr>
        <w:t>2</w:t>
      </w:r>
      <w:r>
        <w:rPr>
          <w:color w:val="auto"/>
          <w:highlight w:val="none"/>
        </w:rPr>
        <w:t>排放总量汇总一览表</w:t>
      </w:r>
      <w:bookmarkEnd w:id="780"/>
    </w:p>
    <w:tbl>
      <w:tblPr>
        <w:tblStyle w:val="34"/>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28" w:type="dxa"/>
          <w:bottom w:w="0" w:type="dxa"/>
          <w:right w:w="28" w:type="dxa"/>
        </w:tblCellMar>
      </w:tblPr>
      <w:tblGrid>
        <w:gridCol w:w="1297"/>
        <w:gridCol w:w="3026"/>
        <w:gridCol w:w="1796"/>
        <w:gridCol w:w="255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Align w:val="center"/>
          </w:tcPr>
          <w:p>
            <w:pPr>
              <w:pStyle w:val="41"/>
              <w:rPr>
                <w:color w:val="auto"/>
                <w:highlight w:val="none"/>
              </w:rPr>
            </w:pPr>
            <w:r>
              <w:rPr>
                <w:color w:val="auto"/>
                <w:highlight w:val="none"/>
              </w:rPr>
              <w:t>项目</w:t>
            </w:r>
          </w:p>
        </w:tc>
        <w:tc>
          <w:tcPr>
            <w:tcW w:w="1744" w:type="pct"/>
            <w:vAlign w:val="center"/>
          </w:tcPr>
          <w:p>
            <w:pPr>
              <w:pStyle w:val="41"/>
              <w:rPr>
                <w:color w:val="auto"/>
                <w:highlight w:val="none"/>
              </w:rPr>
            </w:pPr>
            <w:r>
              <w:rPr>
                <w:color w:val="auto"/>
                <w:highlight w:val="none"/>
              </w:rPr>
              <w:t>源类别</w:t>
            </w:r>
          </w:p>
        </w:tc>
        <w:tc>
          <w:tcPr>
            <w:tcW w:w="1035" w:type="pct"/>
            <w:vAlign w:val="center"/>
          </w:tcPr>
          <w:p>
            <w:pPr>
              <w:pStyle w:val="41"/>
              <w:rPr>
                <w:color w:val="auto"/>
                <w:highlight w:val="none"/>
              </w:rPr>
            </w:pPr>
            <w:r>
              <w:rPr>
                <w:color w:val="auto"/>
                <w:highlight w:val="none"/>
              </w:rPr>
              <w:t>排放量（吨CO</w:t>
            </w:r>
            <w:r>
              <w:rPr>
                <w:color w:val="auto"/>
                <w:highlight w:val="none"/>
                <w:vertAlign w:val="subscript"/>
              </w:rPr>
              <w:t>2</w:t>
            </w:r>
            <w:r>
              <w:rPr>
                <w:color w:val="auto"/>
                <w:highlight w:val="none"/>
              </w:rPr>
              <w:t>）</w:t>
            </w:r>
          </w:p>
        </w:tc>
        <w:tc>
          <w:tcPr>
            <w:tcW w:w="1472" w:type="pct"/>
            <w:vAlign w:val="center"/>
          </w:tcPr>
          <w:p>
            <w:pPr>
              <w:pStyle w:val="41"/>
              <w:rPr>
                <w:color w:val="auto"/>
                <w:highlight w:val="none"/>
              </w:rPr>
            </w:pPr>
            <w:r>
              <w:rPr>
                <w:color w:val="auto"/>
                <w:highlight w:val="none"/>
              </w:rPr>
              <w:t>占比（%）</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restart"/>
            <w:vAlign w:val="center"/>
          </w:tcPr>
          <w:p>
            <w:pPr>
              <w:pStyle w:val="41"/>
              <w:rPr>
                <w:color w:val="auto"/>
                <w:highlight w:val="none"/>
              </w:rPr>
            </w:pPr>
            <w:bookmarkStart w:id="781" w:name="OLE_LINK91" w:colFirst="3" w:colLast="3"/>
            <w:bookmarkStart w:id="782" w:name="OLE_LINK90" w:colFirst="2" w:colLast="2"/>
            <w:r>
              <w:rPr>
                <w:rFonts w:hint="eastAsia"/>
                <w:color w:val="auto"/>
                <w:highlight w:val="none"/>
              </w:rPr>
              <w:t>本工程</w:t>
            </w:r>
          </w:p>
        </w:tc>
        <w:tc>
          <w:tcPr>
            <w:tcW w:w="1744" w:type="pct"/>
            <w:vAlign w:val="center"/>
          </w:tcPr>
          <w:p>
            <w:pPr>
              <w:pStyle w:val="41"/>
              <w:rPr>
                <w:color w:val="auto"/>
                <w:highlight w:val="none"/>
              </w:rPr>
            </w:pPr>
            <w:r>
              <w:rPr>
                <w:color w:val="auto"/>
                <w:highlight w:val="none"/>
              </w:rPr>
              <w:t>燃料燃烧CO</w:t>
            </w:r>
            <w:r>
              <w:rPr>
                <w:color w:val="auto"/>
                <w:highlight w:val="none"/>
                <w:vertAlign w:val="subscript"/>
              </w:rPr>
              <w:t>2</w:t>
            </w:r>
            <w:r>
              <w:rPr>
                <w:color w:val="auto"/>
                <w:highlight w:val="none"/>
              </w:rPr>
              <w:t>排放</w:t>
            </w:r>
          </w:p>
        </w:tc>
        <w:tc>
          <w:tcPr>
            <w:tcW w:w="1035" w:type="pct"/>
            <w:vAlign w:val="center"/>
          </w:tcPr>
          <w:p>
            <w:pPr>
              <w:pStyle w:val="41"/>
              <w:rPr>
                <w:color w:val="auto"/>
                <w:highlight w:val="none"/>
              </w:rPr>
            </w:pPr>
            <w:r>
              <w:rPr>
                <w:rFonts w:hint="eastAsia"/>
                <w:color w:val="auto"/>
                <w:highlight w:val="none"/>
              </w:rPr>
              <w:t>0</w:t>
            </w:r>
          </w:p>
        </w:tc>
        <w:tc>
          <w:tcPr>
            <w:tcW w:w="1472" w:type="pct"/>
            <w:vAlign w:val="center"/>
          </w:tcPr>
          <w:p>
            <w:pPr>
              <w:pStyle w:val="41"/>
              <w:rPr>
                <w:rFonts w:hint="eastAsia" w:eastAsia="宋体"/>
                <w:color w:val="auto"/>
                <w:highlight w:val="none"/>
                <w:lang w:val="en-US"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pPr>
              <w:pStyle w:val="41"/>
              <w:rPr>
                <w:color w:val="auto"/>
                <w:highlight w:val="none"/>
              </w:rPr>
            </w:pPr>
          </w:p>
        </w:tc>
        <w:tc>
          <w:tcPr>
            <w:tcW w:w="1744" w:type="pct"/>
            <w:vAlign w:val="center"/>
          </w:tcPr>
          <w:p>
            <w:pPr>
              <w:pStyle w:val="41"/>
              <w:rPr>
                <w:color w:val="auto"/>
                <w:highlight w:val="none"/>
              </w:rPr>
            </w:pPr>
            <w:r>
              <w:rPr>
                <w:color w:val="auto"/>
                <w:highlight w:val="none"/>
              </w:rPr>
              <w:t>火炬燃烧排放</w:t>
            </w:r>
          </w:p>
        </w:tc>
        <w:tc>
          <w:tcPr>
            <w:tcW w:w="1035" w:type="pct"/>
            <w:vAlign w:val="center"/>
          </w:tcPr>
          <w:p>
            <w:pPr>
              <w:pStyle w:val="41"/>
              <w:rPr>
                <w:rFonts w:hint="default" w:eastAsia="宋体"/>
                <w:color w:val="auto"/>
                <w:highlight w:val="none"/>
                <w:lang w:val="en-US" w:eastAsia="zh-CN"/>
              </w:rPr>
            </w:pPr>
            <w:r>
              <w:rPr>
                <w:rFonts w:hint="eastAsia"/>
                <w:color w:val="auto"/>
                <w:highlight w:val="none"/>
                <w:lang w:val="en-US" w:eastAsia="zh-CN"/>
              </w:rPr>
              <w:t>960.34</w:t>
            </w:r>
          </w:p>
        </w:tc>
        <w:tc>
          <w:tcPr>
            <w:tcW w:w="1472" w:type="pct"/>
            <w:vAlign w:val="center"/>
          </w:tcPr>
          <w:p>
            <w:pPr>
              <w:pStyle w:val="41"/>
              <w:rPr>
                <w:rFonts w:hint="default" w:eastAsia="宋体"/>
                <w:color w:val="auto"/>
                <w:highlight w:val="none"/>
                <w:lang w:val="en-US" w:eastAsia="zh-CN"/>
              </w:rPr>
            </w:pPr>
            <w:r>
              <w:rPr>
                <w:rFonts w:hint="eastAsia"/>
                <w:color w:val="auto"/>
                <w:highlight w:val="none"/>
                <w:lang w:val="en-US" w:eastAsia="zh-CN"/>
              </w:rPr>
              <w:t>30.3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pPr>
              <w:pStyle w:val="41"/>
              <w:rPr>
                <w:color w:val="auto"/>
                <w:highlight w:val="none"/>
              </w:rPr>
            </w:pPr>
          </w:p>
        </w:tc>
        <w:tc>
          <w:tcPr>
            <w:tcW w:w="1744" w:type="pct"/>
            <w:vAlign w:val="center"/>
          </w:tcPr>
          <w:p>
            <w:pPr>
              <w:pStyle w:val="41"/>
              <w:rPr>
                <w:color w:val="auto"/>
                <w:highlight w:val="none"/>
              </w:rPr>
            </w:pPr>
            <w:r>
              <w:rPr>
                <w:color w:val="auto"/>
                <w:highlight w:val="none"/>
              </w:rPr>
              <w:t>工艺放空排放</w:t>
            </w:r>
          </w:p>
        </w:tc>
        <w:tc>
          <w:tcPr>
            <w:tcW w:w="1035" w:type="pct"/>
            <w:vAlign w:val="center"/>
          </w:tcPr>
          <w:p>
            <w:pPr>
              <w:pStyle w:val="41"/>
              <w:rPr>
                <w:color w:val="auto"/>
                <w:highlight w:val="none"/>
              </w:rPr>
            </w:pPr>
            <w:r>
              <w:rPr>
                <w:color w:val="auto"/>
                <w:highlight w:val="none"/>
              </w:rPr>
              <w:t>0</w:t>
            </w:r>
          </w:p>
        </w:tc>
        <w:tc>
          <w:tcPr>
            <w:tcW w:w="1472" w:type="pct"/>
            <w:vAlign w:val="center"/>
          </w:tcPr>
          <w:p>
            <w:pPr>
              <w:pStyle w:val="41"/>
              <w:rPr>
                <w:rFonts w:hint="default" w:eastAsia="宋体"/>
                <w:color w:val="auto"/>
                <w:highlight w:val="none"/>
                <w:lang w:val="en-US"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pPr>
              <w:pStyle w:val="41"/>
              <w:rPr>
                <w:color w:val="auto"/>
                <w:highlight w:val="none"/>
              </w:rPr>
            </w:pPr>
          </w:p>
        </w:tc>
        <w:tc>
          <w:tcPr>
            <w:tcW w:w="1744" w:type="pct"/>
            <w:vAlign w:val="center"/>
          </w:tcPr>
          <w:p>
            <w:pPr>
              <w:pStyle w:val="41"/>
              <w:rPr>
                <w:color w:val="auto"/>
                <w:highlight w:val="none"/>
              </w:rPr>
            </w:pPr>
            <w:r>
              <w:rPr>
                <w:color w:val="auto"/>
                <w:highlight w:val="none"/>
              </w:rPr>
              <w:t>CH</w:t>
            </w:r>
            <w:r>
              <w:rPr>
                <w:color w:val="auto"/>
                <w:highlight w:val="none"/>
                <w:vertAlign w:val="subscript"/>
              </w:rPr>
              <w:t>4</w:t>
            </w:r>
            <w:r>
              <w:rPr>
                <w:color w:val="auto"/>
                <w:highlight w:val="none"/>
              </w:rPr>
              <w:t>逃逸排放</w:t>
            </w:r>
          </w:p>
        </w:tc>
        <w:tc>
          <w:tcPr>
            <w:tcW w:w="1035" w:type="pct"/>
            <w:vAlign w:val="center"/>
          </w:tcPr>
          <w:p>
            <w:pPr>
              <w:pStyle w:val="41"/>
              <w:rPr>
                <w:rFonts w:hint="default" w:eastAsia="宋体"/>
                <w:color w:val="auto"/>
                <w:highlight w:val="none"/>
                <w:lang w:val="en-US" w:eastAsia="zh-CN"/>
              </w:rPr>
            </w:pPr>
            <w:r>
              <w:rPr>
                <w:rFonts w:hint="eastAsia"/>
                <w:color w:val="auto"/>
                <w:highlight w:val="none"/>
                <w:lang w:val="en-US" w:eastAsia="zh-CN"/>
              </w:rPr>
              <w:t>98.28</w:t>
            </w:r>
          </w:p>
        </w:tc>
        <w:tc>
          <w:tcPr>
            <w:tcW w:w="1472" w:type="pct"/>
            <w:vAlign w:val="center"/>
          </w:tcPr>
          <w:p>
            <w:pPr>
              <w:pStyle w:val="41"/>
              <w:rPr>
                <w:rFonts w:hint="default" w:eastAsia="宋体"/>
                <w:color w:val="auto"/>
                <w:highlight w:val="none"/>
                <w:lang w:val="en-US" w:eastAsia="zh-CN"/>
              </w:rPr>
            </w:pPr>
            <w:r>
              <w:rPr>
                <w:rFonts w:hint="eastAsia"/>
                <w:color w:val="auto"/>
                <w:highlight w:val="none"/>
                <w:lang w:val="en-US" w:eastAsia="zh-CN"/>
              </w:rPr>
              <w:t>3.1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pPr>
              <w:pStyle w:val="41"/>
              <w:rPr>
                <w:color w:val="auto"/>
                <w:highlight w:val="none"/>
              </w:rPr>
            </w:pPr>
          </w:p>
        </w:tc>
        <w:tc>
          <w:tcPr>
            <w:tcW w:w="1744" w:type="pct"/>
            <w:vAlign w:val="center"/>
          </w:tcPr>
          <w:p>
            <w:pPr>
              <w:pStyle w:val="41"/>
              <w:rPr>
                <w:color w:val="auto"/>
                <w:highlight w:val="none"/>
              </w:rPr>
            </w:pPr>
            <w:r>
              <w:rPr>
                <w:color w:val="auto"/>
                <w:highlight w:val="none"/>
              </w:rPr>
              <w:t>CH</w:t>
            </w:r>
            <w:r>
              <w:rPr>
                <w:color w:val="auto"/>
                <w:highlight w:val="none"/>
                <w:vertAlign w:val="subscript"/>
              </w:rPr>
              <w:t>4</w:t>
            </w:r>
            <w:r>
              <w:rPr>
                <w:color w:val="auto"/>
                <w:highlight w:val="none"/>
              </w:rPr>
              <w:t>回收利用量</w:t>
            </w:r>
          </w:p>
        </w:tc>
        <w:tc>
          <w:tcPr>
            <w:tcW w:w="1035" w:type="pct"/>
            <w:vAlign w:val="center"/>
          </w:tcPr>
          <w:p>
            <w:pPr>
              <w:pStyle w:val="41"/>
              <w:rPr>
                <w:color w:val="auto"/>
                <w:highlight w:val="none"/>
              </w:rPr>
            </w:pPr>
            <w:r>
              <w:rPr>
                <w:color w:val="auto"/>
                <w:highlight w:val="none"/>
              </w:rPr>
              <w:t>0</w:t>
            </w:r>
          </w:p>
        </w:tc>
        <w:tc>
          <w:tcPr>
            <w:tcW w:w="1472" w:type="pct"/>
            <w:vAlign w:val="center"/>
          </w:tcPr>
          <w:p>
            <w:pPr>
              <w:pStyle w:val="41"/>
              <w:rPr>
                <w:rFonts w:hint="eastAsia" w:eastAsia="宋体"/>
                <w:color w:val="auto"/>
                <w:highlight w:val="none"/>
                <w:lang w:val="en-US"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pPr>
              <w:pStyle w:val="41"/>
              <w:rPr>
                <w:color w:val="auto"/>
                <w:highlight w:val="none"/>
              </w:rPr>
            </w:pPr>
          </w:p>
        </w:tc>
        <w:tc>
          <w:tcPr>
            <w:tcW w:w="1744" w:type="pct"/>
            <w:vAlign w:val="center"/>
          </w:tcPr>
          <w:p>
            <w:pPr>
              <w:pStyle w:val="41"/>
              <w:rPr>
                <w:color w:val="auto"/>
                <w:highlight w:val="none"/>
              </w:rPr>
            </w:pPr>
            <w:r>
              <w:rPr>
                <w:color w:val="auto"/>
                <w:highlight w:val="none"/>
              </w:rPr>
              <w:t>C0</w:t>
            </w:r>
            <w:r>
              <w:rPr>
                <w:color w:val="auto"/>
                <w:highlight w:val="none"/>
                <w:vertAlign w:val="subscript"/>
              </w:rPr>
              <w:t>2</w:t>
            </w:r>
            <w:r>
              <w:rPr>
                <w:color w:val="auto"/>
                <w:highlight w:val="none"/>
              </w:rPr>
              <w:t>回收利用量</w:t>
            </w:r>
          </w:p>
        </w:tc>
        <w:tc>
          <w:tcPr>
            <w:tcW w:w="1035" w:type="pct"/>
            <w:vAlign w:val="center"/>
          </w:tcPr>
          <w:p>
            <w:pPr>
              <w:pStyle w:val="41"/>
              <w:rPr>
                <w:color w:val="auto"/>
                <w:highlight w:val="none"/>
              </w:rPr>
            </w:pPr>
            <w:r>
              <w:rPr>
                <w:color w:val="auto"/>
                <w:highlight w:val="none"/>
              </w:rPr>
              <w:t>0</w:t>
            </w:r>
          </w:p>
        </w:tc>
        <w:tc>
          <w:tcPr>
            <w:tcW w:w="1472" w:type="pct"/>
            <w:vAlign w:val="center"/>
          </w:tcPr>
          <w:p>
            <w:pPr>
              <w:pStyle w:val="41"/>
              <w:rPr>
                <w:rFonts w:hint="eastAsia" w:eastAsia="宋体"/>
                <w:color w:val="auto"/>
                <w:highlight w:val="none"/>
                <w:lang w:val="en-US" w:eastAsia="zh-CN"/>
              </w:rPr>
            </w:pPr>
            <w:r>
              <w:rPr>
                <w:rFonts w:hint="eastAsia"/>
                <w:color w:val="auto"/>
                <w:highlight w:val="none"/>
                <w:lang w:val="en-US" w:eastAsia="zh-CN"/>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pPr>
              <w:pStyle w:val="41"/>
              <w:rPr>
                <w:color w:val="auto"/>
                <w:highlight w:val="none"/>
              </w:rPr>
            </w:pPr>
          </w:p>
        </w:tc>
        <w:tc>
          <w:tcPr>
            <w:tcW w:w="1744" w:type="pct"/>
            <w:vAlign w:val="center"/>
          </w:tcPr>
          <w:p>
            <w:pPr>
              <w:pStyle w:val="41"/>
              <w:rPr>
                <w:color w:val="auto"/>
                <w:highlight w:val="none"/>
              </w:rPr>
            </w:pPr>
            <w:r>
              <w:rPr>
                <w:color w:val="auto"/>
                <w:highlight w:val="none"/>
              </w:rPr>
              <w:t>净购入电力、热力隐含的CO</w:t>
            </w:r>
            <w:r>
              <w:rPr>
                <w:color w:val="auto"/>
                <w:highlight w:val="none"/>
                <w:vertAlign w:val="subscript"/>
              </w:rPr>
              <w:t>2</w:t>
            </w:r>
            <w:r>
              <w:rPr>
                <w:color w:val="auto"/>
                <w:highlight w:val="none"/>
              </w:rPr>
              <w:t>排放</w:t>
            </w:r>
          </w:p>
        </w:tc>
        <w:tc>
          <w:tcPr>
            <w:tcW w:w="1035" w:type="pct"/>
            <w:vAlign w:val="center"/>
          </w:tcPr>
          <w:p>
            <w:pPr>
              <w:pStyle w:val="41"/>
              <w:rPr>
                <w:rFonts w:hint="default" w:eastAsia="宋体"/>
                <w:color w:val="auto"/>
                <w:highlight w:val="none"/>
                <w:lang w:val="en-US" w:eastAsia="zh-CN"/>
              </w:rPr>
            </w:pPr>
            <w:r>
              <w:rPr>
                <w:rFonts w:hint="eastAsia"/>
                <w:color w:val="auto"/>
                <w:highlight w:val="none"/>
                <w:lang w:val="en-US" w:eastAsia="zh-CN"/>
              </w:rPr>
              <w:t>2112.3</w:t>
            </w:r>
          </w:p>
        </w:tc>
        <w:tc>
          <w:tcPr>
            <w:tcW w:w="1472" w:type="pct"/>
            <w:vAlign w:val="center"/>
          </w:tcPr>
          <w:p>
            <w:pPr>
              <w:pStyle w:val="41"/>
              <w:rPr>
                <w:rFonts w:hint="default" w:eastAsia="宋体"/>
                <w:color w:val="auto"/>
                <w:highlight w:val="none"/>
                <w:lang w:val="en-US" w:eastAsia="zh-CN"/>
              </w:rPr>
            </w:pPr>
            <w:r>
              <w:rPr>
                <w:rFonts w:hint="eastAsia"/>
                <w:color w:val="auto"/>
                <w:highlight w:val="none"/>
                <w:lang w:val="en-US" w:eastAsia="zh-CN"/>
              </w:rPr>
              <w:t>66.6</w:t>
            </w:r>
          </w:p>
        </w:tc>
      </w:tr>
      <w:bookmarkEnd w:id="781"/>
      <w:bookmarkEnd w:id="782"/>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369" w:hRule="atLeast"/>
          <w:tblHeader/>
          <w:jc w:val="center"/>
        </w:trPr>
        <w:tc>
          <w:tcPr>
            <w:tcW w:w="748" w:type="pct"/>
            <w:vMerge w:val="continue"/>
            <w:vAlign w:val="center"/>
          </w:tcPr>
          <w:p>
            <w:pPr>
              <w:pStyle w:val="41"/>
              <w:rPr>
                <w:color w:val="auto"/>
                <w:highlight w:val="none"/>
              </w:rPr>
            </w:pPr>
          </w:p>
        </w:tc>
        <w:tc>
          <w:tcPr>
            <w:tcW w:w="1744" w:type="pct"/>
            <w:vAlign w:val="center"/>
          </w:tcPr>
          <w:p>
            <w:pPr>
              <w:pStyle w:val="41"/>
              <w:rPr>
                <w:color w:val="auto"/>
                <w:highlight w:val="none"/>
              </w:rPr>
            </w:pPr>
            <w:r>
              <w:rPr>
                <w:color w:val="auto"/>
                <w:highlight w:val="none"/>
              </w:rPr>
              <w:t>合计</w:t>
            </w:r>
          </w:p>
        </w:tc>
        <w:tc>
          <w:tcPr>
            <w:tcW w:w="1035" w:type="pct"/>
            <w:vAlign w:val="center"/>
          </w:tcPr>
          <w:p>
            <w:pPr>
              <w:pStyle w:val="41"/>
              <w:rPr>
                <w:rFonts w:hint="default" w:eastAsia="宋体"/>
                <w:color w:val="auto"/>
                <w:highlight w:val="none"/>
                <w:lang w:val="en-US" w:eastAsia="zh-CN"/>
              </w:rPr>
            </w:pPr>
            <w:r>
              <w:rPr>
                <w:rFonts w:hint="eastAsia"/>
                <w:color w:val="auto"/>
                <w:highlight w:val="none"/>
                <w:lang w:val="en-US" w:eastAsia="zh-CN"/>
              </w:rPr>
              <w:t>3170.92</w:t>
            </w:r>
          </w:p>
        </w:tc>
        <w:tc>
          <w:tcPr>
            <w:tcW w:w="1472" w:type="pct"/>
            <w:vAlign w:val="center"/>
          </w:tcPr>
          <w:p>
            <w:pPr>
              <w:pStyle w:val="41"/>
              <w:rPr>
                <w:color w:val="auto"/>
                <w:highlight w:val="none"/>
              </w:rPr>
            </w:pPr>
            <w:r>
              <w:rPr>
                <w:color w:val="auto"/>
                <w:highlight w:val="none"/>
              </w:rPr>
              <w:t>100</w:t>
            </w:r>
          </w:p>
        </w:tc>
      </w:tr>
    </w:tbl>
    <w:p>
      <w:pPr>
        <w:pStyle w:val="57"/>
        <w:rPr>
          <w:color w:val="auto"/>
          <w:highlight w:val="none"/>
        </w:rPr>
      </w:pPr>
      <w:r>
        <w:rPr>
          <w:color w:val="auto"/>
          <w:highlight w:val="none"/>
        </w:rPr>
        <w:t>由上表</w:t>
      </w:r>
      <w:r>
        <w:rPr>
          <w:rFonts w:hint="eastAsia"/>
          <w:color w:val="auto"/>
          <w:highlight w:val="none"/>
        </w:rPr>
        <w:t>7.1</w:t>
      </w:r>
      <w:r>
        <w:rPr>
          <w:color w:val="auto"/>
          <w:highlight w:val="none"/>
        </w:rPr>
        <w:t>-</w:t>
      </w:r>
      <w:r>
        <w:rPr>
          <w:rFonts w:hint="eastAsia"/>
          <w:color w:val="auto"/>
          <w:highlight w:val="none"/>
          <w:lang w:val="en-US" w:eastAsia="zh-CN"/>
        </w:rPr>
        <w:t>4</w:t>
      </w:r>
      <w:r>
        <w:rPr>
          <w:color w:val="auto"/>
          <w:highlight w:val="none"/>
        </w:rPr>
        <w:t>分析可知，</w:t>
      </w:r>
      <w:r>
        <w:rPr>
          <w:rFonts w:hint="eastAsia"/>
          <w:color w:val="auto"/>
          <w:highlight w:val="none"/>
        </w:rPr>
        <w:t>本工程</w:t>
      </w:r>
      <w:r>
        <w:rPr>
          <w:color w:val="auto"/>
          <w:highlight w:val="none"/>
        </w:rPr>
        <w:t>CO</w:t>
      </w:r>
      <w:r>
        <w:rPr>
          <w:color w:val="auto"/>
          <w:highlight w:val="none"/>
          <w:vertAlign w:val="subscript"/>
        </w:rPr>
        <w:t>2</w:t>
      </w:r>
      <w:r>
        <w:rPr>
          <w:color w:val="auto"/>
          <w:highlight w:val="none"/>
        </w:rPr>
        <w:t>总排放量为</w:t>
      </w:r>
      <w:r>
        <w:rPr>
          <w:rFonts w:hint="eastAsia"/>
          <w:color w:val="auto"/>
          <w:highlight w:val="none"/>
        </w:rPr>
        <w:t>3170.92</w:t>
      </w:r>
      <w:r>
        <w:rPr>
          <w:color w:val="auto"/>
          <w:highlight w:val="none"/>
        </w:rPr>
        <w:t>t。</w:t>
      </w:r>
    </w:p>
    <w:p>
      <w:pPr>
        <w:pStyle w:val="49"/>
        <w:rPr>
          <w:color w:val="auto"/>
          <w:highlight w:val="none"/>
        </w:rPr>
      </w:pPr>
      <w:bookmarkStart w:id="783" w:name="_Toc17977"/>
      <w:bookmarkStart w:id="784" w:name="_Toc173941977"/>
      <w:bookmarkStart w:id="785" w:name="_Toc153807750"/>
      <w:bookmarkStart w:id="786" w:name="_Toc151643468"/>
      <w:bookmarkStart w:id="787" w:name="_Toc173941756"/>
      <w:bookmarkStart w:id="788" w:name="_Toc74874409"/>
      <w:bookmarkStart w:id="789" w:name="_Toc173942710"/>
      <w:bookmarkStart w:id="790" w:name="_Toc17781"/>
      <w:bookmarkStart w:id="791" w:name="_Toc4418"/>
      <w:bookmarkStart w:id="792" w:name="_Toc25983"/>
      <w:r>
        <w:rPr>
          <w:rFonts w:hint="eastAsia"/>
          <w:color w:val="auto"/>
          <w:highlight w:val="none"/>
        </w:rPr>
        <w:t>7</w:t>
      </w:r>
      <w:r>
        <w:rPr>
          <w:color w:val="auto"/>
          <w:highlight w:val="none"/>
        </w:rPr>
        <w:t>.2 减污降碳措施</w:t>
      </w:r>
      <w:bookmarkEnd w:id="783"/>
      <w:bookmarkEnd w:id="784"/>
      <w:bookmarkEnd w:id="785"/>
      <w:bookmarkEnd w:id="786"/>
      <w:bookmarkEnd w:id="787"/>
      <w:bookmarkEnd w:id="788"/>
      <w:bookmarkEnd w:id="789"/>
      <w:bookmarkEnd w:id="790"/>
      <w:bookmarkEnd w:id="791"/>
      <w:bookmarkEnd w:id="792"/>
    </w:p>
    <w:p>
      <w:pPr>
        <w:pStyle w:val="53"/>
        <w:rPr>
          <w:color w:val="auto"/>
          <w:highlight w:val="none"/>
        </w:rPr>
      </w:pPr>
      <w:bookmarkStart w:id="793" w:name="_Toc173941978"/>
      <w:r>
        <w:rPr>
          <w:rFonts w:hint="eastAsia"/>
          <w:color w:val="auto"/>
          <w:highlight w:val="none"/>
        </w:rPr>
        <w:t>7.2.1 清洁运输</w:t>
      </w:r>
    </w:p>
    <w:p>
      <w:pPr>
        <w:pStyle w:val="57"/>
        <w:rPr>
          <w:color w:val="auto"/>
          <w:highlight w:val="none"/>
        </w:rPr>
      </w:pPr>
      <w:r>
        <w:rPr>
          <w:rFonts w:hint="eastAsia"/>
          <w:color w:val="auto"/>
          <w:highlight w:val="none"/>
        </w:rPr>
        <w:t>油气进行汇集、处理、输送至油气稳定装置的全过程采用密闭工艺流程，定期对井场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的设备、阀门等检查、检修，以防止跑、冒、漏现象的发生；加强对密闭管线及密封点的巡检，一旦发生泄漏立即切断控制阀，并尽快完成修复，有效提升温室气体泄漏控制能力。</w:t>
      </w:r>
    </w:p>
    <w:p>
      <w:pPr>
        <w:pStyle w:val="53"/>
        <w:rPr>
          <w:color w:val="auto"/>
          <w:highlight w:val="none"/>
        </w:rPr>
      </w:pPr>
      <w:r>
        <w:rPr>
          <w:rFonts w:hint="eastAsia"/>
          <w:color w:val="auto"/>
          <w:highlight w:val="none"/>
        </w:rPr>
        <w:t>7.2.2挥发性有机物与甲烷协同控制</w:t>
      </w:r>
      <w:bookmarkEnd w:id="793"/>
      <w:r>
        <w:rPr>
          <w:rFonts w:hint="eastAsia"/>
          <w:color w:val="auto"/>
          <w:highlight w:val="none"/>
        </w:rPr>
        <w:t xml:space="preserve"> </w:t>
      </w:r>
    </w:p>
    <w:p>
      <w:pPr>
        <w:pStyle w:val="57"/>
        <w:rPr>
          <w:color w:val="auto"/>
          <w:highlight w:val="none"/>
        </w:rPr>
      </w:pPr>
      <w:r>
        <w:rPr>
          <w:rFonts w:hint="eastAsia"/>
          <w:color w:val="auto"/>
          <w:highlight w:val="none"/>
        </w:rPr>
        <w:t>（1）加强企业能源管理，减少甲烷逸散损耗，定期开展能源及碳排放管理培训，提升管理水平；</w:t>
      </w:r>
    </w:p>
    <w:p>
      <w:pPr>
        <w:pStyle w:val="57"/>
        <w:rPr>
          <w:color w:val="auto"/>
          <w:highlight w:val="none"/>
        </w:rPr>
      </w:pPr>
      <w:r>
        <w:rPr>
          <w:rFonts w:hint="eastAsia"/>
          <w:color w:val="auto"/>
          <w:highlight w:val="none"/>
        </w:rPr>
        <w:t>（2）积极开展源头控制，优先选择绿色节能工艺、产品和技术，降低化石燃料消费量；</w:t>
      </w:r>
    </w:p>
    <w:p>
      <w:pPr>
        <w:pStyle w:val="57"/>
        <w:rPr>
          <w:color w:val="auto"/>
          <w:highlight w:val="none"/>
        </w:rPr>
      </w:pPr>
      <w:r>
        <w:rPr>
          <w:rFonts w:hint="eastAsia"/>
          <w:color w:val="auto"/>
          <w:highlight w:val="none"/>
        </w:rPr>
        <w:t>（3）积极开展碳捕获、利用与封存（CCUS）技术，进一步挖掘和提升减污降碳潜力</w:t>
      </w:r>
      <w:r>
        <w:rPr>
          <w:rFonts w:hint="eastAsia"/>
          <w:color w:val="auto"/>
          <w:szCs w:val="22"/>
          <w:highlight w:val="none"/>
        </w:rPr>
        <w:t>。</w:t>
      </w:r>
    </w:p>
    <w:p>
      <w:pPr>
        <w:pStyle w:val="53"/>
        <w:rPr>
          <w:rFonts w:eastAsia="宋体"/>
          <w:color w:val="auto"/>
          <w:highlight w:val="none"/>
        </w:rPr>
      </w:pPr>
      <w:bookmarkStart w:id="794" w:name="_Toc173941979"/>
      <w:r>
        <w:rPr>
          <w:rFonts w:hint="eastAsia"/>
          <w:color w:val="auto"/>
          <w:highlight w:val="none"/>
        </w:rPr>
        <w:t xml:space="preserve">7.2.3 </w:t>
      </w:r>
      <w:bookmarkEnd w:id="794"/>
      <w:r>
        <w:rPr>
          <w:rFonts w:hint="eastAsia"/>
          <w:color w:val="auto"/>
          <w:highlight w:val="none"/>
        </w:rPr>
        <w:t>节能降耗技术</w:t>
      </w:r>
    </w:p>
    <w:p>
      <w:pPr>
        <w:pStyle w:val="57"/>
        <w:rPr>
          <w:color w:val="auto"/>
          <w:highlight w:val="none"/>
        </w:rPr>
      </w:pPr>
      <w:r>
        <w:rPr>
          <w:rFonts w:hint="eastAsia"/>
          <w:color w:val="auto"/>
          <w:highlight w:val="none"/>
        </w:rPr>
        <w:t>本工程在电气设备设施上采用多种节能措施，从而间接减少了电力隐含的CO</w:t>
      </w:r>
      <w:r>
        <w:rPr>
          <w:rFonts w:hint="eastAsia"/>
          <w:color w:val="auto"/>
          <w:highlight w:val="none"/>
          <w:vertAlign w:val="subscript"/>
        </w:rPr>
        <w:t>2</w:t>
      </w:r>
      <w:r>
        <w:rPr>
          <w:rFonts w:hint="eastAsia"/>
          <w:color w:val="auto"/>
          <w:highlight w:val="none"/>
        </w:rPr>
        <w:t>排放量。具体措施主要有：</w:t>
      </w:r>
    </w:p>
    <w:p>
      <w:pPr>
        <w:pStyle w:val="57"/>
        <w:rPr>
          <w:color w:val="auto"/>
          <w:highlight w:val="none"/>
        </w:rPr>
      </w:pPr>
      <w:r>
        <w:rPr>
          <w:rFonts w:hint="eastAsia"/>
          <w:color w:val="auto"/>
          <w:highlight w:val="none"/>
        </w:rPr>
        <w:t>（1）根据项目用电性质、用电容量等选择合理的供电电压和供电方式，有效减少电能损耗。</w:t>
      </w:r>
    </w:p>
    <w:p>
      <w:pPr>
        <w:pStyle w:val="57"/>
        <w:rPr>
          <w:color w:val="auto"/>
          <w:highlight w:val="none"/>
        </w:rPr>
      </w:pPr>
      <w:r>
        <w:rPr>
          <w:rFonts w:hint="eastAsia"/>
          <w:color w:val="auto"/>
          <w:highlight w:val="none"/>
        </w:rPr>
        <w:t xml:space="preserve">（2）选用高功率因数电气设备。采用无功功率补偿，为减少线路损失，设计采用高低压同时补偿的方式，补偿后功率因数达0.95以上。低压设置自动无功补偿电容器装置，高压采用高压并联电容器进行功率因数补偿，补偿后使功率因数在装置负荷正常运行时提高，有效减少无功损耗，从而减少电能损耗，实现节能运行。 </w:t>
      </w:r>
    </w:p>
    <w:p>
      <w:pPr>
        <w:pStyle w:val="57"/>
        <w:rPr>
          <w:color w:val="auto"/>
          <w:highlight w:val="none"/>
        </w:rPr>
      </w:pPr>
      <w:r>
        <w:rPr>
          <w:rFonts w:hint="eastAsia"/>
          <w:color w:val="auto"/>
          <w:highlight w:val="none"/>
        </w:rPr>
        <w:t xml:space="preserve">（3）选用节能型干式变压器，能效等级低的，具有低损耗（空载和负载损耗相对较低）、维护方便等显著特点。 </w:t>
      </w:r>
    </w:p>
    <w:p>
      <w:pPr>
        <w:pStyle w:val="57"/>
        <w:rPr>
          <w:color w:val="auto"/>
          <w:szCs w:val="22"/>
          <w:highlight w:val="none"/>
        </w:rPr>
      </w:pPr>
      <w:r>
        <w:rPr>
          <w:rFonts w:hint="eastAsia"/>
          <w:color w:val="auto"/>
          <w:highlight w:val="none"/>
        </w:rPr>
        <w:t>（4）各种电力设备均选用能效等级低的节能产品，实际功率和负荷相适应，达到降低能耗，提高工作效率的作用。</w:t>
      </w:r>
      <w:r>
        <w:rPr>
          <w:rFonts w:hint="eastAsia"/>
          <w:color w:val="auto"/>
          <w:szCs w:val="22"/>
          <w:highlight w:val="none"/>
        </w:rPr>
        <w:t xml:space="preserve"> </w:t>
      </w:r>
    </w:p>
    <w:p>
      <w:pPr>
        <w:pStyle w:val="49"/>
        <w:rPr>
          <w:color w:val="auto"/>
          <w:highlight w:val="none"/>
        </w:rPr>
      </w:pPr>
      <w:bookmarkStart w:id="795" w:name="_Toc173942711"/>
      <w:bookmarkStart w:id="796" w:name="_Toc6299"/>
      <w:bookmarkStart w:id="797" w:name="_Toc173941981"/>
      <w:bookmarkStart w:id="798" w:name="_Toc24101"/>
      <w:bookmarkStart w:id="799" w:name="_Toc173941757"/>
      <w:bookmarkStart w:id="800" w:name="_Toc32465"/>
      <w:bookmarkStart w:id="801" w:name="_Toc74874411"/>
      <w:bookmarkStart w:id="802" w:name="_Toc153807751"/>
      <w:bookmarkStart w:id="803" w:name="_Toc10811"/>
      <w:bookmarkStart w:id="804" w:name="_Toc151643469"/>
      <w:r>
        <w:rPr>
          <w:rFonts w:hint="eastAsia"/>
          <w:color w:val="auto"/>
          <w:highlight w:val="none"/>
        </w:rPr>
        <w:t>7.3 温室气体排放评价结论</w:t>
      </w:r>
      <w:bookmarkEnd w:id="795"/>
      <w:bookmarkEnd w:id="796"/>
      <w:bookmarkEnd w:id="797"/>
      <w:bookmarkEnd w:id="798"/>
      <w:bookmarkEnd w:id="799"/>
      <w:bookmarkEnd w:id="800"/>
      <w:bookmarkEnd w:id="801"/>
      <w:bookmarkEnd w:id="802"/>
      <w:bookmarkEnd w:id="803"/>
      <w:bookmarkEnd w:id="804"/>
    </w:p>
    <w:p>
      <w:pPr>
        <w:pStyle w:val="57"/>
        <w:rPr>
          <w:color w:val="auto"/>
          <w:highlight w:val="none"/>
        </w:rPr>
      </w:pPr>
      <w:r>
        <w:rPr>
          <w:rFonts w:hint="eastAsia"/>
          <w:color w:val="auto"/>
          <w:highlight w:val="none"/>
        </w:rPr>
        <w:t>本工程实施</w:t>
      </w:r>
      <w:r>
        <w:rPr>
          <w:color w:val="auto"/>
          <w:highlight w:val="none"/>
        </w:rPr>
        <w:t>后，CO</w:t>
      </w:r>
      <w:r>
        <w:rPr>
          <w:color w:val="auto"/>
          <w:highlight w:val="none"/>
          <w:vertAlign w:val="subscript"/>
        </w:rPr>
        <w:t>2</w:t>
      </w:r>
      <w:r>
        <w:rPr>
          <w:color w:val="auto"/>
          <w:highlight w:val="none"/>
        </w:rPr>
        <w:t>总排放量为</w:t>
      </w:r>
      <w:r>
        <w:rPr>
          <w:rFonts w:hint="eastAsia"/>
          <w:color w:val="auto"/>
          <w:highlight w:val="none"/>
        </w:rPr>
        <w:t>3170.92</w:t>
      </w:r>
      <w:r>
        <w:rPr>
          <w:color w:val="auto"/>
          <w:highlight w:val="none"/>
        </w:rPr>
        <w:t>t。在工艺技</w:t>
      </w:r>
      <w:r>
        <w:rPr>
          <w:rFonts w:hint="eastAsia"/>
          <w:color w:val="auto"/>
          <w:highlight w:val="none"/>
        </w:rPr>
        <w:t>术、节能设备和能源及碳排放管理等方面均采取了较完善的减污降碳措施，有利于减少二氧化碳排放，对比同类企业碳排放水平，本工程吨产品CO</w:t>
      </w:r>
      <w:r>
        <w:rPr>
          <w:rFonts w:hint="eastAsia"/>
          <w:color w:val="auto"/>
          <w:highlight w:val="none"/>
          <w:vertAlign w:val="subscript"/>
        </w:rPr>
        <w:t>2</w:t>
      </w:r>
      <w:r>
        <w:rPr>
          <w:rFonts w:hint="eastAsia"/>
          <w:color w:val="auto"/>
          <w:highlight w:val="none"/>
        </w:rPr>
        <w:t>排放强度相对较低。</w:t>
      </w:r>
    </w:p>
    <w:p>
      <w:pPr>
        <w:pStyle w:val="47"/>
        <w:rPr>
          <w:rFonts w:ascii="Times New Roman" w:hAnsi="Times New Roman" w:eastAsia="宋体"/>
          <w:color w:val="auto"/>
          <w:highlight w:val="none"/>
        </w:rPr>
      </w:pPr>
      <w:r>
        <w:rPr>
          <w:rFonts w:hint="eastAsia"/>
          <w:color w:val="auto"/>
          <w:highlight w:val="none"/>
        </w:rPr>
        <w:br w:type="page"/>
      </w:r>
      <w:bookmarkStart w:id="805" w:name="_Toc16272"/>
      <w:bookmarkStart w:id="806" w:name="_Toc13826"/>
      <w:r>
        <w:rPr>
          <w:rFonts w:hint="eastAsia" w:ascii="Times New Roman" w:hAnsi="Times New Roman" w:eastAsia="宋体"/>
          <w:color w:val="auto"/>
          <w:highlight w:val="none"/>
        </w:rPr>
        <w:t>8环境影响经济损益分析</w:t>
      </w:r>
      <w:bookmarkEnd w:id="762"/>
      <w:bookmarkEnd w:id="763"/>
      <w:bookmarkEnd w:id="764"/>
      <w:bookmarkEnd w:id="765"/>
      <w:bookmarkEnd w:id="805"/>
      <w:bookmarkEnd w:id="806"/>
    </w:p>
    <w:p>
      <w:pPr>
        <w:pStyle w:val="49"/>
        <w:rPr>
          <w:color w:val="auto"/>
          <w:highlight w:val="none"/>
        </w:rPr>
      </w:pPr>
      <w:bookmarkStart w:id="807" w:name="_Toc19667"/>
      <w:bookmarkStart w:id="808" w:name="_Toc173941943"/>
      <w:bookmarkStart w:id="809" w:name="_Toc173941941"/>
      <w:r>
        <w:rPr>
          <w:rFonts w:hint="eastAsia"/>
          <w:color w:val="auto"/>
          <w:highlight w:val="none"/>
        </w:rPr>
        <w:t>8.1 环境效益分析</w:t>
      </w:r>
      <w:bookmarkEnd w:id="807"/>
      <w:bookmarkEnd w:id="808"/>
    </w:p>
    <w:p>
      <w:pPr>
        <w:spacing w:line="360" w:lineRule="auto"/>
        <w:ind w:firstLine="456" w:firstLineChars="200"/>
        <w:jc w:val="left"/>
        <w:rPr>
          <w:color w:val="auto"/>
          <w:sz w:val="24"/>
          <w:szCs w:val="24"/>
          <w:highlight w:val="none"/>
        </w:rPr>
      </w:pPr>
      <w:r>
        <w:rPr>
          <w:rFonts w:hint="eastAsia"/>
          <w:color w:val="auto"/>
          <w:spacing w:val="-6"/>
          <w:sz w:val="24"/>
          <w:szCs w:val="24"/>
          <w:highlight w:val="none"/>
        </w:rPr>
        <w:t>本工程</w:t>
      </w:r>
      <w:r>
        <w:rPr>
          <w:color w:val="auto"/>
          <w:spacing w:val="-6"/>
          <w:sz w:val="24"/>
          <w:szCs w:val="24"/>
          <w:highlight w:val="none"/>
        </w:rPr>
        <w:t>在设计中充分考虑了环境保护的要求，严格执行各项环境保护标准。同时还针对在生产运行过程中产生的“三废”，从实际出发采取多种相应的治理措施。</w:t>
      </w:r>
    </w:p>
    <w:p>
      <w:pPr>
        <w:pStyle w:val="53"/>
        <w:rPr>
          <w:color w:val="auto"/>
          <w:highlight w:val="none"/>
        </w:rPr>
      </w:pPr>
      <w:r>
        <w:rPr>
          <w:rFonts w:hint="eastAsia"/>
          <w:color w:val="auto"/>
          <w:highlight w:val="none"/>
        </w:rPr>
        <w:t>8.1.1施工期环境效益</w:t>
      </w:r>
    </w:p>
    <w:p>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施工期对环境造成的直接影响主要表现在：</w:t>
      </w:r>
    </w:p>
    <w:p>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（1）项目占地造成的环境损失；</w:t>
      </w:r>
    </w:p>
    <w:p>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（2）突发事故状态污染物对土壤、植被的污染造成的环境损失；</w:t>
      </w:r>
    </w:p>
    <w:p>
      <w:pPr>
        <w:pStyle w:val="57"/>
        <w:keepNext w:val="0"/>
        <w:keepLines w:val="0"/>
        <w:pageBreakBefore w:val="0"/>
        <w:widowControl/>
        <w:kinsoku/>
        <w:wordWrap/>
        <w:overflowPunct/>
        <w:topLinePunct w:val="0"/>
        <w:autoSpaceDE/>
        <w:autoSpaceDN/>
        <w:bidi w:val="0"/>
        <w:spacing w:line="480" w:lineRule="exact"/>
        <w:textAlignment w:val="auto"/>
        <w:rPr>
          <w:color w:val="auto"/>
          <w:highlight w:val="none"/>
        </w:rPr>
      </w:pPr>
      <w:r>
        <w:rPr>
          <w:color w:val="auto"/>
          <w:highlight w:val="none"/>
        </w:rPr>
        <w:t>（3）</w:t>
      </w:r>
      <w:r>
        <w:rPr>
          <w:rFonts w:hint="eastAsia"/>
          <w:color w:val="auto"/>
          <w:highlight w:val="none"/>
        </w:rPr>
        <w:t>施工期产生的污染物造成</w:t>
      </w:r>
      <w:r>
        <w:rPr>
          <w:color w:val="auto"/>
          <w:highlight w:val="none"/>
        </w:rPr>
        <w:t>环境损失。</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本工程</w:t>
      </w:r>
      <w:r>
        <w:rPr>
          <w:rFonts w:hint="eastAsia" w:ascii="宋体" w:hAnsi="宋体" w:cs="宋体"/>
          <w:color w:val="auto"/>
          <w:sz w:val="24"/>
          <w:szCs w:val="24"/>
          <w:highlight w:val="none"/>
        </w:rPr>
        <w:t>施工期</w:t>
      </w:r>
      <w:r>
        <w:rPr>
          <w:rFonts w:ascii="宋体" w:hAnsi="宋体" w:cs="宋体"/>
          <w:color w:val="auto"/>
          <w:sz w:val="24"/>
          <w:szCs w:val="24"/>
          <w:highlight w:val="none"/>
        </w:rPr>
        <w:t>对区域的主要影响是生态影响，包括植被破坏后由于地表裸露导致水土流失和土壤环境质量下降</w:t>
      </w:r>
      <w:r>
        <w:rPr>
          <w:rFonts w:hint="eastAsia" w:ascii="宋体" w:hAnsi="宋体" w:cs="宋体"/>
          <w:color w:val="auto"/>
          <w:sz w:val="24"/>
          <w:szCs w:val="24"/>
          <w:highlight w:val="none"/>
        </w:rPr>
        <w:t>以及土壤结构发生变化可能</w:t>
      </w:r>
      <w:r>
        <w:rPr>
          <w:rFonts w:hint="eastAsia" w:ascii="宋体" w:hAnsi="宋体" w:cs="宋体"/>
          <w:color w:val="auto"/>
          <w:sz w:val="24"/>
          <w:szCs w:val="24"/>
          <w:highlight w:val="none"/>
          <w:lang w:val="en-US" w:eastAsia="zh-CN"/>
        </w:rPr>
        <w:t>导致植被覆盖度降低</w:t>
      </w:r>
      <w:r>
        <w:rPr>
          <w:rFonts w:ascii="宋体" w:hAnsi="宋体" w:cs="宋体"/>
          <w:color w:val="auto"/>
          <w:sz w:val="24"/>
          <w:szCs w:val="24"/>
          <w:highlight w:val="none"/>
        </w:rPr>
        <w:t>。但在加强施工管理和采取生态恢复等措施后，施工影响是可以接受的。</w:t>
      </w:r>
    </w:p>
    <w:p>
      <w:pPr>
        <w:keepNext w:val="0"/>
        <w:keepLines w:val="0"/>
        <w:pageBreakBefore w:val="0"/>
        <w:widowControl/>
        <w:kinsoku/>
        <w:wordWrap/>
        <w:overflowPunct/>
        <w:topLinePunct w:val="0"/>
        <w:autoSpaceDE/>
        <w:autoSpaceDN/>
        <w:bidi w:val="0"/>
        <w:spacing w:line="480" w:lineRule="exact"/>
        <w:ind w:firstLine="480" w:firstLineChars="200"/>
        <w:jc w:val="left"/>
        <w:textAlignment w:val="auto"/>
        <w:rPr>
          <w:rFonts w:ascii="宋体" w:hAnsi="宋体" w:cs="宋体"/>
          <w:color w:val="auto"/>
          <w:sz w:val="24"/>
          <w:szCs w:val="24"/>
          <w:highlight w:val="none"/>
        </w:rPr>
      </w:pPr>
      <w:r>
        <w:rPr>
          <w:rFonts w:ascii="宋体" w:hAnsi="宋体" w:cs="宋体"/>
          <w:color w:val="auto"/>
          <w:sz w:val="24"/>
          <w:szCs w:val="24"/>
          <w:highlight w:val="none"/>
        </w:rPr>
        <w:t>本工程建设期短，不涉及当地居民搬迁，无弃土工程，而且建设期的各种污染物排放均属于短期污染，会随着施工的结束而消失。在施工期间，</w:t>
      </w:r>
      <w:r>
        <w:rPr>
          <w:rFonts w:hint="eastAsia" w:ascii="宋体" w:hAnsi="宋体" w:cs="宋体"/>
          <w:color w:val="auto"/>
          <w:sz w:val="24"/>
          <w:szCs w:val="24"/>
          <w:highlight w:val="none"/>
        </w:rPr>
        <w:t>严格控制占地</w:t>
      </w:r>
      <w:r>
        <w:rPr>
          <w:rFonts w:ascii="宋体" w:hAnsi="宋体" w:cs="宋体"/>
          <w:color w:val="auto"/>
          <w:sz w:val="24"/>
          <w:szCs w:val="24"/>
          <w:highlight w:val="none"/>
        </w:rPr>
        <w:t>。</w:t>
      </w:r>
      <w:r>
        <w:rPr>
          <w:rFonts w:hint="eastAsia" w:ascii="宋体" w:hAnsi="宋体" w:cs="宋体"/>
          <w:color w:val="auto"/>
          <w:sz w:val="24"/>
          <w:szCs w:val="24"/>
          <w:highlight w:val="none"/>
        </w:rPr>
        <w:t>按照《</w:t>
      </w:r>
      <w:r>
        <w:rPr>
          <w:rFonts w:hint="eastAsia" w:ascii="宋体" w:hAnsi="宋体" w:cs="宋体"/>
          <w:color w:val="auto"/>
          <w:sz w:val="24"/>
          <w:szCs w:val="24"/>
          <w:highlight w:val="none"/>
          <w:lang w:eastAsia="zh-CN"/>
        </w:rPr>
        <w:t>中华人民共和国土地管理法</w:t>
      </w:r>
      <w:r>
        <w:rPr>
          <w:rFonts w:hint="eastAsia" w:ascii="宋体" w:hAnsi="宋体" w:cs="宋体"/>
          <w:color w:val="auto"/>
          <w:sz w:val="24"/>
          <w:szCs w:val="24"/>
          <w:highlight w:val="none"/>
        </w:rPr>
        <w:t>》及相关法律法规办理用地手续。</w:t>
      </w:r>
      <w:r>
        <w:rPr>
          <w:rFonts w:ascii="宋体" w:hAnsi="宋体" w:cs="宋体"/>
          <w:color w:val="auto"/>
          <w:sz w:val="24"/>
          <w:szCs w:val="24"/>
          <w:highlight w:val="none"/>
        </w:rPr>
        <w:t>因此，在正常情况下，</w:t>
      </w:r>
      <w:r>
        <w:rPr>
          <w:rFonts w:hint="eastAsia" w:ascii="宋体" w:hAnsi="宋体" w:cs="宋体"/>
          <w:color w:val="auto"/>
          <w:sz w:val="24"/>
          <w:szCs w:val="24"/>
          <w:highlight w:val="none"/>
        </w:rPr>
        <w:t>施工期产生的污染物</w:t>
      </w:r>
      <w:r>
        <w:rPr>
          <w:rFonts w:ascii="宋体" w:hAnsi="宋体" w:cs="宋体"/>
          <w:color w:val="auto"/>
          <w:sz w:val="24"/>
          <w:szCs w:val="24"/>
          <w:highlight w:val="none"/>
        </w:rPr>
        <w:t>基本上不会对周围环境产生影响，但在事故状态下，将对人类生存环境产生影响。如由于自然因素及人为因素的影响，引起管道泄漏事故，将对周围环境造成较为严重的影响。由于事故程度不同，对环境造成的损失也不同，损失量的估算只能在事故发生后通过各项补偿费用来体现。</w:t>
      </w:r>
    </w:p>
    <w:p>
      <w:pPr>
        <w:pStyle w:val="53"/>
        <w:rPr>
          <w:color w:val="auto"/>
          <w:highlight w:val="none"/>
        </w:rPr>
      </w:pPr>
      <w:r>
        <w:rPr>
          <w:rFonts w:hint="eastAsia"/>
          <w:color w:val="auto"/>
          <w:highlight w:val="none"/>
        </w:rPr>
        <w:t>8.1.2运营期环境效益</w:t>
      </w:r>
    </w:p>
    <w:p>
      <w:pPr>
        <w:pStyle w:val="57"/>
        <w:rPr>
          <w:color w:val="auto"/>
          <w:sz w:val="25"/>
          <w:szCs w:val="25"/>
          <w:highlight w:val="none"/>
        </w:rPr>
      </w:pPr>
      <w:r>
        <w:rPr>
          <w:rFonts w:hint="eastAsia"/>
          <w:color w:val="auto"/>
          <w:highlight w:val="none"/>
        </w:rPr>
        <w:t>（</w:t>
      </w:r>
      <w:r>
        <w:rPr>
          <w:color w:val="auto"/>
          <w:highlight w:val="none"/>
        </w:rPr>
        <w:t>1</w:t>
      </w:r>
      <w:r>
        <w:rPr>
          <w:rFonts w:hint="eastAsia"/>
          <w:color w:val="auto"/>
          <w:highlight w:val="none"/>
        </w:rPr>
        <w:t>）废气</w:t>
      </w:r>
    </w:p>
    <w:p>
      <w:pPr>
        <w:pStyle w:val="57"/>
        <w:rPr>
          <w:color w:val="auto"/>
          <w:highlight w:val="none"/>
        </w:rPr>
      </w:pPr>
      <w:r>
        <w:rPr>
          <w:rFonts w:hint="eastAsia"/>
          <w:color w:val="auto"/>
          <w:highlight w:val="none"/>
        </w:rPr>
        <w:t>本工程井口密封，</w:t>
      </w:r>
      <w:r>
        <w:rPr>
          <w:rFonts w:hint="eastAsia"/>
          <w:color w:val="auto"/>
          <w:highlight w:val="none"/>
          <w:lang w:val="en-US" w:eastAsia="zh-CN"/>
        </w:rPr>
        <w:t>其中10口井</w:t>
      </w:r>
      <w:r>
        <w:rPr>
          <w:rFonts w:hint="eastAsia"/>
          <w:color w:val="auto"/>
          <w:highlight w:val="none"/>
        </w:rPr>
        <w:t>采用</w:t>
      </w:r>
      <w:r>
        <w:rPr>
          <w:rFonts w:hint="eastAsia"/>
          <w:color w:val="auto"/>
          <w:highlight w:val="none"/>
          <w:lang w:val="en-US" w:eastAsia="zh-CN"/>
        </w:rPr>
        <w:t>电加热</w:t>
      </w:r>
      <w:r>
        <w:rPr>
          <w:rFonts w:hint="eastAsia"/>
          <w:color w:val="auto"/>
          <w:highlight w:val="none"/>
        </w:rPr>
        <w:t>密闭集输工艺</w:t>
      </w:r>
      <w:r>
        <w:rPr>
          <w:color w:val="auto"/>
          <w:highlight w:val="none"/>
        </w:rPr>
        <w:t>，</w:t>
      </w:r>
      <w:bookmarkStart w:id="810" w:name="OLE_LINK93"/>
      <w:r>
        <w:rPr>
          <w:rFonts w:hint="eastAsia"/>
          <w:color w:val="auto"/>
          <w:highlight w:val="none"/>
          <w:lang w:val="en-US" w:eastAsia="zh-CN"/>
        </w:rPr>
        <w:t>8口井采用单井拉油工艺，</w:t>
      </w:r>
      <w:r>
        <w:rPr>
          <w:color w:val="auto"/>
          <w:highlight w:val="none"/>
        </w:rPr>
        <w:t>采出液</w:t>
      </w:r>
      <w:bookmarkEnd w:id="810"/>
      <w:r>
        <w:rPr>
          <w:rFonts w:hint="eastAsia"/>
          <w:color w:val="auto"/>
          <w:highlight w:val="none"/>
          <w:lang w:val="en-US" w:eastAsia="zh-CN"/>
        </w:rPr>
        <w:t>均</w:t>
      </w:r>
      <w:r>
        <w:rPr>
          <w:color w:val="auto"/>
          <w:highlight w:val="none"/>
        </w:rPr>
        <w:t>密闭拉运输送</w:t>
      </w:r>
      <w:r>
        <w:rPr>
          <w:rFonts w:hint="eastAsia"/>
          <w:color w:val="auto"/>
          <w:highlight w:val="none"/>
        </w:rPr>
        <w:t>，储罐采用固定顶罐，</w:t>
      </w:r>
      <w:r>
        <w:rPr>
          <w:color w:val="auto"/>
          <w:highlight w:val="none"/>
        </w:rPr>
        <w:t>采出液装车时的VOCs通过密闭装车鹤管返回</w:t>
      </w:r>
      <w:r>
        <w:rPr>
          <w:rFonts w:hint="eastAsia"/>
          <w:color w:val="auto"/>
          <w:highlight w:val="none"/>
          <w:lang w:val="en-US" w:eastAsia="zh-CN"/>
        </w:rPr>
        <w:t>生产分离器分离后输至夏子街天然气增压站处理</w:t>
      </w:r>
      <w:r>
        <w:rPr>
          <w:rFonts w:hint="eastAsia"/>
          <w:color w:val="auto"/>
          <w:highlight w:val="none"/>
        </w:rPr>
        <w:t>，事故状态下</w:t>
      </w:r>
      <w:r>
        <w:rPr>
          <w:rFonts w:hint="eastAsia"/>
          <w:color w:val="auto"/>
          <w:highlight w:val="none"/>
          <w:lang w:val="en-US" w:eastAsia="zh-CN"/>
        </w:rPr>
        <w:t>输至</w:t>
      </w:r>
      <w:r>
        <w:rPr>
          <w:color w:val="auto"/>
          <w:highlight w:val="none"/>
        </w:rPr>
        <w:t>火炬放空燃烧处理</w:t>
      </w:r>
      <w:r>
        <w:rPr>
          <w:rFonts w:hint="eastAsia"/>
          <w:color w:val="auto"/>
          <w:highlight w:val="none"/>
        </w:rPr>
        <w:t>，减少烃类物质的挥发，污染物能达标排放，对周围环境的影响可接受。</w:t>
      </w:r>
    </w:p>
    <w:p>
      <w:pPr>
        <w:pStyle w:val="57"/>
        <w:rPr>
          <w:color w:val="auto"/>
          <w:highlight w:val="none"/>
        </w:rPr>
      </w:pPr>
      <w:r>
        <w:rPr>
          <w:rFonts w:hint="eastAsia"/>
          <w:color w:val="auto"/>
          <w:highlight w:val="none"/>
        </w:rPr>
        <w:t>（2）废水</w:t>
      </w:r>
    </w:p>
    <w:p>
      <w:pPr>
        <w:pStyle w:val="57"/>
        <w:rPr>
          <w:color w:val="auto"/>
          <w:highlight w:val="none"/>
        </w:rPr>
      </w:pPr>
      <w:r>
        <w:rPr>
          <w:color w:val="auto"/>
          <w:highlight w:val="none"/>
        </w:rPr>
        <w:t>废水包括采出水、</w:t>
      </w:r>
      <w:r>
        <w:rPr>
          <w:rFonts w:hint="eastAsia"/>
          <w:color w:val="auto"/>
          <w:highlight w:val="none"/>
        </w:rPr>
        <w:t>井下作业废水、</w:t>
      </w:r>
      <w:r>
        <w:rPr>
          <w:color w:val="auto"/>
          <w:highlight w:val="none"/>
        </w:rPr>
        <w:t>生活污水。采出水</w:t>
      </w:r>
      <w:r>
        <w:rPr>
          <w:rFonts w:hint="eastAsia"/>
          <w:color w:val="auto"/>
          <w:highlight w:val="none"/>
        </w:rPr>
        <w:t>、井下作业废水</w:t>
      </w:r>
      <w:r>
        <w:rPr>
          <w:color w:val="auto"/>
          <w:highlight w:val="none"/>
        </w:rPr>
        <w:t>经专用罐</w:t>
      </w:r>
      <w:r>
        <w:rPr>
          <w:color w:val="auto"/>
          <w:kern w:val="24"/>
          <w:highlight w:val="none"/>
        </w:rPr>
        <w:t>收集后</w:t>
      </w:r>
      <w:r>
        <w:rPr>
          <w:color w:val="auto"/>
          <w:highlight w:val="none"/>
        </w:rPr>
        <w:t>输送至</w:t>
      </w:r>
      <w:r>
        <w:rPr>
          <w:rFonts w:hint="eastAsia"/>
          <w:color w:val="auto"/>
          <w:highlight w:val="none"/>
        </w:rPr>
        <w:t>春风二号联合站</w:t>
      </w:r>
      <w:r>
        <w:rPr>
          <w:color w:val="auto"/>
          <w:highlight w:val="none"/>
        </w:rPr>
        <w:t>处理，达标后回注油层</w:t>
      </w:r>
      <w:r>
        <w:rPr>
          <w:rFonts w:hint="eastAsia"/>
          <w:color w:val="auto"/>
          <w:highlight w:val="none"/>
        </w:rPr>
        <w:t>，</w:t>
      </w:r>
      <w:r>
        <w:rPr>
          <w:color w:val="auto"/>
          <w:highlight w:val="none"/>
        </w:rPr>
        <w:t>生活污水</w:t>
      </w:r>
      <w:r>
        <w:rPr>
          <w:rFonts w:hint="eastAsia"/>
          <w:color w:val="auto"/>
          <w:highlight w:val="none"/>
        </w:rPr>
        <w:t>排入防渗污水池，定期拉运至</w:t>
      </w:r>
      <w:r>
        <w:rPr>
          <w:rFonts w:hint="eastAsia"/>
          <w:color w:val="auto"/>
          <w:highlight w:val="none"/>
          <w:lang w:eastAsia="zh-CN"/>
        </w:rPr>
        <w:t>乌尔禾污水处理厂</w:t>
      </w:r>
      <w:r>
        <w:rPr>
          <w:rFonts w:hint="eastAsia"/>
          <w:color w:val="auto"/>
          <w:highlight w:val="none"/>
        </w:rPr>
        <w:t>处理。</w:t>
      </w:r>
    </w:p>
    <w:p>
      <w:pPr>
        <w:pStyle w:val="57"/>
        <w:rPr>
          <w:color w:val="auto"/>
          <w:highlight w:val="none"/>
        </w:rPr>
      </w:pPr>
      <w:r>
        <w:rPr>
          <w:rFonts w:hint="eastAsia"/>
          <w:color w:val="auto"/>
          <w:highlight w:val="none"/>
        </w:rPr>
        <w:t>（3）固体废弃物</w:t>
      </w:r>
    </w:p>
    <w:p>
      <w:pPr>
        <w:pStyle w:val="57"/>
        <w:rPr>
          <w:color w:val="auto"/>
          <w:highlight w:val="none"/>
        </w:rPr>
      </w:pPr>
      <w:r>
        <w:rPr>
          <w:rFonts w:hint="eastAsia"/>
          <w:color w:val="auto"/>
          <w:highlight w:val="none"/>
        </w:rPr>
        <w:t>本工程产生的油泥砂、清管废渣、废防渗膜、废润滑油</w:t>
      </w:r>
      <w:r>
        <w:rPr>
          <w:rFonts w:hint="eastAsia"/>
          <w:color w:val="auto"/>
          <w:highlight w:val="none"/>
          <w:lang w:eastAsia="zh-CN"/>
        </w:rPr>
        <w:t>、</w:t>
      </w:r>
      <w:r>
        <w:rPr>
          <w:rFonts w:hint="eastAsia"/>
          <w:color w:val="auto"/>
          <w:highlight w:val="none"/>
        </w:rPr>
        <w:t>落地油、清罐底泥</w:t>
      </w:r>
      <w:r>
        <w:rPr>
          <w:color w:val="auto"/>
          <w:highlight w:val="none"/>
        </w:rPr>
        <w:t>属于危险废物，由有危废处置资质单位接收处置；生活垃圾集中收集后，定期拉运至</w:t>
      </w:r>
      <w:r>
        <w:rPr>
          <w:rFonts w:hint="eastAsia"/>
          <w:color w:val="auto"/>
          <w:highlight w:val="none"/>
          <w:lang w:eastAsia="zh-CN"/>
        </w:rPr>
        <w:t>乌尔禾区生活垃圾填埋场</w:t>
      </w:r>
      <w:r>
        <w:rPr>
          <w:color w:val="auto"/>
          <w:highlight w:val="none"/>
        </w:rPr>
        <w:t>填埋。</w:t>
      </w:r>
    </w:p>
    <w:p>
      <w:pPr>
        <w:pStyle w:val="57"/>
        <w:rPr>
          <w:color w:val="auto"/>
          <w:highlight w:val="none"/>
        </w:rPr>
      </w:pPr>
      <w:r>
        <w:rPr>
          <w:rFonts w:hint="eastAsia"/>
          <w:color w:val="auto"/>
          <w:highlight w:val="none"/>
        </w:rPr>
        <w:t>（4）噪声</w:t>
      </w:r>
    </w:p>
    <w:p>
      <w:pPr>
        <w:pStyle w:val="57"/>
        <w:rPr>
          <w:color w:val="auto"/>
          <w:highlight w:val="none"/>
        </w:rPr>
      </w:pPr>
      <w:r>
        <w:rPr>
          <w:rFonts w:hint="eastAsia"/>
          <w:color w:val="auto"/>
          <w:highlight w:val="none"/>
        </w:rPr>
        <w:t>通过采取选用低噪声设备、减振等措施，减低了噪声污染。</w:t>
      </w:r>
    </w:p>
    <w:p>
      <w:pPr>
        <w:pStyle w:val="57"/>
        <w:rPr>
          <w:color w:val="auto"/>
          <w:highlight w:val="none"/>
        </w:rPr>
      </w:pPr>
      <w:r>
        <w:rPr>
          <w:rFonts w:hint="eastAsia"/>
          <w:color w:val="auto"/>
          <w:highlight w:val="none"/>
        </w:rPr>
        <w:t>本工程运营期采取各项环保措施后，可以使污染物的排放在生产过程中得到有效</w:t>
      </w:r>
      <w:r>
        <w:rPr>
          <w:rFonts w:hint="eastAsia"/>
          <w:color w:val="auto"/>
          <w:highlight w:val="none"/>
          <w:lang w:eastAsia="zh-CN"/>
        </w:rPr>
        <w:t>地</w:t>
      </w:r>
      <w:r>
        <w:rPr>
          <w:rFonts w:hint="eastAsia"/>
          <w:color w:val="auto"/>
          <w:highlight w:val="none"/>
        </w:rPr>
        <w:t>控制。工程选用先进、成熟、可靠、具有节能和环保效果的技术，使各种污染物在排放前得以尽可能大</w:t>
      </w:r>
      <w:r>
        <w:rPr>
          <w:rFonts w:hint="eastAsia"/>
          <w:color w:val="auto"/>
          <w:highlight w:val="none"/>
          <w:lang w:eastAsia="zh-CN"/>
        </w:rPr>
        <w:t>地</w:t>
      </w:r>
      <w:r>
        <w:rPr>
          <w:rFonts w:hint="eastAsia"/>
          <w:color w:val="auto"/>
          <w:highlight w:val="none"/>
        </w:rPr>
        <w:t>削减。在生产过程中充分、有效地利用了资源，减少各种资源的损失，大大降低其对周围环境的影响。</w:t>
      </w:r>
    </w:p>
    <w:p>
      <w:pPr>
        <w:pStyle w:val="53"/>
        <w:rPr>
          <w:color w:val="auto"/>
          <w:highlight w:val="none"/>
        </w:rPr>
      </w:pPr>
      <w:r>
        <w:rPr>
          <w:rFonts w:hint="eastAsia"/>
          <w:color w:val="auto"/>
          <w:highlight w:val="none"/>
        </w:rPr>
        <w:t>8.1.3退役期环境效益</w:t>
      </w:r>
    </w:p>
    <w:p>
      <w:pPr>
        <w:pStyle w:val="57"/>
        <w:rPr>
          <w:color w:val="auto"/>
          <w:highlight w:val="none"/>
        </w:rPr>
      </w:pPr>
      <w:r>
        <w:rPr>
          <w:rFonts w:hint="eastAsia"/>
          <w:color w:val="auto"/>
          <w:highlight w:val="none"/>
        </w:rPr>
        <w:t>本工程退役期废气污染源主要为施工扬尘，采取洒水抑尘的措施；噪声污染源主要为车辆噪声，要求合理安排作业时间，控制车辆速度等措施；固体废物主要为封井过程中产生的废弃管道、建筑垃圾等，建筑垃圾收集后送周边工业固体废物填埋场填埋处置。废弃管线维持现状，避免因开挖管线对区域生态环境造成二次破坏，管线内物质应清空干净，并按要求进行吹扫，确保管线内无残留采出液，管线两端使用盲板封堵。在落实以上环保措施后，退役期的环境影响可接受。</w:t>
      </w:r>
    </w:p>
    <w:p>
      <w:pPr>
        <w:pStyle w:val="49"/>
        <w:rPr>
          <w:color w:val="auto"/>
          <w:highlight w:val="none"/>
        </w:rPr>
      </w:pPr>
      <w:bookmarkStart w:id="811" w:name="_Toc24738"/>
      <w:bookmarkStart w:id="812" w:name="_Toc173941944"/>
      <w:r>
        <w:rPr>
          <w:rFonts w:hint="eastAsia"/>
          <w:color w:val="auto"/>
          <w:highlight w:val="none"/>
        </w:rPr>
        <w:t>8.2 社会效益分析</w:t>
      </w:r>
      <w:bookmarkEnd w:id="811"/>
      <w:bookmarkEnd w:id="812"/>
    </w:p>
    <w:p>
      <w:pPr>
        <w:pStyle w:val="57"/>
        <w:rPr>
          <w:color w:val="auto"/>
          <w:highlight w:val="none"/>
        </w:rPr>
      </w:pPr>
      <w:r>
        <w:rPr>
          <w:rFonts w:hint="eastAsia"/>
          <w:color w:val="auto"/>
          <w:highlight w:val="none"/>
        </w:rPr>
        <w:t>本工程</w:t>
      </w:r>
      <w:r>
        <w:rPr>
          <w:color w:val="auto"/>
          <w:highlight w:val="none"/>
        </w:rPr>
        <w:t>开发的社会效益主要体现在油田开发对当地工业和经济的发展具有明显的促进作用，能够带动一批相关工业、第三产业的发展，给当地经济发展注入新的活力。</w:t>
      </w:r>
    </w:p>
    <w:p>
      <w:pPr>
        <w:pStyle w:val="57"/>
        <w:rPr>
          <w:color w:val="auto"/>
          <w:highlight w:val="none"/>
        </w:rPr>
      </w:pPr>
      <w:r>
        <w:rPr>
          <w:color w:val="auto"/>
          <w:highlight w:val="none"/>
        </w:rPr>
        <w:t>同时，油田的建设有利于改善当地的燃料和能源结构，提高居民的生活水平，促进当地经济发展和生态环境保护。</w:t>
      </w:r>
    </w:p>
    <w:p>
      <w:pPr>
        <w:pStyle w:val="57"/>
        <w:rPr>
          <w:color w:val="auto"/>
          <w:highlight w:val="none"/>
        </w:rPr>
      </w:pPr>
      <w:r>
        <w:rPr>
          <w:rFonts w:hint="eastAsia"/>
          <w:color w:val="auto"/>
          <w:highlight w:val="none"/>
        </w:rPr>
        <w:t>因此拟建工程具有良好的社会效益。</w:t>
      </w:r>
    </w:p>
    <w:p>
      <w:pPr>
        <w:pStyle w:val="49"/>
        <w:rPr>
          <w:color w:val="auto"/>
          <w:highlight w:val="none"/>
        </w:rPr>
      </w:pPr>
      <w:bookmarkStart w:id="813" w:name="_Toc13342"/>
      <w:r>
        <w:rPr>
          <w:rFonts w:hint="eastAsia"/>
          <w:color w:val="auto"/>
          <w:highlight w:val="none"/>
        </w:rPr>
        <w:t>8.3 综合效益分析</w:t>
      </w:r>
      <w:bookmarkEnd w:id="809"/>
      <w:bookmarkEnd w:id="813"/>
    </w:p>
    <w:p>
      <w:pPr>
        <w:pStyle w:val="57"/>
        <w:rPr>
          <w:color w:val="auto"/>
          <w:sz w:val="25"/>
          <w:szCs w:val="25"/>
          <w:highlight w:val="none"/>
        </w:rPr>
      </w:pPr>
      <w:r>
        <w:rPr>
          <w:rFonts w:hint="eastAsia"/>
          <w:color w:val="auto"/>
          <w:highlight w:val="none"/>
        </w:rPr>
        <w:t>本工程在设计中充分考虑了环境保护的要求，严格执行各项环境保护标准。同时还针对在生产运行过程中产生的“三废”，从实际出发采取多种相应的治理措施。由此看来，本工程采取的环保措施保护了环境，但未产生明显的经济效益。</w:t>
      </w:r>
    </w:p>
    <w:p>
      <w:pPr>
        <w:pStyle w:val="57"/>
        <w:rPr>
          <w:color w:val="auto"/>
          <w:highlight w:val="none"/>
        </w:rPr>
      </w:pPr>
      <w:r>
        <w:rPr>
          <w:rFonts w:hint="eastAsia"/>
          <w:color w:val="auto"/>
          <w:highlight w:val="none"/>
        </w:rPr>
        <w:t>本工程</w:t>
      </w:r>
      <w:r>
        <w:rPr>
          <w:color w:val="auto"/>
          <w:highlight w:val="none"/>
        </w:rPr>
        <w:t>总投资为</w:t>
      </w:r>
      <w:r>
        <w:rPr>
          <w:rFonts w:hint="eastAsia"/>
          <w:color w:val="auto"/>
          <w:szCs w:val="22"/>
          <w:highlight w:val="none"/>
          <w:lang w:eastAsia="zh-CN"/>
        </w:rPr>
        <w:t>5321.98</w:t>
      </w:r>
      <w:r>
        <w:rPr>
          <w:color w:val="auto"/>
          <w:szCs w:val="22"/>
          <w:highlight w:val="none"/>
        </w:rPr>
        <w:t>万元</w:t>
      </w:r>
      <w:r>
        <w:rPr>
          <w:color w:val="auto"/>
          <w:highlight w:val="none"/>
        </w:rPr>
        <w:t>，其中环保投资</w:t>
      </w:r>
      <w:r>
        <w:rPr>
          <w:rFonts w:hint="eastAsia"/>
          <w:color w:val="auto"/>
          <w:highlight w:val="none"/>
          <w:lang w:val="en-US" w:eastAsia="zh-CN"/>
        </w:rPr>
        <w:t>945</w:t>
      </w:r>
      <w:r>
        <w:rPr>
          <w:color w:val="auto"/>
          <w:highlight w:val="none"/>
        </w:rPr>
        <w:t>万元，占总投资</w:t>
      </w:r>
      <w:r>
        <w:rPr>
          <w:rFonts w:hint="eastAsia"/>
          <w:color w:val="auto"/>
          <w:highlight w:val="none"/>
          <w:lang w:eastAsia="zh-CN"/>
        </w:rPr>
        <w:t>17.76%</w:t>
      </w:r>
      <w:r>
        <w:rPr>
          <w:color w:val="auto"/>
          <w:highlight w:val="none"/>
        </w:rPr>
        <w:t>。估算见表</w:t>
      </w:r>
      <w:r>
        <w:rPr>
          <w:rFonts w:hint="eastAsia"/>
          <w:color w:val="auto"/>
          <w:highlight w:val="none"/>
        </w:rPr>
        <w:t>8.3</w:t>
      </w:r>
      <w:r>
        <w:rPr>
          <w:color w:val="auto"/>
          <w:highlight w:val="none"/>
        </w:rPr>
        <w:t>-1。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814" w:name="_Hlk69398410"/>
      <w:r>
        <w:rPr>
          <w:color w:val="auto"/>
          <w:highlight w:val="none"/>
        </w:rPr>
        <w:t>表</w:t>
      </w:r>
      <w:r>
        <w:rPr>
          <w:rFonts w:hint="eastAsia"/>
          <w:color w:val="auto"/>
          <w:highlight w:val="none"/>
        </w:rPr>
        <w:t>8.3</w:t>
      </w:r>
      <w:r>
        <w:rPr>
          <w:color w:val="auto"/>
          <w:highlight w:val="none"/>
        </w:rPr>
        <w:t>-1                      主要环保投资估算</w:t>
      </w:r>
    </w:p>
    <w:tbl>
      <w:tblPr>
        <w:tblStyle w:val="34"/>
        <w:tblW w:w="5373"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382"/>
        <w:gridCol w:w="1042"/>
        <w:gridCol w:w="1589"/>
        <w:gridCol w:w="3181"/>
        <w:gridCol w:w="2128"/>
        <w:gridCol w:w="969"/>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阶段</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环境</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要素</w:t>
            </w:r>
          </w:p>
        </w:tc>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项目名称</w:t>
            </w:r>
          </w:p>
        </w:tc>
        <w:tc>
          <w:tcPr>
            <w:tcW w:w="1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环保措施</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治理效果</w:t>
            </w:r>
          </w:p>
        </w:tc>
        <w:tc>
          <w:tcPr>
            <w:tcW w:w="521" w:type="pct"/>
            <w:tcBorders>
              <w:tl2br w:val="nil"/>
              <w:tr2bl w:val="nil"/>
            </w:tcBorders>
            <w:noWrap w:val="0"/>
            <w:vAlign w:val="center"/>
          </w:tcPr>
          <w:p>
            <w:pPr>
              <w:spacing w:line="0" w:lineRule="atLeast"/>
              <w:jc w:val="center"/>
              <w:rPr>
                <w:rFonts w:hint="default" w:ascii="Times New Roman" w:hAnsi="Times New Roman"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rPr>
              <w:t>投资</w:t>
            </w:r>
          </w:p>
          <w:p>
            <w:pPr>
              <w:spacing w:line="0" w:lineRule="atLeast"/>
              <w:jc w:val="center"/>
              <w:rPr>
                <w:rFonts w:hint="default" w:ascii="Times New Roman" w:hAnsi="Times New Roman" w:eastAsia="宋体" w:cs="Times New Roman"/>
                <w:b w:val="0"/>
                <w:bCs w:val="0"/>
                <w:color w:val="auto"/>
                <w:sz w:val="21"/>
                <w:szCs w:val="21"/>
                <w:highlight w:val="none"/>
                <w:shd w:val="clear" w:color="auto" w:fill="auto"/>
              </w:rPr>
            </w:pPr>
            <w:r>
              <w:rPr>
                <w:rFonts w:hint="default" w:ascii="Times New Roman" w:hAnsi="Times New Roman" w:cs="Times New Roman"/>
                <w:b w:val="0"/>
                <w:bCs w:val="0"/>
                <w:color w:val="auto"/>
                <w:sz w:val="21"/>
                <w:szCs w:val="21"/>
                <w:highlight w:val="none"/>
                <w:shd w:val="clear" w:color="auto" w:fill="auto"/>
                <w:lang w:eastAsia="zh-CN"/>
              </w:rPr>
              <w:t>（</w:t>
            </w:r>
            <w:r>
              <w:rPr>
                <w:rFonts w:hint="default" w:ascii="Times New Roman" w:hAnsi="Times New Roman" w:cs="Times New Roman"/>
                <w:b w:val="0"/>
                <w:bCs w:val="0"/>
                <w:color w:val="auto"/>
                <w:sz w:val="21"/>
                <w:szCs w:val="21"/>
                <w:highlight w:val="none"/>
                <w:shd w:val="clear" w:color="auto" w:fill="auto"/>
              </w:rPr>
              <w:t>万元</w:t>
            </w:r>
            <w:r>
              <w:rPr>
                <w:rFonts w:hint="default" w:ascii="Times New Roman" w:hAnsi="Times New Roman" w:cs="Times New Roman"/>
                <w:b w:val="0"/>
                <w:bCs w:val="0"/>
                <w:color w:val="auto"/>
                <w:sz w:val="21"/>
                <w:szCs w:val="21"/>
                <w:highlight w:val="none"/>
                <w:shd w:val="clear" w:color="auto" w:fill="auto"/>
                <w:lang w:eastAsia="zh-CN"/>
              </w:rPr>
              <w:t>）</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bookmarkStart w:id="815" w:name="OLE_LINK94" w:colFirst="5" w:colLast="5"/>
            <w:r>
              <w:rPr>
                <w:rFonts w:hint="default" w:ascii="Times New Roman" w:hAnsi="Times New Roman" w:eastAsia="宋体" w:cs="Times New Roman"/>
                <w:color w:val="auto"/>
                <w:sz w:val="21"/>
                <w:szCs w:val="21"/>
                <w:highlight w:val="none"/>
                <w:shd w:val="clear" w:color="auto" w:fill="auto"/>
              </w:rPr>
              <w:t>施工 期</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生态环境</w:t>
            </w:r>
          </w:p>
        </w:tc>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工程占地、</w:t>
            </w:r>
            <w:r>
              <w:rPr>
                <w:rFonts w:hint="default" w:ascii="Times New Roman" w:hAnsi="Times New Roman" w:eastAsia="宋体" w:cs="Times New Roman"/>
                <w:color w:val="auto"/>
                <w:sz w:val="21"/>
                <w:szCs w:val="21"/>
                <w:highlight w:val="none"/>
                <w:shd w:val="clear" w:color="auto" w:fill="auto"/>
              </w:rPr>
              <w:t>生态保护</w:t>
            </w:r>
          </w:p>
        </w:tc>
        <w:tc>
          <w:tcPr>
            <w:tcW w:w="1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施工结束后进行场地平整；控制施工作业带宽度</w:t>
            </w:r>
            <w:r>
              <w:rPr>
                <w:rFonts w:hint="eastAsia" w:ascii="Times New Roman" w:hAnsi="Times New Roman" w:cs="Times New Roman"/>
                <w:color w:val="auto"/>
                <w:sz w:val="21"/>
                <w:szCs w:val="21"/>
                <w:highlight w:val="none"/>
                <w:shd w:val="clear" w:color="auto" w:fill="auto"/>
                <w:lang w:eastAsia="zh-CN"/>
              </w:rPr>
              <w:t>、</w:t>
            </w:r>
            <w:r>
              <w:rPr>
                <w:rFonts w:hint="default" w:ascii="Times New Roman" w:hAnsi="Times New Roman" w:eastAsia="宋体" w:cs="Times New Roman"/>
                <w:color w:val="auto"/>
                <w:sz w:val="21"/>
                <w:szCs w:val="21"/>
                <w:highlight w:val="none"/>
                <w:shd w:val="clear" w:color="auto" w:fill="auto"/>
              </w:rPr>
              <w:t>设立宣传牌、标志牌加强生态保护宣传</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施工结束后场地平整</w:t>
            </w: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临时占地植被和土壤恢复</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b w:val="0"/>
                <w:bCs w:val="0"/>
                <w:color w:val="auto"/>
                <w:sz w:val="21"/>
                <w:szCs w:val="21"/>
                <w:highlight w:val="none"/>
                <w:shd w:val="clear" w:color="auto" w:fill="auto"/>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spacing w:line="0" w:lineRule="atLeast"/>
              <w:jc w:val="center"/>
              <w:rPr>
                <w:color w:val="auto"/>
                <w:highlight w:val="none"/>
                <w:shd w:val="clear" w:color="auto" w:fill="auto"/>
              </w:rPr>
            </w:pPr>
          </w:p>
        </w:tc>
        <w:tc>
          <w:tcPr>
            <w:tcW w:w="560" w:type="pct"/>
            <w:tcBorders>
              <w:tl2br w:val="nil"/>
              <w:tr2bl w:val="nil"/>
            </w:tcBorders>
            <w:noWrap w:val="0"/>
            <w:vAlign w:val="center"/>
          </w:tcPr>
          <w:p>
            <w:pPr>
              <w:spacing w:line="0" w:lineRule="atLeast"/>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水土流失</w:t>
            </w:r>
          </w:p>
        </w:tc>
        <w:tc>
          <w:tcPr>
            <w:tcW w:w="85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水土保持措施</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管沟分层开挖分层回填；按照施工作业带进行作业；施工迹地恢复</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减少水土流失</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纳入水</w:t>
            </w:r>
          </w:p>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土保护</w:t>
            </w:r>
          </w:p>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方案投</w:t>
            </w:r>
          </w:p>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资中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p>
        </w:tc>
        <w:tc>
          <w:tcPr>
            <w:tcW w:w="560"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土地沙化</w:t>
            </w:r>
          </w:p>
        </w:tc>
        <w:tc>
          <w:tcPr>
            <w:tcW w:w="85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防沙治沙措施</w:t>
            </w:r>
          </w:p>
        </w:tc>
        <w:tc>
          <w:tcPr>
            <w:tcW w:w="1711" w:type="pct"/>
            <w:tcBorders>
              <w:tl2br w:val="nil"/>
              <w:tr2bl w:val="nil"/>
            </w:tcBorders>
            <w:noWrap w:val="0"/>
            <w:vAlign w:val="center"/>
          </w:tcPr>
          <w:p>
            <w:pPr>
              <w:spacing w:line="0" w:lineRule="atLeast"/>
              <w:jc w:val="center"/>
              <w:rPr>
                <w:rFonts w:hint="eastAsia"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永久占地铺设砾石；临时占地平整，清运现场遗留的污染物；按照正式征地文件的规定对占地进行经济补偿</w:t>
            </w:r>
            <w:r>
              <w:rPr>
                <w:rFonts w:hint="eastAsia" w:ascii="Times New Roman" w:hAnsi="Times New Roman" w:eastAsia="宋体" w:cs="Times New Roman"/>
                <w:color w:val="auto"/>
                <w:sz w:val="21"/>
                <w:szCs w:val="21"/>
                <w:highlight w:val="none"/>
                <w:shd w:val="clear" w:color="auto" w:fill="auto"/>
                <w:lang w:val="en-US" w:eastAsia="zh-CN"/>
              </w:rPr>
              <w:t>等</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防止土地沙化</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废气</w:t>
            </w:r>
          </w:p>
        </w:tc>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施工产生的施工扬尘</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临时抑尘覆盖物</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草包、帆布等</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、洒水（防尘、洒水等）</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施工机械尾气</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储层改造废气、测试放喷废气</w:t>
            </w:r>
          </w:p>
        </w:tc>
        <w:tc>
          <w:tcPr>
            <w:tcW w:w="1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使用达标油品，加强设备维护</w:t>
            </w:r>
          </w:p>
        </w:tc>
        <w:tc>
          <w:tcPr>
            <w:tcW w:w="11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w:t>
            </w:r>
          </w:p>
        </w:tc>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固废</w:t>
            </w:r>
          </w:p>
        </w:tc>
        <w:tc>
          <w:tcPr>
            <w:tcW w:w="85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钻井废弃物</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泥浆不落地装置</w:t>
            </w:r>
          </w:p>
        </w:tc>
        <w:tc>
          <w:tcPr>
            <w:tcW w:w="11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满足《油气田钻井固体废物综合利用污染控制要求》（DB65/T3997-2017）</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389</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shd w:val="clear" w:color="auto" w:fill="auto"/>
              </w:rPr>
            </w:pPr>
          </w:p>
        </w:tc>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color w:val="auto"/>
                <w:sz w:val="21"/>
                <w:szCs w:val="21"/>
                <w:highlight w:val="none"/>
                <w:shd w:val="clear" w:color="auto" w:fill="auto"/>
              </w:rPr>
            </w:pPr>
          </w:p>
        </w:tc>
        <w:tc>
          <w:tcPr>
            <w:tcW w:w="85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rPr>
              <w:t>施工废料</w:t>
            </w:r>
          </w:p>
        </w:tc>
        <w:tc>
          <w:tcPr>
            <w:tcW w:w="1711" w:type="pct"/>
            <w:tcBorders>
              <w:tl2br w:val="nil"/>
              <w:tr2bl w:val="nil"/>
            </w:tcBorders>
            <w:noWrap w:val="0"/>
            <w:vAlign w:val="center"/>
          </w:tcPr>
          <w:p>
            <w:pPr>
              <w:spacing w:line="0" w:lineRule="atLeast"/>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废弃施工材料清运</w:t>
            </w:r>
            <w:r>
              <w:rPr>
                <w:rFonts w:hint="default" w:ascii="Times New Roman" w:hAnsi="Times New Roman" w:cs="Times New Roman"/>
                <w:color w:val="auto"/>
                <w:sz w:val="21"/>
                <w:szCs w:val="21"/>
                <w:highlight w:val="none"/>
                <w:shd w:val="clear" w:color="auto" w:fill="auto"/>
                <w:lang w:val="en-US" w:eastAsia="zh-CN"/>
              </w:rPr>
              <w:t>至</w:t>
            </w:r>
            <w:r>
              <w:rPr>
                <w:rFonts w:hint="default" w:ascii="Times New Roman" w:hAnsi="Times New Roman" w:eastAsia="宋体" w:cs="Times New Roman"/>
                <w:color w:val="auto"/>
                <w:sz w:val="21"/>
                <w:szCs w:val="21"/>
                <w:highlight w:val="none"/>
                <w:shd w:val="clear" w:color="auto" w:fill="auto"/>
                <w:lang w:eastAsia="zh-CN"/>
              </w:rPr>
              <w:t>克拉玛依市建筑垃圾填埋场填埋处置。</w:t>
            </w:r>
          </w:p>
        </w:tc>
        <w:tc>
          <w:tcPr>
            <w:tcW w:w="11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妥善处理</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废水</w:t>
            </w:r>
          </w:p>
        </w:tc>
        <w:tc>
          <w:tcPr>
            <w:tcW w:w="85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bidi="ar"/>
              </w:rPr>
              <w:t>钻井废水、</w:t>
            </w:r>
            <w:r>
              <w:rPr>
                <w:rFonts w:hint="default" w:ascii="Times New Roman" w:hAnsi="Times New Roman" w:cs="Times New Roman"/>
                <w:color w:val="auto"/>
                <w:sz w:val="21"/>
                <w:szCs w:val="21"/>
                <w:highlight w:val="none"/>
                <w:shd w:val="clear" w:color="auto" w:fill="auto"/>
                <w:lang w:bidi="ar"/>
              </w:rPr>
              <w:t>施工废水</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bidi="ar"/>
              </w:rPr>
              <w:t>钻井废水循环利用不外排；</w:t>
            </w:r>
            <w:r>
              <w:rPr>
                <w:rFonts w:hint="default" w:ascii="Times New Roman" w:hAnsi="Times New Roman" w:cs="Times New Roman"/>
                <w:color w:val="auto"/>
                <w:sz w:val="21"/>
                <w:szCs w:val="21"/>
                <w:highlight w:val="none"/>
                <w:shd w:val="clear" w:color="auto" w:fill="auto"/>
                <w:lang w:bidi="ar"/>
              </w:rPr>
              <w:t>管道试压采用清洁水，试压结束后全部用于施工场地洒水抑尘</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施工废水循环利用</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overflowPunct w:val="0"/>
              <w:autoSpaceDE w:val="0"/>
              <w:autoSpaceDN w:val="0"/>
              <w:spacing w:line="0" w:lineRule="atLeast"/>
              <w:jc w:val="center"/>
              <w:textAlignment w:val="baseline"/>
              <w:rPr>
                <w:color w:val="auto"/>
                <w:sz w:val="21"/>
                <w:szCs w:val="21"/>
                <w:highlight w:val="none"/>
                <w:shd w:val="clear" w:color="auto" w:fill="auto"/>
              </w:rPr>
            </w:pPr>
          </w:p>
        </w:tc>
        <w:tc>
          <w:tcPr>
            <w:tcW w:w="560" w:type="pct"/>
            <w:tcBorders>
              <w:tl2br w:val="nil"/>
              <w:tr2bl w:val="nil"/>
            </w:tcBorders>
            <w:noWrap w:val="0"/>
            <w:vAlign w:val="center"/>
          </w:tcPr>
          <w:p>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pacing w:val="-11"/>
                <w:sz w:val="21"/>
                <w:szCs w:val="21"/>
                <w:highlight w:val="none"/>
                <w:shd w:val="clear" w:color="auto" w:fill="auto"/>
                <w:lang w:val="en-US" w:eastAsia="zh-CN"/>
              </w:rPr>
              <w:t>地下水</w:t>
            </w:r>
            <w:r>
              <w:rPr>
                <w:rFonts w:hint="eastAsia" w:ascii="Times New Roman" w:hAnsi="Times New Roman" w:eastAsia="宋体" w:cs="Times New Roman"/>
                <w:color w:val="auto"/>
                <w:spacing w:val="-11"/>
                <w:sz w:val="21"/>
                <w:szCs w:val="21"/>
                <w:highlight w:val="none"/>
                <w:shd w:val="clear" w:color="auto" w:fill="auto"/>
                <w:lang w:val="en-US" w:eastAsia="zh-CN"/>
              </w:rPr>
              <w:t>、土壤</w:t>
            </w:r>
          </w:p>
        </w:tc>
        <w:tc>
          <w:tcPr>
            <w:tcW w:w="855" w:type="pct"/>
            <w:tcBorders>
              <w:tl2br w:val="nil"/>
              <w:tr2bl w:val="nil"/>
            </w:tcBorders>
            <w:noWrap w:val="0"/>
            <w:vAlign w:val="center"/>
          </w:tcPr>
          <w:p>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防渗</w:t>
            </w:r>
          </w:p>
        </w:tc>
        <w:tc>
          <w:tcPr>
            <w:tcW w:w="1711" w:type="pct"/>
            <w:tcBorders>
              <w:tl2br w:val="nil"/>
              <w:tr2bl w:val="nil"/>
            </w:tcBorders>
            <w:noWrap w:val="0"/>
            <w:vAlign w:val="center"/>
          </w:tcPr>
          <w:p>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kern w:val="0"/>
                <w:sz w:val="21"/>
                <w:szCs w:val="21"/>
                <w:highlight w:val="none"/>
                <w:shd w:val="clear" w:color="auto" w:fill="auto"/>
              </w:rPr>
              <w:t>钻井工程基础区域、钻井液循环系统、清洁生产操作平台、废水池</w:t>
            </w:r>
            <w:r>
              <w:rPr>
                <w:rFonts w:hint="eastAsia" w:ascii="Times New Roman" w:hAnsi="Times New Roman" w:eastAsia="宋体" w:cs="Times New Roman"/>
                <w:color w:val="auto"/>
                <w:kern w:val="0"/>
                <w:sz w:val="21"/>
                <w:szCs w:val="21"/>
                <w:highlight w:val="none"/>
                <w:shd w:val="clear" w:color="auto" w:fill="auto"/>
                <w:lang w:eastAsia="zh-CN"/>
              </w:rPr>
              <w:t>、</w:t>
            </w:r>
            <w:r>
              <w:rPr>
                <w:rFonts w:ascii="Times New Roman" w:hAnsi="Times New Roman" w:eastAsia="宋体" w:cs="Times New Roman"/>
                <w:color w:val="auto"/>
                <w:kern w:val="0"/>
                <w:sz w:val="21"/>
                <w:szCs w:val="21"/>
                <w:highlight w:val="none"/>
                <w:shd w:val="clear" w:color="auto" w:fill="auto"/>
              </w:rPr>
              <w:t>钻井柴油罐区、油水罐区、放喷池</w:t>
            </w:r>
            <w:r>
              <w:rPr>
                <w:rFonts w:hint="eastAsia" w:ascii="Times New Roman" w:hAnsi="Times New Roman" w:eastAsia="宋体" w:cs="Times New Roman"/>
                <w:color w:val="auto"/>
                <w:kern w:val="0"/>
                <w:sz w:val="21"/>
                <w:szCs w:val="21"/>
                <w:highlight w:val="none"/>
                <w:shd w:val="clear" w:color="auto" w:fill="auto"/>
                <w:lang w:eastAsia="zh-CN"/>
              </w:rPr>
              <w:t>、</w:t>
            </w:r>
            <w:r>
              <w:rPr>
                <w:rFonts w:hint="eastAsia" w:cs="Times New Roman"/>
                <w:color w:val="auto"/>
                <w:kern w:val="0"/>
                <w:sz w:val="21"/>
                <w:szCs w:val="21"/>
                <w:highlight w:val="none"/>
                <w:shd w:val="clear" w:color="auto" w:fill="auto"/>
                <w:lang w:val="en-US" w:eastAsia="zh-CN"/>
              </w:rPr>
              <w:t>危废暂存点</w:t>
            </w:r>
            <w:r>
              <w:rPr>
                <w:rFonts w:hint="eastAsia" w:ascii="Times New Roman" w:hAnsi="Times New Roman" w:eastAsia="宋体" w:cs="Times New Roman"/>
                <w:color w:val="auto"/>
                <w:kern w:val="0"/>
                <w:sz w:val="21"/>
                <w:szCs w:val="21"/>
                <w:highlight w:val="none"/>
                <w:shd w:val="clear" w:color="auto" w:fill="auto"/>
                <w:lang w:val="en-US" w:eastAsia="zh-CN"/>
              </w:rPr>
              <w:t>等重点防渗；</w:t>
            </w:r>
            <w:r>
              <w:rPr>
                <w:rFonts w:ascii="Times New Roman" w:hAnsi="Times New Roman" w:eastAsia="宋体" w:cs="Times New Roman"/>
                <w:color w:val="auto"/>
                <w:kern w:val="0"/>
                <w:sz w:val="21"/>
                <w:szCs w:val="21"/>
                <w:highlight w:val="none"/>
                <w:shd w:val="clear" w:color="auto" w:fill="auto"/>
              </w:rPr>
              <w:t>施工作业区地面</w:t>
            </w:r>
            <w:r>
              <w:rPr>
                <w:rFonts w:hint="eastAsia" w:ascii="Times New Roman" w:hAnsi="Times New Roman" w:eastAsia="宋体" w:cs="Times New Roman"/>
                <w:color w:val="auto"/>
                <w:kern w:val="0"/>
                <w:sz w:val="21"/>
                <w:szCs w:val="21"/>
                <w:highlight w:val="none"/>
                <w:shd w:val="clear" w:color="auto" w:fill="auto"/>
                <w:lang w:val="en-US" w:eastAsia="zh-CN"/>
              </w:rPr>
              <w:t>一般防渗。</w:t>
            </w:r>
          </w:p>
        </w:tc>
        <w:tc>
          <w:tcPr>
            <w:tcW w:w="1145" w:type="pct"/>
            <w:tcBorders>
              <w:tl2br w:val="nil"/>
              <w:tr2bl w:val="nil"/>
            </w:tcBorders>
            <w:noWrap w:val="0"/>
            <w:vAlign w:val="center"/>
          </w:tcPr>
          <w:p>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防止地下水、土壤污染</w:t>
            </w:r>
          </w:p>
        </w:tc>
        <w:tc>
          <w:tcPr>
            <w:tcW w:w="521" w:type="pct"/>
            <w:tcBorders>
              <w:tl2br w:val="nil"/>
              <w:tr2bl w:val="nil"/>
            </w:tcBorders>
            <w:noWrap w:val="0"/>
            <w:vAlign w:val="center"/>
          </w:tcPr>
          <w:p>
            <w:pPr>
              <w:overflowPunct w:val="0"/>
              <w:autoSpaceDE w:val="0"/>
              <w:autoSpaceDN w:val="0"/>
              <w:spacing w:line="0" w:lineRule="atLeast"/>
              <w:jc w:val="center"/>
              <w:textAlignment w:val="baseline"/>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77" w:hRule="atLeast"/>
          <w:jc w:val="center"/>
        </w:trPr>
        <w:tc>
          <w:tcPr>
            <w:tcW w:w="205" w:type="pct"/>
            <w:vMerge w:val="continue"/>
            <w:tcBorders>
              <w:tl2br w:val="nil"/>
              <w:tr2bl w:val="nil"/>
            </w:tcBorders>
            <w:noWrap w:val="0"/>
            <w:vAlign w:val="center"/>
          </w:tcPr>
          <w:p>
            <w:pPr>
              <w:overflowPunct w:val="0"/>
              <w:autoSpaceDE w:val="0"/>
              <w:autoSpaceDN w:val="0"/>
              <w:spacing w:line="0" w:lineRule="atLeast"/>
              <w:jc w:val="center"/>
              <w:textAlignment w:val="baseline"/>
              <w:rPr>
                <w:color w:val="auto"/>
                <w:sz w:val="21"/>
                <w:szCs w:val="21"/>
                <w:highlight w:val="none"/>
                <w:shd w:val="clear" w:color="auto" w:fill="auto"/>
              </w:rPr>
            </w:pPr>
          </w:p>
        </w:tc>
        <w:tc>
          <w:tcPr>
            <w:tcW w:w="560" w:type="pct"/>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环境风险管理</w:t>
            </w:r>
          </w:p>
        </w:tc>
        <w:tc>
          <w:tcPr>
            <w:tcW w:w="855" w:type="pct"/>
            <w:vMerge w:val="restart"/>
            <w:tcBorders>
              <w:tl2br w:val="nil"/>
              <w:tr2bl w:val="nil"/>
            </w:tcBorders>
            <w:noWrap w:val="0"/>
            <w:vAlign w:val="center"/>
          </w:tcPr>
          <w:p>
            <w:pPr>
              <w:spacing w:line="0" w:lineRule="atLeas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环境风险</w:t>
            </w:r>
          </w:p>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防范措施</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井口防喷器</w:t>
            </w:r>
          </w:p>
        </w:tc>
        <w:tc>
          <w:tcPr>
            <w:tcW w:w="1145" w:type="pct"/>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snapToGrid w:val="0"/>
                <w:color w:val="auto"/>
                <w:sz w:val="21"/>
                <w:szCs w:val="21"/>
                <w:highlight w:val="none"/>
                <w:shd w:val="clear" w:color="auto" w:fill="auto"/>
              </w:rPr>
              <w:t>风险防范设施数量按照消防、安全等相关要求设置</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ascii="Times New Roman" w:hAnsi="Times New Roman" w:cs="Times New Roman"/>
                <w:color w:val="auto"/>
                <w:spacing w:val="-11"/>
                <w:sz w:val="21"/>
                <w:szCs w:val="21"/>
                <w:highlight w:val="none"/>
                <w:shd w:val="clear" w:color="auto" w:fill="auto"/>
                <w:lang w:val="en-US" w:eastAsia="zh-CN"/>
              </w:rPr>
              <w:t>202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overflowPunct w:val="0"/>
              <w:autoSpaceDE w:val="0"/>
              <w:autoSpaceDN w:val="0"/>
              <w:spacing w:line="0" w:lineRule="atLeast"/>
              <w:jc w:val="center"/>
              <w:textAlignment w:val="baseline"/>
              <w:rPr>
                <w:rFonts w:hint="default" w:ascii="Times New Roman" w:hAnsi="Times New Roman" w:eastAsia="宋体" w:cs="Times New Roman"/>
                <w:color w:val="auto"/>
                <w:spacing w:val="-11"/>
                <w:sz w:val="21"/>
                <w:szCs w:val="21"/>
                <w:highlight w:val="none"/>
                <w:shd w:val="clear" w:color="auto" w:fill="auto"/>
                <w:lang w:val="en-US" w:eastAsia="zh-CN"/>
              </w:rPr>
            </w:pPr>
          </w:p>
        </w:tc>
        <w:tc>
          <w:tcPr>
            <w:tcW w:w="560" w:type="pct"/>
            <w:vMerge w:val="continue"/>
            <w:tcBorders>
              <w:tl2br w:val="nil"/>
              <w:tr2bl w:val="nil"/>
            </w:tcBorders>
            <w:noWrap w:val="0"/>
            <w:vAlign w:val="center"/>
          </w:tcPr>
          <w:p>
            <w:pPr>
              <w:overflowPunct w:val="0"/>
              <w:autoSpaceDE w:val="0"/>
              <w:autoSpaceDN w:val="0"/>
              <w:spacing w:line="0" w:lineRule="atLeast"/>
              <w:jc w:val="center"/>
              <w:textAlignment w:val="baseline"/>
              <w:rPr>
                <w:rFonts w:hint="default" w:ascii="Times New Roman" w:hAnsi="Times New Roman" w:eastAsia="宋体" w:cs="Times New Roman"/>
                <w:color w:val="auto"/>
                <w:spacing w:val="-11"/>
                <w:sz w:val="21"/>
                <w:szCs w:val="21"/>
                <w:highlight w:val="none"/>
                <w:shd w:val="clear" w:color="auto" w:fill="auto"/>
                <w:lang w:val="en-US" w:eastAsia="zh-CN"/>
              </w:rPr>
            </w:pPr>
          </w:p>
        </w:tc>
        <w:tc>
          <w:tcPr>
            <w:tcW w:w="855" w:type="pct"/>
            <w:vMerge w:val="continue"/>
            <w:tcBorders>
              <w:tl2br w:val="nil"/>
              <w:tr2bl w:val="nil"/>
            </w:tcBorders>
            <w:noWrap w:val="0"/>
            <w:vAlign w:val="center"/>
          </w:tcPr>
          <w:p>
            <w:pPr>
              <w:overflowPunct w:val="0"/>
              <w:autoSpaceDE w:val="0"/>
              <w:autoSpaceDN w:val="0"/>
              <w:spacing w:line="0" w:lineRule="atLeast"/>
              <w:jc w:val="center"/>
              <w:textAlignment w:val="baseline"/>
              <w:rPr>
                <w:rFonts w:hint="default" w:ascii="Times New Roman" w:hAnsi="Times New Roman" w:eastAsia="宋体" w:cs="Times New Roman"/>
                <w:color w:val="auto"/>
                <w:spacing w:val="-11"/>
                <w:sz w:val="21"/>
                <w:szCs w:val="21"/>
                <w:highlight w:val="none"/>
                <w:shd w:val="clear" w:color="auto" w:fill="auto"/>
                <w:lang w:val="en-US" w:eastAsia="zh-CN"/>
              </w:rPr>
            </w:pPr>
          </w:p>
        </w:tc>
        <w:tc>
          <w:tcPr>
            <w:tcW w:w="1711" w:type="pct"/>
            <w:tcBorders>
              <w:tl2br w:val="nil"/>
              <w:tr2bl w:val="nil"/>
            </w:tcBorders>
            <w:noWrap w:val="0"/>
            <w:vAlign w:val="center"/>
          </w:tcPr>
          <w:p>
            <w:pPr>
              <w:spacing w:line="0" w:lineRule="atLeast"/>
              <w:jc w:val="both"/>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snapToGrid w:val="0"/>
                <w:color w:val="auto"/>
                <w:spacing w:val="-6"/>
                <w:sz w:val="21"/>
                <w:szCs w:val="21"/>
                <w:highlight w:val="none"/>
                <w:shd w:val="clear" w:color="auto" w:fill="auto"/>
                <w:lang w:val="en-US" w:eastAsia="zh-CN"/>
              </w:rPr>
              <w:t>施工期井场设置撬装式</w:t>
            </w:r>
            <w:r>
              <w:rPr>
                <w:rFonts w:hint="eastAsia" w:cs="Times New Roman"/>
                <w:snapToGrid w:val="0"/>
                <w:color w:val="auto"/>
                <w:spacing w:val="-6"/>
                <w:sz w:val="21"/>
                <w:szCs w:val="21"/>
                <w:highlight w:val="none"/>
                <w:shd w:val="clear" w:color="auto" w:fill="auto"/>
                <w:lang w:val="en-US" w:eastAsia="zh-CN"/>
              </w:rPr>
              <w:t>危废暂存点</w:t>
            </w:r>
            <w:r>
              <w:rPr>
                <w:rFonts w:hint="default" w:ascii="Times New Roman" w:hAnsi="Times New Roman" w:cs="Times New Roman"/>
                <w:snapToGrid w:val="0"/>
                <w:color w:val="auto"/>
                <w:spacing w:val="-6"/>
                <w:sz w:val="21"/>
                <w:szCs w:val="21"/>
                <w:highlight w:val="none"/>
                <w:shd w:val="clear" w:color="auto" w:fill="auto"/>
                <w:lang w:val="en-US" w:eastAsia="zh-CN"/>
              </w:rPr>
              <w:t>；</w:t>
            </w:r>
            <w:r>
              <w:rPr>
                <w:rFonts w:hint="default" w:ascii="Times New Roman" w:hAnsi="Times New Roman" w:cs="Times New Roman"/>
                <w:snapToGrid w:val="0"/>
                <w:color w:val="auto"/>
                <w:spacing w:val="-6"/>
                <w:sz w:val="21"/>
                <w:szCs w:val="21"/>
                <w:highlight w:val="none"/>
                <w:shd w:val="clear" w:color="auto" w:fill="auto"/>
              </w:rPr>
              <w:t>消防器材、警戒标语标牌、设置可燃气体检测报警仪等防范设施</w:t>
            </w:r>
            <w:r>
              <w:rPr>
                <w:rFonts w:hint="default" w:ascii="Times New Roman" w:hAnsi="Times New Roman" w:cs="Times New Roman"/>
                <w:snapToGrid w:val="0"/>
                <w:color w:val="auto"/>
                <w:spacing w:val="-6"/>
                <w:sz w:val="21"/>
                <w:szCs w:val="21"/>
                <w:highlight w:val="none"/>
                <w:shd w:val="clear" w:color="auto" w:fill="auto"/>
                <w:lang w:eastAsia="zh-CN"/>
              </w:rPr>
              <w:t>。</w:t>
            </w:r>
          </w:p>
        </w:tc>
        <w:tc>
          <w:tcPr>
            <w:tcW w:w="1145" w:type="pct"/>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cs="Times New Roman"/>
                <w:color w:val="auto"/>
                <w:spacing w:val="-11"/>
                <w:sz w:val="21"/>
                <w:szCs w:val="21"/>
                <w:highlight w:val="none"/>
                <w:shd w:val="clear" w:color="auto" w:fill="auto"/>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运营 期</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废气</w:t>
            </w:r>
          </w:p>
        </w:tc>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无组织挥发</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烃类</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lang w:val="en-US" w:eastAsia="zh-CN"/>
              </w:rPr>
              <w:t>温室气体</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密闭集输，装置做好</w:t>
            </w:r>
            <w:r>
              <w:rPr>
                <w:rFonts w:hint="default" w:ascii="Times New Roman" w:hAnsi="Times New Roman" w:cs="Times New Roman"/>
                <w:color w:val="auto"/>
                <w:sz w:val="21"/>
                <w:szCs w:val="21"/>
                <w:highlight w:val="none"/>
                <w:shd w:val="clear" w:color="auto" w:fill="auto"/>
                <w:lang w:bidi="ar"/>
              </w:rPr>
              <w:t>日常维护，做好密闭措施。</w:t>
            </w:r>
          </w:p>
        </w:tc>
        <w:tc>
          <w:tcPr>
            <w:tcW w:w="1145" w:type="pct"/>
            <w:tcBorders>
              <w:tl2br w:val="nil"/>
              <w:tr2bl w:val="nil"/>
            </w:tcBorders>
            <w:noWrap w:val="0"/>
            <w:vAlign w:val="center"/>
          </w:tcPr>
          <w:p>
            <w:pPr>
              <w:spacing w:line="0" w:lineRule="atLeast"/>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厂界非甲烷总烃</w:t>
            </w:r>
          </w:p>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≤4.0mg/m</w:t>
            </w:r>
            <w:r>
              <w:rPr>
                <w:rFonts w:hint="default" w:ascii="Times New Roman" w:hAnsi="Times New Roman" w:cs="Times New Roman"/>
                <w:color w:val="auto"/>
                <w:sz w:val="21"/>
                <w:szCs w:val="21"/>
                <w:highlight w:val="none"/>
                <w:shd w:val="clear" w:color="auto" w:fill="auto"/>
                <w:vertAlign w:val="superscript"/>
              </w:rPr>
              <w:t>3</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噪声</w:t>
            </w:r>
          </w:p>
        </w:tc>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井场、</w:t>
            </w:r>
            <w:r>
              <w:rPr>
                <w:rFonts w:hint="default" w:ascii="Times New Roman" w:hAnsi="Times New Roman" w:eastAsia="宋体" w:cs="Times New Roman"/>
                <w:color w:val="auto"/>
                <w:sz w:val="21"/>
                <w:szCs w:val="21"/>
                <w:highlight w:val="none"/>
                <w:shd w:val="clear" w:color="auto" w:fill="auto"/>
              </w:rPr>
              <w:t>站场噪声</w:t>
            </w:r>
          </w:p>
        </w:tc>
        <w:tc>
          <w:tcPr>
            <w:tcW w:w="1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选择低噪声设备、加强设备维护，</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基础减振</w:t>
            </w:r>
            <w:r>
              <w:rPr>
                <w:rFonts w:hint="default" w:ascii="Times New Roman" w:hAnsi="Times New Roman" w:eastAsia="宋体" w:cs="Times New Roman"/>
                <w:color w:val="auto"/>
                <w:sz w:val="21"/>
                <w:szCs w:val="21"/>
                <w:highlight w:val="none"/>
                <w:shd w:val="clear" w:color="auto" w:fill="auto"/>
                <w:lang w:eastAsia="zh-CN"/>
              </w:rPr>
              <w:t>。</w:t>
            </w:r>
          </w:p>
        </w:tc>
        <w:tc>
          <w:tcPr>
            <w:tcW w:w="11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场界：</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昼间≤60dB(A)</w:t>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夜间≤50dB(A)</w:t>
            </w:r>
          </w:p>
        </w:tc>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固废</w:t>
            </w:r>
          </w:p>
        </w:tc>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危险废物</w:t>
            </w:r>
          </w:p>
        </w:tc>
        <w:tc>
          <w:tcPr>
            <w:tcW w:w="1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委托有资质的单位处置</w:t>
            </w:r>
          </w:p>
        </w:tc>
        <w:tc>
          <w:tcPr>
            <w:tcW w:w="11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妥善处理</w:t>
            </w:r>
          </w:p>
        </w:tc>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rPr>
            </w:pPr>
          </w:p>
        </w:tc>
        <w:tc>
          <w:tcPr>
            <w:tcW w:w="560"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废水</w:t>
            </w:r>
          </w:p>
        </w:tc>
        <w:tc>
          <w:tcPr>
            <w:tcW w:w="85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val="en-US" w:eastAsia="zh-CN" w:bidi="ar"/>
              </w:rPr>
              <w:t>采出水</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依托</w:t>
            </w:r>
            <w:r>
              <w:rPr>
                <w:rFonts w:hint="eastAsia" w:ascii="Times New Roman" w:hAnsi="Times New Roman" w:cs="Times New Roman"/>
                <w:color w:val="auto"/>
                <w:sz w:val="21"/>
                <w:szCs w:val="21"/>
                <w:highlight w:val="none"/>
                <w:shd w:val="clear" w:color="auto" w:fill="auto"/>
                <w:lang w:eastAsia="zh-CN" w:bidi="ar"/>
              </w:rPr>
              <w:t>风城二号稠油联合站</w:t>
            </w:r>
            <w:r>
              <w:rPr>
                <w:rFonts w:hint="default" w:ascii="Times New Roman" w:hAnsi="Times New Roman" w:cs="Times New Roman"/>
                <w:color w:val="auto"/>
                <w:sz w:val="21"/>
                <w:szCs w:val="21"/>
                <w:highlight w:val="none"/>
                <w:shd w:val="clear" w:color="auto" w:fill="auto"/>
                <w:lang w:bidi="ar"/>
              </w:rPr>
              <w:t>的</w:t>
            </w:r>
            <w:r>
              <w:rPr>
                <w:rFonts w:hint="eastAsia" w:ascii="Times New Roman" w:hAnsi="Times New Roman" w:cs="Times New Roman"/>
                <w:color w:val="auto"/>
                <w:sz w:val="21"/>
                <w:szCs w:val="21"/>
                <w:highlight w:val="none"/>
                <w:shd w:val="clear" w:color="auto" w:fill="auto"/>
                <w:lang w:val="en-US" w:eastAsia="zh-CN" w:bidi="ar"/>
              </w:rPr>
              <w:t>采出水处理系统</w:t>
            </w:r>
            <w:r>
              <w:rPr>
                <w:rFonts w:hint="default" w:ascii="Times New Roman" w:hAnsi="Times New Roman" w:cs="Times New Roman"/>
                <w:color w:val="auto"/>
                <w:sz w:val="21"/>
                <w:szCs w:val="21"/>
                <w:highlight w:val="none"/>
                <w:shd w:val="clear" w:color="auto" w:fill="auto"/>
                <w:lang w:bidi="ar"/>
              </w:rPr>
              <w:t>处理，经处理后满足《碎屑岩油藏注水水质指标技术要求及分析方法》（SY/T5329-2022）标准中指标后回注</w:t>
            </w:r>
            <w:r>
              <w:rPr>
                <w:rFonts w:hint="eastAsia" w:ascii="Times New Roman" w:hAnsi="Times New Roman" w:cs="Times New Roman"/>
                <w:color w:val="auto"/>
                <w:sz w:val="21"/>
                <w:szCs w:val="21"/>
                <w:highlight w:val="none"/>
                <w:shd w:val="clear" w:color="auto" w:fill="auto"/>
                <w:lang w:val="en-US" w:eastAsia="zh-CN" w:bidi="ar"/>
              </w:rPr>
              <w:t>油藏</w:t>
            </w:r>
            <w:r>
              <w:rPr>
                <w:rFonts w:hint="default" w:ascii="Times New Roman" w:hAnsi="Times New Roman" w:cs="Times New Roman"/>
                <w:color w:val="auto"/>
                <w:sz w:val="21"/>
                <w:szCs w:val="21"/>
                <w:highlight w:val="none"/>
                <w:shd w:val="clear" w:color="auto" w:fill="auto"/>
                <w:lang w:bidi="ar"/>
              </w:rPr>
              <w:t>，不外排</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《碎屑岩油藏注水水质指标技术要求及分析方法》（SY/T5329-2022）</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shd w:val="clear" w:color="auto" w:fill="auto"/>
              </w:rPr>
            </w:pPr>
          </w:p>
        </w:tc>
        <w:tc>
          <w:tcPr>
            <w:tcW w:w="560"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shd w:val="clear" w:color="auto" w:fill="auto"/>
              </w:rPr>
            </w:pPr>
          </w:p>
        </w:tc>
        <w:tc>
          <w:tcPr>
            <w:tcW w:w="85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井下作业废</w:t>
            </w:r>
            <w:r>
              <w:rPr>
                <w:rFonts w:hint="default" w:ascii="Times New Roman" w:hAnsi="Times New Roman" w:cs="Times New Roman"/>
                <w:color w:val="auto"/>
                <w:sz w:val="21"/>
                <w:szCs w:val="21"/>
                <w:highlight w:val="none"/>
                <w:shd w:val="clear" w:color="auto" w:fill="auto"/>
                <w:lang w:val="en-US" w:eastAsia="zh-CN" w:bidi="ar"/>
              </w:rPr>
              <w:t>水</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井下作业废</w:t>
            </w:r>
            <w:r>
              <w:rPr>
                <w:rFonts w:hint="default" w:ascii="Times New Roman" w:hAnsi="Times New Roman" w:cs="Times New Roman"/>
                <w:color w:val="auto"/>
                <w:sz w:val="21"/>
                <w:szCs w:val="21"/>
                <w:highlight w:val="none"/>
                <w:shd w:val="clear" w:color="auto" w:fill="auto"/>
                <w:lang w:val="en-US" w:eastAsia="zh-CN" w:bidi="ar"/>
              </w:rPr>
              <w:t>水</w:t>
            </w:r>
            <w:r>
              <w:rPr>
                <w:rFonts w:hint="default" w:ascii="Times New Roman" w:hAnsi="Times New Roman" w:cs="Times New Roman"/>
                <w:color w:val="auto"/>
                <w:sz w:val="21"/>
                <w:szCs w:val="21"/>
                <w:highlight w:val="none"/>
                <w:shd w:val="clear" w:color="auto" w:fill="auto"/>
                <w:lang w:bidi="ar"/>
              </w:rPr>
              <w:t>采用专用罐拉运至</w:t>
            </w:r>
            <w:r>
              <w:rPr>
                <w:rFonts w:hint="eastAsia" w:ascii="Times New Roman" w:hAnsi="Times New Roman" w:cs="Times New Roman"/>
                <w:bCs/>
                <w:color w:val="auto"/>
                <w:sz w:val="21"/>
                <w:szCs w:val="21"/>
                <w:highlight w:val="none"/>
                <w:shd w:val="clear" w:color="auto" w:fill="auto"/>
                <w:lang w:eastAsia="zh-CN"/>
              </w:rPr>
              <w:t>风城二号稠油联合站</w:t>
            </w:r>
            <w:r>
              <w:rPr>
                <w:rFonts w:hint="default" w:ascii="Times New Roman" w:hAnsi="Times New Roman" w:cs="Times New Roman"/>
                <w:color w:val="auto"/>
                <w:sz w:val="21"/>
                <w:szCs w:val="21"/>
                <w:highlight w:val="none"/>
                <w:shd w:val="clear" w:color="auto" w:fill="auto"/>
                <w:lang w:bidi="ar"/>
              </w:rPr>
              <w:t>处理</w:t>
            </w:r>
            <w:r>
              <w:rPr>
                <w:rFonts w:hint="default" w:ascii="Times New Roman" w:hAnsi="Times New Roman" w:cs="Times New Roman"/>
                <w:color w:val="auto"/>
                <w:sz w:val="21"/>
                <w:szCs w:val="21"/>
                <w:highlight w:val="none"/>
                <w:shd w:val="clear" w:color="auto" w:fill="auto"/>
                <w:lang w:eastAsia="zh-CN" w:bidi="ar"/>
              </w:rPr>
              <w:t>。</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废水不外排</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shd w:val="clear" w:color="auto" w:fill="auto"/>
              </w:rPr>
            </w:pP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default" w:ascii="Times New Roman" w:hAnsi="Times New Roman" w:eastAsia="宋体" w:cs="Times New Roman"/>
                <w:color w:val="auto"/>
                <w:spacing w:val="-11"/>
                <w:sz w:val="21"/>
                <w:szCs w:val="21"/>
                <w:highlight w:val="none"/>
                <w:shd w:val="clear" w:color="auto" w:fill="auto"/>
                <w:lang w:val="en-US" w:eastAsia="zh-CN"/>
              </w:rPr>
              <w:t>地下水</w:t>
            </w:r>
            <w:r>
              <w:rPr>
                <w:rFonts w:hint="eastAsia" w:ascii="Times New Roman" w:hAnsi="Times New Roman" w:eastAsia="宋体" w:cs="Times New Roman"/>
                <w:color w:val="auto"/>
                <w:spacing w:val="-11"/>
                <w:sz w:val="21"/>
                <w:szCs w:val="21"/>
                <w:highlight w:val="none"/>
                <w:shd w:val="clear" w:color="auto" w:fill="auto"/>
                <w:lang w:val="en-US" w:eastAsia="zh-CN"/>
              </w:rPr>
              <w:t>、土壤</w:t>
            </w:r>
          </w:p>
        </w:tc>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eastAsia="宋体" w:cs="Times New Roman"/>
                <w:color w:val="auto"/>
                <w:sz w:val="21"/>
                <w:szCs w:val="21"/>
                <w:highlight w:val="none"/>
                <w:shd w:val="clear" w:color="auto" w:fill="auto"/>
                <w:lang w:val="en-US" w:eastAsia="zh-CN"/>
              </w:rPr>
              <w:t>井场、</w:t>
            </w:r>
            <w:r>
              <w:rPr>
                <w:rFonts w:hint="default" w:ascii="Times New Roman" w:hAnsi="Times New Roman" w:eastAsia="宋体" w:cs="Times New Roman"/>
                <w:color w:val="auto"/>
                <w:sz w:val="21"/>
                <w:szCs w:val="21"/>
                <w:highlight w:val="none"/>
                <w:shd w:val="clear" w:color="auto" w:fill="auto"/>
                <w:lang w:val="en-US" w:eastAsia="zh-CN"/>
              </w:rPr>
              <w:t>站场、管线防渗</w:t>
            </w:r>
          </w:p>
        </w:tc>
        <w:tc>
          <w:tcPr>
            <w:tcW w:w="171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color w:val="auto"/>
                <w:sz w:val="21"/>
                <w:szCs w:val="21"/>
                <w:highlight w:val="none"/>
                <w:shd w:val="clear" w:color="auto" w:fill="auto"/>
              </w:rPr>
              <w:t>井场永久占地、站场设施永久占地</w:t>
            </w:r>
            <w:r>
              <w:rPr>
                <w:rFonts w:hint="eastAsia"/>
                <w:color w:val="auto"/>
                <w:sz w:val="21"/>
                <w:szCs w:val="21"/>
                <w:highlight w:val="none"/>
                <w:shd w:val="clear" w:color="auto" w:fill="auto"/>
                <w:lang w:val="en-US" w:eastAsia="zh-CN"/>
              </w:rPr>
              <w:t>进行一般防渗。</w:t>
            </w:r>
          </w:p>
        </w:tc>
        <w:tc>
          <w:tcPr>
            <w:tcW w:w="114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防止地下水、土壤污染</w:t>
            </w:r>
          </w:p>
        </w:tc>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shd w:val="clear" w:color="auto" w:fill="auto"/>
                <w:lang w:val="en-US" w:eastAsia="zh-CN" w:bidi="ar-SA"/>
              </w:rPr>
            </w:pPr>
            <w:r>
              <w:rPr>
                <w:rFonts w:hint="eastAsia" w:cs="Times New Roman"/>
                <w:color w:val="auto"/>
                <w:kern w:val="2"/>
                <w:sz w:val="21"/>
                <w:szCs w:val="21"/>
                <w:highlight w:val="none"/>
                <w:shd w:val="clear" w:color="auto" w:fill="auto"/>
                <w:lang w:val="en-US" w:eastAsia="zh-CN" w:bidi="ar-SA"/>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 w:val="21"/>
                <w:szCs w:val="21"/>
                <w:highlight w:val="none"/>
                <w:shd w:val="clear" w:color="auto" w:fill="auto"/>
              </w:rPr>
            </w:pP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环境风险管理</w:t>
            </w:r>
          </w:p>
        </w:tc>
        <w:tc>
          <w:tcPr>
            <w:tcW w:w="85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应急预案</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lang w:bidi="ar"/>
              </w:rPr>
              <w:t>根据管线泄漏应急处理经验，完善现有突发环境事件应急预案</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修改完善，并定期演练</w:t>
            </w:r>
          </w:p>
        </w:tc>
        <w:tc>
          <w:tcPr>
            <w:tcW w:w="52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1"/>
                <w:sz w:val="21"/>
                <w:szCs w:val="21"/>
                <w:highlight w:val="none"/>
                <w:shd w:val="clear" w:color="auto" w:fill="auto"/>
                <w:lang w:val="en-US" w:eastAsia="zh-CN"/>
              </w:rPr>
            </w:pPr>
            <w:r>
              <w:rPr>
                <w:rFonts w:hint="eastAsia" w:ascii="Times New Roman" w:hAnsi="Times New Roman" w:cs="Times New Roman"/>
                <w:color w:val="auto"/>
                <w:spacing w:val="-11"/>
                <w:sz w:val="21"/>
                <w:szCs w:val="21"/>
                <w:highlight w:val="none"/>
                <w:shd w:val="clear" w:color="auto" w:fill="auto"/>
                <w:lang w:val="en-US" w:eastAsia="zh-CN"/>
              </w:rPr>
              <w:t>20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退役期</w:t>
            </w:r>
          </w:p>
        </w:tc>
        <w:tc>
          <w:tcPr>
            <w:tcW w:w="560"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固废</w:t>
            </w:r>
          </w:p>
        </w:tc>
        <w:tc>
          <w:tcPr>
            <w:tcW w:w="855"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r>
              <w:rPr>
                <w:rFonts w:hint="eastAsia" w:ascii="Times New Roman" w:hAnsi="Times New Roman" w:eastAsia="宋体" w:cs="Times New Roman"/>
                <w:color w:val="auto"/>
                <w:sz w:val="21"/>
                <w:szCs w:val="21"/>
                <w:highlight w:val="none"/>
                <w:shd w:val="clear" w:color="auto" w:fill="auto"/>
                <w:lang w:val="en-US" w:eastAsia="zh-CN"/>
              </w:rPr>
              <w:t>座井场及管线拆除的建筑垃圾</w:t>
            </w:r>
          </w:p>
        </w:tc>
        <w:tc>
          <w:tcPr>
            <w:tcW w:w="1711"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截去地下1m内管头；井口封堵，建筑垃圾清运至克拉玛依市建筑垃圾填埋场</w:t>
            </w:r>
          </w:p>
        </w:tc>
        <w:tc>
          <w:tcPr>
            <w:tcW w:w="1145" w:type="pct"/>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项目各井场及相关地</w:t>
            </w:r>
          </w:p>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面设施</w:t>
            </w:r>
          </w:p>
        </w:tc>
        <w:tc>
          <w:tcPr>
            <w:tcW w:w="5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205" w:type="pct"/>
            <w:vMerge w:val="continue"/>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560"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生态恢复</w:t>
            </w:r>
          </w:p>
        </w:tc>
        <w:tc>
          <w:tcPr>
            <w:tcW w:w="85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临时占地</w:t>
            </w:r>
          </w:p>
        </w:tc>
        <w:tc>
          <w:tcPr>
            <w:tcW w:w="171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完工后迹地清理并平整压实，临时占地内植被和土壤的恢复</w:t>
            </w:r>
          </w:p>
        </w:tc>
        <w:tc>
          <w:tcPr>
            <w:tcW w:w="1145"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场地平整，</w:t>
            </w:r>
            <w:r>
              <w:rPr>
                <w:rFonts w:hint="eastAsia" w:ascii="Times New Roman" w:hAnsi="Times New Roman" w:cs="Times New Roman"/>
                <w:color w:val="auto"/>
                <w:sz w:val="21"/>
                <w:szCs w:val="21"/>
                <w:highlight w:val="none"/>
                <w:shd w:val="clear" w:color="auto" w:fill="auto"/>
                <w:lang w:val="en-US" w:eastAsia="zh-CN"/>
              </w:rPr>
              <w:t>临时占地植被和土壤恢复</w:t>
            </w:r>
          </w:p>
        </w:tc>
        <w:tc>
          <w:tcPr>
            <w:tcW w:w="5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18</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1" w:type="pct"/>
            <w:gridSpan w:val="3"/>
            <w:vMerge w:val="restar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环境管理</w:t>
            </w:r>
          </w:p>
        </w:tc>
        <w:tc>
          <w:tcPr>
            <w:tcW w:w="2856" w:type="pct"/>
            <w:gridSpan w:val="2"/>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环境监理、</w:t>
            </w:r>
            <w:r>
              <w:rPr>
                <w:rFonts w:hint="default" w:ascii="Times New Roman" w:hAnsi="Times New Roman" w:cs="Times New Roman"/>
                <w:color w:val="auto"/>
                <w:sz w:val="21"/>
                <w:szCs w:val="21"/>
                <w:highlight w:val="none"/>
                <w:shd w:val="clear" w:color="auto" w:fill="auto"/>
              </w:rPr>
              <w:t>环境影响评价、环境保护竣工验收、运营期环境监测</w:t>
            </w:r>
            <w:r>
              <w:rPr>
                <w:rFonts w:hint="eastAsia" w:ascii="Times New Roman" w:hAnsi="Times New Roman" w:cs="Times New Roman"/>
                <w:color w:val="auto"/>
                <w:sz w:val="21"/>
                <w:szCs w:val="21"/>
                <w:highlight w:val="none"/>
                <w:shd w:val="clear" w:color="auto" w:fill="auto"/>
                <w:lang w:eastAsia="zh-CN"/>
              </w:rPr>
              <w:t>、</w:t>
            </w:r>
            <w:r>
              <w:rPr>
                <w:rFonts w:hint="eastAsia" w:ascii="Times New Roman" w:hAnsi="Times New Roman" w:cs="Times New Roman"/>
                <w:color w:val="auto"/>
                <w:sz w:val="21"/>
                <w:szCs w:val="21"/>
                <w:highlight w:val="none"/>
                <w:shd w:val="clear" w:color="auto" w:fill="auto"/>
                <w:lang w:val="en-US" w:eastAsia="zh-CN"/>
              </w:rPr>
              <w:t>生态监测等</w:t>
            </w:r>
          </w:p>
        </w:tc>
        <w:tc>
          <w:tcPr>
            <w:tcW w:w="5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621" w:type="pct"/>
            <w:gridSpan w:val="3"/>
            <w:vMerge w:val="continue"/>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bidi="ar-SA"/>
              </w:rPr>
            </w:pPr>
          </w:p>
        </w:tc>
        <w:tc>
          <w:tcPr>
            <w:tcW w:w="2856" w:type="pct"/>
            <w:gridSpan w:val="2"/>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cs="Times New Roman"/>
                <w:color w:val="auto"/>
                <w:sz w:val="21"/>
                <w:szCs w:val="21"/>
                <w:highlight w:val="none"/>
                <w:shd w:val="clear" w:color="auto" w:fill="auto"/>
              </w:rPr>
              <w:t>环保培训，演练</w:t>
            </w:r>
          </w:p>
        </w:tc>
        <w:tc>
          <w:tcPr>
            <w:tcW w:w="521" w:type="pct"/>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ascii="Times New Roman" w:hAnsi="Times New Roman" w:cs="Times New Roman"/>
                <w:color w:val="auto"/>
                <w:sz w:val="21"/>
                <w:szCs w:val="21"/>
                <w:highlight w:val="none"/>
                <w:shd w:val="clear" w:color="auto" w:fill="auto"/>
                <w:lang w:val="en-US" w:eastAsia="zh-CN"/>
              </w:rPr>
              <w:t>5</w:t>
            </w:r>
          </w:p>
        </w:tc>
      </w:tr>
      <w:bookmarkEnd w:id="815"/>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4478" w:type="pct"/>
            <w:gridSpan w:val="5"/>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合计</w:t>
            </w:r>
          </w:p>
        </w:tc>
        <w:tc>
          <w:tcPr>
            <w:tcW w:w="521" w:type="pct"/>
            <w:tcBorders>
              <w:tl2br w:val="nil"/>
              <w:tr2bl w:val="nil"/>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945</w:t>
            </w:r>
          </w:p>
        </w:tc>
      </w:tr>
      <w:bookmarkEnd w:id="814"/>
    </w:tbl>
    <w:p>
      <w:pPr>
        <w:pStyle w:val="49"/>
        <w:rPr>
          <w:color w:val="auto"/>
          <w:highlight w:val="none"/>
        </w:rPr>
      </w:pPr>
      <w:bookmarkStart w:id="816" w:name="_Toc1503"/>
      <w:bookmarkStart w:id="817" w:name="_Toc173941942"/>
      <w:r>
        <w:rPr>
          <w:rFonts w:hint="eastAsia"/>
          <w:color w:val="auto"/>
          <w:highlight w:val="none"/>
        </w:rPr>
        <w:t>8.4环境经济损益分析结论</w:t>
      </w:r>
      <w:bookmarkEnd w:id="816"/>
      <w:bookmarkEnd w:id="817"/>
    </w:p>
    <w:p>
      <w:pPr>
        <w:pStyle w:val="57"/>
        <w:rPr>
          <w:color w:val="auto"/>
          <w:highlight w:val="none"/>
        </w:rPr>
      </w:pPr>
      <w:r>
        <w:rPr>
          <w:rFonts w:hint="eastAsia"/>
          <w:color w:val="auto"/>
          <w:highlight w:val="none"/>
        </w:rPr>
        <w:t>本工程经分析具有良好的经济效益和社会效益。在建设过程中，由于井场、站场建设、敷设管线需要占用一定量的土地，并因此带来一定的环境损失。同时在气田开发过程中，需要投入必要的资金用于污染防治和恢复地貌等，在实施相应的环保措施后，可以起到保护环境的效果。</w:t>
      </w:r>
    </w:p>
    <w:p>
      <w:pPr>
        <w:pStyle w:val="53"/>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47"/>
        <w:rPr>
          <w:color w:val="auto"/>
          <w:highlight w:val="none"/>
        </w:rPr>
      </w:pPr>
      <w:bookmarkStart w:id="818" w:name="_Toc25604"/>
      <w:bookmarkStart w:id="819" w:name="_Toc14626"/>
      <w:bookmarkStart w:id="820" w:name="_Toc173941984"/>
      <w:bookmarkStart w:id="821" w:name="_Toc173941758"/>
      <w:bookmarkStart w:id="822" w:name="_Toc305"/>
      <w:bookmarkStart w:id="823" w:name="_Toc173942712"/>
      <w:r>
        <w:rPr>
          <w:rFonts w:hint="eastAsia"/>
          <w:color w:val="auto"/>
          <w:highlight w:val="none"/>
        </w:rPr>
        <w:t>9</w:t>
      </w:r>
      <w:r>
        <w:rPr>
          <w:color w:val="auto"/>
          <w:highlight w:val="none"/>
        </w:rPr>
        <w:t>.环境管理与监测计划</w:t>
      </w:r>
      <w:bookmarkEnd w:id="818"/>
      <w:bookmarkEnd w:id="819"/>
      <w:bookmarkEnd w:id="820"/>
      <w:bookmarkEnd w:id="821"/>
      <w:bookmarkEnd w:id="822"/>
      <w:bookmarkEnd w:id="823"/>
    </w:p>
    <w:p>
      <w:pPr>
        <w:pStyle w:val="49"/>
        <w:rPr>
          <w:color w:val="auto"/>
          <w:highlight w:val="none"/>
        </w:rPr>
      </w:pPr>
      <w:bookmarkStart w:id="824" w:name="_Toc173941759"/>
      <w:bookmarkStart w:id="825" w:name="_Toc173941985"/>
      <w:bookmarkStart w:id="826" w:name="_Toc31171"/>
      <w:bookmarkStart w:id="827" w:name="_Toc173942713"/>
      <w:bookmarkStart w:id="828" w:name="_Toc32234"/>
      <w:bookmarkStart w:id="829" w:name="_Toc463"/>
      <w:r>
        <w:rPr>
          <w:rFonts w:hint="eastAsia"/>
          <w:color w:val="auto"/>
          <w:highlight w:val="none"/>
        </w:rPr>
        <w:t>9</w:t>
      </w:r>
      <w:r>
        <w:rPr>
          <w:color w:val="auto"/>
          <w:highlight w:val="none"/>
        </w:rPr>
        <w:t>.1环境管理</w:t>
      </w:r>
      <w:bookmarkEnd w:id="824"/>
      <w:bookmarkEnd w:id="825"/>
      <w:bookmarkEnd w:id="826"/>
      <w:bookmarkEnd w:id="827"/>
      <w:bookmarkEnd w:id="828"/>
      <w:bookmarkEnd w:id="829"/>
    </w:p>
    <w:p>
      <w:pPr>
        <w:pStyle w:val="53"/>
        <w:rPr>
          <w:rFonts w:eastAsia="宋体"/>
          <w:color w:val="auto"/>
          <w:highlight w:val="none"/>
        </w:rPr>
      </w:pPr>
      <w:r>
        <w:rPr>
          <w:rFonts w:hint="eastAsia"/>
          <w:color w:val="auto"/>
          <w:highlight w:val="none"/>
        </w:rPr>
        <w:t>9</w:t>
      </w:r>
      <w:r>
        <w:rPr>
          <w:color w:val="auto"/>
          <w:highlight w:val="none"/>
        </w:rPr>
        <w:t>.1.1环境管理</w:t>
      </w:r>
      <w:r>
        <w:rPr>
          <w:rFonts w:hint="eastAsia"/>
          <w:color w:val="auto"/>
          <w:highlight w:val="none"/>
        </w:rPr>
        <w:t>机构与职责</w:t>
      </w:r>
    </w:p>
    <w:p>
      <w:pPr>
        <w:pStyle w:val="57"/>
        <w:rPr>
          <w:color w:val="auto"/>
          <w:highlight w:val="none"/>
        </w:rPr>
      </w:pPr>
      <w:r>
        <w:rPr>
          <w:rFonts w:hint="eastAsia"/>
          <w:color w:val="auto"/>
          <w:highlight w:val="none"/>
        </w:rPr>
        <w:t>本项目日常环境管理工作纳入</w:t>
      </w:r>
      <w:r>
        <w:rPr>
          <w:rFonts w:hint="eastAsia"/>
          <w:color w:val="auto"/>
          <w:highlight w:val="none"/>
          <w:lang w:eastAsia="zh-CN"/>
        </w:rPr>
        <w:t>风城油田作业区</w:t>
      </w:r>
      <w:r>
        <w:rPr>
          <w:rFonts w:hint="eastAsia"/>
          <w:color w:val="auto"/>
          <w:highlight w:val="none"/>
        </w:rPr>
        <w:t>现有QHSE管理体系。</w:t>
      </w:r>
      <w:r>
        <w:rPr>
          <w:rFonts w:hint="eastAsia"/>
          <w:color w:val="auto"/>
          <w:highlight w:val="none"/>
          <w:lang w:eastAsia="zh-CN"/>
        </w:rPr>
        <w:t>新疆油田分公司</w:t>
      </w:r>
      <w:r>
        <w:rPr>
          <w:rFonts w:hint="eastAsia"/>
          <w:color w:val="auto"/>
          <w:highlight w:val="none"/>
        </w:rPr>
        <w:t>建立了三级环境保护管理机构，形成了管理网络，油田分公司QHSE管理委员会及其办公室为一级管理职能机构，各单位QHSE管理委员会及其办公室为二级管理职能机构，基层单位QHSE管理小组及办公室为三级管理机构。油田所属各单位及一切进入</w:t>
      </w:r>
      <w:r>
        <w:rPr>
          <w:rFonts w:hint="eastAsia"/>
          <w:color w:val="auto"/>
          <w:highlight w:val="none"/>
          <w:lang w:eastAsia="zh-CN"/>
        </w:rPr>
        <w:t>新疆油田分公司</w:t>
      </w:r>
      <w:r>
        <w:rPr>
          <w:rFonts w:hint="eastAsia"/>
          <w:color w:val="auto"/>
          <w:highlight w:val="none"/>
        </w:rPr>
        <w:t>市场作业与服务的单位，必须建立健全环境保护管理职能机构，设置专</w:t>
      </w:r>
      <w:r>
        <w:rPr>
          <w:rFonts w:hint="eastAsia"/>
          <w:color w:val="auto"/>
          <w:highlight w:val="none"/>
          <w:lang w:eastAsia="zh-CN"/>
        </w:rPr>
        <w:t>（</w:t>
      </w:r>
      <w:r>
        <w:rPr>
          <w:rFonts w:hint="eastAsia"/>
          <w:color w:val="auto"/>
          <w:highlight w:val="none"/>
        </w:rPr>
        <w:t>兼</w:t>
      </w:r>
      <w:r>
        <w:rPr>
          <w:rFonts w:hint="eastAsia"/>
          <w:color w:val="auto"/>
          <w:highlight w:val="none"/>
          <w:lang w:eastAsia="zh-CN"/>
        </w:rPr>
        <w:t>）</w:t>
      </w:r>
      <w:r>
        <w:rPr>
          <w:rFonts w:hint="eastAsia"/>
          <w:color w:val="auto"/>
          <w:highlight w:val="none"/>
        </w:rPr>
        <w:t>职环保工作人员，有效开展工作。企业各单位及下属各基层单位的行政正职分别是本企业、单位、基层单位环境保护第一负责人，负责建立其QHSE管理委员会及办公室，领导环境保护工作。</w:t>
      </w:r>
    </w:p>
    <w:p>
      <w:pPr>
        <w:pStyle w:val="53"/>
        <w:rPr>
          <w:rFonts w:eastAsia="宋体"/>
          <w:color w:val="auto"/>
          <w:highlight w:val="none"/>
        </w:rPr>
      </w:pPr>
      <w:bookmarkStart w:id="830" w:name="_Toc173941986"/>
      <w:r>
        <w:rPr>
          <w:rFonts w:hint="eastAsia"/>
          <w:color w:val="auto"/>
          <w:highlight w:val="none"/>
        </w:rPr>
        <w:t>9</w:t>
      </w:r>
      <w:r>
        <w:rPr>
          <w:color w:val="auto"/>
          <w:highlight w:val="none"/>
        </w:rPr>
        <w:t>.1.</w:t>
      </w:r>
      <w:r>
        <w:rPr>
          <w:rFonts w:hint="eastAsia"/>
          <w:color w:val="auto"/>
          <w:highlight w:val="none"/>
        </w:rPr>
        <w:t>2施工期的</w:t>
      </w:r>
      <w:r>
        <w:rPr>
          <w:color w:val="auto"/>
          <w:highlight w:val="none"/>
        </w:rPr>
        <w:t>环境管理</w:t>
      </w:r>
      <w:bookmarkEnd w:id="830"/>
      <w:r>
        <w:rPr>
          <w:rFonts w:hint="eastAsia"/>
          <w:color w:val="auto"/>
          <w:highlight w:val="none"/>
        </w:rPr>
        <w:t>任务</w:t>
      </w:r>
    </w:p>
    <w:p>
      <w:pPr>
        <w:pStyle w:val="57"/>
        <w:rPr>
          <w:color w:val="auto"/>
          <w:highlight w:val="none"/>
        </w:rPr>
      </w:pPr>
      <w:r>
        <w:rPr>
          <w:color w:val="auto"/>
          <w:highlight w:val="none"/>
        </w:rPr>
        <w:t>在合理选择施工队伍的基础上，加强对管道沿线施工的环境管理工作，监督管道沿线各项环保措施的落实情况。</w:t>
      </w:r>
    </w:p>
    <w:p>
      <w:pPr>
        <w:pStyle w:val="57"/>
        <w:rPr>
          <w:color w:val="auto"/>
          <w:highlight w:val="none"/>
        </w:rPr>
      </w:pPr>
      <w:r>
        <w:rPr>
          <w:color w:val="auto"/>
          <w:highlight w:val="none"/>
        </w:rPr>
        <w:t>——合理选线，划定并尽量缩小施工作业范围，严禁超界施工；</w:t>
      </w:r>
    </w:p>
    <w:p>
      <w:pPr>
        <w:pStyle w:val="57"/>
        <w:rPr>
          <w:color w:val="auto"/>
          <w:highlight w:val="none"/>
        </w:rPr>
      </w:pPr>
      <w:r>
        <w:rPr>
          <w:color w:val="auto"/>
          <w:highlight w:val="none"/>
        </w:rPr>
        <w:t>——管道开挖作业执行“分层开挖、分层堆放、分层回填”措施；</w:t>
      </w:r>
    </w:p>
    <w:p>
      <w:pPr>
        <w:pStyle w:val="57"/>
        <w:rPr>
          <w:color w:val="auto"/>
          <w:highlight w:val="none"/>
        </w:rPr>
      </w:pPr>
      <w:r>
        <w:rPr>
          <w:color w:val="auto"/>
          <w:highlight w:val="none"/>
        </w:rPr>
        <w:t>——运输车辆按固定线路行驶，尽可能不破坏原有地表植被和土层，严格禁止施工作业区域以外的其他活动；施工结束后，凡受到施工车辆、机械破坏的地方都要及时修整，使之尽快恢复原貌。</w:t>
      </w:r>
    </w:p>
    <w:p>
      <w:pPr>
        <w:pStyle w:val="53"/>
        <w:rPr>
          <w:rFonts w:eastAsia="宋体"/>
          <w:color w:val="auto"/>
          <w:highlight w:val="none"/>
        </w:rPr>
      </w:pPr>
      <w:bookmarkStart w:id="831" w:name="_Toc173941989"/>
      <w:r>
        <w:rPr>
          <w:rFonts w:hint="eastAsia"/>
          <w:color w:val="auto"/>
          <w:highlight w:val="none"/>
        </w:rPr>
        <w:t>9</w:t>
      </w:r>
      <w:r>
        <w:rPr>
          <w:color w:val="auto"/>
          <w:highlight w:val="none"/>
        </w:rPr>
        <w:t>.1.</w:t>
      </w:r>
      <w:r>
        <w:rPr>
          <w:rFonts w:hint="eastAsia"/>
          <w:color w:val="auto"/>
          <w:highlight w:val="none"/>
        </w:rPr>
        <w:t>3</w:t>
      </w:r>
      <w:bookmarkEnd w:id="831"/>
      <w:r>
        <w:rPr>
          <w:rFonts w:hint="eastAsia"/>
          <w:color w:val="auto"/>
          <w:highlight w:val="none"/>
        </w:rPr>
        <w:t>运营期的环境管理任务</w:t>
      </w:r>
    </w:p>
    <w:p>
      <w:pPr>
        <w:pStyle w:val="57"/>
        <w:rPr>
          <w:color w:val="auto"/>
          <w:highlight w:val="none"/>
        </w:rPr>
      </w:pPr>
      <w:r>
        <w:rPr>
          <w:rFonts w:hint="eastAsia"/>
          <w:color w:val="auto"/>
          <w:highlight w:val="none"/>
          <w:lang w:eastAsia="zh-CN"/>
        </w:rPr>
        <w:t>风城油田作业区</w:t>
      </w:r>
      <w:r>
        <w:rPr>
          <w:rFonts w:hint="eastAsia"/>
          <w:color w:val="auto"/>
          <w:highlight w:val="none"/>
        </w:rPr>
        <w:t>QHSE管理委员会办公室（质量安全环保科）是环境保护的归口管理部门，主要职责是：</w:t>
      </w:r>
    </w:p>
    <w:p>
      <w:pPr>
        <w:pStyle w:val="57"/>
        <w:rPr>
          <w:color w:val="auto"/>
          <w:highlight w:val="none"/>
        </w:rPr>
      </w:pPr>
      <w:r>
        <w:rPr>
          <w:rFonts w:hint="eastAsia"/>
          <w:color w:val="auto"/>
          <w:highlight w:val="none"/>
        </w:rPr>
        <w:t>（1）运营期的QHSE管理体系纳入</w:t>
      </w:r>
      <w:r>
        <w:rPr>
          <w:rFonts w:hint="eastAsia"/>
          <w:color w:val="auto"/>
          <w:highlight w:val="none"/>
          <w:lang w:eastAsia="zh-CN"/>
        </w:rPr>
        <w:t>新疆油田分公司风城油田作业区</w:t>
      </w:r>
      <w:r>
        <w:rPr>
          <w:rFonts w:hint="eastAsia"/>
          <w:color w:val="auto"/>
          <w:highlight w:val="none"/>
        </w:rPr>
        <w:t>QHSE系统统一管理。</w:t>
      </w:r>
    </w:p>
    <w:p>
      <w:pPr>
        <w:pStyle w:val="57"/>
        <w:rPr>
          <w:color w:val="auto"/>
          <w:highlight w:val="none"/>
        </w:rPr>
      </w:pPr>
      <w:r>
        <w:rPr>
          <w:rFonts w:hint="eastAsia"/>
          <w:color w:val="auto"/>
          <w:highlight w:val="none"/>
        </w:rPr>
        <w:t>（2）协助有关生态环境部门进行环境保护设施的竣工验收工作，贯彻执行国家、地方及上级部门有关环境保护方针、政策、法律、法规。</w:t>
      </w:r>
    </w:p>
    <w:p>
      <w:pPr>
        <w:pStyle w:val="57"/>
        <w:rPr>
          <w:color w:val="auto"/>
          <w:highlight w:val="none"/>
        </w:rPr>
      </w:pPr>
      <w:r>
        <w:rPr>
          <w:rFonts w:hint="eastAsia"/>
          <w:color w:val="auto"/>
          <w:highlight w:val="none"/>
        </w:rPr>
        <w:t>（3）负责集输管线的日常环境保护管理工作及定期进行环保安全检查，如生态恢复、环境监测等。</w:t>
      </w:r>
    </w:p>
    <w:p>
      <w:pPr>
        <w:pStyle w:val="57"/>
        <w:rPr>
          <w:color w:val="auto"/>
          <w:highlight w:val="none"/>
        </w:rPr>
      </w:pPr>
      <w:r>
        <w:rPr>
          <w:rFonts w:hint="eastAsia"/>
          <w:color w:val="auto"/>
          <w:highlight w:val="none"/>
        </w:rPr>
        <w:t>（4）编制各种突发事故的应急计划。</w:t>
      </w:r>
    </w:p>
    <w:p>
      <w:pPr>
        <w:pStyle w:val="57"/>
        <w:rPr>
          <w:color w:val="auto"/>
          <w:highlight w:val="none"/>
          <w:lang w:val="zh-CN"/>
        </w:rPr>
      </w:pPr>
      <w:r>
        <w:rPr>
          <w:rFonts w:hint="eastAsia"/>
          <w:color w:val="auto"/>
          <w:highlight w:val="none"/>
        </w:rPr>
        <w:t>（5）</w:t>
      </w:r>
      <w:r>
        <w:rPr>
          <w:rFonts w:hint="eastAsia"/>
          <w:color w:val="auto"/>
          <w:highlight w:val="none"/>
          <w:lang w:val="zh-CN"/>
        </w:rPr>
        <w:t>根据《</w:t>
      </w:r>
      <w:bookmarkStart w:id="832" w:name="OLE_LINK109"/>
      <w:r>
        <w:rPr>
          <w:rFonts w:hint="eastAsia"/>
          <w:color w:val="auto"/>
          <w:highlight w:val="none"/>
          <w:lang w:val="zh-CN"/>
        </w:rPr>
        <w:t>危险废物管理计划和管理台账制定技术导则</w:t>
      </w:r>
      <w:bookmarkEnd w:id="832"/>
      <w:r>
        <w:rPr>
          <w:rFonts w:hint="eastAsia"/>
          <w:color w:val="auto"/>
          <w:highlight w:val="none"/>
          <w:lang w:val="zh-CN"/>
        </w:rPr>
        <w:t>》（HJ</w:t>
      </w:r>
      <w:r>
        <w:rPr>
          <w:rFonts w:hint="eastAsia"/>
          <w:color w:val="auto"/>
          <w:highlight w:val="none"/>
          <w:lang w:val="en-US" w:eastAsia="zh-CN"/>
        </w:rPr>
        <w:t xml:space="preserve"> 1259</w:t>
      </w:r>
      <w:r>
        <w:rPr>
          <w:rFonts w:hint="eastAsia"/>
          <w:color w:val="auto"/>
          <w:highlight w:val="none"/>
          <w:lang w:val="zh-CN"/>
        </w:rPr>
        <w:t>-2022）中相关内容，制定危险废物管理计划和管理台账，并通过国家危险废物信息管理系统向所在地生态环境主管部门申报危险废物的种类、产生量、流向、贮存、利用、处置等有关资料。</w:t>
      </w:r>
    </w:p>
    <w:p>
      <w:pPr>
        <w:pStyle w:val="57"/>
        <w:rPr>
          <w:color w:val="auto"/>
          <w:highlight w:val="none"/>
        </w:rPr>
      </w:pPr>
      <w:r>
        <w:rPr>
          <w:rFonts w:hint="eastAsia"/>
          <w:color w:val="auto"/>
          <w:highlight w:val="none"/>
        </w:rPr>
        <w:t>（6）组织开展环境保护宣传教育、技术和经验交流活动，推广先进技术和科研成果，对全体员工组织开展环境保护培训。</w:t>
      </w:r>
    </w:p>
    <w:p>
      <w:pPr>
        <w:pStyle w:val="57"/>
        <w:rPr>
          <w:color w:val="auto"/>
          <w:highlight w:val="none"/>
        </w:rPr>
      </w:pPr>
      <w:r>
        <w:rPr>
          <w:rFonts w:hint="eastAsia"/>
          <w:color w:val="auto"/>
          <w:highlight w:val="none"/>
        </w:rPr>
        <w:t>（7）强化基础工作，建立完整、规范、准确的环境基础资料，环境统计报表和环境保护技术档案。</w:t>
      </w:r>
    </w:p>
    <w:p>
      <w:pPr>
        <w:pStyle w:val="57"/>
        <w:rPr>
          <w:color w:val="auto"/>
          <w:highlight w:val="none"/>
        </w:rPr>
      </w:pPr>
      <w:r>
        <w:rPr>
          <w:rFonts w:hint="eastAsia"/>
          <w:color w:val="auto"/>
          <w:highlight w:val="none"/>
        </w:rPr>
        <w:t>（8）参加调查、分析、处理环境污染事故，并负责统计上报事故的基本情况及处理结果，协同有关部门制定防治污染事故的措施，并监督实施。</w:t>
      </w:r>
    </w:p>
    <w:p>
      <w:pPr>
        <w:pStyle w:val="53"/>
        <w:rPr>
          <w:color w:val="auto"/>
          <w:highlight w:val="none"/>
        </w:rPr>
      </w:pPr>
      <w:r>
        <w:rPr>
          <w:rFonts w:hint="eastAsia"/>
          <w:color w:val="auto"/>
          <w:highlight w:val="none"/>
        </w:rPr>
        <w:t>9</w:t>
      </w:r>
      <w:r>
        <w:rPr>
          <w:color w:val="auto"/>
          <w:highlight w:val="none"/>
        </w:rPr>
        <w:t>.</w:t>
      </w:r>
      <w:r>
        <w:rPr>
          <w:rFonts w:hint="eastAsia"/>
          <w:color w:val="auto"/>
          <w:highlight w:val="none"/>
        </w:rPr>
        <w:t>1.4退役期的环境管理任务</w:t>
      </w:r>
    </w:p>
    <w:p>
      <w:pPr>
        <w:pStyle w:val="57"/>
        <w:rPr>
          <w:color w:val="auto"/>
          <w:highlight w:val="none"/>
        </w:rPr>
      </w:pPr>
      <w:r>
        <w:rPr>
          <w:color w:val="auto"/>
          <w:highlight w:val="none"/>
        </w:rPr>
        <w:t>在合理选择施工队伍的基础上，加强对</w:t>
      </w:r>
      <w:r>
        <w:rPr>
          <w:rFonts w:hint="eastAsia"/>
          <w:color w:val="auto"/>
          <w:highlight w:val="none"/>
        </w:rPr>
        <w:t>退役井场</w:t>
      </w:r>
      <w:r>
        <w:rPr>
          <w:rFonts w:hint="eastAsia"/>
          <w:color w:val="auto"/>
          <w:highlight w:val="none"/>
          <w:lang w:eastAsia="zh-CN"/>
        </w:rPr>
        <w:t>、</w:t>
      </w:r>
      <w:r>
        <w:rPr>
          <w:rFonts w:hint="eastAsia"/>
          <w:color w:val="auto"/>
          <w:highlight w:val="none"/>
          <w:lang w:val="en-US" w:eastAsia="zh-CN"/>
        </w:rPr>
        <w:t>站场</w:t>
      </w:r>
      <w:r>
        <w:rPr>
          <w:rFonts w:hint="eastAsia"/>
          <w:color w:val="auto"/>
          <w:highlight w:val="none"/>
        </w:rPr>
        <w:t>、管线</w:t>
      </w:r>
      <w:r>
        <w:rPr>
          <w:color w:val="auto"/>
          <w:highlight w:val="none"/>
        </w:rPr>
        <w:t>的环境管理工作，监督</w:t>
      </w:r>
      <w:r>
        <w:rPr>
          <w:rFonts w:hint="eastAsia"/>
          <w:color w:val="auto"/>
          <w:highlight w:val="none"/>
        </w:rPr>
        <w:t>退役期</w:t>
      </w:r>
      <w:r>
        <w:rPr>
          <w:color w:val="auto"/>
          <w:highlight w:val="none"/>
        </w:rPr>
        <w:t>各项环保措施的落实情况。</w:t>
      </w:r>
    </w:p>
    <w:p>
      <w:pPr>
        <w:pStyle w:val="57"/>
        <w:numPr>
          <w:ilvl w:val="0"/>
          <w:numId w:val="2"/>
        </w:numPr>
        <w:rPr>
          <w:color w:val="auto"/>
          <w:szCs w:val="22"/>
          <w:highlight w:val="none"/>
          <w:lang w:val="zh-CN"/>
        </w:rPr>
      </w:pPr>
      <w:r>
        <w:rPr>
          <w:rFonts w:hint="eastAsia"/>
          <w:color w:val="auto"/>
          <w:highlight w:val="none"/>
        </w:rPr>
        <w:t>加强封井施工质量管理，避免出现封井不严等非正常工况的烃类泄漏，保</w:t>
      </w:r>
      <w:r>
        <w:rPr>
          <w:color w:val="auto"/>
          <w:szCs w:val="22"/>
          <w:highlight w:val="none"/>
          <w:lang w:val="zh-CN"/>
        </w:rPr>
        <w:t>证对各类废弃井采取的固井、封井措施有效可行，防止发生油水窜层，污染地下水资源。</w:t>
      </w:r>
    </w:p>
    <w:p>
      <w:pPr>
        <w:pStyle w:val="57"/>
        <w:numPr>
          <w:ilvl w:val="0"/>
          <w:numId w:val="2"/>
        </w:numPr>
        <w:rPr>
          <w:color w:val="auto"/>
          <w:szCs w:val="22"/>
          <w:highlight w:val="none"/>
        </w:rPr>
      </w:pPr>
      <w:r>
        <w:rPr>
          <w:rFonts w:hint="eastAsia"/>
          <w:color w:val="auto"/>
          <w:highlight w:val="none"/>
        </w:rPr>
        <w:t>加强退役期施工过程管理。妥善处置</w:t>
      </w:r>
      <w:r>
        <w:rPr>
          <w:color w:val="auto"/>
          <w:highlight w:val="none"/>
        </w:rPr>
        <w:t>地面设施拆除、井场</w:t>
      </w:r>
      <w:r>
        <w:rPr>
          <w:rFonts w:hint="eastAsia"/>
          <w:color w:val="auto"/>
          <w:highlight w:val="none"/>
          <w:lang w:val="en-US" w:eastAsia="zh-CN"/>
        </w:rPr>
        <w:t>和站场</w:t>
      </w:r>
      <w:r>
        <w:rPr>
          <w:color w:val="auto"/>
          <w:highlight w:val="none"/>
        </w:rPr>
        <w:t>清理等工作中会产生废弃管线、废弃建筑残渣</w:t>
      </w:r>
      <w:r>
        <w:rPr>
          <w:rFonts w:hint="eastAsia"/>
          <w:color w:val="auto"/>
          <w:highlight w:val="none"/>
        </w:rPr>
        <w:t>等</w:t>
      </w:r>
      <w:r>
        <w:rPr>
          <w:color w:val="auto"/>
          <w:highlight w:val="none"/>
        </w:rPr>
        <w:t>，做到“工完、料尽、场地清”。</w:t>
      </w:r>
    </w:p>
    <w:p>
      <w:pPr>
        <w:pStyle w:val="57"/>
        <w:numPr>
          <w:ilvl w:val="0"/>
          <w:numId w:val="2"/>
        </w:numPr>
        <w:rPr>
          <w:color w:val="auto"/>
          <w:szCs w:val="22"/>
          <w:highlight w:val="none"/>
        </w:rPr>
      </w:pPr>
      <w:r>
        <w:rPr>
          <w:color w:val="auto"/>
          <w:szCs w:val="22"/>
          <w:highlight w:val="none"/>
        </w:rPr>
        <w:t>加强</w:t>
      </w:r>
      <w:r>
        <w:rPr>
          <w:rFonts w:hint="eastAsia"/>
          <w:color w:val="auto"/>
          <w:szCs w:val="22"/>
          <w:highlight w:val="none"/>
        </w:rPr>
        <w:t>对</w:t>
      </w:r>
      <w:r>
        <w:rPr>
          <w:rFonts w:hint="eastAsia"/>
          <w:color w:val="auto"/>
          <w:highlight w:val="none"/>
        </w:rPr>
        <w:t>退役期</w:t>
      </w:r>
      <w:r>
        <w:rPr>
          <w:rFonts w:hint="eastAsia"/>
          <w:color w:val="auto"/>
          <w:szCs w:val="22"/>
          <w:highlight w:val="none"/>
        </w:rPr>
        <w:t>施工队伍及其</w:t>
      </w:r>
      <w:r>
        <w:rPr>
          <w:color w:val="auto"/>
          <w:szCs w:val="22"/>
          <w:highlight w:val="none"/>
        </w:rPr>
        <w:t>运输车辆管理，合理规划运输路线，禁止运输车辆随意高声鸣笛。</w:t>
      </w:r>
    </w:p>
    <w:p>
      <w:pPr>
        <w:pStyle w:val="57"/>
        <w:numPr>
          <w:ilvl w:val="0"/>
          <w:numId w:val="2"/>
        </w:numPr>
        <w:rPr>
          <w:color w:val="auto"/>
          <w:szCs w:val="22"/>
          <w:highlight w:val="none"/>
        </w:rPr>
      </w:pPr>
      <w:r>
        <w:rPr>
          <w:color w:val="auto"/>
          <w:szCs w:val="22"/>
          <w:highlight w:val="none"/>
        </w:rPr>
        <w:t>组织开展环境保护宣传教育</w:t>
      </w:r>
      <w:r>
        <w:rPr>
          <w:rFonts w:hint="eastAsia"/>
          <w:color w:val="auto"/>
          <w:szCs w:val="22"/>
          <w:highlight w:val="none"/>
        </w:rPr>
        <w:t>，</w:t>
      </w:r>
      <w:r>
        <w:rPr>
          <w:color w:val="auto"/>
          <w:szCs w:val="22"/>
          <w:highlight w:val="none"/>
        </w:rPr>
        <w:t>对全体员工组织开展环境保护培训。</w:t>
      </w:r>
    </w:p>
    <w:p>
      <w:pPr>
        <w:pStyle w:val="53"/>
        <w:rPr>
          <w:color w:val="auto"/>
          <w:highlight w:val="none"/>
        </w:rPr>
      </w:pPr>
      <w:r>
        <w:rPr>
          <w:color w:val="auto"/>
          <w:highlight w:val="none"/>
        </w:rPr>
        <w:fldChar w:fldCharType="begin"/>
      </w:r>
      <w:r>
        <w:rPr>
          <w:color w:val="auto"/>
          <w:highlight w:val="none"/>
        </w:rPr>
        <w:instrText xml:space="preserve"> HYPERLINK \l "_Toc4059" </w:instrText>
      </w:r>
      <w:r>
        <w:rPr>
          <w:color w:val="auto"/>
          <w:highlight w:val="none"/>
        </w:rPr>
        <w:fldChar w:fldCharType="separate"/>
      </w:r>
      <w:r>
        <w:rPr>
          <w:rFonts w:hint="eastAsia"/>
          <w:color w:val="auto"/>
          <w:highlight w:val="none"/>
        </w:rPr>
        <w:t>9.1.5 环境管理计划</w:t>
      </w:r>
      <w:r>
        <w:rPr>
          <w:rFonts w:hint="eastAsia"/>
          <w:color w:val="auto"/>
          <w:highlight w:val="none"/>
        </w:rPr>
        <w:fldChar w:fldCharType="end"/>
      </w:r>
    </w:p>
    <w:p>
      <w:pPr>
        <w:pStyle w:val="57"/>
        <w:rPr>
          <w:color w:val="auto"/>
          <w:highlight w:val="none"/>
        </w:rPr>
      </w:pPr>
      <w:r>
        <w:rPr>
          <w:rFonts w:hint="eastAsia"/>
          <w:color w:val="auto"/>
          <w:highlight w:val="none"/>
        </w:rPr>
        <w:t>为了最大限度地减轻施工期作业活动对沿线生态环境的不利影响，减少运营期事故的发生，确保管道安全运行，建立科学有效的环境管理体制，落实各项环保和安全措施显得尤为重要。根据QHSE管理体系及清洁生产的要求，结合区域环境特征，分别对施工期和运营期提出本工程的环境管理计划。各个阶段环境管理/监理的内容、实施部门及监督机构见表9.1-1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rFonts w:hint="eastAsia"/>
          <w:color w:val="auto"/>
          <w:highlight w:val="none"/>
        </w:rPr>
        <w:t>表9</w:t>
      </w:r>
      <w:r>
        <w:rPr>
          <w:color w:val="auto"/>
          <w:highlight w:val="none"/>
        </w:rPr>
        <w:t xml:space="preserve">.1-1        </w:t>
      </w:r>
      <w:r>
        <w:rPr>
          <w:rFonts w:hint="eastAsia"/>
          <w:color w:val="auto"/>
          <w:highlight w:val="none"/>
        </w:rPr>
        <w:t>拟建工程环境管理和监督计划</w:t>
      </w:r>
    </w:p>
    <w:tbl>
      <w:tblPr>
        <w:tblStyle w:val="34"/>
        <w:tblW w:w="503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28" w:type="dxa"/>
          <w:bottom w:w="0" w:type="dxa"/>
          <w:right w:w="28" w:type="dxa"/>
        </w:tblCellMar>
      </w:tblPr>
      <w:tblGrid>
        <w:gridCol w:w="417"/>
        <w:gridCol w:w="428"/>
        <w:gridCol w:w="928"/>
        <w:gridCol w:w="5299"/>
        <w:gridCol w:w="811"/>
        <w:gridCol w:w="84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659" w:hRule="atLeast"/>
          <w:jc w:val="center"/>
        </w:trPr>
        <w:tc>
          <w:tcPr>
            <w:tcW w:w="239"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阶</w:t>
            </w:r>
          </w:p>
          <w:p>
            <w:pPr>
              <w:rPr>
                <w:rFonts w:hAnsi="宋体"/>
                <w:color w:val="auto"/>
                <w:spacing w:val="-10"/>
                <w:sz w:val="23"/>
                <w:szCs w:val="23"/>
                <w:highlight w:val="none"/>
              </w:rPr>
            </w:pPr>
            <w:r>
              <w:rPr>
                <w:rFonts w:hint="eastAsia" w:hAnsi="宋体"/>
                <w:color w:val="auto"/>
                <w:spacing w:val="-10"/>
                <w:sz w:val="23"/>
                <w:szCs w:val="23"/>
                <w:highlight w:val="none"/>
              </w:rPr>
              <w:t>段</w:t>
            </w:r>
          </w:p>
        </w:tc>
        <w:tc>
          <w:tcPr>
            <w:tcW w:w="776" w:type="pct"/>
            <w:gridSpan w:val="2"/>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影响因素</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防治措施建议</w:t>
            </w:r>
          </w:p>
        </w:tc>
        <w:tc>
          <w:tcPr>
            <w:tcW w:w="464"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实施</w:t>
            </w:r>
          </w:p>
          <w:p>
            <w:pPr>
              <w:rPr>
                <w:rFonts w:hAnsi="宋体"/>
                <w:color w:val="auto"/>
                <w:spacing w:val="-10"/>
                <w:sz w:val="23"/>
                <w:szCs w:val="23"/>
                <w:highlight w:val="none"/>
              </w:rPr>
            </w:pPr>
            <w:r>
              <w:rPr>
                <w:rFonts w:hint="eastAsia" w:hAnsi="宋体"/>
                <w:color w:val="auto"/>
                <w:spacing w:val="-10"/>
                <w:sz w:val="23"/>
                <w:szCs w:val="23"/>
                <w:highlight w:val="none"/>
              </w:rPr>
              <w:t>机构</w:t>
            </w:r>
          </w:p>
        </w:tc>
        <w:tc>
          <w:tcPr>
            <w:tcW w:w="485"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监督管理机构</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施工期</w:t>
            </w:r>
          </w:p>
        </w:tc>
        <w:tc>
          <w:tcPr>
            <w:tcW w:w="245"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生态保护</w:t>
            </w: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土地占用</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严格控制施工占地面积，严格控制井位外围作业范围，施工现场严格管理，施工结束后尽快恢复临时性占用</w:t>
            </w:r>
          </w:p>
        </w:tc>
        <w:tc>
          <w:tcPr>
            <w:tcW w:w="464"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施工单位、环境监理单位及建设单位</w:t>
            </w:r>
          </w:p>
        </w:tc>
        <w:tc>
          <w:tcPr>
            <w:tcW w:w="485"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建设单位环保部门及当地生态环境</w:t>
            </w:r>
          </w:p>
          <w:p>
            <w:pPr>
              <w:rPr>
                <w:rFonts w:hAnsi="宋体"/>
                <w:color w:val="auto"/>
                <w:spacing w:val="-10"/>
                <w:sz w:val="23"/>
                <w:szCs w:val="23"/>
                <w:highlight w:val="none"/>
              </w:rPr>
            </w:pPr>
            <w:r>
              <w:rPr>
                <w:rFonts w:hint="eastAsia" w:hAnsi="宋体"/>
                <w:color w:val="auto"/>
                <w:spacing w:val="-10"/>
                <w:sz w:val="23"/>
                <w:szCs w:val="23"/>
                <w:highlight w:val="none"/>
              </w:rPr>
              <w:t>主管部门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动物</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加强施工人员的管理，严禁对野生动物的捕猎等</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植被</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保护灌丛植被；收集保存表层土，临时占地及时清理；施工过程中严格规定车辆和各类工作人员的活动范围，使之限于在施工区范围内活动，严禁破坏占地范围外的植被</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水土保持</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主体工程与水保措施同时施工，并加强临时防护措施，土石方按规范放置，做好防护措施等</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防沙治沙</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主体工程与防沙治沙措施同时施工，并加强临时防护措施，做好防护措施等</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污染防治</w:t>
            </w: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施工扬尘</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避免大风天作业等；施工结束后尽快对施工场地进行恢复平整，减少风蚀量</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废水</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钻井废水循环携带出井口，在地面经振动筛分离出来，进入不落地系统，分离后的钻井液循环使用；管线试压废水属于清净废水，试压完成后用于降尘；生活污水排入生活污水池暂存，定期拉运至乌尔禾污水处理厂处理；压裂返排液采用专用罐回收，集中收集进入风城二号稠油联合站采出水处理系统进行处理</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int="eastAsia" w:ascii="Times New Roman" w:hAnsi="宋体" w:eastAsia="宋体" w:cs="Times New Roman"/>
                <w:color w:val="auto"/>
                <w:spacing w:val="-10"/>
                <w:sz w:val="23"/>
                <w:szCs w:val="23"/>
                <w:highlight w:val="none"/>
              </w:rPr>
            </w:pPr>
            <w:r>
              <w:rPr>
                <w:rFonts w:hint="eastAsia" w:ascii="Times New Roman" w:hAnsi="宋体" w:eastAsia="宋体" w:cs="Times New Roman"/>
                <w:color w:val="auto"/>
                <w:spacing w:val="-10"/>
                <w:sz w:val="23"/>
                <w:szCs w:val="23"/>
                <w:highlight w:val="none"/>
              </w:rPr>
              <w:t>固体废物</w:t>
            </w:r>
          </w:p>
        </w:tc>
        <w:tc>
          <w:tcPr>
            <w:tcW w:w="3033" w:type="pct"/>
            <w:tcBorders>
              <w:tl2br w:val="nil"/>
              <w:tr2bl w:val="nil"/>
            </w:tcBorders>
            <w:vAlign w:val="center"/>
          </w:tcPr>
          <w:p>
            <w:pPr>
              <w:rPr>
                <w:rFonts w:hint="eastAsia" w:ascii="Times New Roman" w:hAnsi="宋体" w:eastAsia="宋体" w:cs="Times New Roman"/>
                <w:color w:val="auto"/>
                <w:spacing w:val="-10"/>
                <w:sz w:val="23"/>
                <w:szCs w:val="23"/>
                <w:highlight w:val="none"/>
              </w:rPr>
            </w:pPr>
            <w:bookmarkStart w:id="833" w:name="OLE_LINK97"/>
            <w:r>
              <w:rPr>
                <w:rFonts w:hint="eastAsia" w:ascii="Times New Roman" w:hAnsi="宋体" w:eastAsia="宋体" w:cs="Times New Roman"/>
                <w:color w:val="auto"/>
                <w:spacing w:val="-10"/>
                <w:sz w:val="23"/>
                <w:szCs w:val="23"/>
                <w:highlight w:val="none"/>
                <w:lang w:eastAsia="zh-CN"/>
              </w:rPr>
              <w:t>本工程钻井采用泥浆不落地系统，</w:t>
            </w:r>
            <w:r>
              <w:rPr>
                <w:rFonts w:hint="eastAsia" w:ascii="Times New Roman" w:hAnsi="宋体" w:eastAsia="宋体" w:cs="Times New Roman"/>
                <w:color w:val="auto"/>
                <w:spacing w:val="-10"/>
                <w:sz w:val="23"/>
                <w:szCs w:val="23"/>
                <w:highlight w:val="none"/>
                <w:lang w:val="en-US" w:eastAsia="zh-CN"/>
              </w:rPr>
              <w:t>一开、二开水基</w:t>
            </w:r>
            <w:r>
              <w:rPr>
                <w:rFonts w:hint="eastAsia" w:ascii="Times New Roman" w:hAnsi="宋体" w:eastAsia="宋体" w:cs="Times New Roman"/>
                <w:color w:val="auto"/>
                <w:spacing w:val="-10"/>
                <w:sz w:val="23"/>
                <w:szCs w:val="23"/>
                <w:highlight w:val="none"/>
              </w:rPr>
              <w:t>钻井泥浆及岩屑经泥浆不落地系统处理后，液相泥浆进罐收集，循环使用</w:t>
            </w:r>
            <w:r>
              <w:rPr>
                <w:rFonts w:hint="eastAsia" w:ascii="Times New Roman" w:hAnsi="宋体" w:eastAsia="宋体" w:cs="Times New Roman"/>
                <w:color w:val="auto"/>
                <w:spacing w:val="-10"/>
                <w:sz w:val="23"/>
                <w:szCs w:val="23"/>
                <w:highlight w:val="none"/>
                <w:lang w:eastAsia="zh-CN"/>
              </w:rPr>
              <w:t>，完井后剩余泥浆由钻井液分公司回收；</w:t>
            </w:r>
            <w:r>
              <w:rPr>
                <w:rFonts w:hint="eastAsia" w:ascii="Times New Roman" w:hAnsi="宋体" w:eastAsia="宋体" w:cs="Times New Roman"/>
                <w:color w:val="auto"/>
                <w:spacing w:val="-10"/>
                <w:sz w:val="23"/>
                <w:szCs w:val="23"/>
                <w:highlight w:val="none"/>
              </w:rPr>
              <w:t>分离后的固相暂存于岩屑储罐，委托第三方处置单位进行处理，处理后经检测满足《油气田钻井固体废物综合利用污染控制要求》（DB65/T3997-2017）中相关标准要求后综合利用</w:t>
            </w:r>
            <w:r>
              <w:rPr>
                <w:rFonts w:hint="eastAsia" w:ascii="Times New Roman" w:hAnsi="宋体" w:eastAsia="宋体" w:cs="Times New Roman"/>
                <w:color w:val="auto"/>
                <w:spacing w:val="-10"/>
                <w:sz w:val="23"/>
                <w:szCs w:val="23"/>
                <w:highlight w:val="none"/>
                <w:lang w:eastAsia="zh-CN"/>
              </w:rPr>
              <w:t>；</w:t>
            </w:r>
            <w:r>
              <w:rPr>
                <w:rFonts w:hint="eastAsia" w:ascii="Times New Roman" w:hAnsi="宋体" w:eastAsia="宋体" w:cs="Times New Roman"/>
                <w:color w:val="auto"/>
                <w:spacing w:val="-10"/>
                <w:sz w:val="23"/>
                <w:szCs w:val="23"/>
                <w:highlight w:val="none"/>
                <w:lang w:val="en-US" w:eastAsia="zh-CN"/>
              </w:rPr>
              <w:t>三开油基</w:t>
            </w:r>
            <w:r>
              <w:rPr>
                <w:rFonts w:hint="eastAsia" w:ascii="Times New Roman" w:hAnsi="宋体" w:eastAsia="宋体" w:cs="Times New Roman"/>
                <w:color w:val="auto"/>
                <w:spacing w:val="-10"/>
                <w:sz w:val="23"/>
                <w:szCs w:val="23"/>
                <w:highlight w:val="none"/>
              </w:rPr>
              <w:t>钻井泥浆及岩屑经泥浆不落地系统处理后，液相泥浆进罐收集，循环使用</w:t>
            </w:r>
            <w:r>
              <w:rPr>
                <w:rFonts w:hint="eastAsia" w:ascii="Times New Roman" w:hAnsi="宋体" w:eastAsia="宋体" w:cs="Times New Roman"/>
                <w:color w:val="auto"/>
                <w:spacing w:val="-10"/>
                <w:sz w:val="23"/>
                <w:szCs w:val="23"/>
                <w:highlight w:val="none"/>
                <w:lang w:eastAsia="zh-CN"/>
              </w:rPr>
              <w:t>，完井后剩余泥浆由钻井液分公司回收；</w:t>
            </w:r>
            <w:r>
              <w:rPr>
                <w:rFonts w:hint="eastAsia" w:ascii="Times New Roman" w:hAnsi="宋体" w:eastAsia="宋体" w:cs="Times New Roman"/>
                <w:color w:val="auto"/>
                <w:spacing w:val="-10"/>
                <w:sz w:val="23"/>
                <w:szCs w:val="23"/>
                <w:highlight w:val="none"/>
                <w:lang w:val="en-US" w:eastAsia="zh-CN"/>
              </w:rPr>
              <w:t>分离后的固相</w:t>
            </w:r>
            <w:r>
              <w:rPr>
                <w:rFonts w:hint="eastAsia" w:ascii="Times New Roman" w:hAnsi="宋体" w:eastAsia="宋体" w:cs="Times New Roman"/>
                <w:color w:val="auto"/>
                <w:spacing w:val="-10"/>
                <w:sz w:val="23"/>
                <w:szCs w:val="23"/>
                <w:highlight w:val="none"/>
                <w:lang w:val="en-US"/>
              </w:rPr>
              <w:t>暂存于</w:t>
            </w:r>
            <w:r>
              <w:rPr>
                <w:rFonts w:hint="eastAsia" w:ascii="Times New Roman" w:hAnsi="宋体" w:eastAsia="宋体" w:cs="Times New Roman"/>
                <w:color w:val="auto"/>
                <w:spacing w:val="-10"/>
                <w:sz w:val="23"/>
                <w:szCs w:val="23"/>
                <w:highlight w:val="none"/>
                <w:lang w:val="en-US" w:eastAsia="zh-CN"/>
              </w:rPr>
              <w:t>专用油基</w:t>
            </w:r>
            <w:r>
              <w:rPr>
                <w:rFonts w:hint="eastAsia" w:ascii="Times New Roman" w:hAnsi="宋体" w:eastAsia="宋体" w:cs="Times New Roman"/>
                <w:color w:val="auto"/>
                <w:spacing w:val="-10"/>
                <w:sz w:val="23"/>
                <w:szCs w:val="23"/>
                <w:highlight w:val="none"/>
                <w:lang w:val="en-US"/>
              </w:rPr>
              <w:t>岩屑储罐</w:t>
            </w:r>
            <w:r>
              <w:rPr>
                <w:rFonts w:hint="eastAsia" w:ascii="Times New Roman" w:hAnsi="宋体" w:eastAsia="宋体" w:cs="Times New Roman"/>
                <w:color w:val="auto"/>
                <w:spacing w:val="-10"/>
                <w:sz w:val="23"/>
                <w:szCs w:val="23"/>
                <w:highlight w:val="none"/>
                <w:lang w:val="en-US" w:eastAsia="zh-CN"/>
              </w:rPr>
              <w:t>，委托有相应危险废物处理资质的单位进行无害化处理</w:t>
            </w:r>
            <w:r>
              <w:rPr>
                <w:rFonts w:hint="default" w:ascii="Times New Roman" w:hAnsi="宋体" w:eastAsia="宋体" w:cs="Times New Roman"/>
                <w:color w:val="auto"/>
                <w:spacing w:val="-10"/>
                <w:sz w:val="23"/>
                <w:szCs w:val="23"/>
                <w:highlight w:val="none"/>
              </w:rPr>
              <w:t>；</w:t>
            </w:r>
            <w:bookmarkEnd w:id="833"/>
            <w:r>
              <w:rPr>
                <w:rFonts w:hint="default" w:ascii="Times New Roman" w:hAnsi="宋体" w:eastAsia="宋体" w:cs="Times New Roman"/>
                <w:color w:val="auto"/>
                <w:spacing w:val="-10"/>
                <w:sz w:val="23"/>
                <w:szCs w:val="23"/>
                <w:highlight w:val="none"/>
              </w:rPr>
              <w:t>废油、含油废物委托有危废处置资质单位进行处置；施工土方全部用于管沟和井场回填；施工废料首先考虑回收利用，不可回收利用部分拉运至</w:t>
            </w:r>
            <w:r>
              <w:rPr>
                <w:rFonts w:hint="eastAsia" w:ascii="Times New Roman" w:hAnsi="宋体" w:eastAsia="宋体" w:cs="Times New Roman"/>
                <w:color w:val="auto"/>
                <w:spacing w:val="-10"/>
                <w:sz w:val="23"/>
                <w:szCs w:val="23"/>
                <w:highlight w:val="none"/>
                <w:lang w:val="en-US" w:eastAsia="zh-CN"/>
              </w:rPr>
              <w:t>克拉玛依市</w:t>
            </w:r>
            <w:r>
              <w:rPr>
                <w:rFonts w:hint="eastAsia" w:ascii="Times New Roman" w:hAnsi="宋体" w:eastAsia="宋体" w:cs="Times New Roman"/>
                <w:color w:val="auto"/>
                <w:spacing w:val="-10"/>
                <w:sz w:val="23"/>
                <w:szCs w:val="23"/>
                <w:highlight w:val="none"/>
                <w:lang w:eastAsia="zh-CN"/>
              </w:rPr>
              <w:t>建筑垃圾填埋场</w:t>
            </w:r>
            <w:r>
              <w:rPr>
                <w:rFonts w:hint="default" w:ascii="Times New Roman" w:hAnsi="宋体" w:eastAsia="宋体" w:cs="Times New Roman"/>
                <w:color w:val="auto"/>
                <w:spacing w:val="-10"/>
                <w:sz w:val="23"/>
                <w:szCs w:val="23"/>
                <w:highlight w:val="none"/>
              </w:rPr>
              <w:t>进行处置；生活垃圾集中收集后，拉运至</w:t>
            </w:r>
            <w:r>
              <w:rPr>
                <w:rFonts w:hint="eastAsia" w:ascii="Times New Roman" w:hAnsi="宋体" w:eastAsia="宋体" w:cs="Times New Roman"/>
                <w:color w:val="auto"/>
                <w:spacing w:val="-10"/>
                <w:sz w:val="23"/>
                <w:szCs w:val="23"/>
                <w:highlight w:val="none"/>
                <w:lang w:val="en-US" w:eastAsia="zh-CN"/>
              </w:rPr>
              <w:t>乌尔禾区生活垃圾填埋场</w:t>
            </w:r>
            <w:r>
              <w:rPr>
                <w:rFonts w:hint="default" w:ascii="Times New Roman" w:hAnsi="宋体" w:eastAsia="宋体" w:cs="Times New Roman"/>
                <w:color w:val="auto"/>
                <w:spacing w:val="-10"/>
                <w:sz w:val="23"/>
                <w:szCs w:val="23"/>
                <w:highlight w:val="none"/>
              </w:rPr>
              <w:t>进行处置</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噪声</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选用低噪声的设备、保持设施良好的运行工况，选择合理的施工时间等</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41" w:hRule="atLeast"/>
          <w:jc w:val="center"/>
        </w:trPr>
        <w:tc>
          <w:tcPr>
            <w:tcW w:w="239"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运营期</w:t>
            </w:r>
          </w:p>
        </w:tc>
        <w:tc>
          <w:tcPr>
            <w:tcW w:w="245"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正常工况</w:t>
            </w: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废水</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采出水随</w:t>
            </w:r>
            <w:r>
              <w:rPr>
                <w:rFonts w:hint="eastAsia" w:hAnsi="宋体"/>
                <w:color w:val="auto"/>
                <w:spacing w:val="-10"/>
                <w:sz w:val="23"/>
                <w:szCs w:val="23"/>
                <w:highlight w:val="none"/>
                <w:lang w:val="en-US" w:eastAsia="zh-CN"/>
              </w:rPr>
              <w:t>原油</w:t>
            </w:r>
            <w:r>
              <w:rPr>
                <w:rFonts w:hint="eastAsia" w:hAnsi="宋体"/>
                <w:color w:val="auto"/>
                <w:spacing w:val="-10"/>
                <w:sz w:val="23"/>
                <w:szCs w:val="23"/>
                <w:highlight w:val="none"/>
              </w:rPr>
              <w:t>一起</w:t>
            </w:r>
            <w:r>
              <w:rPr>
                <w:rFonts w:hint="eastAsia" w:hAnsi="宋体"/>
                <w:color w:val="auto"/>
                <w:spacing w:val="-10"/>
                <w:sz w:val="23"/>
                <w:szCs w:val="23"/>
                <w:highlight w:val="none"/>
                <w:lang w:val="en-US" w:eastAsia="zh-CN"/>
              </w:rPr>
              <w:t>拉运</w:t>
            </w:r>
            <w:r>
              <w:rPr>
                <w:rFonts w:hint="eastAsia" w:hAnsi="宋体"/>
                <w:color w:val="auto"/>
                <w:spacing w:val="-10"/>
                <w:sz w:val="23"/>
                <w:szCs w:val="23"/>
                <w:highlight w:val="none"/>
              </w:rPr>
              <w:t>至</w:t>
            </w:r>
            <w:r>
              <w:rPr>
                <w:rFonts w:hint="eastAsia" w:hAnsi="宋体"/>
                <w:color w:val="auto"/>
                <w:spacing w:val="-10"/>
                <w:sz w:val="23"/>
                <w:szCs w:val="23"/>
                <w:highlight w:val="none"/>
                <w:lang w:eastAsia="zh-CN"/>
              </w:rPr>
              <w:t>风城二号稠油处理站</w:t>
            </w:r>
            <w:r>
              <w:rPr>
                <w:rFonts w:hint="eastAsia" w:hAnsi="宋体"/>
                <w:color w:val="auto"/>
                <w:spacing w:val="-10"/>
                <w:sz w:val="23"/>
                <w:szCs w:val="23"/>
                <w:highlight w:val="none"/>
              </w:rPr>
              <w:t>进行处理，井下作业废水采用废水回收罐收集后运至</w:t>
            </w:r>
            <w:r>
              <w:rPr>
                <w:rFonts w:hint="eastAsia" w:hAnsi="宋体"/>
                <w:color w:val="auto"/>
                <w:spacing w:val="-10"/>
                <w:sz w:val="23"/>
                <w:szCs w:val="23"/>
                <w:highlight w:val="none"/>
                <w:lang w:eastAsia="zh-CN"/>
              </w:rPr>
              <w:t>风城二号稠油联合站</w:t>
            </w:r>
            <w:r>
              <w:rPr>
                <w:rFonts w:hint="eastAsia" w:hAnsi="宋体"/>
                <w:color w:val="auto"/>
                <w:spacing w:val="-10"/>
                <w:sz w:val="23"/>
                <w:szCs w:val="23"/>
                <w:highlight w:val="none"/>
              </w:rPr>
              <w:t>处理</w:t>
            </w:r>
          </w:p>
        </w:tc>
        <w:tc>
          <w:tcPr>
            <w:tcW w:w="464"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建设单位</w:t>
            </w:r>
          </w:p>
        </w:tc>
        <w:tc>
          <w:tcPr>
            <w:tcW w:w="485"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建设单位环保部门及当地生态环境</w:t>
            </w:r>
          </w:p>
          <w:p>
            <w:pPr>
              <w:rPr>
                <w:rFonts w:hAnsi="宋体"/>
                <w:color w:val="auto"/>
                <w:spacing w:val="-10"/>
                <w:sz w:val="23"/>
                <w:szCs w:val="23"/>
                <w:highlight w:val="none"/>
              </w:rPr>
            </w:pPr>
            <w:r>
              <w:rPr>
                <w:rFonts w:hint="eastAsia" w:hAnsi="宋体"/>
                <w:color w:val="auto"/>
                <w:spacing w:val="-10"/>
                <w:sz w:val="23"/>
                <w:szCs w:val="23"/>
                <w:highlight w:val="none"/>
              </w:rPr>
              <w:t>主管部门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废气</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密闭集输</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噪声</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选用低噪声设备、基础减振设施</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776" w:type="pct"/>
            <w:gridSpan w:val="2"/>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事故风险</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事故预防及油气泄漏应急预案</w:t>
            </w:r>
          </w:p>
        </w:tc>
        <w:tc>
          <w:tcPr>
            <w:tcW w:w="464"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建设单位</w:t>
            </w:r>
          </w:p>
        </w:tc>
        <w:tc>
          <w:tcPr>
            <w:tcW w:w="485"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当地生态环境主管部门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退役期</w:t>
            </w:r>
          </w:p>
        </w:tc>
        <w:tc>
          <w:tcPr>
            <w:tcW w:w="245"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污染防治</w:t>
            </w: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施工扬尘</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施工现场洒水抑尘</w:t>
            </w:r>
          </w:p>
        </w:tc>
        <w:tc>
          <w:tcPr>
            <w:tcW w:w="464"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施工单位及建设单位</w:t>
            </w:r>
          </w:p>
        </w:tc>
        <w:tc>
          <w:tcPr>
            <w:tcW w:w="485" w:type="pct"/>
            <w:vMerge w:val="restar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建设单位环保部门及当地生态环境</w:t>
            </w:r>
          </w:p>
          <w:p>
            <w:pPr>
              <w:rPr>
                <w:rFonts w:hAnsi="宋体"/>
                <w:color w:val="auto"/>
                <w:spacing w:val="-10"/>
                <w:sz w:val="23"/>
                <w:szCs w:val="23"/>
                <w:highlight w:val="none"/>
              </w:rPr>
            </w:pPr>
            <w:r>
              <w:rPr>
                <w:rFonts w:hint="eastAsia" w:hAnsi="宋体"/>
                <w:color w:val="auto"/>
                <w:spacing w:val="-10"/>
                <w:sz w:val="23"/>
                <w:szCs w:val="23"/>
                <w:highlight w:val="none"/>
              </w:rPr>
              <w:t>主管部门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固体废物</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废弃管线维持现状，避免因开挖管线对区域生态环境造成二次破坏，管线内物质应清空干净，并按要求进行吹扫，管线两端使用盲板封堵。建筑垃圾委托周边工业固废填埋场合规处置</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705"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245" w:type="pct"/>
            <w:vMerge w:val="continue"/>
            <w:tcBorders>
              <w:tl2br w:val="nil"/>
              <w:tr2bl w:val="nil"/>
            </w:tcBorders>
            <w:vAlign w:val="center"/>
          </w:tcPr>
          <w:p>
            <w:pPr>
              <w:rPr>
                <w:rFonts w:hAnsi="宋体"/>
                <w:color w:val="auto"/>
                <w:spacing w:val="-10"/>
                <w:sz w:val="23"/>
                <w:szCs w:val="23"/>
                <w:highlight w:val="none"/>
              </w:rPr>
            </w:pPr>
          </w:p>
        </w:tc>
        <w:tc>
          <w:tcPr>
            <w:tcW w:w="531"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噪声</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选用低噪声的设备、保持设施良好的运行工况，选择合理的施工时间等</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1027" w:hRule="atLeast"/>
          <w:jc w:val="center"/>
        </w:trPr>
        <w:tc>
          <w:tcPr>
            <w:tcW w:w="239" w:type="pct"/>
            <w:vMerge w:val="continue"/>
            <w:tcBorders>
              <w:tl2br w:val="nil"/>
              <w:tr2bl w:val="nil"/>
            </w:tcBorders>
            <w:vAlign w:val="center"/>
          </w:tcPr>
          <w:p>
            <w:pPr>
              <w:rPr>
                <w:rFonts w:hAnsi="宋体"/>
                <w:color w:val="auto"/>
                <w:spacing w:val="-10"/>
                <w:sz w:val="23"/>
                <w:szCs w:val="23"/>
                <w:highlight w:val="none"/>
              </w:rPr>
            </w:pPr>
          </w:p>
        </w:tc>
        <w:tc>
          <w:tcPr>
            <w:tcW w:w="776" w:type="pct"/>
            <w:gridSpan w:val="2"/>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生态恢复</w:t>
            </w:r>
          </w:p>
        </w:tc>
        <w:tc>
          <w:tcPr>
            <w:tcW w:w="3033" w:type="pct"/>
            <w:tcBorders>
              <w:tl2br w:val="nil"/>
              <w:tr2bl w:val="nil"/>
            </w:tcBorders>
            <w:vAlign w:val="center"/>
          </w:tcPr>
          <w:p>
            <w:pPr>
              <w:rPr>
                <w:rFonts w:hAnsi="宋体"/>
                <w:color w:val="auto"/>
                <w:spacing w:val="-10"/>
                <w:sz w:val="23"/>
                <w:szCs w:val="23"/>
                <w:highlight w:val="none"/>
              </w:rPr>
            </w:pPr>
            <w:r>
              <w:rPr>
                <w:rFonts w:hint="eastAsia" w:hAnsi="宋体"/>
                <w:color w:val="auto"/>
                <w:spacing w:val="-10"/>
                <w:sz w:val="23"/>
                <w:szCs w:val="23"/>
                <w:highlight w:val="none"/>
              </w:rPr>
              <w:t>退役后要拆除井架、井台，并对井场</w:t>
            </w:r>
            <w:r>
              <w:rPr>
                <w:rFonts w:hint="eastAsia" w:hAnsi="宋体"/>
                <w:color w:val="auto"/>
                <w:spacing w:val="-10"/>
                <w:sz w:val="23"/>
                <w:szCs w:val="23"/>
                <w:highlight w:val="none"/>
                <w:lang w:eastAsia="zh-CN"/>
              </w:rPr>
              <w:t>、</w:t>
            </w:r>
            <w:r>
              <w:rPr>
                <w:rFonts w:hint="eastAsia" w:hAnsi="宋体"/>
                <w:color w:val="auto"/>
                <w:spacing w:val="-10"/>
                <w:sz w:val="23"/>
                <w:szCs w:val="23"/>
                <w:highlight w:val="none"/>
                <w:lang w:val="en-US" w:eastAsia="zh-CN"/>
              </w:rPr>
              <w:t>站场</w:t>
            </w:r>
            <w:r>
              <w:rPr>
                <w:rFonts w:hint="eastAsia" w:hAnsi="宋体"/>
                <w:color w:val="auto"/>
                <w:spacing w:val="-10"/>
                <w:sz w:val="23"/>
                <w:szCs w:val="23"/>
                <w:highlight w:val="none"/>
              </w:rPr>
              <w:t>土地进行平整，清除地面上残留的污染物；保证对各类废弃井采取的固井、封井措施有效可行，防止发生油水窜层</w:t>
            </w:r>
          </w:p>
        </w:tc>
        <w:tc>
          <w:tcPr>
            <w:tcW w:w="464" w:type="pct"/>
            <w:vMerge w:val="continue"/>
            <w:tcBorders>
              <w:tl2br w:val="nil"/>
              <w:tr2bl w:val="nil"/>
            </w:tcBorders>
            <w:vAlign w:val="center"/>
          </w:tcPr>
          <w:p>
            <w:pPr>
              <w:rPr>
                <w:rFonts w:hAnsi="宋体"/>
                <w:color w:val="auto"/>
                <w:spacing w:val="-10"/>
                <w:sz w:val="23"/>
                <w:szCs w:val="23"/>
                <w:highlight w:val="none"/>
              </w:rPr>
            </w:pPr>
          </w:p>
        </w:tc>
        <w:tc>
          <w:tcPr>
            <w:tcW w:w="485" w:type="pct"/>
            <w:vMerge w:val="continue"/>
            <w:tcBorders>
              <w:tl2br w:val="nil"/>
              <w:tr2bl w:val="nil"/>
            </w:tcBorders>
            <w:vAlign w:val="center"/>
          </w:tcPr>
          <w:p>
            <w:pPr>
              <w:rPr>
                <w:rFonts w:hAnsi="宋体"/>
                <w:color w:val="auto"/>
                <w:spacing w:val="-10"/>
                <w:sz w:val="23"/>
                <w:szCs w:val="23"/>
                <w:highlight w:val="none"/>
              </w:rPr>
            </w:pPr>
          </w:p>
        </w:tc>
      </w:tr>
    </w:tbl>
    <w:p>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"_Toc15793" </w:instrText>
      </w:r>
      <w:r>
        <w:rPr>
          <w:color w:val="auto"/>
          <w:highlight w:val="none"/>
        </w:rPr>
        <w:fldChar w:fldCharType="separate"/>
      </w:r>
      <w:r>
        <w:rPr>
          <w:rFonts w:hint="eastAsia" w:ascii="Times New Roman" w:hAnsi="Times New Roman" w:eastAsia="宋体"/>
          <w:color w:val="auto"/>
          <w:highlight w:val="none"/>
        </w:rPr>
        <w:t>9.1.6 环境监理</w:t>
      </w:r>
      <w:r>
        <w:rPr>
          <w:rFonts w:hint="eastAsia" w:ascii="Times New Roman" w:hAnsi="Times New Roman" w:eastAsia="宋体"/>
          <w:color w:val="auto"/>
          <w:highlight w:val="none"/>
        </w:rPr>
        <w:fldChar w:fldCharType="end"/>
      </w:r>
    </w:p>
    <w:p>
      <w:pPr>
        <w:pStyle w:val="57"/>
        <w:rPr>
          <w:color w:val="auto"/>
          <w:highlight w:val="none"/>
        </w:rPr>
      </w:pPr>
      <w:r>
        <w:rPr>
          <w:rFonts w:hint="eastAsia"/>
          <w:color w:val="auto"/>
          <w:highlight w:val="none"/>
        </w:rPr>
        <w:t>本项目施工期对周边环境造成一定影响，在施工期阶段应积极开展环境监理工作。建设单位应在项目实施之前与监理单位签订合同，并要求监理单位按照合同文件要求在施工期介入环境监理。可采取巡视、旁站等环境监理方式对施工期污染防治措施、项目建设内容、配套环保设施、生态保护措施、环境管理制度、环境敏感目标等与环评及批复文件的符合性进行监理。</w:t>
      </w:r>
    </w:p>
    <w:p>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"_Toc4862" </w:instrText>
      </w:r>
      <w:r>
        <w:rPr>
          <w:color w:val="auto"/>
          <w:highlight w:val="none"/>
        </w:rPr>
        <w:fldChar w:fldCharType="separate"/>
      </w:r>
      <w:r>
        <w:rPr>
          <w:rFonts w:hint="eastAsia" w:ascii="Times New Roman" w:hAnsi="Times New Roman" w:eastAsia="宋体"/>
          <w:color w:val="auto"/>
          <w:highlight w:val="none"/>
        </w:rPr>
        <w:t>9.1.7 环境影响后评价</w:t>
      </w:r>
      <w:r>
        <w:rPr>
          <w:rFonts w:hint="eastAsia" w:ascii="Times New Roman" w:hAnsi="Times New Roman" w:eastAsia="宋体"/>
          <w:color w:val="auto"/>
          <w:highlight w:val="none"/>
        </w:rPr>
        <w:fldChar w:fldCharType="end"/>
      </w:r>
    </w:p>
    <w:p>
      <w:pPr>
        <w:pStyle w:val="57"/>
        <w:rPr>
          <w:color w:val="auto"/>
          <w:highlight w:val="none"/>
        </w:rPr>
      </w:pPr>
      <w:r>
        <w:rPr>
          <w:rFonts w:hint="eastAsia"/>
          <w:color w:val="auto"/>
          <w:highlight w:val="none"/>
        </w:rPr>
        <w:t>根据《中华人民共和国环境影响评价法》（中华人民共和国主席令第九号）、《建设项目环境影响后评价管理办法</w:t>
      </w:r>
      <w:r>
        <w:rPr>
          <w:rFonts w:hint="eastAsia"/>
          <w:color w:val="auto"/>
          <w:highlight w:val="none"/>
          <w:lang w:eastAsia="zh-CN"/>
        </w:rPr>
        <w:t>（</w:t>
      </w:r>
      <w:r>
        <w:rPr>
          <w:rFonts w:hint="eastAsia"/>
          <w:color w:val="auto"/>
          <w:highlight w:val="none"/>
        </w:rPr>
        <w:t>试行</w:t>
      </w:r>
      <w:r>
        <w:rPr>
          <w:rFonts w:hint="eastAsia"/>
          <w:color w:val="auto"/>
          <w:highlight w:val="none"/>
          <w:lang w:eastAsia="zh-CN"/>
        </w:rPr>
        <w:t>）</w:t>
      </w:r>
      <w:r>
        <w:rPr>
          <w:rFonts w:hint="eastAsia"/>
          <w:color w:val="auto"/>
          <w:highlight w:val="none"/>
        </w:rPr>
        <w:t>》（环境保护部 部令第37号）、《关于进一步加强和规范油气田开发项目环境保护管理工作的通知》（新环发</w:t>
      </w:r>
      <w:r>
        <w:rPr>
          <w:rFonts w:hint="eastAsia"/>
          <w:color w:val="auto"/>
          <w:highlight w:val="none"/>
          <w:lang w:eastAsia="zh-CN"/>
        </w:rPr>
        <w:t>〔</w:t>
      </w:r>
      <w:r>
        <w:rPr>
          <w:rFonts w:hint="eastAsia"/>
          <w:color w:val="auto"/>
          <w:highlight w:val="none"/>
        </w:rPr>
        <w:t>2018</w:t>
      </w:r>
      <w:r>
        <w:rPr>
          <w:rFonts w:hint="eastAsia"/>
          <w:color w:val="auto"/>
          <w:highlight w:val="none"/>
          <w:lang w:eastAsia="zh-CN"/>
        </w:rPr>
        <w:t>〕</w:t>
      </w:r>
      <w:r>
        <w:rPr>
          <w:rFonts w:hint="eastAsia"/>
          <w:color w:val="auto"/>
          <w:highlight w:val="none"/>
        </w:rPr>
        <w:t>133号）、《关于进一步加强石油天然气行业环境影响评价的通知》（环办环评函</w:t>
      </w:r>
      <w:r>
        <w:rPr>
          <w:rFonts w:hint="eastAsia"/>
          <w:color w:val="auto"/>
          <w:highlight w:val="none"/>
          <w:lang w:eastAsia="zh-CN"/>
        </w:rPr>
        <w:t>〔</w:t>
      </w:r>
      <w:r>
        <w:rPr>
          <w:rFonts w:hint="eastAsia"/>
          <w:color w:val="auto"/>
          <w:highlight w:val="none"/>
        </w:rPr>
        <w:t>2019</w:t>
      </w:r>
      <w:r>
        <w:rPr>
          <w:rFonts w:hint="eastAsia"/>
          <w:color w:val="auto"/>
          <w:highlight w:val="none"/>
          <w:lang w:eastAsia="zh-CN"/>
        </w:rPr>
        <w:t>〕</w:t>
      </w:r>
      <w:r>
        <w:rPr>
          <w:rFonts w:hint="eastAsia"/>
          <w:color w:val="auto"/>
          <w:highlight w:val="none"/>
        </w:rPr>
        <w:t>910号）、《关于加强建设项目环境影响后评价管理的通知》（新环环评发</w:t>
      </w:r>
      <w:r>
        <w:rPr>
          <w:rFonts w:hint="eastAsia"/>
          <w:color w:val="auto"/>
          <w:highlight w:val="none"/>
          <w:lang w:eastAsia="zh-CN"/>
        </w:rPr>
        <w:t>〔</w:t>
      </w:r>
      <w:r>
        <w:rPr>
          <w:rFonts w:hint="eastAsia"/>
          <w:color w:val="auto"/>
          <w:highlight w:val="none"/>
        </w:rPr>
        <w:t>2020</w:t>
      </w:r>
      <w:r>
        <w:rPr>
          <w:rFonts w:hint="eastAsia"/>
          <w:color w:val="auto"/>
          <w:highlight w:val="none"/>
          <w:lang w:eastAsia="zh-CN"/>
        </w:rPr>
        <w:t>〕</w:t>
      </w:r>
      <w:r>
        <w:rPr>
          <w:rFonts w:hint="eastAsia"/>
          <w:color w:val="auto"/>
          <w:highlight w:val="none"/>
        </w:rPr>
        <w:t>162号）要求，油气田开发业主单位对区域内通过环境影响评价审批并通过环境保护设施竣工验收</w:t>
      </w:r>
      <w:r>
        <w:rPr>
          <w:rFonts w:hint="eastAsia"/>
          <w:color w:val="auto"/>
          <w:highlight w:val="none"/>
          <w:lang w:eastAsia="zh-CN"/>
        </w:rPr>
        <w:t>且</w:t>
      </w:r>
      <w:r>
        <w:rPr>
          <w:rFonts w:hint="eastAsia"/>
          <w:color w:val="auto"/>
          <w:highlight w:val="none"/>
        </w:rPr>
        <w:t>稳定运行满5年的建设项目，须组织开展环境影响后评价工作。</w:t>
      </w:r>
    </w:p>
    <w:p>
      <w:pPr>
        <w:pStyle w:val="57"/>
        <w:rPr>
          <w:color w:val="auto"/>
          <w:highlight w:val="none"/>
        </w:rPr>
      </w:pPr>
      <w:r>
        <w:rPr>
          <w:rFonts w:hint="eastAsia"/>
          <w:color w:val="auto"/>
          <w:highlight w:val="none"/>
        </w:rPr>
        <w:t>本项目实施后，区域井场、站场、管线等工程内容发生变化，应在5年内以区块为单位继续开展环境影响后评价工作，对项目实际产生的环境影响以及污染防治、生态保护和风险防范措施的有效性进行跟踪监测和验证评价，对存在问题提出补救方案或者改进措施，不断完善和提高建设项目环境影响评价的有效性，切实落实各项环境保护措施接受生态环境部门的监督检查。</w:t>
      </w:r>
    </w:p>
    <w:p>
      <w:pPr>
        <w:pStyle w:val="53"/>
        <w:rPr>
          <w:rFonts w:ascii="Times New Roman" w:hAnsi="Times New Roman" w:eastAsia="宋体"/>
          <w:color w:val="auto"/>
          <w:highlight w:val="none"/>
        </w:rPr>
      </w:pPr>
      <w:r>
        <w:rPr>
          <w:color w:val="auto"/>
          <w:highlight w:val="none"/>
        </w:rPr>
        <w:fldChar w:fldCharType="begin"/>
      </w:r>
      <w:r>
        <w:rPr>
          <w:color w:val="auto"/>
          <w:highlight w:val="none"/>
        </w:rPr>
        <w:instrText xml:space="preserve"> HYPERLINK \l "_Toc14563" </w:instrText>
      </w:r>
      <w:r>
        <w:rPr>
          <w:color w:val="auto"/>
          <w:highlight w:val="none"/>
        </w:rPr>
        <w:fldChar w:fldCharType="separate"/>
      </w:r>
      <w:r>
        <w:rPr>
          <w:rFonts w:hint="eastAsia" w:ascii="Times New Roman" w:hAnsi="Times New Roman" w:eastAsia="宋体"/>
          <w:color w:val="auto"/>
          <w:highlight w:val="none"/>
        </w:rPr>
        <w:t>9.1.8 排污许可</w:t>
      </w:r>
      <w:r>
        <w:rPr>
          <w:rFonts w:hint="eastAsia" w:ascii="Times New Roman" w:hAnsi="Times New Roman" w:eastAsia="宋体"/>
          <w:color w:val="auto"/>
          <w:highlight w:val="none"/>
        </w:rPr>
        <w:fldChar w:fldCharType="end"/>
      </w:r>
    </w:p>
    <w:p>
      <w:pPr>
        <w:pStyle w:val="57"/>
        <w:rPr>
          <w:color w:val="auto"/>
          <w:highlight w:val="none"/>
        </w:rPr>
      </w:pPr>
      <w:r>
        <w:rPr>
          <w:rFonts w:hint="eastAsia"/>
          <w:color w:val="auto"/>
          <w:highlight w:val="none"/>
        </w:rPr>
        <w:t>依据《排污许可管理条例》（中华人民共和国国务院令 第736号）第二条规定：依照法律规定实行排污许可管理的企业事业单位和其他生产经营者，应当依照本条例规定申请取得排污许可证；未取得排污许可证的，不得排放污染物。</w:t>
      </w:r>
    </w:p>
    <w:p>
      <w:pPr>
        <w:pStyle w:val="57"/>
        <w:rPr>
          <w:color w:val="auto"/>
          <w:highlight w:val="none"/>
        </w:rPr>
      </w:pPr>
      <w:r>
        <w:rPr>
          <w:rFonts w:hint="eastAsia"/>
          <w:color w:val="auto"/>
          <w:highlight w:val="none"/>
        </w:rPr>
        <w:t>根据《排污许可证申请与核发技术规范 总则》</w:t>
      </w:r>
      <w:r>
        <w:rPr>
          <w:rFonts w:hint="eastAsia"/>
          <w:color w:val="auto"/>
          <w:highlight w:val="none"/>
          <w:lang w:eastAsia="zh-CN"/>
        </w:rPr>
        <w:t>（</w:t>
      </w:r>
      <w:r>
        <w:rPr>
          <w:rFonts w:hint="eastAsia"/>
          <w:color w:val="auto"/>
          <w:highlight w:val="none"/>
        </w:rPr>
        <w:t>HJ942-2018</w:t>
      </w:r>
      <w:r>
        <w:rPr>
          <w:rFonts w:hint="eastAsia"/>
          <w:color w:val="auto"/>
          <w:highlight w:val="none"/>
          <w:lang w:eastAsia="zh-CN"/>
        </w:rPr>
        <w:t>）</w:t>
      </w:r>
      <w:r>
        <w:rPr>
          <w:rFonts w:hint="eastAsia"/>
          <w:color w:val="auto"/>
          <w:highlight w:val="none"/>
        </w:rPr>
        <w:t>、《排污许可证申请与核发技术规范 工业噪声》</w:t>
      </w:r>
      <w:r>
        <w:rPr>
          <w:rFonts w:hint="eastAsia"/>
          <w:color w:val="auto"/>
          <w:highlight w:val="none"/>
          <w:lang w:eastAsia="zh-CN"/>
        </w:rPr>
        <w:t>（</w:t>
      </w:r>
      <w:r>
        <w:rPr>
          <w:rFonts w:hint="eastAsia"/>
          <w:color w:val="auto"/>
          <w:highlight w:val="none"/>
        </w:rPr>
        <w:t>HJ1301-2023</w:t>
      </w:r>
      <w:r>
        <w:rPr>
          <w:rFonts w:hint="eastAsia"/>
          <w:color w:val="auto"/>
          <w:highlight w:val="none"/>
          <w:lang w:eastAsia="zh-CN"/>
        </w:rPr>
        <w:t>）</w:t>
      </w:r>
      <w:r>
        <w:rPr>
          <w:rFonts w:hint="eastAsia"/>
          <w:color w:val="auto"/>
          <w:highlight w:val="none"/>
        </w:rPr>
        <w:t>、《排污单位自行监测技术指南 总则》</w:t>
      </w:r>
      <w:r>
        <w:rPr>
          <w:rFonts w:hint="eastAsia"/>
          <w:color w:val="auto"/>
          <w:highlight w:val="none"/>
          <w:lang w:eastAsia="zh-CN"/>
        </w:rPr>
        <w:t>（</w:t>
      </w:r>
      <w:r>
        <w:rPr>
          <w:rFonts w:hint="eastAsia"/>
          <w:color w:val="auto"/>
          <w:highlight w:val="none"/>
        </w:rPr>
        <w:t>HJ819-2017</w:t>
      </w:r>
      <w:r>
        <w:rPr>
          <w:rFonts w:hint="eastAsia"/>
          <w:color w:val="auto"/>
          <w:highlight w:val="none"/>
          <w:lang w:eastAsia="zh-CN"/>
        </w:rPr>
        <w:t>）</w:t>
      </w:r>
      <w:r>
        <w:rPr>
          <w:rFonts w:hint="eastAsia"/>
          <w:color w:val="auto"/>
          <w:highlight w:val="none"/>
        </w:rPr>
        <w:t>及《关于进一步做好环境影响评价与排污许可衔接工作的通知》</w:t>
      </w:r>
      <w:r>
        <w:rPr>
          <w:rFonts w:hint="eastAsia"/>
          <w:color w:val="auto"/>
          <w:highlight w:val="none"/>
          <w:lang w:eastAsia="zh-CN"/>
        </w:rPr>
        <w:t>（</w:t>
      </w:r>
      <w:r>
        <w:rPr>
          <w:rFonts w:hint="eastAsia"/>
          <w:color w:val="auto"/>
          <w:highlight w:val="none"/>
        </w:rPr>
        <w:t>环办环评</w:t>
      </w:r>
      <w:r>
        <w:rPr>
          <w:rFonts w:hint="eastAsia"/>
          <w:color w:val="auto"/>
          <w:highlight w:val="none"/>
          <w:lang w:eastAsia="zh-CN"/>
        </w:rPr>
        <w:t>〔</w:t>
      </w:r>
      <w:r>
        <w:rPr>
          <w:rFonts w:hint="eastAsia"/>
          <w:color w:val="auto"/>
          <w:highlight w:val="none"/>
        </w:rPr>
        <w:t>2017</w:t>
      </w:r>
      <w:r>
        <w:rPr>
          <w:rFonts w:hint="eastAsia"/>
          <w:color w:val="auto"/>
          <w:highlight w:val="none"/>
          <w:lang w:eastAsia="zh-CN"/>
        </w:rPr>
        <w:t>〕</w:t>
      </w:r>
      <w:r>
        <w:rPr>
          <w:rFonts w:hint="eastAsia"/>
          <w:color w:val="auto"/>
          <w:highlight w:val="none"/>
        </w:rPr>
        <w:t>84号</w:t>
      </w:r>
      <w:r>
        <w:rPr>
          <w:rFonts w:hint="eastAsia"/>
          <w:color w:val="auto"/>
          <w:highlight w:val="none"/>
          <w:lang w:eastAsia="zh-CN"/>
        </w:rPr>
        <w:t>）</w:t>
      </w:r>
      <w:r>
        <w:rPr>
          <w:rFonts w:hint="eastAsia"/>
          <w:color w:val="auto"/>
          <w:highlight w:val="none"/>
        </w:rPr>
        <w:t>，本工程应纳入</w:t>
      </w:r>
      <w:r>
        <w:rPr>
          <w:rFonts w:hint="eastAsia"/>
          <w:color w:val="auto"/>
          <w:highlight w:val="none"/>
          <w:lang w:eastAsia="zh-CN"/>
        </w:rPr>
        <w:t>新疆油田分公司风城油田作业区</w:t>
      </w:r>
      <w:r>
        <w:rPr>
          <w:rFonts w:hint="eastAsia"/>
          <w:color w:val="auto"/>
          <w:highlight w:val="none"/>
        </w:rPr>
        <w:t>排污许可管理，项目无组织废气严格执行《陆上石油天然气开采工业大气污染物排放标准》</w:t>
      </w:r>
      <w:r>
        <w:rPr>
          <w:rFonts w:hint="eastAsia"/>
          <w:color w:val="auto"/>
          <w:highlight w:val="none"/>
          <w:lang w:eastAsia="zh-CN"/>
        </w:rPr>
        <w:t>（</w:t>
      </w:r>
      <w:r>
        <w:rPr>
          <w:rFonts w:hint="eastAsia"/>
          <w:color w:val="auto"/>
          <w:highlight w:val="none"/>
        </w:rPr>
        <w:t>GB39728-2020</w:t>
      </w:r>
      <w:r>
        <w:rPr>
          <w:rFonts w:hint="eastAsia"/>
          <w:color w:val="auto"/>
          <w:highlight w:val="none"/>
          <w:lang w:eastAsia="zh-CN"/>
        </w:rPr>
        <w:t>）</w:t>
      </w:r>
      <w:r>
        <w:rPr>
          <w:rFonts w:hint="eastAsia"/>
          <w:color w:val="auto"/>
          <w:highlight w:val="none"/>
        </w:rPr>
        <w:t>中其他排放控制要求，同时</w:t>
      </w:r>
      <w:r>
        <w:rPr>
          <w:rFonts w:hint="eastAsia"/>
          <w:color w:val="auto"/>
          <w:highlight w:val="none"/>
          <w:lang w:eastAsia="zh-CN"/>
        </w:rPr>
        <w:t>风城油田作业区</w:t>
      </w:r>
      <w:r>
        <w:rPr>
          <w:rFonts w:hint="eastAsia"/>
          <w:color w:val="auto"/>
          <w:highlight w:val="none"/>
        </w:rPr>
        <w:t>应进一步完善排污许可变更、自行监测制度及排污口规范化管理制度等。</w:t>
      </w:r>
    </w:p>
    <w:p>
      <w:pPr>
        <w:pStyle w:val="49"/>
        <w:rPr>
          <w:rFonts w:eastAsia="宋体"/>
          <w:color w:val="auto"/>
          <w:highlight w:val="none"/>
        </w:rPr>
      </w:pPr>
      <w:bookmarkStart w:id="834" w:name="_Toc173942714"/>
      <w:bookmarkStart w:id="835" w:name="_Toc112762592"/>
      <w:bookmarkStart w:id="836" w:name="_Toc153349135"/>
      <w:bookmarkStart w:id="837" w:name="_Toc112762501"/>
      <w:bookmarkStart w:id="838" w:name="_Toc173941990"/>
      <w:bookmarkStart w:id="839" w:name="_Toc24978"/>
      <w:bookmarkStart w:id="840" w:name="_Toc112762365"/>
      <w:bookmarkStart w:id="841" w:name="_Toc173941760"/>
      <w:bookmarkStart w:id="842" w:name="_Toc163965773"/>
      <w:bookmarkStart w:id="843" w:name="_Toc21525886"/>
      <w:bookmarkStart w:id="844" w:name="_Toc14943"/>
      <w:bookmarkStart w:id="845" w:name="_Toc24035"/>
      <w:r>
        <w:rPr>
          <w:rFonts w:hint="eastAsia"/>
          <w:color w:val="auto"/>
          <w:highlight w:val="none"/>
        </w:rPr>
        <w:t>9</w:t>
      </w:r>
      <w:r>
        <w:rPr>
          <w:color w:val="auto"/>
          <w:highlight w:val="none"/>
        </w:rPr>
        <w:t>.2</w:t>
      </w:r>
      <w:bookmarkEnd w:id="834"/>
      <w:bookmarkEnd w:id="835"/>
      <w:bookmarkEnd w:id="836"/>
      <w:bookmarkEnd w:id="837"/>
      <w:bookmarkEnd w:id="838"/>
      <w:bookmarkEnd w:id="839"/>
      <w:bookmarkEnd w:id="840"/>
      <w:bookmarkEnd w:id="841"/>
      <w:bookmarkEnd w:id="842"/>
      <w:bookmarkEnd w:id="843"/>
      <w:r>
        <w:rPr>
          <w:rFonts w:hint="eastAsia"/>
          <w:color w:val="auto"/>
          <w:highlight w:val="none"/>
        </w:rPr>
        <w:t>企业环境信息披露</w:t>
      </w:r>
      <w:bookmarkEnd w:id="844"/>
      <w:bookmarkEnd w:id="845"/>
    </w:p>
    <w:p>
      <w:pPr>
        <w:pStyle w:val="53"/>
        <w:rPr>
          <w:rFonts w:eastAsia="宋体"/>
          <w:color w:val="auto"/>
          <w:highlight w:val="none"/>
        </w:rPr>
      </w:pPr>
      <w:bookmarkStart w:id="846" w:name="_Toc173941991"/>
      <w:r>
        <w:rPr>
          <w:rFonts w:hint="eastAsia"/>
          <w:color w:val="auto"/>
          <w:highlight w:val="none"/>
        </w:rPr>
        <w:t>9</w:t>
      </w:r>
      <w:r>
        <w:rPr>
          <w:color w:val="auto"/>
          <w:highlight w:val="none"/>
        </w:rPr>
        <w:t>.2.1</w:t>
      </w:r>
      <w:bookmarkEnd w:id="846"/>
      <w:r>
        <w:rPr>
          <w:rFonts w:hint="eastAsia"/>
          <w:color w:val="auto"/>
          <w:highlight w:val="none"/>
        </w:rPr>
        <w:t>披露内容</w:t>
      </w:r>
    </w:p>
    <w:p>
      <w:pPr>
        <w:pStyle w:val="57"/>
        <w:rPr>
          <w:color w:val="auto"/>
          <w:highlight w:val="none"/>
        </w:rPr>
      </w:pPr>
      <w:r>
        <w:rPr>
          <w:rFonts w:hint="eastAsia"/>
          <w:color w:val="auto"/>
          <w:highlight w:val="none"/>
        </w:rPr>
        <w:t>（1）基础信息</w:t>
      </w:r>
    </w:p>
    <w:p>
      <w:pPr>
        <w:pStyle w:val="57"/>
        <w:rPr>
          <w:color w:val="auto"/>
          <w:highlight w:val="none"/>
        </w:rPr>
      </w:pPr>
      <w:r>
        <w:rPr>
          <w:rFonts w:hint="eastAsia"/>
          <w:color w:val="auto"/>
          <w:highlight w:val="none"/>
        </w:rPr>
        <w:t>企业名称：</w:t>
      </w:r>
      <w:r>
        <w:rPr>
          <w:rFonts w:hint="eastAsia"/>
          <w:color w:val="auto"/>
          <w:highlight w:val="none"/>
          <w:lang w:eastAsia="zh-CN"/>
        </w:rPr>
        <w:t>中国石油新疆油田分公司玛湖勘探开发项目部</w:t>
      </w:r>
      <w:r>
        <w:rPr>
          <w:rFonts w:hint="eastAsia"/>
          <w:color w:val="auto"/>
          <w:highlight w:val="none"/>
        </w:rPr>
        <w:t xml:space="preserve"> </w:t>
      </w:r>
    </w:p>
    <w:p>
      <w:pPr>
        <w:pStyle w:val="57"/>
        <w:rPr>
          <w:rFonts w:hint="default" w:eastAsia="宋体"/>
          <w:color w:val="auto"/>
          <w:highlight w:val="none"/>
          <w:lang w:val="en-US" w:eastAsia="zh-CN"/>
        </w:rPr>
      </w:pPr>
      <w:r>
        <w:rPr>
          <w:rFonts w:hint="eastAsia"/>
          <w:color w:val="auto"/>
          <w:highlight w:val="none"/>
        </w:rPr>
        <w:t>法人代表：</w:t>
      </w:r>
      <w:r>
        <w:rPr>
          <w:rFonts w:hint="eastAsia"/>
          <w:color w:val="auto"/>
          <w:highlight w:val="none"/>
          <w:lang w:val="en-US" w:eastAsia="zh-CN"/>
        </w:rPr>
        <w:t>叶义平</w:t>
      </w:r>
    </w:p>
    <w:p>
      <w:pPr>
        <w:pStyle w:val="57"/>
        <w:rPr>
          <w:color w:val="auto"/>
          <w:highlight w:val="none"/>
        </w:rPr>
      </w:pPr>
      <w:r>
        <w:rPr>
          <w:rFonts w:hint="eastAsia"/>
          <w:color w:val="auto"/>
          <w:highlight w:val="none"/>
        </w:rPr>
        <w:t>生产地址：</w:t>
      </w:r>
      <w:r>
        <w:rPr>
          <w:rFonts w:hint="eastAsia"/>
          <w:color w:val="auto"/>
          <w:highlight w:val="none"/>
          <w:lang w:val="en-US" w:eastAsia="zh-CN"/>
        </w:rPr>
        <w:t>克拉玛依市克拉玛依区</w:t>
      </w:r>
      <w:r>
        <w:rPr>
          <w:rFonts w:hint="eastAsia"/>
          <w:color w:val="auto"/>
          <w:highlight w:val="none"/>
        </w:rPr>
        <w:t>境内</w:t>
      </w:r>
    </w:p>
    <w:p>
      <w:pPr>
        <w:pStyle w:val="57"/>
        <w:rPr>
          <w:color w:val="auto"/>
          <w:highlight w:val="none"/>
        </w:rPr>
      </w:pPr>
      <w:r>
        <w:rPr>
          <w:rFonts w:hint="eastAsia"/>
          <w:color w:val="auto"/>
          <w:highlight w:val="none"/>
        </w:rPr>
        <w:t>主要产品及规模：</w:t>
      </w:r>
      <w:r>
        <w:rPr>
          <w:rFonts w:hint="default" w:ascii="Times New Roman" w:hAnsi="Times New Roman" w:eastAsia="宋体" w:cs="Times New Roman"/>
          <w:color w:val="auto"/>
          <w:sz w:val="24"/>
          <w:szCs w:val="24"/>
          <w:highlight w:val="none"/>
          <w:lang w:val="en-US" w:eastAsia="zh-CN" w:bidi="ar-SA"/>
        </w:rPr>
        <w:t>①部署7口采油井（</w:t>
      </w:r>
      <w:r>
        <w:rPr>
          <w:rFonts w:hint="eastAsia" w:cs="Times New Roman"/>
          <w:color w:val="auto"/>
          <w:sz w:val="24"/>
          <w:szCs w:val="24"/>
          <w:highlight w:val="none"/>
          <w:lang w:val="en-US" w:eastAsia="zh-CN" w:bidi="ar-SA"/>
        </w:rPr>
        <w:t>FTYHW1235</w:t>
      </w: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default"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default"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default" w:ascii="Times New Roman" w:hAnsi="Times New Roman" w:eastAsia="宋体" w:cs="Times New Roman"/>
          <w:color w:val="auto"/>
          <w:sz w:val="24"/>
          <w:szCs w:val="24"/>
          <w:highlight w:val="none"/>
          <w:lang w:val="en-US" w:eastAsia="zh-CN" w:bidi="ar-SA"/>
        </w:rPr>
        <w:t>）；②新建采油井场18座（</w:t>
      </w:r>
      <w:r>
        <w:rPr>
          <w:rFonts w:hint="eastAsia" w:cs="Times New Roman"/>
          <w:color w:val="auto"/>
          <w:sz w:val="24"/>
          <w:szCs w:val="24"/>
          <w:highlight w:val="none"/>
          <w:lang w:val="en-US" w:eastAsia="zh-CN" w:bidi="ar-SA"/>
        </w:rPr>
        <w:t>FTYHW1235</w:t>
      </w: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default"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default"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default"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default" w:ascii="Times New Roman" w:hAnsi="Times New Roman" w:eastAsia="宋体" w:cs="Times New Roman"/>
          <w:color w:val="auto"/>
          <w:sz w:val="24"/>
          <w:szCs w:val="24"/>
          <w:highlight w:val="none"/>
          <w:lang w:val="en-US" w:eastAsia="zh-CN" w:bidi="ar-SA"/>
        </w:rPr>
        <w:t>、丰探1、丰探101、丰探102、丰探103、夏211X、夏213、夏216、夏217、风城5、风城6X、风城7），新建集中拉油站一座，12井式计量站一座，新建阀池1座；③新建各类集输管道</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km；④配套自动控制、通信、供配电、结构、给排水及消防等辅助系统工程。项目建成后，区块新建产能</w:t>
      </w:r>
      <w:r>
        <w:rPr>
          <w:rFonts w:hint="eastAsia" w:cs="Times New Roman"/>
          <w:color w:val="auto"/>
          <w:sz w:val="24"/>
          <w:szCs w:val="24"/>
          <w:highlight w:val="none"/>
          <w:lang w:val="en-US" w:eastAsia="zh-CN" w:bidi="ar-SA"/>
        </w:rPr>
        <w:t>15.5</w:t>
      </w:r>
      <w:r>
        <w:rPr>
          <w:rFonts w:hint="default"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vertAlign w:val="superscript"/>
          <w:lang w:val="en-US" w:eastAsia="zh-CN" w:bidi="ar-SA"/>
        </w:rPr>
        <w:t>4</w:t>
      </w:r>
      <w:r>
        <w:rPr>
          <w:rFonts w:hint="default" w:ascii="Times New Roman" w:hAnsi="Times New Roman" w:eastAsia="宋体" w:cs="Times New Roman"/>
          <w:color w:val="auto"/>
          <w:sz w:val="24"/>
          <w:szCs w:val="24"/>
          <w:highlight w:val="none"/>
          <w:lang w:val="en-US" w:eastAsia="zh-CN" w:bidi="ar-SA"/>
        </w:rPr>
        <w:t>t/a</w:t>
      </w:r>
      <w:r>
        <w:rPr>
          <w:rFonts w:hint="eastAsia"/>
          <w:color w:val="auto"/>
          <w:highlight w:val="none"/>
        </w:rPr>
        <w:t>。</w:t>
      </w:r>
    </w:p>
    <w:p>
      <w:pPr>
        <w:pStyle w:val="57"/>
        <w:rPr>
          <w:color w:val="auto"/>
          <w:highlight w:val="none"/>
        </w:rPr>
      </w:pPr>
      <w:r>
        <w:rPr>
          <w:rFonts w:hint="eastAsia"/>
          <w:color w:val="auto"/>
          <w:highlight w:val="none"/>
        </w:rPr>
        <w:t>（2）排污信息</w:t>
      </w:r>
    </w:p>
    <w:p>
      <w:pPr>
        <w:pStyle w:val="57"/>
        <w:rPr>
          <w:color w:val="auto"/>
          <w:highlight w:val="none"/>
        </w:rPr>
      </w:pPr>
      <w:r>
        <w:rPr>
          <w:rFonts w:hint="eastAsia"/>
          <w:color w:val="auto"/>
          <w:highlight w:val="none"/>
        </w:rPr>
        <w:t>本工程污染物排放标准见“2.4.3污染物排放标准”章节。</w:t>
      </w:r>
    </w:p>
    <w:p>
      <w:pPr>
        <w:pStyle w:val="57"/>
        <w:rPr>
          <w:color w:val="auto"/>
          <w:highlight w:val="none"/>
        </w:rPr>
      </w:pPr>
      <w:r>
        <w:rPr>
          <w:rFonts w:hint="eastAsia"/>
          <w:color w:val="auto"/>
          <w:highlight w:val="none"/>
        </w:rPr>
        <w:t>本工程污染物排放量情况见表3.</w:t>
      </w:r>
      <w:r>
        <w:rPr>
          <w:rFonts w:hint="eastAsia"/>
          <w:color w:val="auto"/>
          <w:highlight w:val="none"/>
          <w:lang w:val="en-US" w:eastAsia="zh-CN"/>
        </w:rPr>
        <w:t>3</w:t>
      </w:r>
      <w:r>
        <w:rPr>
          <w:rFonts w:hint="eastAsia"/>
          <w:color w:val="auto"/>
          <w:highlight w:val="none"/>
        </w:rPr>
        <w:t>-</w:t>
      </w:r>
      <w:r>
        <w:rPr>
          <w:rFonts w:hint="eastAsia"/>
          <w:color w:val="auto"/>
          <w:highlight w:val="none"/>
          <w:lang w:val="en-US" w:eastAsia="zh-CN"/>
        </w:rPr>
        <w:t>14</w:t>
      </w:r>
      <w:r>
        <w:rPr>
          <w:rFonts w:hint="eastAsia"/>
          <w:color w:val="auto"/>
          <w:highlight w:val="none"/>
        </w:rPr>
        <w:t>。</w:t>
      </w:r>
    </w:p>
    <w:p>
      <w:pPr>
        <w:pStyle w:val="57"/>
        <w:rPr>
          <w:color w:val="auto"/>
          <w:highlight w:val="none"/>
        </w:rPr>
      </w:pPr>
      <w:r>
        <w:rPr>
          <w:rFonts w:hint="eastAsia"/>
          <w:color w:val="auto"/>
          <w:highlight w:val="none"/>
        </w:rPr>
        <w:t>本工程污染物总量控制指标情况见“3.</w:t>
      </w:r>
      <w:r>
        <w:rPr>
          <w:rFonts w:hint="eastAsia"/>
          <w:color w:val="auto"/>
          <w:highlight w:val="none"/>
          <w:lang w:val="en-US" w:eastAsia="zh-CN"/>
        </w:rPr>
        <w:t>3.</w:t>
      </w:r>
      <w:r>
        <w:rPr>
          <w:rFonts w:hint="eastAsia"/>
          <w:color w:val="auto"/>
          <w:highlight w:val="none"/>
        </w:rPr>
        <w:t>8 污染物总量控制分析”章节。</w:t>
      </w:r>
    </w:p>
    <w:p>
      <w:pPr>
        <w:pStyle w:val="57"/>
        <w:rPr>
          <w:color w:val="auto"/>
          <w:highlight w:val="none"/>
        </w:rPr>
      </w:pPr>
      <w:r>
        <w:rPr>
          <w:rFonts w:hint="eastAsia"/>
          <w:color w:val="auto"/>
          <w:highlight w:val="none"/>
        </w:rPr>
        <w:t>（3）环境风险防范措施</w:t>
      </w:r>
    </w:p>
    <w:p>
      <w:pPr>
        <w:pStyle w:val="57"/>
        <w:rPr>
          <w:color w:val="auto"/>
          <w:highlight w:val="none"/>
        </w:rPr>
      </w:pPr>
      <w:r>
        <w:rPr>
          <w:rFonts w:hint="eastAsia"/>
          <w:color w:val="auto"/>
          <w:highlight w:val="none"/>
        </w:rPr>
        <w:t>本工程环境风险防范措施见</w:t>
      </w:r>
      <w:r>
        <w:rPr>
          <w:rFonts w:hint="eastAsia"/>
          <w:color w:val="auto"/>
          <w:highlight w:val="none"/>
          <w:lang w:eastAsia="zh-CN"/>
        </w:rPr>
        <w:t>新疆油田分公司风城油田作业区</w:t>
      </w:r>
      <w:r>
        <w:rPr>
          <w:rFonts w:hint="eastAsia"/>
          <w:color w:val="auto"/>
          <w:highlight w:val="none"/>
        </w:rPr>
        <w:t>现行突发环境风险应急预案。</w:t>
      </w:r>
    </w:p>
    <w:p>
      <w:pPr>
        <w:pStyle w:val="57"/>
        <w:rPr>
          <w:color w:val="auto"/>
          <w:highlight w:val="none"/>
        </w:rPr>
      </w:pPr>
      <w:r>
        <w:rPr>
          <w:rFonts w:hint="eastAsia"/>
          <w:color w:val="auto"/>
          <w:highlight w:val="none"/>
        </w:rPr>
        <w:t>（4）环境监测计划</w:t>
      </w:r>
    </w:p>
    <w:p>
      <w:pPr>
        <w:pStyle w:val="57"/>
        <w:rPr>
          <w:color w:val="auto"/>
          <w:highlight w:val="none"/>
        </w:rPr>
      </w:pPr>
      <w:r>
        <w:rPr>
          <w:rFonts w:hint="eastAsia"/>
          <w:color w:val="auto"/>
          <w:highlight w:val="none"/>
        </w:rPr>
        <w:t>拟建工程环境监测计划见表9.4-1。</w:t>
      </w:r>
    </w:p>
    <w:p>
      <w:pPr>
        <w:pStyle w:val="53"/>
        <w:rPr>
          <w:rFonts w:eastAsia="宋体"/>
          <w:color w:val="auto"/>
          <w:highlight w:val="none"/>
        </w:rPr>
      </w:pPr>
      <w:bookmarkStart w:id="847" w:name="_Toc173941992"/>
      <w:r>
        <w:rPr>
          <w:rFonts w:hint="eastAsia"/>
          <w:color w:val="auto"/>
          <w:highlight w:val="none"/>
        </w:rPr>
        <w:t>9</w:t>
      </w:r>
      <w:r>
        <w:rPr>
          <w:color w:val="auto"/>
          <w:highlight w:val="none"/>
        </w:rPr>
        <w:t>.2.2</w:t>
      </w:r>
      <w:bookmarkEnd w:id="847"/>
      <w:r>
        <w:rPr>
          <w:rFonts w:hint="eastAsia"/>
          <w:color w:val="auto"/>
          <w:highlight w:val="none"/>
        </w:rPr>
        <w:t>披露方式及时间要求</w:t>
      </w:r>
    </w:p>
    <w:p>
      <w:pPr>
        <w:pStyle w:val="57"/>
        <w:rPr>
          <w:color w:val="auto"/>
          <w:highlight w:val="none"/>
        </w:rPr>
      </w:pPr>
      <w:bookmarkStart w:id="848" w:name="_Toc173941994"/>
      <w:bookmarkStart w:id="849" w:name="_Toc173942715"/>
      <w:bookmarkStart w:id="850" w:name="_Toc218"/>
      <w:bookmarkStart w:id="851" w:name="_Toc173941761"/>
      <w:r>
        <w:rPr>
          <w:rFonts w:hint="eastAsia"/>
          <w:color w:val="auto"/>
          <w:highlight w:val="none"/>
        </w:rPr>
        <w:t>披露方式：通过公司网站、信息公开平台或当地报刊等便于公众知晓的方式公开。</w:t>
      </w:r>
    </w:p>
    <w:p>
      <w:pPr>
        <w:pStyle w:val="57"/>
        <w:rPr>
          <w:rFonts w:hAnsi="宋体"/>
          <w:bCs/>
          <w:color w:val="auto"/>
          <w:highlight w:val="none"/>
        </w:rPr>
      </w:pPr>
      <w:r>
        <w:rPr>
          <w:rFonts w:hint="eastAsia"/>
          <w:color w:val="auto"/>
          <w:highlight w:val="none"/>
        </w:rPr>
        <w:t>披露时间要求：企业可以根据实际情况对已披露的环境信息进行变更；进行变更的，应当以临时环境信息依法披露报告的形式变更，并说明变更事项和理由；企业应当于每年3月15日前披露上一年度1月1日至12月31日的环境信息；</w:t>
      </w:r>
      <w:r>
        <w:rPr>
          <w:rFonts w:hint="eastAsia"/>
          <w:color w:val="auto"/>
          <w:highlight w:val="none"/>
          <w:lang w:eastAsia="zh-CN"/>
        </w:rPr>
        <w:t>风城油田作业区</w:t>
      </w:r>
      <w:r>
        <w:rPr>
          <w:rFonts w:hint="eastAsia"/>
          <w:color w:val="auto"/>
          <w:highlight w:val="none"/>
        </w:rPr>
        <w:t>在企业名单公布前存在《企业环境信息依法披露管理办法》</w:t>
      </w:r>
      <w:r>
        <w:rPr>
          <w:rFonts w:hint="eastAsia"/>
          <w:color w:val="auto"/>
          <w:highlight w:val="none"/>
          <w:lang w:eastAsia="zh-CN"/>
        </w:rPr>
        <w:t>（</w:t>
      </w:r>
      <w:r>
        <w:rPr>
          <w:rFonts w:hint="eastAsia"/>
          <w:color w:val="auto"/>
          <w:highlight w:val="none"/>
        </w:rPr>
        <w:t>生态环境部部令 第24号</w:t>
      </w:r>
      <w:r>
        <w:rPr>
          <w:rFonts w:hint="eastAsia"/>
          <w:color w:val="auto"/>
          <w:highlight w:val="none"/>
          <w:lang w:eastAsia="zh-CN"/>
        </w:rPr>
        <w:t>）</w:t>
      </w:r>
      <w:r>
        <w:rPr>
          <w:rFonts w:hint="eastAsia"/>
          <w:color w:val="auto"/>
          <w:highlight w:val="none"/>
        </w:rPr>
        <w:t>第十七条规定的环境信息的，应当于企业名单公布后十个工作日内以临时环境信息依法披露报告的形式披露本年度企业名单公布前的相关信息。</w:t>
      </w:r>
    </w:p>
    <w:p>
      <w:pPr>
        <w:pStyle w:val="49"/>
        <w:rPr>
          <w:color w:val="auto"/>
          <w:highlight w:val="none"/>
        </w:rPr>
      </w:pPr>
      <w:bookmarkStart w:id="852" w:name="_Toc30047"/>
      <w:bookmarkStart w:id="853" w:name="_Toc12561"/>
      <w:r>
        <w:rPr>
          <w:rFonts w:hint="eastAsia"/>
          <w:color w:val="auto"/>
          <w:highlight w:val="none"/>
        </w:rPr>
        <w:t>9</w:t>
      </w:r>
      <w:r>
        <w:rPr>
          <w:color w:val="auto"/>
          <w:highlight w:val="none"/>
        </w:rPr>
        <w:t>.3污染物排放清单</w:t>
      </w:r>
      <w:bookmarkEnd w:id="848"/>
      <w:bookmarkEnd w:id="849"/>
      <w:bookmarkEnd w:id="850"/>
      <w:bookmarkEnd w:id="851"/>
      <w:bookmarkEnd w:id="852"/>
      <w:bookmarkEnd w:id="853"/>
    </w:p>
    <w:p>
      <w:pPr>
        <w:pStyle w:val="57"/>
        <w:rPr>
          <w:color w:val="auto"/>
          <w:highlight w:val="none"/>
        </w:rPr>
      </w:pPr>
      <w:r>
        <w:rPr>
          <w:rFonts w:hint="eastAsia"/>
          <w:color w:val="auto"/>
          <w:highlight w:val="none"/>
        </w:rPr>
        <w:t>本工程</w:t>
      </w:r>
      <w:r>
        <w:rPr>
          <w:color w:val="auto"/>
          <w:highlight w:val="none"/>
        </w:rPr>
        <w:t>运营期污染物产生及排放情况详见表</w:t>
      </w:r>
      <w:r>
        <w:rPr>
          <w:rFonts w:hint="eastAsia"/>
          <w:color w:val="auto"/>
          <w:highlight w:val="none"/>
        </w:rPr>
        <w:t>9</w:t>
      </w:r>
      <w:r>
        <w:rPr>
          <w:color w:val="auto"/>
          <w:highlight w:val="none"/>
        </w:rPr>
        <w:t>.3-1。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w:t>
      </w:r>
      <w:r>
        <w:rPr>
          <w:rFonts w:hint="eastAsia"/>
          <w:color w:val="auto"/>
          <w:highlight w:val="none"/>
        </w:rPr>
        <w:t>9</w:t>
      </w:r>
      <w:r>
        <w:rPr>
          <w:color w:val="auto"/>
          <w:highlight w:val="none"/>
        </w:rPr>
        <w:t>.3-1    污染物排放清单</w:t>
      </w:r>
    </w:p>
    <w:tbl>
      <w:tblPr>
        <w:tblStyle w:val="34"/>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013"/>
        <w:gridCol w:w="1083"/>
        <w:gridCol w:w="1301"/>
        <w:gridCol w:w="1182"/>
        <w:gridCol w:w="899"/>
        <w:gridCol w:w="27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类别</w:t>
            </w: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工段</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污染源</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主要污染物</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产生量</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废气</w:t>
            </w:r>
          </w:p>
        </w:tc>
        <w:tc>
          <w:tcPr>
            <w:tcW w:w="601"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储罐呼吸损耗</w:t>
            </w:r>
          </w:p>
        </w:tc>
        <w:tc>
          <w:tcPr>
            <w:tcW w:w="6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无组织排放</w:t>
            </w:r>
          </w:p>
        </w:tc>
        <w:tc>
          <w:tcPr>
            <w:tcW w:w="764"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NMHC</w:t>
            </w:r>
          </w:p>
        </w:tc>
        <w:tc>
          <w:tcPr>
            <w:tcW w:w="1017"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lang w:val="en-US" w:eastAsia="zh-CN"/>
              </w:rPr>
              <w:t>5.04</w:t>
            </w:r>
            <w:r>
              <w:rPr>
                <w:rFonts w:hint="default"/>
                <w:color w:val="auto"/>
              </w:rPr>
              <w:t>t/a</w:t>
            </w:r>
          </w:p>
        </w:tc>
        <w:tc>
          <w:tcPr>
            <w:tcW w:w="823"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lang w:val="en-US" w:eastAsia="zh-CN"/>
              </w:rPr>
              <w:t>5.04</w:t>
            </w:r>
            <w:r>
              <w:rPr>
                <w:rFonts w:hint="default"/>
                <w:color w:val="auto"/>
              </w:rPr>
              <w:t>t/a</w:t>
            </w:r>
          </w:p>
        </w:tc>
        <w:tc>
          <w:tcPr>
            <w:tcW w:w="1608"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油气集输</w:t>
            </w:r>
          </w:p>
        </w:tc>
        <w:tc>
          <w:tcPr>
            <w:tcW w:w="6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017"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1.406</w:t>
            </w:r>
            <w:r>
              <w:rPr>
                <w:rFonts w:hint="default"/>
                <w:color w:val="auto"/>
              </w:rPr>
              <w:t>t/a</w:t>
            </w:r>
          </w:p>
        </w:tc>
        <w:tc>
          <w:tcPr>
            <w:tcW w:w="823"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1.406</w:t>
            </w:r>
            <w:r>
              <w:rPr>
                <w:rFonts w:hint="default"/>
                <w:color w:val="auto"/>
              </w:rPr>
              <w:t>t/a</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废水</w:t>
            </w:r>
          </w:p>
        </w:tc>
        <w:tc>
          <w:tcPr>
            <w:tcW w:w="1242" w:type="pct"/>
            <w:gridSpan w:val="2"/>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采出水</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kern w:val="24"/>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SS、COD、</w:t>
            </w:r>
          </w:p>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石油类等</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kern w:val="24"/>
                <w:sz w:val="21"/>
                <w:szCs w:val="21"/>
                <w:highlight w:val="none"/>
                <w:shd w:val="clear" w:color="auto" w:fill="auto"/>
                <w:lang w:val="en-US" w:eastAsia="zh-CN"/>
              </w:rPr>
              <w:t>3.91</w:t>
            </w:r>
            <w:r>
              <w:rPr>
                <w:rFonts w:hint="default" w:ascii="Times New Roman" w:hAnsi="Times New Roman" w:cs="Times New Roman"/>
                <w:color w:val="auto"/>
                <w:kern w:val="24"/>
                <w:sz w:val="21"/>
                <w:szCs w:val="21"/>
                <w:highlight w:val="none"/>
                <w:shd w:val="clear" w:color="auto" w:fill="auto"/>
              </w:rPr>
              <w:t>×10</w:t>
            </w:r>
            <w:r>
              <w:rPr>
                <w:rFonts w:hint="default" w:ascii="Times New Roman" w:hAnsi="Times New Roman" w:cs="Times New Roman"/>
                <w:color w:val="auto"/>
                <w:kern w:val="24"/>
                <w:sz w:val="21"/>
                <w:szCs w:val="21"/>
                <w:highlight w:val="none"/>
                <w:shd w:val="clear" w:color="auto" w:fill="auto"/>
                <w:vertAlign w:val="superscript"/>
              </w:rPr>
              <w:t>4</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采出水进入</w:t>
            </w:r>
            <w:r>
              <w:rPr>
                <w:rFonts w:hint="eastAsia" w:ascii="Times New Roman" w:hAnsi="Times New Roman" w:cs="Times New Roman"/>
                <w:color w:val="auto"/>
                <w:sz w:val="21"/>
                <w:szCs w:val="21"/>
                <w:highlight w:val="none"/>
                <w:shd w:val="clear" w:color="auto" w:fill="auto"/>
                <w:lang w:eastAsia="zh-CN"/>
              </w:rPr>
              <w:t>风城二号稠油处理站</w:t>
            </w:r>
            <w:r>
              <w:rPr>
                <w:rFonts w:hint="default" w:ascii="Times New Roman" w:hAnsi="Times New Roman" w:cs="Times New Roman"/>
                <w:color w:val="auto"/>
                <w:sz w:val="21"/>
                <w:szCs w:val="21"/>
                <w:highlight w:val="none"/>
                <w:shd w:val="clear" w:color="auto" w:fill="auto"/>
              </w:rPr>
              <w:t>的</w:t>
            </w:r>
            <w:r>
              <w:rPr>
                <w:rFonts w:hint="eastAsia" w:ascii="Times New Roman" w:hAnsi="Times New Roman" w:cs="Times New Roman"/>
                <w:color w:val="auto"/>
                <w:sz w:val="21"/>
                <w:szCs w:val="21"/>
                <w:highlight w:val="none"/>
                <w:shd w:val="clear" w:color="auto" w:fill="auto"/>
                <w:lang w:val="en-US" w:eastAsia="zh-CN"/>
              </w:rPr>
              <w:t>采出水处理系统</w:t>
            </w:r>
            <w:r>
              <w:rPr>
                <w:rFonts w:hint="default" w:ascii="Times New Roman" w:hAnsi="Times New Roman" w:cs="Times New Roman"/>
                <w:color w:val="auto"/>
                <w:sz w:val="21"/>
                <w:szCs w:val="21"/>
                <w:highlight w:val="none"/>
                <w:shd w:val="clear" w:color="auto" w:fill="auto"/>
              </w:rPr>
              <w:t>处理达到《碎屑岩油藏注水水质指标技术要求及分析方法》（SY/T5329-2022）标准后回注</w:t>
            </w:r>
            <w:r>
              <w:rPr>
                <w:rFonts w:hint="eastAsia" w:ascii="Times New Roman" w:hAnsi="Times New Roman" w:cs="Times New Roman"/>
                <w:color w:val="auto"/>
                <w:sz w:val="21"/>
                <w:szCs w:val="21"/>
                <w:highlight w:val="none"/>
                <w:shd w:val="clear" w:color="auto" w:fill="auto"/>
                <w:lang w:eastAsia="zh-CN"/>
              </w:rPr>
              <w:t>油藏</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95.2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采用专用罐回收作业废水，拉运至</w:t>
            </w:r>
            <w:r>
              <w:rPr>
                <w:rFonts w:hint="eastAsia"/>
                <w:color w:val="auto"/>
                <w:highlight w:val="none"/>
                <w:lang w:eastAsia="zh-CN"/>
              </w:rPr>
              <w:t>风城二号稠油处理站</w:t>
            </w:r>
            <w:r>
              <w:rPr>
                <w:rFonts w:hint="default" w:ascii="Times New Roman" w:hAnsi="Times New Roman" w:cs="Times New Roman"/>
                <w:color w:val="auto"/>
                <w:sz w:val="21"/>
                <w:szCs w:val="21"/>
                <w:highlight w:val="none"/>
                <w:shd w:val="clear" w:color="auto" w:fill="auto"/>
              </w:rPr>
              <w:t>处理</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COD</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pPr>
              <w:spacing w:line="240" w:lineRule="exact"/>
              <w:ind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固体废物</w:t>
            </w: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油泥</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1406.78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eastAsia="宋体"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管线</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清管废渣</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石油类、SS和氧化铁等</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color w:val="auto"/>
              </w:rPr>
            </w:pPr>
          </w:p>
        </w:tc>
        <w:tc>
          <w:tcPr>
            <w:tcW w:w="601"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站场</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清罐底泥</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0.1</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eastAsia="zh-CN"/>
              </w:rPr>
              <w:t>废防渗膜</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4.5</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废润滑油</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w:t>
            </w:r>
            <w:r>
              <w:rPr>
                <w:rFonts w:hint="default" w:ascii="Times New Roman" w:hAnsi="Times New Roman" w:eastAsia="宋体" w:cs="Times New Roman"/>
                <w:color w:val="auto"/>
                <w:sz w:val="21"/>
                <w:szCs w:val="21"/>
                <w:highlight w:val="none"/>
                <w:shd w:val="clear" w:color="auto" w:fill="auto"/>
                <w:lang w:val="en-US" w:eastAsia="zh-CN"/>
              </w:rPr>
              <w:t>t/次</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井场、管线及井下作业</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落地原油</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0</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落地油100%回收，</w:t>
            </w:r>
            <w:r>
              <w:rPr>
                <w:rFonts w:hint="default" w:ascii="Times New Roman" w:hAnsi="Times New Roman" w:eastAsia="宋体" w:cs="Times New Roman"/>
                <w:color w:val="auto"/>
                <w:sz w:val="21"/>
                <w:szCs w:val="21"/>
                <w:highlight w:val="none"/>
                <w:shd w:val="clear" w:color="auto" w:fill="auto"/>
              </w:rPr>
              <w:t>回收后的落地原油</w:t>
            </w: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噪声</w:t>
            </w: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站场</w:t>
            </w:r>
            <w:r>
              <w:rPr>
                <w:rFonts w:hint="default" w:ascii="Times New Roman" w:hAnsi="Times New Roman" w:eastAsia="宋体" w:cs="Times New Roman"/>
                <w:color w:val="auto"/>
                <w:sz w:val="21"/>
                <w:szCs w:val="21"/>
                <w:highlight w:val="none"/>
                <w:shd w:val="clear" w:color="auto" w:fill="auto"/>
              </w:rPr>
              <w:t>设备、</w:t>
            </w:r>
          </w:p>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机械噪声</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60</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120</w:t>
            </w:r>
            <w:r>
              <w:rPr>
                <w:rFonts w:hint="default" w:ascii="Times New Roman" w:hAnsi="Times New Roman" w:eastAsia="宋体" w:cs="Times New Roman"/>
                <w:color w:val="auto"/>
                <w:sz w:val="21"/>
                <w:szCs w:val="21"/>
                <w:highlight w:val="none"/>
                <w:shd w:val="clear" w:color="auto" w:fill="auto"/>
              </w:rPr>
              <w:t>dB(A)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厂界</w:t>
            </w:r>
          </w:p>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达标</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选用低噪声设备，采取减振、隔声、消声等降噪措施</w:t>
            </w:r>
            <w:r>
              <w:rPr>
                <w:rFonts w:hint="default" w:ascii="Times New Roman" w:hAnsi="Times New Roman" w:cs="Times New Roman"/>
                <w:color w:val="auto"/>
                <w:sz w:val="21"/>
                <w:szCs w:val="21"/>
                <w:highlight w:val="none"/>
                <w:shd w:val="clear" w:color="auto" w:fill="auto"/>
                <w:lang w:eastAsia="zh-CN"/>
              </w:rPr>
              <w:t>。</w:t>
            </w:r>
          </w:p>
        </w:tc>
      </w:tr>
    </w:tbl>
    <w:p>
      <w:pPr>
        <w:pStyle w:val="33"/>
        <w:rPr>
          <w:color w:val="auto"/>
        </w:rPr>
      </w:pPr>
    </w:p>
    <w:p>
      <w:pPr>
        <w:pStyle w:val="49"/>
        <w:rPr>
          <w:color w:val="auto"/>
          <w:highlight w:val="none"/>
        </w:rPr>
      </w:pPr>
      <w:bookmarkStart w:id="854" w:name="_Toc25469"/>
      <w:bookmarkStart w:id="855" w:name="_Toc173942716"/>
      <w:bookmarkStart w:id="856" w:name="_Toc15612"/>
      <w:bookmarkStart w:id="857" w:name="_Toc173941762"/>
      <w:bookmarkStart w:id="858" w:name="_Toc173941995"/>
      <w:bookmarkStart w:id="859" w:name="_Toc1929"/>
      <w:r>
        <w:rPr>
          <w:rFonts w:hint="eastAsia"/>
          <w:color w:val="auto"/>
          <w:highlight w:val="none"/>
        </w:rPr>
        <w:t>9</w:t>
      </w:r>
      <w:r>
        <w:rPr>
          <w:color w:val="auto"/>
          <w:highlight w:val="none"/>
        </w:rPr>
        <w:t>.4</w:t>
      </w:r>
      <w:r>
        <w:rPr>
          <w:rFonts w:hint="eastAsia"/>
          <w:color w:val="auto"/>
          <w:highlight w:val="none"/>
        </w:rPr>
        <w:t>生态</w:t>
      </w:r>
      <w:r>
        <w:rPr>
          <w:color w:val="auto"/>
          <w:highlight w:val="none"/>
        </w:rPr>
        <w:t>环境监测</w:t>
      </w:r>
      <w:bookmarkEnd w:id="854"/>
      <w:bookmarkEnd w:id="855"/>
      <w:bookmarkEnd w:id="856"/>
      <w:bookmarkEnd w:id="857"/>
      <w:bookmarkEnd w:id="858"/>
      <w:bookmarkEnd w:id="859"/>
    </w:p>
    <w:p>
      <w:pPr>
        <w:pStyle w:val="53"/>
        <w:rPr>
          <w:color w:val="auto"/>
          <w:highlight w:val="none"/>
        </w:rPr>
      </w:pPr>
      <w:bookmarkStart w:id="860" w:name="_Toc173941996"/>
      <w:r>
        <w:rPr>
          <w:rFonts w:hint="eastAsia"/>
          <w:color w:val="auto"/>
          <w:highlight w:val="none"/>
        </w:rPr>
        <w:t>9</w:t>
      </w:r>
      <w:r>
        <w:rPr>
          <w:color w:val="auto"/>
          <w:highlight w:val="none"/>
        </w:rPr>
        <w:t>.4.1</w:t>
      </w:r>
      <w:r>
        <w:rPr>
          <w:rFonts w:hint="eastAsia"/>
          <w:color w:val="auto"/>
          <w:highlight w:val="none"/>
        </w:rPr>
        <w:t>监测目的</w:t>
      </w:r>
    </w:p>
    <w:p>
      <w:pPr>
        <w:pStyle w:val="57"/>
        <w:rPr>
          <w:rFonts w:hAnsi="宋体"/>
          <w:color w:val="auto"/>
          <w:highlight w:val="none"/>
        </w:rPr>
      </w:pPr>
      <w:r>
        <w:rPr>
          <w:rFonts w:hint="eastAsia" w:hAnsi="宋体"/>
          <w:color w:val="auto"/>
          <w:highlight w:val="none"/>
        </w:rPr>
        <w:t>环境监测是企业环境管理体系的重要组成部分，也是环境管理规范化的主要手段，通过对企业主要污染物进行分析、资料整理、编制报表、建立技术文件档案，可以为上级生态环境主管部门和地方生态环境主管部门进行环境规划、管理和执法提供依据。环境监测是环境保护的基础，是进行污染源治理及环保设施管理的依据，因而企业应定期对环保设施及废水、噪声等污染源情况进行监测、对固体废物处置按照法规文件规范进行记录。</w:t>
      </w:r>
    </w:p>
    <w:p>
      <w:pPr>
        <w:pStyle w:val="57"/>
        <w:rPr>
          <w:rFonts w:hAnsi="宋体"/>
          <w:color w:val="auto"/>
          <w:highlight w:val="none"/>
        </w:rPr>
      </w:pPr>
      <w:r>
        <w:rPr>
          <w:rFonts w:hint="eastAsia" w:hAnsi="宋体"/>
          <w:color w:val="auto"/>
          <w:highlight w:val="none"/>
        </w:rPr>
        <w:t>通过对拟建工程运行中环保设施进行监控，掌握废气、废水、噪声等污染源排放是否符合国家或地方排放标准的要求，做到达标排放，同时对废气、噪声防治设施进行监督检查，保证正常运行。</w:t>
      </w:r>
    </w:p>
    <w:p>
      <w:pPr>
        <w:pStyle w:val="53"/>
        <w:rPr>
          <w:color w:val="auto"/>
          <w:highlight w:val="none"/>
        </w:rPr>
      </w:pPr>
      <w:r>
        <w:rPr>
          <w:rFonts w:hint="eastAsia"/>
          <w:color w:val="auto"/>
          <w:highlight w:val="none"/>
        </w:rPr>
        <w:t>9.4.2环境监测机构及设备配置</w:t>
      </w:r>
    </w:p>
    <w:bookmarkEnd w:id="860"/>
    <w:p>
      <w:pPr>
        <w:pStyle w:val="57"/>
        <w:rPr>
          <w:color w:val="auto"/>
          <w:highlight w:val="none"/>
        </w:rPr>
      </w:pPr>
      <w:r>
        <w:rPr>
          <w:rFonts w:hint="eastAsia" w:hAnsi="宋体"/>
          <w:color w:val="auto"/>
          <w:highlight w:val="none"/>
        </w:rPr>
        <w:t>环境监测是环境保护的基础，是进行污染治理和监督管理的依据。拟建工程的环境监测工作由</w:t>
      </w:r>
      <w:r>
        <w:rPr>
          <w:rFonts w:hint="eastAsia" w:hAnsi="宋体"/>
          <w:color w:val="auto"/>
          <w:highlight w:val="none"/>
          <w:lang w:eastAsia="zh-CN"/>
        </w:rPr>
        <w:t>新疆油田分公司</w:t>
      </w:r>
      <w:r>
        <w:rPr>
          <w:rFonts w:hint="eastAsia" w:hAnsi="宋体"/>
          <w:color w:val="auto"/>
          <w:highlight w:val="none"/>
        </w:rPr>
        <w:t>的质量检测中心承担</w:t>
      </w:r>
      <w:r>
        <w:rPr>
          <w:rFonts w:hint="eastAsia" w:hAnsi="宋体" w:cs="宋体"/>
          <w:color w:val="auto"/>
          <w:highlight w:val="none"/>
        </w:rPr>
        <w:t>，亦可以委托当地有资质的环境监测机构</w:t>
      </w:r>
      <w:r>
        <w:rPr>
          <w:rFonts w:hint="eastAsia" w:hAnsi="宋体"/>
          <w:color w:val="auto"/>
          <w:highlight w:val="none"/>
        </w:rPr>
        <w:t>。</w:t>
      </w:r>
    </w:p>
    <w:p>
      <w:pPr>
        <w:pStyle w:val="53"/>
        <w:rPr>
          <w:color w:val="auto"/>
          <w:highlight w:val="none"/>
        </w:rPr>
      </w:pPr>
      <w:bookmarkStart w:id="861" w:name="_Toc173941997"/>
      <w:bookmarkStart w:id="862" w:name="_Hlk69402503"/>
      <w:r>
        <w:rPr>
          <w:rFonts w:hint="eastAsia"/>
          <w:color w:val="auto"/>
          <w:highlight w:val="none"/>
        </w:rPr>
        <w:t>9</w:t>
      </w:r>
      <w:r>
        <w:rPr>
          <w:color w:val="auto"/>
          <w:highlight w:val="none"/>
        </w:rPr>
        <w:t>.4.</w:t>
      </w:r>
      <w:r>
        <w:rPr>
          <w:rFonts w:hint="eastAsia"/>
          <w:color w:val="auto"/>
          <w:highlight w:val="none"/>
        </w:rPr>
        <w:t>3</w:t>
      </w:r>
      <w:r>
        <w:rPr>
          <w:color w:val="auto"/>
          <w:highlight w:val="none"/>
        </w:rPr>
        <w:t>监测计划</w:t>
      </w:r>
      <w:bookmarkEnd w:id="861"/>
    </w:p>
    <w:p>
      <w:pPr>
        <w:pStyle w:val="57"/>
        <w:rPr>
          <w:rFonts w:hAnsi="宋体"/>
          <w:color w:val="auto"/>
          <w:highlight w:val="none"/>
        </w:rPr>
      </w:pPr>
      <w:r>
        <w:rPr>
          <w:rFonts w:hint="eastAsia" w:hAnsi="宋体"/>
          <w:color w:val="auto"/>
          <w:highlight w:val="none"/>
        </w:rPr>
        <w:t>根据拟建工程生产特征和污染物的排放特征，依据《排污单位自行监测技术指南 陆上石油天然气开采工业》</w:t>
      </w:r>
      <w:r>
        <w:rPr>
          <w:rFonts w:hint="eastAsia" w:hAnsi="宋体"/>
          <w:color w:val="auto"/>
          <w:highlight w:val="none"/>
          <w:lang w:eastAsia="zh-CN"/>
        </w:rPr>
        <w:t>（</w:t>
      </w:r>
      <w:r>
        <w:rPr>
          <w:rFonts w:hint="eastAsia" w:hAnsi="宋体"/>
          <w:color w:val="auto"/>
          <w:highlight w:val="none"/>
        </w:rPr>
        <w:t>HJ1248-2022</w:t>
      </w:r>
      <w:r>
        <w:rPr>
          <w:rFonts w:hint="eastAsia" w:hAnsi="宋体"/>
          <w:color w:val="auto"/>
          <w:highlight w:val="none"/>
          <w:lang w:eastAsia="zh-CN"/>
        </w:rPr>
        <w:t>）</w:t>
      </w:r>
      <w:r>
        <w:rPr>
          <w:rFonts w:hint="eastAsia" w:hAnsi="宋体"/>
          <w:color w:val="auto"/>
          <w:highlight w:val="none"/>
        </w:rPr>
        <w:t>、《陆上石油天然气开采工业大气污染物排放标准》</w:t>
      </w:r>
      <w:r>
        <w:rPr>
          <w:rFonts w:hint="eastAsia" w:hAnsi="宋体"/>
          <w:color w:val="auto"/>
          <w:highlight w:val="none"/>
          <w:lang w:eastAsia="zh-CN"/>
        </w:rPr>
        <w:t>（</w:t>
      </w:r>
      <w:r>
        <w:rPr>
          <w:rFonts w:hint="eastAsia" w:hAnsi="宋体"/>
          <w:color w:val="auto"/>
          <w:highlight w:val="none"/>
        </w:rPr>
        <w:t>GB39728-2020</w:t>
      </w:r>
      <w:r>
        <w:rPr>
          <w:rFonts w:hint="eastAsia" w:hAnsi="宋体"/>
          <w:color w:val="auto"/>
          <w:highlight w:val="none"/>
          <w:lang w:eastAsia="zh-CN"/>
        </w:rPr>
        <w:t>）</w:t>
      </w:r>
      <w:r>
        <w:rPr>
          <w:rFonts w:hint="eastAsia" w:hAnsi="宋体"/>
          <w:color w:val="auto"/>
          <w:highlight w:val="none"/>
        </w:rPr>
        <w:t>、《环境影响评价技术导则 地下水环境》</w:t>
      </w:r>
      <w:r>
        <w:rPr>
          <w:rFonts w:hint="eastAsia" w:hAnsi="宋体"/>
          <w:color w:val="auto"/>
          <w:highlight w:val="none"/>
          <w:lang w:eastAsia="zh-CN"/>
        </w:rPr>
        <w:t>（</w:t>
      </w:r>
      <w:r>
        <w:rPr>
          <w:rFonts w:hint="eastAsia" w:hAnsi="宋体"/>
          <w:color w:val="auto"/>
          <w:highlight w:val="none"/>
        </w:rPr>
        <w:t>HJ610–2016</w:t>
      </w:r>
      <w:r>
        <w:rPr>
          <w:rFonts w:hint="eastAsia" w:hAnsi="宋体"/>
          <w:color w:val="auto"/>
          <w:highlight w:val="none"/>
          <w:lang w:eastAsia="zh-CN"/>
        </w:rPr>
        <w:t>）</w:t>
      </w:r>
      <w:r>
        <w:rPr>
          <w:rFonts w:hint="eastAsia" w:hAnsi="宋体"/>
          <w:color w:val="auto"/>
          <w:highlight w:val="none"/>
        </w:rPr>
        <w:t>、《排污单位自行监测技术指南 总则》</w:t>
      </w:r>
      <w:r>
        <w:rPr>
          <w:rFonts w:hint="eastAsia" w:hAnsi="宋体"/>
          <w:color w:val="auto"/>
          <w:highlight w:val="none"/>
          <w:lang w:eastAsia="zh-CN"/>
        </w:rPr>
        <w:t>（</w:t>
      </w:r>
      <w:r>
        <w:rPr>
          <w:rFonts w:hint="eastAsia" w:hAnsi="宋体"/>
          <w:color w:val="auto"/>
          <w:highlight w:val="none"/>
        </w:rPr>
        <w:t>HJ819-2017</w:t>
      </w:r>
      <w:r>
        <w:rPr>
          <w:rFonts w:hint="eastAsia" w:hAnsi="宋体"/>
          <w:color w:val="auto"/>
          <w:highlight w:val="none"/>
          <w:lang w:eastAsia="zh-CN"/>
        </w:rPr>
        <w:t>）</w:t>
      </w:r>
      <w:r>
        <w:rPr>
          <w:rFonts w:hint="eastAsia" w:hAnsi="宋体"/>
          <w:color w:val="auto"/>
          <w:highlight w:val="none"/>
        </w:rPr>
        <w:t>等标准规范及地方生态环境主管部门的要求，制定拟建工程的监测计划。拟建工程投入运行后，各污染源监测因子、监测频率情况见表9.4-1。</w:t>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bookmarkStart w:id="863" w:name="_Toc5749"/>
      <w:r>
        <w:rPr>
          <w:rFonts w:hint="eastAsia"/>
          <w:color w:val="auto"/>
          <w:highlight w:val="none"/>
        </w:rPr>
        <w:t>表9.4-1  运营期环境监测计划</w:t>
      </w:r>
      <w:bookmarkEnd w:id="863"/>
    </w:p>
    <w:tbl>
      <w:tblPr>
        <w:tblStyle w:val="34"/>
        <w:tblW w:w="5049"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0" w:type="dxa"/>
          <w:bottom w:w="0" w:type="dxa"/>
          <w:right w:w="0" w:type="dxa"/>
        </w:tblCellMar>
      </w:tblPr>
      <w:tblGrid>
        <w:gridCol w:w="285"/>
        <w:gridCol w:w="1913"/>
        <w:gridCol w:w="529"/>
        <w:gridCol w:w="587"/>
        <w:gridCol w:w="2490"/>
        <w:gridCol w:w="970"/>
        <w:gridCol w:w="19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tcBorders>
              <w:tl2br w:val="nil"/>
              <w:tr2bl w:val="nil"/>
            </w:tcBorders>
            <w:vAlign w:val="center"/>
          </w:tcPr>
          <w:p>
            <w:pPr>
              <w:pStyle w:val="41"/>
              <w:rPr>
                <w:color w:val="auto"/>
                <w:highlight w:val="none"/>
              </w:rPr>
            </w:pPr>
            <w:r>
              <w:rPr>
                <w:color w:val="auto"/>
                <w:highlight w:val="none"/>
              </w:rPr>
              <w:t>类型</w:t>
            </w:r>
          </w:p>
        </w:tc>
        <w:tc>
          <w:tcPr>
            <w:tcW w:w="1095" w:type="pct"/>
            <w:tcBorders>
              <w:tl2br w:val="nil"/>
              <w:tr2bl w:val="nil"/>
            </w:tcBorders>
            <w:vAlign w:val="center"/>
          </w:tcPr>
          <w:p>
            <w:pPr>
              <w:pStyle w:val="41"/>
              <w:rPr>
                <w:color w:val="auto"/>
                <w:highlight w:val="none"/>
              </w:rPr>
            </w:pPr>
            <w:r>
              <w:rPr>
                <w:color w:val="auto"/>
                <w:highlight w:val="none"/>
              </w:rPr>
              <w:t>监测地点</w:t>
            </w:r>
          </w:p>
        </w:tc>
        <w:tc>
          <w:tcPr>
            <w:tcW w:w="303" w:type="pct"/>
            <w:tcBorders>
              <w:tl2br w:val="nil"/>
              <w:tr2bl w:val="nil"/>
            </w:tcBorders>
            <w:vAlign w:val="center"/>
          </w:tcPr>
          <w:p>
            <w:pPr>
              <w:pStyle w:val="41"/>
              <w:rPr>
                <w:color w:val="auto"/>
                <w:highlight w:val="none"/>
              </w:rPr>
            </w:pPr>
            <w:r>
              <w:rPr>
                <w:color w:val="auto"/>
                <w:highlight w:val="none"/>
              </w:rPr>
              <w:t>监测频率</w:t>
            </w:r>
          </w:p>
        </w:tc>
        <w:tc>
          <w:tcPr>
            <w:tcW w:w="336" w:type="pct"/>
            <w:tcBorders>
              <w:tl2br w:val="nil"/>
              <w:tr2bl w:val="nil"/>
            </w:tcBorders>
            <w:vAlign w:val="center"/>
          </w:tcPr>
          <w:p>
            <w:pPr>
              <w:pStyle w:val="41"/>
              <w:rPr>
                <w:color w:val="auto"/>
                <w:highlight w:val="none"/>
              </w:rPr>
            </w:pPr>
            <w:r>
              <w:rPr>
                <w:color w:val="auto"/>
                <w:highlight w:val="none"/>
              </w:rPr>
              <w:t>监测时间</w:t>
            </w:r>
          </w:p>
        </w:tc>
        <w:tc>
          <w:tcPr>
            <w:tcW w:w="1425" w:type="pct"/>
            <w:tcBorders>
              <w:tl2br w:val="nil"/>
              <w:tr2bl w:val="nil"/>
            </w:tcBorders>
            <w:vAlign w:val="center"/>
          </w:tcPr>
          <w:p>
            <w:pPr>
              <w:pStyle w:val="41"/>
              <w:rPr>
                <w:color w:val="auto"/>
                <w:highlight w:val="none"/>
              </w:rPr>
            </w:pPr>
            <w:r>
              <w:rPr>
                <w:color w:val="auto"/>
                <w:highlight w:val="none"/>
              </w:rPr>
              <w:t>监测项目</w:t>
            </w:r>
          </w:p>
        </w:tc>
        <w:tc>
          <w:tcPr>
            <w:tcW w:w="555" w:type="pct"/>
            <w:tcBorders>
              <w:tl2br w:val="nil"/>
              <w:tr2bl w:val="nil"/>
            </w:tcBorders>
            <w:vAlign w:val="center"/>
          </w:tcPr>
          <w:p>
            <w:pPr>
              <w:pStyle w:val="41"/>
              <w:rPr>
                <w:color w:val="auto"/>
                <w:highlight w:val="none"/>
              </w:rPr>
            </w:pPr>
            <w:r>
              <w:rPr>
                <w:rFonts w:hint="eastAsia"/>
                <w:color w:val="auto"/>
                <w:highlight w:val="none"/>
              </w:rPr>
              <w:t>备注</w:t>
            </w:r>
          </w:p>
        </w:tc>
        <w:tc>
          <w:tcPr>
            <w:tcW w:w="1120" w:type="pct"/>
            <w:tcBorders>
              <w:tl2br w:val="nil"/>
              <w:tr2bl w:val="nil"/>
            </w:tcBorders>
            <w:vAlign w:val="center"/>
          </w:tcPr>
          <w:p>
            <w:pPr>
              <w:pStyle w:val="41"/>
              <w:rPr>
                <w:color w:val="auto"/>
                <w:highlight w:val="none"/>
              </w:rPr>
            </w:pPr>
            <w:r>
              <w:rPr>
                <w:rFonts w:hint="eastAsia"/>
                <w:color w:val="auto"/>
                <w:highlight w:val="none"/>
              </w:rPr>
              <w:t>执行标准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544" w:hRule="atLeast"/>
          <w:jc w:val="center"/>
        </w:trPr>
        <w:tc>
          <w:tcPr>
            <w:tcW w:w="163" w:type="pct"/>
            <w:tcBorders>
              <w:tl2br w:val="nil"/>
              <w:tr2bl w:val="nil"/>
            </w:tcBorders>
            <w:vAlign w:val="center"/>
          </w:tcPr>
          <w:p>
            <w:pPr>
              <w:pStyle w:val="41"/>
              <w:rPr>
                <w:color w:val="auto"/>
                <w:highlight w:val="none"/>
              </w:rPr>
            </w:pPr>
            <w:r>
              <w:rPr>
                <w:rFonts w:hint="eastAsia"/>
                <w:color w:val="auto"/>
                <w:highlight w:val="none"/>
              </w:rPr>
              <w:t>环境空气</w:t>
            </w:r>
          </w:p>
        </w:tc>
        <w:tc>
          <w:tcPr>
            <w:tcW w:w="1095" w:type="pct"/>
            <w:tcBorders>
              <w:tl2br w:val="nil"/>
              <w:tr2bl w:val="nil"/>
            </w:tcBorders>
            <w:vAlign w:val="center"/>
          </w:tcPr>
          <w:p>
            <w:pPr>
              <w:pStyle w:val="41"/>
              <w:rPr>
                <w:color w:val="auto"/>
                <w:highlight w:val="none"/>
              </w:rPr>
            </w:pPr>
            <w:r>
              <w:rPr>
                <w:color w:val="auto"/>
                <w:highlight w:val="none"/>
              </w:rPr>
              <w:t>代表性井场</w:t>
            </w:r>
            <w:r>
              <w:rPr>
                <w:rFonts w:hint="eastAsia"/>
                <w:color w:val="auto"/>
                <w:highlight w:val="none"/>
              </w:rPr>
              <w:t>、站场厂界下风向5km范围内</w:t>
            </w:r>
          </w:p>
        </w:tc>
        <w:tc>
          <w:tcPr>
            <w:tcW w:w="303" w:type="pct"/>
            <w:tcBorders>
              <w:tl2br w:val="nil"/>
              <w:tr2bl w:val="nil"/>
            </w:tcBorders>
            <w:vAlign w:val="center"/>
          </w:tcPr>
          <w:p>
            <w:pPr>
              <w:pStyle w:val="41"/>
              <w:rPr>
                <w:color w:val="auto"/>
                <w:highlight w:val="none"/>
              </w:rPr>
            </w:pPr>
            <w:r>
              <w:rPr>
                <w:rFonts w:hint="eastAsia"/>
                <w:color w:val="auto"/>
                <w:highlight w:val="none"/>
              </w:rPr>
              <w:t>1次/半年</w:t>
            </w:r>
          </w:p>
        </w:tc>
        <w:tc>
          <w:tcPr>
            <w:tcW w:w="336" w:type="pct"/>
            <w:tcBorders>
              <w:tl2br w:val="nil"/>
              <w:tr2bl w:val="nil"/>
            </w:tcBorders>
            <w:vAlign w:val="center"/>
          </w:tcPr>
          <w:p>
            <w:pPr>
              <w:pStyle w:val="41"/>
              <w:rPr>
                <w:color w:val="auto"/>
                <w:highlight w:val="none"/>
              </w:rPr>
            </w:pPr>
          </w:p>
        </w:tc>
        <w:tc>
          <w:tcPr>
            <w:tcW w:w="1425" w:type="pct"/>
            <w:tcBorders>
              <w:tl2br w:val="nil"/>
              <w:tr2bl w:val="nil"/>
            </w:tcBorders>
            <w:vAlign w:val="center"/>
          </w:tcPr>
          <w:p>
            <w:pPr>
              <w:pStyle w:val="41"/>
              <w:rPr>
                <w:color w:val="auto"/>
                <w:highlight w:val="none"/>
              </w:rPr>
            </w:pPr>
            <w:r>
              <w:rPr>
                <w:rFonts w:hint="eastAsia"/>
                <w:color w:val="auto"/>
                <w:highlight w:val="none"/>
              </w:rPr>
              <w:t>NMHC</w:t>
            </w:r>
          </w:p>
        </w:tc>
        <w:tc>
          <w:tcPr>
            <w:tcW w:w="555" w:type="pct"/>
            <w:tcBorders>
              <w:tl2br w:val="nil"/>
              <w:tr2bl w:val="nil"/>
            </w:tcBorders>
            <w:vAlign w:val="center"/>
          </w:tcPr>
          <w:p>
            <w:pPr>
              <w:pStyle w:val="41"/>
              <w:rPr>
                <w:color w:val="auto"/>
                <w:highlight w:val="none"/>
              </w:rPr>
            </w:pPr>
            <w:r>
              <w:rPr>
                <w:rFonts w:hint="eastAsia"/>
                <w:color w:val="auto"/>
                <w:highlight w:val="none"/>
              </w:rPr>
              <w:t>环境质量监测</w:t>
            </w:r>
          </w:p>
        </w:tc>
        <w:tc>
          <w:tcPr>
            <w:tcW w:w="1120" w:type="pct"/>
            <w:tcBorders>
              <w:tl2br w:val="nil"/>
              <w:tr2bl w:val="nil"/>
            </w:tcBorders>
            <w:vAlign w:val="center"/>
          </w:tcPr>
          <w:p>
            <w:pPr>
              <w:pStyle w:val="41"/>
              <w:rPr>
                <w:color w:val="auto"/>
                <w:highlight w:val="none"/>
              </w:rPr>
            </w:pPr>
            <w:r>
              <w:rPr>
                <w:rFonts w:hint="eastAsia"/>
                <w:color w:val="auto"/>
                <w:highlight w:val="none"/>
              </w:rPr>
              <w:t>NMHC</w:t>
            </w:r>
            <w:r>
              <w:rPr>
                <w:color w:val="auto"/>
                <w:highlight w:val="none"/>
              </w:rPr>
              <w:t>参照执行《大气污染物综合排放标准详解》2.0mg/m</w:t>
            </w:r>
            <w:r>
              <w:rPr>
                <w:rFonts w:hint="eastAsia"/>
                <w:color w:val="auto"/>
                <w:highlight w:val="none"/>
                <w:vertAlign w:val="superscript"/>
              </w:rPr>
              <w:t>3</w:t>
            </w:r>
            <w:r>
              <w:rPr>
                <w:color w:val="auto"/>
                <w:highlight w:val="none"/>
              </w:rPr>
              <w:t>的标准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817" w:hRule="atLeast"/>
          <w:jc w:val="center"/>
        </w:trPr>
        <w:tc>
          <w:tcPr>
            <w:tcW w:w="163" w:type="pct"/>
            <w:tcBorders>
              <w:tl2br w:val="nil"/>
              <w:tr2bl w:val="nil"/>
            </w:tcBorders>
            <w:vAlign w:val="center"/>
          </w:tcPr>
          <w:p>
            <w:pPr>
              <w:pStyle w:val="41"/>
              <w:rPr>
                <w:color w:val="auto"/>
                <w:highlight w:val="none"/>
              </w:rPr>
            </w:pPr>
            <w:r>
              <w:rPr>
                <w:color w:val="auto"/>
                <w:highlight w:val="none"/>
              </w:rPr>
              <w:t>废气</w:t>
            </w:r>
          </w:p>
        </w:tc>
        <w:tc>
          <w:tcPr>
            <w:tcW w:w="1095" w:type="pct"/>
            <w:tcBorders>
              <w:tl2br w:val="nil"/>
              <w:tr2bl w:val="nil"/>
            </w:tcBorders>
            <w:vAlign w:val="center"/>
          </w:tcPr>
          <w:p>
            <w:pPr>
              <w:pStyle w:val="41"/>
              <w:rPr>
                <w:color w:val="auto"/>
                <w:highlight w:val="none"/>
              </w:rPr>
            </w:pPr>
            <w:r>
              <w:rPr>
                <w:color w:val="auto"/>
                <w:highlight w:val="none"/>
              </w:rPr>
              <w:t>代表性井场</w:t>
            </w:r>
            <w:r>
              <w:rPr>
                <w:rFonts w:hint="eastAsia"/>
                <w:color w:val="auto"/>
                <w:highlight w:val="none"/>
              </w:rPr>
              <w:t>、站场厂界</w:t>
            </w:r>
          </w:p>
        </w:tc>
        <w:tc>
          <w:tcPr>
            <w:tcW w:w="303" w:type="pct"/>
            <w:tcBorders>
              <w:tl2br w:val="nil"/>
              <w:tr2bl w:val="nil"/>
            </w:tcBorders>
            <w:vAlign w:val="center"/>
          </w:tcPr>
          <w:p>
            <w:pPr>
              <w:pStyle w:val="41"/>
              <w:rPr>
                <w:color w:val="auto"/>
                <w:highlight w:val="none"/>
              </w:rPr>
            </w:pPr>
            <w:r>
              <w:rPr>
                <w:color w:val="auto"/>
                <w:highlight w:val="none"/>
              </w:rPr>
              <w:t>1次/</w:t>
            </w:r>
            <w:r>
              <w:rPr>
                <w:rFonts w:hint="eastAsia"/>
                <w:color w:val="auto"/>
                <w:highlight w:val="none"/>
              </w:rPr>
              <w:t>季度</w:t>
            </w:r>
          </w:p>
        </w:tc>
        <w:tc>
          <w:tcPr>
            <w:tcW w:w="336" w:type="pct"/>
            <w:vMerge w:val="restart"/>
            <w:tcBorders>
              <w:tl2br w:val="nil"/>
              <w:tr2bl w:val="nil"/>
            </w:tcBorders>
            <w:vAlign w:val="center"/>
          </w:tcPr>
          <w:p>
            <w:pPr>
              <w:pStyle w:val="41"/>
              <w:rPr>
                <w:color w:val="auto"/>
                <w:highlight w:val="none"/>
              </w:rPr>
            </w:pPr>
            <w:r>
              <w:rPr>
                <w:color w:val="auto"/>
                <w:highlight w:val="none"/>
              </w:rPr>
              <w:t>竣工环保验收后开始</w:t>
            </w:r>
          </w:p>
        </w:tc>
        <w:tc>
          <w:tcPr>
            <w:tcW w:w="1425" w:type="pct"/>
            <w:tcBorders>
              <w:tl2br w:val="nil"/>
              <w:tr2bl w:val="nil"/>
            </w:tcBorders>
            <w:vAlign w:val="center"/>
          </w:tcPr>
          <w:p>
            <w:pPr>
              <w:pStyle w:val="41"/>
              <w:rPr>
                <w:color w:val="auto"/>
                <w:highlight w:val="none"/>
              </w:rPr>
            </w:pPr>
            <w:r>
              <w:rPr>
                <w:rFonts w:hint="eastAsia"/>
                <w:color w:val="auto"/>
                <w:highlight w:val="none"/>
              </w:rPr>
              <w:t>NMHC</w:t>
            </w:r>
          </w:p>
        </w:tc>
        <w:tc>
          <w:tcPr>
            <w:tcW w:w="555" w:type="pct"/>
            <w:tcBorders>
              <w:tl2br w:val="nil"/>
              <w:tr2bl w:val="nil"/>
            </w:tcBorders>
            <w:vAlign w:val="center"/>
          </w:tcPr>
          <w:p>
            <w:pPr>
              <w:pStyle w:val="41"/>
              <w:rPr>
                <w:color w:val="auto"/>
                <w:highlight w:val="none"/>
              </w:rPr>
            </w:pPr>
            <w:r>
              <w:rPr>
                <w:rFonts w:hint="eastAsia"/>
                <w:color w:val="auto"/>
                <w:highlight w:val="none"/>
              </w:rPr>
              <w:t>污染源监测</w:t>
            </w:r>
          </w:p>
        </w:tc>
        <w:tc>
          <w:tcPr>
            <w:tcW w:w="1120" w:type="pct"/>
            <w:tcBorders>
              <w:tl2br w:val="nil"/>
              <w:tr2bl w:val="nil"/>
            </w:tcBorders>
            <w:vAlign w:val="center"/>
          </w:tcPr>
          <w:p>
            <w:pPr>
              <w:pStyle w:val="41"/>
              <w:rPr>
                <w:color w:val="auto"/>
                <w:highlight w:val="none"/>
              </w:rPr>
            </w:pPr>
            <w:r>
              <w:rPr>
                <w:rFonts w:hint="eastAsia"/>
                <w:color w:val="auto"/>
                <w:highlight w:val="none"/>
              </w:rPr>
              <w:t>NMHC执行</w:t>
            </w:r>
            <w:r>
              <w:rPr>
                <w:color w:val="auto"/>
                <w:highlight w:val="none"/>
              </w:rPr>
              <w:t>《陆上石油天然气开采工业大气污染物排放标准》（GB39728-2020）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tcBorders>
              <w:tl2br w:val="nil"/>
              <w:tr2bl w:val="nil"/>
            </w:tcBorders>
            <w:vAlign w:val="center"/>
          </w:tcPr>
          <w:p>
            <w:pPr>
              <w:pStyle w:val="41"/>
              <w:rPr>
                <w:color w:val="auto"/>
                <w:highlight w:val="none"/>
              </w:rPr>
            </w:pPr>
            <w:r>
              <w:rPr>
                <w:color w:val="auto"/>
                <w:highlight w:val="none"/>
              </w:rPr>
              <w:t>噪声</w:t>
            </w:r>
          </w:p>
        </w:tc>
        <w:tc>
          <w:tcPr>
            <w:tcW w:w="1095" w:type="pct"/>
            <w:tcBorders>
              <w:tl2br w:val="nil"/>
              <w:tr2bl w:val="nil"/>
            </w:tcBorders>
            <w:vAlign w:val="center"/>
          </w:tcPr>
          <w:p>
            <w:pPr>
              <w:pStyle w:val="41"/>
              <w:rPr>
                <w:color w:val="auto"/>
                <w:highlight w:val="none"/>
              </w:rPr>
            </w:pPr>
            <w:bookmarkStart w:id="864" w:name="OLE_LINK95"/>
            <w:r>
              <w:rPr>
                <w:color w:val="auto"/>
                <w:highlight w:val="none"/>
              </w:rPr>
              <w:t>代表性井场</w:t>
            </w:r>
            <w:r>
              <w:rPr>
                <w:rFonts w:hint="eastAsia"/>
                <w:color w:val="auto"/>
                <w:highlight w:val="none"/>
              </w:rPr>
              <w:t>、站场厂界</w:t>
            </w:r>
            <w:bookmarkEnd w:id="864"/>
          </w:p>
        </w:tc>
        <w:tc>
          <w:tcPr>
            <w:tcW w:w="303" w:type="pct"/>
            <w:tcBorders>
              <w:tl2br w:val="nil"/>
              <w:tr2bl w:val="nil"/>
            </w:tcBorders>
            <w:vAlign w:val="center"/>
          </w:tcPr>
          <w:p>
            <w:pPr>
              <w:pStyle w:val="41"/>
              <w:rPr>
                <w:color w:val="auto"/>
                <w:highlight w:val="none"/>
              </w:rPr>
            </w:pPr>
            <w:r>
              <w:rPr>
                <w:color w:val="auto"/>
                <w:highlight w:val="none"/>
              </w:rPr>
              <w:t>1次/</w:t>
            </w:r>
            <w:r>
              <w:rPr>
                <w:rFonts w:hint="eastAsia"/>
                <w:color w:val="auto"/>
                <w:highlight w:val="none"/>
              </w:rPr>
              <w:t>季度</w:t>
            </w:r>
          </w:p>
        </w:tc>
        <w:tc>
          <w:tcPr>
            <w:tcW w:w="336" w:type="pct"/>
            <w:vMerge w:val="continue"/>
            <w:tcBorders>
              <w:tl2br w:val="nil"/>
              <w:tr2bl w:val="nil"/>
            </w:tcBorders>
            <w:vAlign w:val="center"/>
          </w:tcPr>
          <w:p>
            <w:pPr>
              <w:pStyle w:val="41"/>
              <w:rPr>
                <w:color w:val="auto"/>
                <w:highlight w:val="none"/>
              </w:rPr>
            </w:pPr>
          </w:p>
        </w:tc>
        <w:tc>
          <w:tcPr>
            <w:tcW w:w="1425" w:type="pct"/>
            <w:tcBorders>
              <w:tl2br w:val="nil"/>
              <w:tr2bl w:val="nil"/>
            </w:tcBorders>
            <w:vAlign w:val="center"/>
          </w:tcPr>
          <w:p>
            <w:pPr>
              <w:pStyle w:val="41"/>
              <w:rPr>
                <w:color w:val="auto"/>
                <w:highlight w:val="none"/>
              </w:rPr>
            </w:pPr>
            <w:r>
              <w:rPr>
                <w:color w:val="auto"/>
                <w:highlight w:val="none"/>
              </w:rPr>
              <w:t>连续等效A声级（dB）</w:t>
            </w:r>
          </w:p>
        </w:tc>
        <w:tc>
          <w:tcPr>
            <w:tcW w:w="555" w:type="pct"/>
            <w:tcBorders>
              <w:tl2br w:val="nil"/>
              <w:tr2bl w:val="nil"/>
            </w:tcBorders>
            <w:vAlign w:val="center"/>
          </w:tcPr>
          <w:p>
            <w:pPr>
              <w:pStyle w:val="41"/>
              <w:rPr>
                <w:color w:val="auto"/>
                <w:highlight w:val="none"/>
              </w:rPr>
            </w:pPr>
            <w:r>
              <w:rPr>
                <w:rFonts w:hint="eastAsia"/>
                <w:color w:val="auto"/>
                <w:highlight w:val="none"/>
              </w:rPr>
              <w:t>污染源监测</w:t>
            </w:r>
          </w:p>
        </w:tc>
        <w:tc>
          <w:tcPr>
            <w:tcW w:w="1120" w:type="pct"/>
            <w:tcBorders>
              <w:tl2br w:val="nil"/>
              <w:tr2bl w:val="nil"/>
            </w:tcBorders>
            <w:vAlign w:val="center"/>
          </w:tcPr>
          <w:p>
            <w:pPr>
              <w:pStyle w:val="41"/>
              <w:rPr>
                <w:color w:val="auto"/>
                <w:highlight w:val="none"/>
              </w:rPr>
            </w:pPr>
            <w:r>
              <w:rPr>
                <w:color w:val="auto"/>
                <w:highlight w:val="none"/>
              </w:rPr>
              <w:t>《工业企业厂界环境噪声排放标准》（GB12348-2008）中2类标准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vMerge w:val="restart"/>
            <w:tcBorders>
              <w:tl2br w:val="nil"/>
              <w:tr2bl w:val="nil"/>
            </w:tcBorders>
            <w:vAlign w:val="center"/>
          </w:tcPr>
          <w:p>
            <w:pPr>
              <w:pStyle w:val="41"/>
              <w:rPr>
                <w:color w:val="auto"/>
                <w:highlight w:val="none"/>
              </w:rPr>
            </w:pPr>
            <w:r>
              <w:rPr>
                <w:color w:val="auto"/>
                <w:highlight w:val="none"/>
              </w:rPr>
              <w:t>土壤</w:t>
            </w:r>
          </w:p>
        </w:tc>
        <w:tc>
          <w:tcPr>
            <w:tcW w:w="1095" w:type="pct"/>
            <w:vMerge w:val="restart"/>
            <w:tcBorders>
              <w:tl2br w:val="nil"/>
              <w:tr2bl w:val="nil"/>
            </w:tcBorders>
            <w:vAlign w:val="center"/>
          </w:tcPr>
          <w:p>
            <w:pPr>
              <w:pStyle w:val="41"/>
              <w:rPr>
                <w:color w:val="auto"/>
                <w:highlight w:val="none"/>
              </w:rPr>
            </w:pPr>
            <w:r>
              <w:rPr>
                <w:color w:val="auto"/>
                <w:highlight w:val="none"/>
              </w:rPr>
              <w:t>代表性井场</w:t>
            </w:r>
            <w:r>
              <w:rPr>
                <w:rFonts w:hint="eastAsia"/>
                <w:color w:val="auto"/>
                <w:highlight w:val="none"/>
              </w:rPr>
              <w:t>、站场</w:t>
            </w:r>
            <w:r>
              <w:rPr>
                <w:rFonts w:hint="default" w:ascii="Times New Roman" w:hAnsi="Times New Roman" w:eastAsia="宋体" w:cs="Times New Roman"/>
                <w:b w:val="0"/>
                <w:color w:val="auto"/>
                <w:sz w:val="21"/>
                <w:szCs w:val="21"/>
                <w:highlight w:val="none"/>
                <w:shd w:val="clear" w:color="auto" w:fill="auto"/>
                <w:lang w:val="en-US" w:eastAsia="zh-CN"/>
              </w:rPr>
              <w:t>占地范围内、占地范围外200m</w:t>
            </w:r>
          </w:p>
        </w:tc>
        <w:tc>
          <w:tcPr>
            <w:tcW w:w="303" w:type="pct"/>
            <w:vMerge w:val="restart"/>
            <w:tcBorders>
              <w:tl2br w:val="nil"/>
              <w:tr2bl w:val="nil"/>
            </w:tcBorders>
            <w:vAlign w:val="center"/>
          </w:tcPr>
          <w:p>
            <w:pPr>
              <w:pStyle w:val="41"/>
              <w:rPr>
                <w:color w:val="auto"/>
                <w:highlight w:val="none"/>
              </w:rPr>
            </w:pPr>
            <w:r>
              <w:rPr>
                <w:color w:val="auto"/>
                <w:highlight w:val="none"/>
              </w:rPr>
              <w:t>1次/年</w:t>
            </w:r>
          </w:p>
        </w:tc>
        <w:tc>
          <w:tcPr>
            <w:tcW w:w="336" w:type="pct"/>
            <w:vMerge w:val="continue"/>
            <w:tcBorders>
              <w:tl2br w:val="nil"/>
              <w:tr2bl w:val="nil"/>
            </w:tcBorders>
            <w:vAlign w:val="center"/>
          </w:tcPr>
          <w:p>
            <w:pPr>
              <w:pStyle w:val="41"/>
              <w:rPr>
                <w:color w:val="auto"/>
                <w:highlight w:val="none"/>
              </w:rPr>
            </w:pPr>
          </w:p>
        </w:tc>
        <w:tc>
          <w:tcPr>
            <w:tcW w:w="1425" w:type="pct"/>
            <w:vMerge w:val="restart"/>
            <w:tcBorders>
              <w:tl2br w:val="nil"/>
              <w:tr2bl w:val="nil"/>
            </w:tcBorders>
            <w:vAlign w:val="center"/>
          </w:tcPr>
          <w:p>
            <w:pPr>
              <w:pStyle w:val="41"/>
              <w:rPr>
                <w:color w:val="auto"/>
                <w:highlight w:val="none"/>
              </w:rPr>
            </w:pPr>
            <w:r>
              <w:rPr>
                <w:color w:val="auto"/>
                <w:highlight w:val="none"/>
              </w:rPr>
              <w:t>石油类、石油烃（C</w:t>
            </w:r>
            <w:r>
              <w:rPr>
                <w:color w:val="auto"/>
                <w:highlight w:val="none"/>
                <w:vertAlign w:val="subscript"/>
              </w:rPr>
              <w:t>6</w:t>
            </w:r>
            <w:r>
              <w:rPr>
                <w:color w:val="auto"/>
                <w:highlight w:val="none"/>
              </w:rPr>
              <w:t>~C</w:t>
            </w:r>
            <w:r>
              <w:rPr>
                <w:color w:val="auto"/>
                <w:highlight w:val="none"/>
                <w:vertAlign w:val="subscript"/>
              </w:rPr>
              <w:t>9</w:t>
            </w:r>
            <w:r>
              <w:rPr>
                <w:color w:val="auto"/>
                <w:highlight w:val="none"/>
              </w:rPr>
              <w:t>）、石油烃（C</w:t>
            </w:r>
            <w:r>
              <w:rPr>
                <w:color w:val="auto"/>
                <w:highlight w:val="none"/>
                <w:vertAlign w:val="subscript"/>
              </w:rPr>
              <w:t>10</w:t>
            </w:r>
            <w:r>
              <w:rPr>
                <w:color w:val="auto"/>
                <w:highlight w:val="none"/>
              </w:rPr>
              <w:t>~C</w:t>
            </w:r>
            <w:r>
              <w:rPr>
                <w:color w:val="auto"/>
                <w:highlight w:val="none"/>
                <w:vertAlign w:val="subscript"/>
              </w:rPr>
              <w:t>40</w:t>
            </w:r>
            <w:r>
              <w:rPr>
                <w:color w:val="auto"/>
                <w:highlight w:val="none"/>
              </w:rPr>
              <w:t>）</w:t>
            </w:r>
            <w:r>
              <w:rPr>
                <w:rFonts w:hint="eastAsia"/>
                <w:color w:val="auto"/>
                <w:highlight w:val="none"/>
              </w:rPr>
              <w:t>汞</w:t>
            </w:r>
            <w:r>
              <w:rPr>
                <w:color w:val="auto"/>
                <w:highlight w:val="none"/>
              </w:rPr>
              <w:t>、砷、六价铬</w:t>
            </w:r>
          </w:p>
        </w:tc>
        <w:tc>
          <w:tcPr>
            <w:tcW w:w="555" w:type="pct"/>
            <w:tcBorders>
              <w:tl2br w:val="nil"/>
              <w:tr2bl w:val="nil"/>
            </w:tcBorders>
            <w:vAlign w:val="center"/>
          </w:tcPr>
          <w:p>
            <w:pPr>
              <w:pStyle w:val="41"/>
              <w:rPr>
                <w:color w:val="auto"/>
                <w:highlight w:val="none"/>
              </w:rPr>
            </w:pPr>
            <w:r>
              <w:rPr>
                <w:rFonts w:hint="eastAsia"/>
                <w:color w:val="auto"/>
                <w:highlight w:val="none"/>
              </w:rPr>
              <w:t>环境质量监测</w:t>
            </w:r>
          </w:p>
        </w:tc>
        <w:tc>
          <w:tcPr>
            <w:tcW w:w="1120" w:type="pct"/>
            <w:vMerge w:val="restart"/>
            <w:tcBorders>
              <w:tl2br w:val="nil"/>
              <w:tr2bl w:val="nil"/>
            </w:tcBorders>
            <w:vAlign w:val="center"/>
          </w:tcPr>
          <w:p>
            <w:pPr>
              <w:pStyle w:val="41"/>
              <w:rPr>
                <w:rFonts w:hint="eastAsia"/>
                <w:color w:val="auto"/>
                <w:highlight w:val="none"/>
              </w:rPr>
            </w:pPr>
            <w:r>
              <w:rPr>
                <w:rFonts w:hint="default" w:ascii="Times New Roman" w:hAnsi="Times New Roman" w:cs="Times New Roman"/>
                <w:color w:val="auto"/>
                <w:sz w:val="21"/>
                <w:szCs w:val="21"/>
                <w:highlight w:val="none"/>
                <w:shd w:val="clear" w:color="auto" w:fill="auto"/>
              </w:rPr>
              <w:t>《土壤环境质量建设用地土壤污染风险管控标准（试行）》（GB36600-2018）中表1第二类用地筛选值标准要求</w:t>
            </w:r>
          </w:p>
          <w:p>
            <w:pPr>
              <w:pStyle w:val="41"/>
              <w:rPr>
                <w:color w:val="auto"/>
                <w:highlight w:val="none"/>
              </w:rPr>
            </w:pPr>
            <w:r>
              <w:rPr>
                <w:rFonts w:hint="eastAsia"/>
                <w:color w:val="auto"/>
                <w:highlight w:val="none"/>
              </w:rPr>
              <w:t>《</w:t>
            </w:r>
            <w:bookmarkStart w:id="865" w:name="OLE_LINK96"/>
            <w:r>
              <w:rPr>
                <w:rFonts w:hint="eastAsia"/>
                <w:color w:val="auto"/>
                <w:highlight w:val="none"/>
              </w:rPr>
              <w:t>土壤环境质量</w:t>
            </w:r>
            <w:r>
              <w:rPr>
                <w:color w:val="auto"/>
                <w:highlight w:val="none"/>
              </w:rPr>
              <w:t xml:space="preserve"> 农用地土壤污染风险管控标准（试行）</w:t>
            </w:r>
            <w:bookmarkEnd w:id="865"/>
            <w:r>
              <w:rPr>
                <w:color w:val="auto"/>
                <w:highlight w:val="none"/>
              </w:rPr>
              <w:t>》（GB15618-2018）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vMerge w:val="continue"/>
            <w:tcBorders>
              <w:tl2br w:val="nil"/>
              <w:tr2bl w:val="nil"/>
            </w:tcBorders>
            <w:vAlign w:val="center"/>
          </w:tcPr>
          <w:p>
            <w:pPr>
              <w:pStyle w:val="41"/>
              <w:rPr>
                <w:color w:val="auto"/>
                <w:highlight w:val="none"/>
              </w:rPr>
            </w:pPr>
          </w:p>
        </w:tc>
        <w:tc>
          <w:tcPr>
            <w:tcW w:w="1095" w:type="pct"/>
            <w:vMerge w:val="continue"/>
            <w:tcBorders>
              <w:tl2br w:val="nil"/>
              <w:tr2bl w:val="nil"/>
            </w:tcBorders>
            <w:vAlign w:val="center"/>
          </w:tcPr>
          <w:p>
            <w:pPr>
              <w:pStyle w:val="41"/>
              <w:rPr>
                <w:color w:val="auto"/>
                <w:highlight w:val="none"/>
              </w:rPr>
            </w:pPr>
          </w:p>
        </w:tc>
        <w:tc>
          <w:tcPr>
            <w:tcW w:w="303" w:type="pct"/>
            <w:vMerge w:val="continue"/>
            <w:tcBorders>
              <w:tl2br w:val="nil"/>
              <w:tr2bl w:val="nil"/>
            </w:tcBorders>
            <w:vAlign w:val="center"/>
          </w:tcPr>
          <w:p>
            <w:pPr>
              <w:pStyle w:val="41"/>
              <w:rPr>
                <w:color w:val="auto"/>
                <w:highlight w:val="none"/>
              </w:rPr>
            </w:pPr>
          </w:p>
        </w:tc>
        <w:tc>
          <w:tcPr>
            <w:tcW w:w="336" w:type="pct"/>
            <w:vMerge w:val="continue"/>
            <w:tcBorders>
              <w:tl2br w:val="nil"/>
              <w:tr2bl w:val="nil"/>
            </w:tcBorders>
            <w:vAlign w:val="center"/>
          </w:tcPr>
          <w:p>
            <w:pPr>
              <w:pStyle w:val="41"/>
              <w:rPr>
                <w:color w:val="auto"/>
                <w:highlight w:val="none"/>
              </w:rPr>
            </w:pPr>
          </w:p>
        </w:tc>
        <w:tc>
          <w:tcPr>
            <w:tcW w:w="1425" w:type="pct"/>
            <w:vMerge w:val="continue"/>
            <w:tcBorders>
              <w:tl2br w:val="nil"/>
              <w:tr2bl w:val="nil"/>
            </w:tcBorders>
            <w:vAlign w:val="center"/>
          </w:tcPr>
          <w:p>
            <w:pPr>
              <w:pStyle w:val="41"/>
              <w:rPr>
                <w:color w:val="auto"/>
                <w:highlight w:val="none"/>
              </w:rPr>
            </w:pPr>
          </w:p>
        </w:tc>
        <w:tc>
          <w:tcPr>
            <w:tcW w:w="555" w:type="pct"/>
            <w:tcBorders>
              <w:tl2br w:val="nil"/>
              <w:tr2bl w:val="nil"/>
            </w:tcBorders>
            <w:vAlign w:val="center"/>
          </w:tcPr>
          <w:p>
            <w:pPr>
              <w:pStyle w:val="41"/>
              <w:rPr>
                <w:color w:val="auto"/>
                <w:highlight w:val="none"/>
              </w:rPr>
            </w:pPr>
            <w:r>
              <w:rPr>
                <w:rFonts w:hint="eastAsia"/>
                <w:color w:val="auto"/>
                <w:highlight w:val="none"/>
              </w:rPr>
              <w:t>环境质量监测</w:t>
            </w:r>
          </w:p>
        </w:tc>
        <w:tc>
          <w:tcPr>
            <w:tcW w:w="1120" w:type="pct"/>
            <w:vMerge w:val="continue"/>
            <w:tcBorders>
              <w:tl2br w:val="nil"/>
              <w:tr2bl w:val="nil"/>
            </w:tcBorders>
            <w:vAlign w:val="center"/>
          </w:tcPr>
          <w:p>
            <w:pPr>
              <w:pStyle w:val="41"/>
              <w:rPr>
                <w:color w:val="auto"/>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tcBorders>
              <w:tl2br w:val="nil"/>
              <w:tr2bl w:val="nil"/>
            </w:tcBorders>
            <w:vAlign w:val="center"/>
          </w:tcPr>
          <w:p>
            <w:pPr>
              <w:pStyle w:val="41"/>
              <w:rPr>
                <w:color w:val="auto"/>
                <w:highlight w:val="none"/>
              </w:rPr>
            </w:pPr>
            <w:r>
              <w:rPr>
                <w:color w:val="auto"/>
                <w:highlight w:val="none"/>
              </w:rPr>
              <w:t>地下水</w:t>
            </w:r>
          </w:p>
        </w:tc>
        <w:tc>
          <w:tcPr>
            <w:tcW w:w="1095" w:type="pct"/>
            <w:tcBorders>
              <w:tl2br w:val="nil"/>
              <w:tr2bl w:val="nil"/>
            </w:tcBorders>
            <w:vAlign w:val="center"/>
          </w:tcPr>
          <w:p>
            <w:pPr>
              <w:pStyle w:val="41"/>
              <w:rPr>
                <w:color w:val="auto"/>
                <w:highlight w:val="none"/>
              </w:rPr>
            </w:pPr>
            <w:r>
              <w:rPr>
                <w:rFonts w:hint="default" w:ascii="Times New Roman" w:hAnsi="Times New Roman" w:cs="Times New Roman"/>
                <w:color w:val="auto"/>
                <w:sz w:val="21"/>
                <w:szCs w:val="21"/>
                <w:highlight w:val="none"/>
                <w:shd w:val="clear" w:color="auto" w:fill="auto"/>
              </w:rPr>
              <w:t>在项目区上游地区处设1眼地下水背景（或对照）监控井，重点污染防治区附近设置1眼地下水污染监控井，区块下游布设1眼地下水污染监控井，监测点充分依托</w:t>
            </w:r>
            <w:r>
              <w:rPr>
                <w:rFonts w:hint="eastAsia" w:ascii="Times New Roman" w:hAnsi="Times New Roman" w:cs="Times New Roman"/>
                <w:color w:val="auto"/>
                <w:sz w:val="21"/>
                <w:szCs w:val="21"/>
                <w:highlight w:val="none"/>
                <w:shd w:val="clear" w:color="auto" w:fill="auto"/>
                <w:lang w:val="en-US" w:eastAsia="zh-CN"/>
              </w:rPr>
              <w:t>夏子街</w:t>
            </w:r>
            <w:r>
              <w:rPr>
                <w:rFonts w:hint="eastAsia" w:ascii="Times New Roman" w:hAnsi="Times New Roman" w:cs="Times New Roman"/>
                <w:color w:val="auto"/>
                <w:sz w:val="21"/>
                <w:szCs w:val="21"/>
                <w:highlight w:val="none"/>
                <w:shd w:val="clear" w:color="auto" w:fill="auto"/>
                <w:lang w:eastAsia="zh-CN"/>
              </w:rPr>
              <w:t>油田</w:t>
            </w:r>
            <w:r>
              <w:rPr>
                <w:rFonts w:hint="default" w:ascii="Times New Roman" w:hAnsi="Times New Roman" w:cs="Times New Roman"/>
                <w:color w:val="auto"/>
                <w:sz w:val="21"/>
                <w:szCs w:val="21"/>
                <w:highlight w:val="none"/>
                <w:shd w:val="clear" w:color="auto" w:fill="auto"/>
              </w:rPr>
              <w:t>已有监测井。</w:t>
            </w:r>
          </w:p>
        </w:tc>
        <w:tc>
          <w:tcPr>
            <w:tcW w:w="303" w:type="pct"/>
            <w:tcBorders>
              <w:tl2br w:val="nil"/>
              <w:tr2bl w:val="nil"/>
            </w:tcBorders>
            <w:vAlign w:val="center"/>
          </w:tcPr>
          <w:p>
            <w:pPr>
              <w:pStyle w:val="41"/>
              <w:rPr>
                <w:color w:val="auto"/>
                <w:highlight w:val="none"/>
              </w:rPr>
            </w:pPr>
            <w:r>
              <w:rPr>
                <w:color w:val="auto"/>
                <w:highlight w:val="none"/>
              </w:rPr>
              <w:t>每半年一次。发生事故时加大取样频率</w:t>
            </w:r>
          </w:p>
        </w:tc>
        <w:tc>
          <w:tcPr>
            <w:tcW w:w="336" w:type="pct"/>
            <w:vMerge w:val="continue"/>
            <w:tcBorders>
              <w:tl2br w:val="nil"/>
              <w:tr2bl w:val="nil"/>
            </w:tcBorders>
            <w:vAlign w:val="center"/>
          </w:tcPr>
          <w:p>
            <w:pPr>
              <w:pStyle w:val="41"/>
              <w:rPr>
                <w:color w:val="auto"/>
                <w:highlight w:val="none"/>
              </w:rPr>
            </w:pPr>
          </w:p>
        </w:tc>
        <w:tc>
          <w:tcPr>
            <w:tcW w:w="1425" w:type="pct"/>
            <w:tcBorders>
              <w:tl2br w:val="nil"/>
              <w:tr2bl w:val="nil"/>
            </w:tcBorders>
            <w:vAlign w:val="center"/>
          </w:tcPr>
          <w:p>
            <w:pPr>
              <w:pStyle w:val="41"/>
              <w:rPr>
                <w:color w:val="auto"/>
                <w:highlight w:val="none"/>
              </w:rPr>
            </w:pPr>
            <w:r>
              <w:rPr>
                <w:rFonts w:hint="default" w:ascii="Times New Roman" w:hAnsi="Times New Roman" w:cs="Times New Roman"/>
                <w:color w:val="auto"/>
                <w:sz w:val="21"/>
                <w:szCs w:val="21"/>
                <w:highlight w:val="none"/>
                <w:shd w:val="clear" w:color="auto" w:fill="auto"/>
              </w:rPr>
              <w:t>耗氧量、氨氮、挥发性酚类、硫化物、氯化物、硫酸盐、氟化物、石油类</w:t>
            </w:r>
            <w:r>
              <w:rPr>
                <w:rFonts w:hint="eastAsia" w:ascii="Times New Roman" w:hAnsi="宋体" w:eastAsia="宋体" w:cs="宋体"/>
                <w:color w:val="auto"/>
                <w:spacing w:val="0"/>
                <w:kern w:val="0"/>
                <w:sz w:val="21"/>
                <w:szCs w:val="21"/>
                <w:highlight w:val="none"/>
                <w:shd w:val="clear" w:color="auto" w:fill="auto"/>
                <w:lang w:val="en-US" w:eastAsia="zh-CN" w:bidi="ar-SA"/>
              </w:rPr>
              <w:t>、砷、六价铬</w:t>
            </w:r>
            <w:r>
              <w:rPr>
                <w:rFonts w:hint="default" w:ascii="Times New Roman" w:hAnsi="Times New Roman" w:cs="Times New Roman"/>
                <w:color w:val="auto"/>
                <w:sz w:val="21"/>
                <w:szCs w:val="21"/>
                <w:highlight w:val="none"/>
                <w:shd w:val="clear" w:color="auto" w:fill="auto"/>
                <w:lang w:val="en-US" w:eastAsia="zh-CN"/>
              </w:rPr>
              <w:t>等</w:t>
            </w:r>
            <w:r>
              <w:rPr>
                <w:rFonts w:hint="eastAsia" w:ascii="Times New Roman" w:hAnsi="Times New Roman" w:cs="Times New Roman"/>
                <w:color w:val="auto"/>
                <w:sz w:val="21"/>
                <w:szCs w:val="21"/>
                <w:highlight w:val="none"/>
                <w:shd w:val="clear" w:color="auto" w:fill="auto"/>
                <w:lang w:val="en-US" w:eastAsia="zh-CN"/>
              </w:rPr>
              <w:t>。</w:t>
            </w:r>
          </w:p>
        </w:tc>
        <w:tc>
          <w:tcPr>
            <w:tcW w:w="555" w:type="pct"/>
            <w:tcBorders>
              <w:tl2br w:val="nil"/>
              <w:tr2bl w:val="nil"/>
            </w:tcBorders>
            <w:vAlign w:val="center"/>
          </w:tcPr>
          <w:p>
            <w:pPr>
              <w:pStyle w:val="41"/>
              <w:rPr>
                <w:color w:val="auto"/>
                <w:highlight w:val="none"/>
              </w:rPr>
            </w:pPr>
            <w:r>
              <w:rPr>
                <w:rFonts w:hint="eastAsia"/>
                <w:color w:val="auto"/>
                <w:highlight w:val="none"/>
              </w:rPr>
              <w:t>环境质量监测</w:t>
            </w:r>
          </w:p>
        </w:tc>
        <w:tc>
          <w:tcPr>
            <w:tcW w:w="1120" w:type="pct"/>
            <w:tcBorders>
              <w:tl2br w:val="nil"/>
              <w:tr2bl w:val="nil"/>
            </w:tcBorders>
            <w:vAlign w:val="center"/>
          </w:tcPr>
          <w:p>
            <w:pPr>
              <w:pStyle w:val="41"/>
              <w:rPr>
                <w:color w:val="auto"/>
                <w:highlight w:val="none"/>
              </w:rPr>
            </w:pPr>
            <w:r>
              <w:rPr>
                <w:color w:val="auto"/>
                <w:highlight w:val="none"/>
              </w:rPr>
              <w:t>《地下水质量标准》（GB/T14848-2017）的</w:t>
            </w:r>
            <w:r>
              <w:rPr>
                <w:rFonts w:hint="eastAsia" w:ascii="宋体" w:hAnsi="宋体" w:cs="宋体"/>
                <w:color w:val="auto"/>
                <w:highlight w:val="none"/>
              </w:rPr>
              <w:t>Ⅲ</w:t>
            </w:r>
            <w:r>
              <w:rPr>
                <w:color w:val="auto"/>
                <w:highlight w:val="none"/>
              </w:rPr>
              <w:t>类标准；石油类参照《地表水环境质量标准》（GB3838-2002）中的</w:t>
            </w:r>
            <w:r>
              <w:rPr>
                <w:rFonts w:hint="eastAsia" w:ascii="宋体" w:hAnsi="宋体" w:cs="宋体"/>
                <w:color w:val="auto"/>
                <w:highlight w:val="none"/>
              </w:rPr>
              <w:t>Ⅲ</w:t>
            </w:r>
            <w:r>
              <w:rPr>
                <w:color w:val="auto"/>
                <w:highlight w:val="none"/>
              </w:rPr>
              <w:t>类标准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20" w:hRule="atLeast"/>
          <w:jc w:val="center"/>
        </w:trPr>
        <w:tc>
          <w:tcPr>
            <w:tcW w:w="163" w:type="pct"/>
            <w:tcBorders>
              <w:tl2br w:val="nil"/>
              <w:tr2bl w:val="nil"/>
            </w:tcBorders>
            <w:vAlign w:val="center"/>
          </w:tcPr>
          <w:p>
            <w:pPr>
              <w:pStyle w:val="41"/>
              <w:rPr>
                <w:color w:val="auto"/>
                <w:highlight w:val="none"/>
              </w:rPr>
            </w:pPr>
            <w:r>
              <w:rPr>
                <w:rFonts w:hint="eastAsia"/>
                <w:color w:val="auto"/>
                <w:highlight w:val="none"/>
              </w:rPr>
              <w:t>生态</w:t>
            </w:r>
          </w:p>
        </w:tc>
        <w:tc>
          <w:tcPr>
            <w:tcW w:w="1095" w:type="pct"/>
            <w:tcBorders>
              <w:tl2br w:val="nil"/>
              <w:tr2bl w:val="nil"/>
            </w:tcBorders>
            <w:vAlign w:val="center"/>
          </w:tcPr>
          <w:p>
            <w:pPr>
              <w:pStyle w:val="41"/>
              <w:rPr>
                <w:color w:val="auto"/>
                <w:highlight w:val="none"/>
              </w:rPr>
            </w:pPr>
            <w:r>
              <w:rPr>
                <w:rFonts w:hint="default" w:ascii="Times New Roman" w:hAnsi="Times New Roman" w:cs="Times New Roman"/>
                <w:color w:val="auto"/>
                <w:sz w:val="21"/>
                <w:szCs w:val="21"/>
                <w:highlight w:val="none"/>
                <w:shd w:val="clear" w:color="auto" w:fill="auto"/>
              </w:rPr>
              <w:t>项目区及管线周围</w:t>
            </w:r>
          </w:p>
        </w:tc>
        <w:tc>
          <w:tcPr>
            <w:tcW w:w="303" w:type="pct"/>
            <w:tcBorders>
              <w:tl2br w:val="nil"/>
              <w:tr2bl w:val="nil"/>
            </w:tcBorders>
            <w:vAlign w:val="center"/>
          </w:tcPr>
          <w:p>
            <w:pPr>
              <w:pStyle w:val="41"/>
              <w:rPr>
                <w:color w:val="auto"/>
                <w:highlight w:val="none"/>
              </w:rPr>
            </w:pPr>
            <w:r>
              <w:rPr>
                <w:rFonts w:hint="default" w:ascii="Times New Roman" w:hAnsi="Times New Roman" w:cs="Times New Roman"/>
                <w:color w:val="auto"/>
                <w:sz w:val="21"/>
                <w:szCs w:val="21"/>
                <w:highlight w:val="none"/>
                <w:shd w:val="clear" w:color="auto" w:fill="auto"/>
              </w:rPr>
              <w:t>3</w:t>
            </w:r>
            <w:r>
              <w:rPr>
                <w:rFonts w:hint="eastAsia"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rPr>
              <w:t>5年一次</w:t>
            </w:r>
          </w:p>
        </w:tc>
        <w:tc>
          <w:tcPr>
            <w:tcW w:w="336" w:type="pct"/>
            <w:vMerge w:val="continue"/>
            <w:tcBorders>
              <w:tl2br w:val="nil"/>
              <w:tr2bl w:val="nil"/>
            </w:tcBorders>
            <w:vAlign w:val="center"/>
          </w:tcPr>
          <w:p>
            <w:pPr>
              <w:pStyle w:val="41"/>
              <w:rPr>
                <w:color w:val="auto"/>
                <w:highlight w:val="none"/>
              </w:rPr>
            </w:pPr>
          </w:p>
        </w:tc>
        <w:tc>
          <w:tcPr>
            <w:tcW w:w="1425" w:type="pct"/>
            <w:tcBorders>
              <w:tl2br w:val="nil"/>
              <w:tr2bl w:val="nil"/>
            </w:tcBorders>
            <w:vAlign w:val="center"/>
          </w:tcPr>
          <w:p>
            <w:pPr>
              <w:pStyle w:val="41"/>
              <w:rPr>
                <w:color w:val="auto"/>
                <w:highlight w:val="none"/>
              </w:rPr>
            </w:pPr>
            <w:r>
              <w:rPr>
                <w:color w:val="auto"/>
                <w:highlight w:val="none"/>
              </w:rPr>
              <w:t>生态恢复情况</w:t>
            </w:r>
          </w:p>
        </w:tc>
        <w:tc>
          <w:tcPr>
            <w:tcW w:w="555" w:type="pct"/>
            <w:tcBorders>
              <w:tl2br w:val="nil"/>
              <w:tr2bl w:val="nil"/>
            </w:tcBorders>
            <w:vAlign w:val="center"/>
          </w:tcPr>
          <w:p>
            <w:pPr>
              <w:pStyle w:val="41"/>
              <w:rPr>
                <w:color w:val="auto"/>
                <w:highlight w:val="none"/>
              </w:rPr>
            </w:pPr>
            <w:r>
              <w:rPr>
                <w:rFonts w:hint="eastAsia"/>
                <w:color w:val="auto"/>
                <w:highlight w:val="none"/>
              </w:rPr>
              <w:t>环境质量监测</w:t>
            </w:r>
          </w:p>
        </w:tc>
        <w:tc>
          <w:tcPr>
            <w:tcW w:w="1120" w:type="pct"/>
            <w:tcBorders>
              <w:tl2br w:val="nil"/>
              <w:tr2bl w:val="nil"/>
            </w:tcBorders>
            <w:vAlign w:val="center"/>
          </w:tcPr>
          <w:p>
            <w:pPr>
              <w:pStyle w:val="41"/>
              <w:rPr>
                <w:color w:val="auto"/>
                <w:highlight w:val="none"/>
              </w:rPr>
            </w:pPr>
            <w:r>
              <w:rPr>
                <w:rFonts w:hint="eastAsia"/>
                <w:color w:val="auto"/>
                <w:highlight w:val="none"/>
              </w:rPr>
              <w:t>-</w:t>
            </w:r>
          </w:p>
        </w:tc>
      </w:tr>
      <w:bookmarkEnd w:id="862"/>
    </w:tbl>
    <w:p>
      <w:pPr>
        <w:jc w:val="both"/>
        <w:rPr>
          <w:rFonts w:ascii="楷体_GB2312" w:hAnsi="仿宋" w:eastAsia="楷体_GB2312" w:cs="仿宋"/>
          <w:color w:val="auto"/>
          <w:highlight w:val="none"/>
        </w:rPr>
      </w:pPr>
      <w:bookmarkStart w:id="866" w:name="_Toc173942717"/>
      <w:bookmarkStart w:id="867" w:name="_Toc173941763"/>
      <w:bookmarkStart w:id="868" w:name="_Toc173941998"/>
      <w:bookmarkStart w:id="869" w:name="_Toc17807"/>
      <w:r>
        <w:rPr>
          <w:rFonts w:hint="eastAsia" w:ascii="楷体_GB2312" w:hAnsi="仿宋" w:eastAsia="楷体_GB2312" w:cs="仿宋"/>
          <w:color w:val="auto"/>
          <w:highlight w:val="none"/>
        </w:rPr>
        <w:t>注：当地下水监测指标出现异常时，可按照</w:t>
      </w:r>
      <w:r>
        <w:rPr>
          <w:rFonts w:ascii="楷体_GB2312" w:hAnsi="仿宋" w:eastAsia="楷体_GB2312" w:cs="仿宋"/>
          <w:color w:val="auto"/>
          <w:highlight w:val="none"/>
        </w:rPr>
        <w:t>HJ164</w:t>
      </w:r>
      <w:r>
        <w:rPr>
          <w:rFonts w:hint="eastAsia" w:ascii="楷体_GB2312" w:hAnsi="仿宋" w:eastAsia="楷体_GB2312" w:cs="仿宋"/>
          <w:color w:val="auto"/>
          <w:highlight w:val="none"/>
        </w:rPr>
        <w:t>的附录</w:t>
      </w:r>
      <w:r>
        <w:rPr>
          <w:rFonts w:ascii="楷体_GB2312" w:hAnsi="仿宋" w:eastAsia="楷体_GB2312" w:cs="仿宋"/>
          <w:color w:val="auto"/>
          <w:highlight w:val="none"/>
        </w:rPr>
        <w:t>F</w:t>
      </w:r>
      <w:r>
        <w:rPr>
          <w:rFonts w:hint="eastAsia" w:ascii="楷体_GB2312" w:hAnsi="仿宋" w:eastAsia="楷体_GB2312" w:cs="仿宋"/>
          <w:color w:val="auto"/>
          <w:highlight w:val="none"/>
        </w:rPr>
        <w:t>中石油和天然气开采业特征项目开展监测；当土壤监测指标出现异常时，可按照</w:t>
      </w:r>
      <w:r>
        <w:rPr>
          <w:rFonts w:ascii="楷体_GB2312" w:hAnsi="仿宋" w:eastAsia="楷体_GB2312" w:cs="仿宋"/>
          <w:color w:val="auto"/>
          <w:highlight w:val="none"/>
        </w:rPr>
        <w:t>GB36600</w:t>
      </w:r>
      <w:r>
        <w:rPr>
          <w:rFonts w:hint="eastAsia" w:ascii="楷体_GB2312" w:hAnsi="仿宋" w:eastAsia="楷体_GB2312" w:cs="仿宋"/>
          <w:color w:val="auto"/>
          <w:highlight w:val="none"/>
        </w:rPr>
        <w:t>的表</w:t>
      </w:r>
      <w:r>
        <w:rPr>
          <w:rFonts w:ascii="楷体_GB2312" w:hAnsi="仿宋" w:eastAsia="楷体_GB2312" w:cs="仿宋"/>
          <w:color w:val="auto"/>
          <w:highlight w:val="none"/>
        </w:rPr>
        <w:t>1</w:t>
      </w:r>
      <w:r>
        <w:rPr>
          <w:rFonts w:hint="eastAsia" w:ascii="楷体_GB2312" w:hAnsi="仿宋" w:eastAsia="楷体_GB2312" w:cs="仿宋"/>
          <w:color w:val="auto"/>
          <w:highlight w:val="none"/>
        </w:rPr>
        <w:t>中的污染物项目开展监测。</w:t>
      </w:r>
    </w:p>
    <w:p>
      <w:pPr>
        <w:pStyle w:val="49"/>
        <w:rPr>
          <w:rFonts w:eastAsia="宋体"/>
          <w:color w:val="auto"/>
          <w:highlight w:val="none"/>
        </w:rPr>
      </w:pPr>
      <w:bookmarkStart w:id="870" w:name="_Toc11430"/>
      <w:bookmarkStart w:id="871" w:name="_Toc6816"/>
      <w:r>
        <w:rPr>
          <w:rFonts w:hint="eastAsia"/>
          <w:color w:val="auto"/>
          <w:highlight w:val="none"/>
        </w:rPr>
        <w:t>9</w:t>
      </w:r>
      <w:r>
        <w:rPr>
          <w:color w:val="auto"/>
          <w:highlight w:val="none"/>
        </w:rPr>
        <w:t>.5</w:t>
      </w:r>
      <w:bookmarkEnd w:id="866"/>
      <w:bookmarkEnd w:id="867"/>
      <w:bookmarkEnd w:id="868"/>
      <w:bookmarkEnd w:id="869"/>
      <w:r>
        <w:rPr>
          <w:rFonts w:hint="eastAsia"/>
          <w:color w:val="auto"/>
          <w:highlight w:val="none"/>
        </w:rPr>
        <w:t>环保设施“三同时”验收</w:t>
      </w:r>
      <w:bookmarkEnd w:id="870"/>
      <w:bookmarkEnd w:id="871"/>
    </w:p>
    <w:p>
      <w:pPr>
        <w:pStyle w:val="53"/>
        <w:rPr>
          <w:color w:val="auto"/>
          <w:highlight w:val="none"/>
        </w:rPr>
      </w:pPr>
      <w:bookmarkStart w:id="872" w:name="_Toc173941999"/>
      <w:r>
        <w:rPr>
          <w:rFonts w:hint="eastAsia"/>
          <w:color w:val="auto"/>
          <w:highlight w:val="none"/>
        </w:rPr>
        <w:t>9</w:t>
      </w:r>
      <w:r>
        <w:rPr>
          <w:color w:val="auto"/>
          <w:highlight w:val="none"/>
        </w:rPr>
        <w:t>.5.1环境工程设计</w:t>
      </w:r>
      <w:bookmarkEnd w:id="872"/>
    </w:p>
    <w:p>
      <w:pPr>
        <w:pStyle w:val="57"/>
        <w:rPr>
          <w:color w:val="auto"/>
          <w:highlight w:val="none"/>
        </w:rPr>
      </w:pPr>
      <w:r>
        <w:rPr>
          <w:color w:val="auto"/>
          <w:highlight w:val="none"/>
        </w:rPr>
        <w:t>（1）必须按照本环评文件及批复要求，落实项目环境工程设计，确保“三废”稳定达标排放；按要求制定环境风险事故应急预案。</w:t>
      </w:r>
    </w:p>
    <w:p>
      <w:pPr>
        <w:pStyle w:val="57"/>
        <w:rPr>
          <w:color w:val="auto"/>
          <w:highlight w:val="none"/>
        </w:rPr>
      </w:pPr>
      <w:r>
        <w:rPr>
          <w:color w:val="auto"/>
          <w:highlight w:val="none"/>
        </w:rPr>
        <w:t xml:space="preserve">（2）建立健全环境管理组织机构、各项环保规章制度，施工期实行环境监理。 </w:t>
      </w:r>
    </w:p>
    <w:p>
      <w:pPr>
        <w:pStyle w:val="57"/>
        <w:rPr>
          <w:color w:val="auto"/>
          <w:highlight w:val="none"/>
        </w:rPr>
      </w:pPr>
      <w:r>
        <w:rPr>
          <w:color w:val="auto"/>
          <w:highlight w:val="none"/>
        </w:rPr>
        <w:t xml:space="preserve">（3）项目污染防治设施必须与主体工程“三同时”；如需进行试生产，其配套的环保设施也必须与主体工程同时建设投入运行。 </w:t>
      </w:r>
    </w:p>
    <w:p>
      <w:pPr>
        <w:pStyle w:val="53"/>
        <w:rPr>
          <w:color w:val="auto"/>
          <w:highlight w:val="none"/>
        </w:rPr>
      </w:pPr>
      <w:bookmarkStart w:id="873" w:name="_Toc173942000"/>
      <w:r>
        <w:rPr>
          <w:rFonts w:hint="eastAsia"/>
          <w:color w:val="auto"/>
          <w:highlight w:val="none"/>
        </w:rPr>
        <w:t>9</w:t>
      </w:r>
      <w:r>
        <w:rPr>
          <w:color w:val="auto"/>
          <w:highlight w:val="none"/>
        </w:rPr>
        <w:t>.5.2环境设施验收建议</w:t>
      </w:r>
      <w:bookmarkEnd w:id="873"/>
    </w:p>
    <w:p>
      <w:pPr>
        <w:pStyle w:val="57"/>
        <w:rPr>
          <w:color w:val="auto"/>
          <w:highlight w:val="none"/>
        </w:rPr>
      </w:pPr>
      <w:r>
        <w:rPr>
          <w:color w:val="auto"/>
          <w:highlight w:val="none"/>
        </w:rPr>
        <w:t xml:space="preserve">（1）验收范围 </w:t>
      </w:r>
    </w:p>
    <w:p>
      <w:pPr>
        <w:pStyle w:val="57"/>
        <w:rPr>
          <w:color w:val="auto"/>
          <w:highlight w:val="none"/>
        </w:rPr>
      </w:pPr>
      <w:r>
        <w:rPr>
          <w:rFonts w:hint="eastAsia"/>
          <w:color w:val="auto"/>
          <w:highlight w:val="none"/>
        </w:rPr>
        <w:t>①</w:t>
      </w:r>
      <w:r>
        <w:rPr>
          <w:color w:val="auto"/>
          <w:highlight w:val="none"/>
        </w:rPr>
        <w:t xml:space="preserve">与项目有关的各项环保设施，包括为防治污染和保护环境所配套建成的治理工程、设备、装置和监测手段，以及各项生态保护设施等。 </w:t>
      </w:r>
    </w:p>
    <w:p>
      <w:pPr>
        <w:pStyle w:val="57"/>
        <w:rPr>
          <w:color w:val="auto"/>
          <w:highlight w:val="none"/>
        </w:rPr>
      </w:pPr>
      <w:r>
        <w:rPr>
          <w:rFonts w:hint="eastAsia"/>
          <w:color w:val="auto"/>
          <w:highlight w:val="none"/>
        </w:rPr>
        <w:t>②</w:t>
      </w:r>
      <w:r>
        <w:rPr>
          <w:color w:val="auto"/>
          <w:highlight w:val="none"/>
        </w:rPr>
        <w:t xml:space="preserve">环境影响报告书及批复文件和有关设计文件规定应采取的环保措施。 </w:t>
      </w:r>
    </w:p>
    <w:p>
      <w:pPr>
        <w:pStyle w:val="57"/>
        <w:rPr>
          <w:color w:val="auto"/>
          <w:highlight w:val="none"/>
        </w:rPr>
      </w:pPr>
      <w:r>
        <w:rPr>
          <w:color w:val="auto"/>
          <w:highlight w:val="none"/>
        </w:rPr>
        <w:t xml:space="preserve">（2）验收条件 </w:t>
      </w:r>
    </w:p>
    <w:p>
      <w:pPr>
        <w:pStyle w:val="57"/>
        <w:rPr>
          <w:color w:val="auto"/>
          <w:highlight w:val="none"/>
        </w:rPr>
      </w:pPr>
      <w:r>
        <w:rPr>
          <w:color w:val="auto"/>
          <w:highlight w:val="none"/>
        </w:rPr>
        <w:t>根据国务院《关于修改</w:t>
      </w:r>
      <w:r>
        <w:rPr>
          <w:rFonts w:hint="eastAsia"/>
          <w:color w:val="auto"/>
          <w:highlight w:val="none"/>
        </w:rPr>
        <w:t>〈</w:t>
      </w:r>
      <w:r>
        <w:rPr>
          <w:color w:val="auto"/>
          <w:highlight w:val="none"/>
        </w:rPr>
        <w:t>建设项目环境保护管理条例</w:t>
      </w:r>
      <w:r>
        <w:rPr>
          <w:rFonts w:hint="eastAsia"/>
          <w:color w:val="auto"/>
          <w:highlight w:val="none"/>
        </w:rPr>
        <w:t>〉</w:t>
      </w:r>
      <w:r>
        <w:rPr>
          <w:color w:val="auto"/>
          <w:highlight w:val="none"/>
        </w:rPr>
        <w:t>的决定》（自2017年10月1日施行），编制环境影响报告书、环境影响报告表的建设项目竣工后，建设单位应当按照国务院环境保护行政主管部门规定的标准和程序，对配套建设的环境保护设施进行验收，编制验收报告。建设单位在环境保护设施验收过程中，应当如实查验、监测、记载建设项目环境保护设施的建设和调试情况，不得弄虚作假。除按照国家规定需要保密的情形外，建设单位应当依法向社会公开验收报告。编制环境影响报告书、环境影响报告表的建设项目，其配套建设的环境保护设施经验收合格，方可投入生产或者使用；未经验收或者验收不合格的，不得投入生产或者使用。</w:t>
      </w:r>
    </w:p>
    <w:p>
      <w:pPr>
        <w:pStyle w:val="57"/>
        <w:rPr>
          <w:color w:val="auto"/>
          <w:highlight w:val="none"/>
        </w:rPr>
      </w:pPr>
      <w:r>
        <w:rPr>
          <w:color w:val="auto"/>
          <w:highlight w:val="none"/>
        </w:rPr>
        <w:t xml:space="preserve">（3）建设项目环境保护“三同时”验收内容 </w:t>
      </w:r>
    </w:p>
    <w:p>
      <w:pPr>
        <w:pStyle w:val="57"/>
        <w:rPr>
          <w:color w:val="auto"/>
          <w:highlight w:val="none"/>
        </w:rPr>
      </w:pPr>
      <w:r>
        <w:rPr>
          <w:color w:val="auto"/>
          <w:highlight w:val="none"/>
        </w:rPr>
        <w:t>根据建设单位项目“三同时”原则，在项目建设过程中，环境污染防治设施与主体工程同时设计、同时施工、同时投入使用，</w:t>
      </w:r>
      <w:r>
        <w:rPr>
          <w:rFonts w:hint="eastAsia"/>
          <w:color w:val="auto"/>
          <w:highlight w:val="none"/>
          <w:lang w:eastAsia="zh-CN"/>
        </w:rPr>
        <w:t>本工程</w:t>
      </w:r>
      <w:r>
        <w:rPr>
          <w:color w:val="auto"/>
          <w:highlight w:val="none"/>
        </w:rPr>
        <w:t>建成运行时，应对环保设施进行验收。</w:t>
      </w:r>
    </w:p>
    <w:p>
      <w:pPr>
        <w:pStyle w:val="57"/>
        <w:rPr>
          <w:color w:val="auto"/>
          <w:highlight w:val="none"/>
        </w:rPr>
      </w:pPr>
      <w:r>
        <w:rPr>
          <w:rFonts w:hint="eastAsia"/>
          <w:color w:val="auto"/>
          <w:highlight w:val="none"/>
        </w:rPr>
        <w:t>本工程“三同时”验收一览表</w:t>
      </w:r>
      <w:r>
        <w:rPr>
          <w:color w:val="auto"/>
          <w:highlight w:val="none"/>
        </w:rPr>
        <w:t>见</w:t>
      </w:r>
      <w:r>
        <w:rPr>
          <w:rFonts w:hint="eastAsia"/>
          <w:color w:val="auto"/>
          <w:highlight w:val="none"/>
        </w:rPr>
        <w:t>9</w:t>
      </w:r>
      <w:r>
        <w:rPr>
          <w:color w:val="auto"/>
          <w:highlight w:val="none"/>
        </w:rPr>
        <w:t>.5-1。</w:t>
      </w:r>
      <w:bookmarkStart w:id="874" w:name="_Toc15210"/>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rFonts w:hint="eastAsia" w:cs="Times New Roman"/>
          <w:color w:val="auto"/>
          <w:highlight w:val="none"/>
        </w:rPr>
      </w:pPr>
      <w:r>
        <w:rPr>
          <w:rFonts w:hint="eastAsia" w:cs="Times New Roman"/>
          <w:color w:val="auto"/>
          <w:highlight w:val="none"/>
        </w:rPr>
        <w:t>表9.5-1  “三同时”竣工环保验收方案一览表（建议）</w:t>
      </w:r>
      <w:bookmarkEnd w:id="874"/>
    </w:p>
    <w:tbl>
      <w:tblPr>
        <w:tblStyle w:val="34"/>
        <w:tblW w:w="87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343"/>
        <w:gridCol w:w="7"/>
        <w:gridCol w:w="302"/>
        <w:gridCol w:w="585"/>
        <w:gridCol w:w="1040"/>
        <w:gridCol w:w="2507"/>
        <w:gridCol w:w="500"/>
        <w:gridCol w:w="1550"/>
        <w:gridCol w:w="194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类别</w:t>
            </w: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序号</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污染源</w:t>
            </w:r>
          </w:p>
        </w:tc>
        <w:tc>
          <w:tcPr>
            <w:tcW w:w="2507"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环保措施</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23"/>
                <w:sz w:val="21"/>
                <w:szCs w:val="21"/>
                <w:highlight w:val="none"/>
                <w:shd w:val="clear" w:color="auto" w:fill="auto"/>
              </w:rPr>
              <w:t>台</w:t>
            </w:r>
            <w:r>
              <w:rPr>
                <w:rFonts w:hint="default" w:ascii="Times New Roman" w:hAnsi="Times New Roman" w:cs="Times New Roman"/>
                <w:color w:val="auto"/>
                <w:spacing w:val="-23"/>
                <w:sz w:val="21"/>
                <w:szCs w:val="21"/>
                <w:highlight w:val="none"/>
                <w:shd w:val="clear" w:color="auto" w:fill="auto"/>
                <w:lang w:eastAsia="zh-CN"/>
              </w:rPr>
              <w:t>（</w:t>
            </w:r>
            <w:r>
              <w:rPr>
                <w:rFonts w:hint="default" w:ascii="Times New Roman" w:hAnsi="Times New Roman" w:cs="Times New Roman"/>
                <w:color w:val="auto"/>
                <w:spacing w:val="-23"/>
                <w:sz w:val="21"/>
                <w:szCs w:val="21"/>
                <w:highlight w:val="none"/>
                <w:shd w:val="clear" w:color="auto" w:fill="auto"/>
              </w:rPr>
              <w:t>套</w:t>
            </w:r>
            <w:r>
              <w:rPr>
                <w:rFonts w:hint="default" w:ascii="Times New Roman" w:hAnsi="Times New Roman" w:cs="Times New Roman"/>
                <w:color w:val="auto"/>
                <w:spacing w:val="-23"/>
                <w:sz w:val="21"/>
                <w:szCs w:val="21"/>
                <w:highlight w:val="none"/>
                <w:shd w:val="clear" w:color="auto" w:fill="auto"/>
                <w:lang w:eastAsia="zh-CN"/>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治理效果</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80" w:type="dxa"/>
            <w:gridSpan w:val="9"/>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10"/>
                <w:sz w:val="21"/>
                <w:szCs w:val="21"/>
                <w:highlight w:val="none"/>
                <w:shd w:val="clear" w:color="auto" w:fill="auto"/>
                <w:lang w:val="en-US" w:eastAsia="zh-CN"/>
              </w:rPr>
              <w:t>施工期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生态</w:t>
            </w:r>
          </w:p>
        </w:tc>
        <w:tc>
          <w:tcPr>
            <w:tcW w:w="302" w:type="dxa"/>
            <w:vMerge w:val="restart"/>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1</w:t>
            </w:r>
          </w:p>
        </w:tc>
        <w:tc>
          <w:tcPr>
            <w:tcW w:w="1625" w:type="dxa"/>
            <w:gridSpan w:val="2"/>
            <w:vMerge w:val="restart"/>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生态恢复</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lang w:val="en-US" w:eastAsia="zh-CN"/>
              </w:rPr>
              <w:t>严格控制作业带宽度</w:t>
            </w:r>
          </w:p>
        </w:tc>
        <w:tc>
          <w:tcPr>
            <w:tcW w:w="500"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w:t>
            </w:r>
          </w:p>
        </w:tc>
        <w:tc>
          <w:tcPr>
            <w:tcW w:w="1550"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rPr>
            </w:pPr>
            <w:r>
              <w:rPr>
                <w:rFonts w:hint="eastAsia" w:ascii="Times New Roman" w:hAnsi="Times New Roman" w:eastAsia="宋体" w:cs="Times New Roman"/>
                <w:color w:val="auto"/>
                <w:spacing w:val="-10"/>
                <w:sz w:val="21"/>
                <w:szCs w:val="21"/>
                <w:highlight w:val="none"/>
                <w:shd w:val="clear" w:color="auto" w:fill="auto"/>
                <w:lang w:val="en-US" w:eastAsia="zh-CN"/>
              </w:rPr>
              <w:t>临时占地恢复到之前状态</w:t>
            </w:r>
          </w:p>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946" w:type="dxa"/>
            <w:vMerge w:val="restart"/>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rPr>
            </w:pPr>
            <w:r>
              <w:rPr>
                <w:rFonts w:hint="eastAsia" w:ascii="Times New Roman" w:hAnsi="Times New Roman" w:eastAsia="宋体" w:cs="Times New Roman"/>
                <w:color w:val="auto"/>
                <w:spacing w:val="-10"/>
                <w:sz w:val="21"/>
                <w:szCs w:val="21"/>
                <w:highlight w:val="none"/>
                <w:shd w:val="clear" w:color="auto" w:fill="auto"/>
                <w:lang w:val="en-US" w:eastAsia="zh-CN"/>
              </w:rPr>
              <w:t>《建设项目竣工环境保护验收技术规范 石油天然气开采》（</w:t>
            </w:r>
            <w:r>
              <w:rPr>
                <w:rFonts w:hint="default" w:ascii="Times New Roman" w:hAnsi="Times New Roman" w:eastAsia="宋体" w:cs="Times New Roman"/>
                <w:color w:val="auto"/>
                <w:spacing w:val="-10"/>
                <w:sz w:val="21"/>
                <w:szCs w:val="21"/>
                <w:highlight w:val="none"/>
                <w:shd w:val="clear" w:color="auto" w:fill="auto"/>
                <w:lang w:val="en-US" w:eastAsia="zh-CN"/>
              </w:rPr>
              <w:t>HJ612-2011</w:t>
            </w:r>
            <w:r>
              <w:rPr>
                <w:rFonts w:hint="eastAsia" w:ascii="Times New Roman" w:hAnsi="Times New Roman" w:eastAsia="宋体" w:cs="Times New Roman"/>
                <w:color w:val="auto"/>
                <w:spacing w:val="-10"/>
                <w:sz w:val="21"/>
                <w:szCs w:val="21"/>
                <w:highlight w:val="none"/>
                <w:shd w:val="clear" w:color="auto" w:fill="auto"/>
                <w:lang w:val="en-US" w:eastAsia="zh-CN"/>
              </w:rPr>
              <w:t>）</w:t>
            </w:r>
          </w:p>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0" w:lineRule="atLeast"/>
              <w:jc w:val="center"/>
              <w:rPr>
                <w:color w:val="auto"/>
                <w:highlight w:val="none"/>
                <w:shd w:val="clear" w:color="auto" w:fill="auto"/>
              </w:rPr>
            </w:pPr>
          </w:p>
        </w:tc>
        <w:tc>
          <w:tcPr>
            <w:tcW w:w="302" w:type="dxa"/>
            <w:vMerge w:val="continue"/>
            <w:tcBorders>
              <w:tl2br w:val="nil"/>
              <w:tr2bl w:val="nil"/>
            </w:tcBorders>
            <w:noWrap w:val="0"/>
            <w:vAlign w:val="center"/>
          </w:tcPr>
          <w:p>
            <w:pPr>
              <w:spacing w:line="0" w:lineRule="atLeast"/>
              <w:jc w:val="center"/>
              <w:rPr>
                <w:color w:val="auto"/>
                <w:highlight w:val="none"/>
                <w:shd w:val="clear" w:color="auto" w:fill="auto"/>
              </w:rPr>
            </w:pPr>
          </w:p>
        </w:tc>
        <w:tc>
          <w:tcPr>
            <w:tcW w:w="1625" w:type="dxa"/>
            <w:gridSpan w:val="2"/>
            <w:vMerge w:val="continue"/>
            <w:tcBorders>
              <w:tl2br w:val="nil"/>
              <w:tr2bl w:val="nil"/>
            </w:tcBorders>
            <w:noWrap w:val="0"/>
            <w:vAlign w:val="center"/>
          </w:tcPr>
          <w:p>
            <w:pPr>
              <w:spacing w:line="0" w:lineRule="atLeast"/>
              <w:jc w:val="center"/>
              <w:rPr>
                <w:color w:val="auto"/>
                <w:highlight w:val="none"/>
                <w:shd w:val="clear" w:color="auto" w:fill="auto"/>
              </w:rPr>
            </w:pP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eastAsia" w:ascii="Times New Roman" w:hAnsi="Times New Roman" w:eastAsia="宋体" w:cs="Times New Roman"/>
                <w:color w:val="auto"/>
                <w:spacing w:val="-17"/>
                <w:sz w:val="21"/>
                <w:szCs w:val="21"/>
                <w:highlight w:val="none"/>
                <w:shd w:val="clear" w:color="auto" w:fill="auto"/>
                <w:lang w:val="en-US" w:eastAsia="zh-CN"/>
              </w:rPr>
              <w:t>管道填埋所需土方利用管沟挖方，做到土方平衡，减少弃土</w:t>
            </w:r>
          </w:p>
        </w:tc>
        <w:tc>
          <w:tcPr>
            <w:tcW w:w="500"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550"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946" w:type="dxa"/>
            <w:vMerge w:val="continue"/>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2</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水土保持</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eastAsia" w:ascii="Times New Roman" w:hAnsi="Times New Roman" w:eastAsia="宋体" w:cs="Times New Roman"/>
                <w:color w:val="auto"/>
                <w:spacing w:val="-10"/>
                <w:sz w:val="21"/>
                <w:szCs w:val="21"/>
                <w:highlight w:val="none"/>
                <w:shd w:val="clear" w:color="auto" w:fill="auto"/>
                <w:lang w:val="en-US" w:eastAsia="zh-CN"/>
              </w:rPr>
              <w:t>防尘网苫盖、限行彩条旗等水土保持宣传牌</w:t>
            </w:r>
          </w:p>
        </w:tc>
        <w:tc>
          <w:tcPr>
            <w:tcW w:w="500"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rPr>
            </w:pPr>
            <w:r>
              <w:rPr>
                <w:rFonts w:hint="eastAsia" w:ascii="Times New Roman" w:hAnsi="Times New Roman" w:eastAsia="宋体" w:cs="Times New Roman"/>
                <w:color w:val="auto"/>
                <w:spacing w:val="-10"/>
                <w:sz w:val="21"/>
                <w:szCs w:val="21"/>
                <w:highlight w:val="none"/>
                <w:shd w:val="clear" w:color="auto" w:fill="auto"/>
                <w:lang w:val="en-US" w:eastAsia="zh-CN"/>
              </w:rPr>
              <w:t>防止水土流失</w:t>
            </w:r>
          </w:p>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946" w:type="dxa"/>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3</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r>
              <w:rPr>
                <w:rFonts w:hint="eastAsia" w:ascii="Times New Roman" w:hAnsi="Times New Roman" w:cs="Times New Roman"/>
                <w:color w:val="auto"/>
                <w:spacing w:val="-10"/>
                <w:sz w:val="21"/>
                <w:szCs w:val="21"/>
                <w:highlight w:val="none"/>
                <w:shd w:val="clear" w:color="auto" w:fill="auto"/>
                <w:lang w:val="en-US" w:eastAsia="zh-CN"/>
              </w:rPr>
              <w:t>防沙治沙</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eastAsia" w:ascii="Times New Roman" w:hAnsi="Times New Roman" w:eastAsia="宋体" w:cs="Times New Roman"/>
                <w:color w:val="auto"/>
                <w:spacing w:val="-10"/>
                <w:sz w:val="21"/>
                <w:szCs w:val="21"/>
                <w:highlight w:val="none"/>
                <w:shd w:val="clear" w:color="auto" w:fill="auto"/>
                <w:lang w:val="en-US" w:eastAsia="zh-CN"/>
              </w:rPr>
              <w:t>永久占地铺设砾石；施工土方全部用于管沟回填和井场平整，严禁随意堆置；施工期间应划定施工活动范围，严格控制和管理运输车辆及重型机械的运行线路和范围</w:t>
            </w:r>
          </w:p>
        </w:tc>
        <w:tc>
          <w:tcPr>
            <w:tcW w:w="500"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rPr>
            </w:pPr>
            <w:r>
              <w:rPr>
                <w:rFonts w:hint="eastAsia" w:ascii="Times New Roman" w:hAnsi="Times New Roman" w:eastAsia="宋体" w:cs="Times New Roman"/>
                <w:color w:val="auto"/>
                <w:spacing w:val="-10"/>
                <w:sz w:val="21"/>
                <w:szCs w:val="21"/>
                <w:highlight w:val="none"/>
                <w:shd w:val="clear" w:color="auto" w:fill="auto"/>
                <w:lang w:val="en-US" w:eastAsia="zh-CN"/>
              </w:rPr>
              <w:t>防止土地沙化</w:t>
            </w:r>
          </w:p>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1946" w:type="dxa"/>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废气</w:t>
            </w: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eastAsia="宋体"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snapToGrid w:val="0"/>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施工扬尘</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洒水抑尘、车辆减速慢行、物料苫盖</w:t>
            </w:r>
          </w:p>
        </w:tc>
        <w:tc>
          <w:tcPr>
            <w:tcW w:w="50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color w:val="auto"/>
                <w:spacing w:val="-10"/>
                <w:sz w:val="21"/>
                <w:szCs w:val="21"/>
                <w:highlight w:val="none"/>
                <w:shd w:val="clear" w:color="auto" w:fill="auto"/>
                <w:lang w:val="en-US" w:eastAsia="zh-CN"/>
              </w:rPr>
              <w:t>2</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钻井机械</w:t>
            </w:r>
            <w:r>
              <w:rPr>
                <w:rFonts w:hint="default" w:ascii="Times New Roman" w:hAnsi="Times New Roman" w:cs="Times New Roman"/>
                <w:color w:val="auto"/>
                <w:sz w:val="21"/>
                <w:szCs w:val="21"/>
                <w:highlight w:val="none"/>
                <w:shd w:val="clear" w:color="auto" w:fill="auto"/>
                <w:lang w:eastAsia="zh-CN"/>
              </w:rPr>
              <w:t>、</w:t>
            </w:r>
            <w:r>
              <w:rPr>
                <w:rFonts w:hint="default" w:ascii="Times New Roman" w:hAnsi="Times New Roman" w:cs="Times New Roman"/>
                <w:color w:val="auto"/>
                <w:sz w:val="21"/>
                <w:szCs w:val="21"/>
                <w:highlight w:val="none"/>
                <w:shd w:val="clear" w:color="auto" w:fill="auto"/>
                <w:lang w:val="en-US" w:eastAsia="zh-CN"/>
              </w:rPr>
              <w:t>运输车辆产生的燃油废气</w:t>
            </w:r>
          </w:p>
        </w:tc>
        <w:tc>
          <w:tcPr>
            <w:tcW w:w="2507"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使用合格燃料，加强施工管理</w:t>
            </w:r>
          </w:p>
        </w:tc>
        <w:tc>
          <w:tcPr>
            <w:tcW w:w="50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240" w:lineRule="exact"/>
              <w:jc w:val="center"/>
              <w:rPr>
                <w:color w:val="auto"/>
                <w:highlight w:val="none"/>
                <w:shd w:val="clear" w:color="auto" w:fill="auto"/>
              </w:rPr>
            </w:pPr>
          </w:p>
        </w:tc>
        <w:tc>
          <w:tcPr>
            <w:tcW w:w="302"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3</w:t>
            </w:r>
          </w:p>
        </w:tc>
        <w:tc>
          <w:tcPr>
            <w:tcW w:w="1625" w:type="dxa"/>
            <w:gridSpan w:val="2"/>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测试放喷废气</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测试放喷期间分离出的天然气经管线引至放空火炬点燃</w:t>
            </w:r>
          </w:p>
        </w:tc>
        <w:tc>
          <w:tcPr>
            <w:tcW w:w="500"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240" w:lineRule="exact"/>
              <w:jc w:val="center"/>
              <w:rPr>
                <w:rFonts w:hint="default" w:ascii="Times New Roman" w:hAnsi="Times New Roman" w:eastAsia="宋体" w:cs="Times New Roman"/>
                <w:color w:val="auto"/>
                <w:spacing w:val="-10"/>
                <w:sz w:val="21"/>
                <w:szCs w:val="21"/>
                <w:highlight w:val="none"/>
                <w:shd w:val="clear" w:color="auto" w:fill="auto"/>
                <w:lang w:val="en-US" w:eastAsia="zh-CN"/>
              </w:rPr>
            </w:pPr>
          </w:p>
        </w:tc>
        <w:tc>
          <w:tcPr>
            <w:tcW w:w="302"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4</w:t>
            </w:r>
          </w:p>
        </w:tc>
        <w:tc>
          <w:tcPr>
            <w:tcW w:w="1625" w:type="dxa"/>
            <w:gridSpan w:val="2"/>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储层改造废气</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rPr>
              <w:t>压裂液</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废压裂返排液</w:t>
            </w:r>
            <w:r>
              <w:rPr>
                <w:rFonts w:hint="eastAsia" w:ascii="Times New Roman" w:hAnsi="Times New Roman" w:eastAsia="宋体" w:cs="Times New Roman"/>
                <w:color w:val="auto"/>
                <w:sz w:val="21"/>
                <w:szCs w:val="21"/>
                <w:highlight w:val="none"/>
                <w:shd w:val="clear" w:color="auto" w:fill="auto"/>
              </w:rPr>
              <w:t>使用密闭罐存放</w:t>
            </w:r>
          </w:p>
        </w:tc>
        <w:tc>
          <w:tcPr>
            <w:tcW w:w="500" w:type="dxa"/>
            <w:tcBorders>
              <w:tl2br w:val="nil"/>
              <w:tr2bl w:val="nil"/>
            </w:tcBorders>
            <w:noWrap w:val="0"/>
            <w:vAlign w:val="center"/>
          </w:tcPr>
          <w:p>
            <w:pPr>
              <w:spacing w:line="0" w:lineRule="atLeast"/>
              <w:jc w:val="center"/>
              <w:rPr>
                <w:rFonts w:hint="default" w:ascii="宋体" w:hAnsi="宋体" w:cs="宋体"/>
                <w:color w:val="auto"/>
                <w:spacing w:val="-10"/>
                <w:sz w:val="23"/>
                <w:szCs w:val="23"/>
                <w:highlight w:val="none"/>
                <w:shd w:val="clear" w:color="auto" w:fill="auto"/>
                <w:lang w:val="en-US" w:eastAsia="zh-CN" w:bidi="ar-SA"/>
              </w:rPr>
            </w:pPr>
            <w:r>
              <w:rPr>
                <w:rFonts w:hint="eastAsia" w:hAnsi="宋体"/>
                <w:color w:val="auto"/>
                <w:spacing w:val="-10"/>
                <w:sz w:val="23"/>
                <w:szCs w:val="23"/>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宋体" w:hAnsi="宋体" w:cs="宋体"/>
                <w:color w:val="auto"/>
                <w:spacing w:val="-10"/>
                <w:sz w:val="23"/>
                <w:szCs w:val="23"/>
                <w:highlight w:val="none"/>
                <w:shd w:val="clear" w:color="auto" w:fill="auto"/>
                <w:lang w:val="en-US" w:eastAsia="zh-CN" w:bidi="ar-SA"/>
              </w:rPr>
            </w:pPr>
            <w:r>
              <w:rPr>
                <w:rFonts w:hint="eastAsia" w:hAnsi="宋体"/>
                <w:color w:val="auto"/>
                <w:spacing w:val="-10"/>
                <w:sz w:val="23"/>
                <w:szCs w:val="23"/>
                <w:highlight w:val="none"/>
                <w:shd w:val="clear" w:color="auto" w:fill="auto"/>
              </w:rPr>
              <w:t>--</w:t>
            </w:r>
          </w:p>
        </w:tc>
        <w:tc>
          <w:tcPr>
            <w:tcW w:w="1946" w:type="dxa"/>
            <w:tcBorders>
              <w:tl2br w:val="nil"/>
              <w:tr2bl w:val="nil"/>
            </w:tcBorders>
            <w:noWrap w:val="0"/>
            <w:vAlign w:val="center"/>
          </w:tcPr>
          <w:p>
            <w:pPr>
              <w:spacing w:line="0" w:lineRule="atLeast"/>
              <w:jc w:val="center"/>
              <w:rPr>
                <w:rFonts w:hint="default" w:ascii="宋体" w:hAnsi="宋体" w:cs="宋体"/>
                <w:color w:val="auto"/>
                <w:spacing w:val="-10"/>
                <w:sz w:val="23"/>
                <w:szCs w:val="23"/>
                <w:highlight w:val="none"/>
                <w:shd w:val="clear" w:color="auto" w:fill="auto"/>
                <w:lang w:val="en-US" w:eastAsia="zh-CN" w:bidi="ar-SA"/>
              </w:rPr>
            </w:pPr>
            <w:r>
              <w:rPr>
                <w:rFonts w:hint="eastAsia" w:hAnsi="宋体" w:cs="宋体"/>
                <w:color w:val="auto"/>
                <w:spacing w:val="-10"/>
                <w:sz w:val="23"/>
                <w:szCs w:val="23"/>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废水</w:t>
            </w:r>
          </w:p>
        </w:tc>
        <w:tc>
          <w:tcPr>
            <w:tcW w:w="302"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1</w:t>
            </w:r>
          </w:p>
        </w:tc>
        <w:tc>
          <w:tcPr>
            <w:tcW w:w="1625" w:type="dxa"/>
            <w:gridSpan w:val="2"/>
            <w:tcBorders>
              <w:tl2br w:val="nil"/>
              <w:tr2bl w:val="nil"/>
            </w:tcBorders>
            <w:noWrap w:val="0"/>
            <w:vAlign w:val="center"/>
          </w:tcPr>
          <w:p>
            <w:pPr>
              <w:snapToGrid w:val="0"/>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试压废水</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循环利用</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302"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2</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钻井废水</w:t>
            </w:r>
          </w:p>
        </w:tc>
        <w:tc>
          <w:tcPr>
            <w:tcW w:w="2507"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采用不落地技术进行固液分离后，液相回用于钻井液配备</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tcBorders>
              <w:tl2br w:val="nil"/>
              <w:tr2bl w:val="nil"/>
            </w:tcBorders>
            <w:noWrap w:val="0"/>
            <w:vAlign w:val="center"/>
          </w:tcPr>
          <w:p>
            <w:pPr>
              <w:spacing w:line="240" w:lineRule="exact"/>
              <w:jc w:val="center"/>
              <w:rPr>
                <w:rFonts w:hint="default" w:ascii="Times New Roman" w:hAnsi="Times New Roman" w:cs="Times New Roman"/>
                <w:color w:val="auto"/>
                <w:spacing w:val="0"/>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240" w:lineRule="exact"/>
              <w:jc w:val="center"/>
              <w:rPr>
                <w:rFonts w:hint="default" w:ascii="Times New Roman" w:hAnsi="Times New Roman" w:cs="Times New Roman"/>
                <w:color w:val="auto"/>
                <w:spacing w:val="0"/>
                <w:sz w:val="21"/>
                <w:szCs w:val="21"/>
                <w:highlight w:val="none"/>
                <w:shd w:val="clear" w:color="auto" w:fill="auto"/>
              </w:rPr>
            </w:pPr>
          </w:p>
        </w:tc>
        <w:tc>
          <w:tcPr>
            <w:tcW w:w="302" w:type="dxa"/>
            <w:tcBorders>
              <w:tl2br w:val="nil"/>
              <w:tr2bl w:val="nil"/>
            </w:tcBorders>
            <w:noWrap w:val="0"/>
            <w:vAlign w:val="center"/>
          </w:tcPr>
          <w:p>
            <w:pPr>
              <w:spacing w:line="240" w:lineRule="exact"/>
              <w:jc w:val="center"/>
              <w:rPr>
                <w:rFonts w:hint="default" w:ascii="Times New Roman" w:hAnsi="Times New Roman" w:eastAsia="宋体" w:cs="Times New Roman"/>
                <w:color w:val="auto"/>
                <w:spacing w:val="0"/>
                <w:sz w:val="21"/>
                <w:szCs w:val="21"/>
                <w:highlight w:val="none"/>
                <w:shd w:val="clear" w:color="auto" w:fill="auto"/>
                <w:lang w:val="en-US" w:eastAsia="zh-CN"/>
              </w:rPr>
            </w:pPr>
            <w:r>
              <w:rPr>
                <w:rFonts w:hint="default" w:ascii="Times New Roman" w:hAnsi="Times New Roman" w:cs="Times New Roman"/>
                <w:color w:val="auto"/>
                <w:spacing w:val="0"/>
                <w:sz w:val="21"/>
                <w:szCs w:val="21"/>
                <w:highlight w:val="none"/>
                <w:shd w:val="clear" w:color="auto" w:fill="auto"/>
                <w:lang w:val="en-US" w:eastAsia="zh-CN"/>
              </w:rPr>
              <w:t>3</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6"/>
                <w:sz w:val="21"/>
                <w:szCs w:val="21"/>
                <w:highlight w:val="none"/>
                <w:shd w:val="clear" w:color="auto" w:fill="auto"/>
              </w:rPr>
              <w:t>生活污水</w:t>
            </w:r>
          </w:p>
        </w:tc>
        <w:tc>
          <w:tcPr>
            <w:tcW w:w="2507"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排入生活污水池暂存，定期拉运至</w:t>
            </w:r>
            <w:r>
              <w:rPr>
                <w:rFonts w:hint="eastAsia" w:ascii="Times New Roman" w:hAnsi="Times New Roman" w:eastAsia="宋体" w:cs="Times New Roman"/>
                <w:color w:val="auto"/>
                <w:sz w:val="21"/>
                <w:szCs w:val="21"/>
                <w:highlight w:val="none"/>
                <w:shd w:val="clear" w:color="auto" w:fill="auto"/>
                <w:lang w:eastAsia="zh-CN"/>
              </w:rPr>
              <w:t>乌尔禾污水处理厂</w:t>
            </w:r>
            <w:r>
              <w:rPr>
                <w:rFonts w:hint="default" w:ascii="Times New Roman" w:hAnsi="Times New Roman" w:eastAsia="宋体" w:cs="Times New Roman"/>
                <w:color w:val="auto"/>
                <w:sz w:val="21"/>
                <w:szCs w:val="21"/>
                <w:highlight w:val="none"/>
                <w:shd w:val="clear" w:color="auto" w:fill="auto"/>
              </w:rPr>
              <w:t>处理</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tcBorders>
              <w:tl2br w:val="nil"/>
              <w:tr2bl w:val="nil"/>
            </w:tcBorders>
            <w:noWrap w:val="0"/>
            <w:vAlign w:val="center"/>
          </w:tcPr>
          <w:p>
            <w:pPr>
              <w:spacing w:line="240" w:lineRule="exact"/>
              <w:jc w:val="center"/>
              <w:rPr>
                <w:rFonts w:hint="default" w:ascii="Times New Roman" w:hAnsi="Times New Roman" w:cs="Times New Roman"/>
                <w:color w:val="auto"/>
                <w:spacing w:val="0"/>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噪声</w:t>
            </w:r>
          </w:p>
        </w:tc>
        <w:tc>
          <w:tcPr>
            <w:tcW w:w="302"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1</w:t>
            </w:r>
          </w:p>
        </w:tc>
        <w:tc>
          <w:tcPr>
            <w:tcW w:w="1625" w:type="dxa"/>
            <w:gridSpan w:val="2"/>
            <w:tcBorders>
              <w:tl2br w:val="nil"/>
              <w:tr2bl w:val="nil"/>
            </w:tcBorders>
            <w:noWrap w:val="0"/>
            <w:vAlign w:val="center"/>
          </w:tcPr>
          <w:p>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吊机、装载机、运输车辆</w:t>
            </w:r>
          </w:p>
        </w:tc>
        <w:tc>
          <w:tcPr>
            <w:tcW w:w="2507" w:type="dxa"/>
            <w:tcBorders>
              <w:tl2br w:val="nil"/>
              <w:tr2bl w:val="nil"/>
            </w:tcBorders>
            <w:noWrap w:val="0"/>
            <w:vAlign w:val="center"/>
          </w:tcPr>
          <w:p>
            <w:pPr>
              <w:spacing w:line="240" w:lineRule="exact"/>
              <w:jc w:val="both"/>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0"/>
                <w:sz w:val="21"/>
                <w:szCs w:val="21"/>
                <w:highlight w:val="none"/>
                <w:shd w:val="clear" w:color="auto" w:fill="auto"/>
              </w:rPr>
              <w:t>选用低噪声设备、合理安排施工作业时间</w:t>
            </w:r>
            <w:r>
              <w:rPr>
                <w:rFonts w:hint="default" w:ascii="Times New Roman" w:hAnsi="Times New Roman" w:cs="Times New Roman"/>
                <w:color w:val="auto"/>
                <w:spacing w:val="0"/>
                <w:sz w:val="21"/>
                <w:szCs w:val="21"/>
                <w:highlight w:val="none"/>
                <w:shd w:val="clear" w:color="auto" w:fill="auto"/>
                <w:lang w:eastAsia="zh-CN"/>
              </w:rPr>
              <w:t>。</w:t>
            </w:r>
          </w:p>
        </w:tc>
        <w:tc>
          <w:tcPr>
            <w:tcW w:w="50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固废</w:t>
            </w:r>
          </w:p>
        </w:tc>
        <w:tc>
          <w:tcPr>
            <w:tcW w:w="302"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1</w:t>
            </w:r>
          </w:p>
        </w:tc>
        <w:tc>
          <w:tcPr>
            <w:tcW w:w="1625" w:type="dxa"/>
            <w:gridSpan w:val="2"/>
            <w:tcBorders>
              <w:tl2br w:val="nil"/>
              <w:tr2bl w:val="nil"/>
            </w:tcBorders>
            <w:noWrap w:val="0"/>
            <w:vAlign w:val="center"/>
          </w:tcPr>
          <w:p>
            <w:pPr>
              <w:snapToGrid w:val="0"/>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施工土方</w:t>
            </w:r>
          </w:p>
        </w:tc>
        <w:tc>
          <w:tcPr>
            <w:tcW w:w="2507" w:type="dxa"/>
            <w:tcBorders>
              <w:tl2br w:val="nil"/>
              <w:tr2bl w:val="nil"/>
            </w:tcBorders>
            <w:noWrap w:val="0"/>
            <w:vAlign w:val="center"/>
          </w:tcPr>
          <w:p>
            <w:pPr>
              <w:snapToGrid w:val="0"/>
              <w:spacing w:line="240" w:lineRule="exact"/>
              <w:jc w:val="both"/>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cs="Times New Roman"/>
                <w:bCs/>
                <w:color w:val="auto"/>
                <w:spacing w:val="0"/>
                <w:sz w:val="21"/>
                <w:szCs w:val="21"/>
                <w:highlight w:val="none"/>
                <w:shd w:val="clear" w:color="auto" w:fill="auto"/>
              </w:rPr>
              <w:t>全部用于管沟和井场回填</w:t>
            </w:r>
            <w:r>
              <w:rPr>
                <w:rFonts w:hint="default" w:ascii="Times New Roman" w:hAnsi="Times New Roman" w:cs="Times New Roman"/>
                <w:bCs/>
                <w:color w:val="auto"/>
                <w:spacing w:val="0"/>
                <w:sz w:val="21"/>
                <w:szCs w:val="21"/>
                <w:highlight w:val="none"/>
                <w:shd w:val="clear" w:color="auto" w:fill="auto"/>
                <w:lang w:eastAsia="zh-CN"/>
              </w:rPr>
              <w:t>。</w:t>
            </w:r>
          </w:p>
        </w:tc>
        <w:tc>
          <w:tcPr>
            <w:tcW w:w="50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2</w:t>
            </w:r>
          </w:p>
        </w:tc>
        <w:tc>
          <w:tcPr>
            <w:tcW w:w="1625" w:type="dxa"/>
            <w:gridSpan w:val="2"/>
            <w:tcBorders>
              <w:tl2br w:val="nil"/>
              <w:tr2bl w:val="nil"/>
            </w:tcBorders>
            <w:noWrap w:val="0"/>
            <w:vAlign w:val="center"/>
          </w:tcPr>
          <w:p>
            <w:pPr>
              <w:snapToGrid w:val="0"/>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施工废料</w:t>
            </w:r>
          </w:p>
        </w:tc>
        <w:tc>
          <w:tcPr>
            <w:tcW w:w="2507" w:type="dxa"/>
            <w:tcBorders>
              <w:tl2br w:val="nil"/>
              <w:tr2bl w:val="nil"/>
            </w:tcBorders>
            <w:noWrap w:val="0"/>
            <w:vAlign w:val="center"/>
          </w:tcPr>
          <w:p>
            <w:pPr>
              <w:pStyle w:val="24"/>
              <w:spacing w:line="240" w:lineRule="exact"/>
              <w:jc w:val="both"/>
              <w:rPr>
                <w:rFonts w:hint="default" w:ascii="Times New Roman" w:hAnsi="Times New Roman" w:eastAsia="宋体" w:cs="Times New Roman"/>
                <w:bCs/>
                <w:color w:val="auto"/>
                <w:spacing w:val="0"/>
                <w:sz w:val="21"/>
                <w:szCs w:val="21"/>
                <w:highlight w:val="none"/>
                <w:shd w:val="clear" w:color="auto" w:fill="auto"/>
                <w:lang w:val="en-US" w:eastAsia="zh-CN"/>
              </w:rPr>
            </w:pPr>
            <w:r>
              <w:rPr>
                <w:rFonts w:hint="default" w:ascii="Times New Roman" w:hAnsi="Times New Roman" w:eastAsia="宋体" w:cs="Times New Roman"/>
                <w:bCs/>
                <w:color w:val="auto"/>
                <w:spacing w:val="0"/>
                <w:sz w:val="21"/>
                <w:szCs w:val="21"/>
                <w:highlight w:val="none"/>
                <w:shd w:val="clear" w:color="auto" w:fill="auto"/>
              </w:rPr>
              <w:t>部分回收利用，剩余收集后运至</w:t>
            </w:r>
            <w:r>
              <w:rPr>
                <w:rFonts w:hint="eastAsia" w:ascii="Times New Roman" w:hAnsi="Times New Roman" w:eastAsia="宋体" w:cs="Times New Roman"/>
                <w:bCs/>
                <w:color w:val="auto"/>
                <w:spacing w:val="0"/>
                <w:sz w:val="21"/>
                <w:szCs w:val="21"/>
                <w:highlight w:val="none"/>
                <w:shd w:val="clear" w:color="auto" w:fill="auto"/>
                <w:lang w:eastAsia="zh-CN"/>
              </w:rPr>
              <w:t>乌尔禾区生活垃圾填埋场进行处置</w:t>
            </w:r>
            <w:r>
              <w:rPr>
                <w:rFonts w:hint="default" w:ascii="Times New Roman" w:hAnsi="Times New Roman" w:eastAsia="宋体" w:cs="Times New Roman"/>
                <w:bCs/>
                <w:color w:val="auto"/>
                <w:spacing w:val="0"/>
                <w:sz w:val="21"/>
                <w:szCs w:val="21"/>
                <w:highlight w:val="none"/>
                <w:shd w:val="clear" w:color="auto" w:fill="auto"/>
                <w:lang w:val="en-US" w:eastAsia="zh-CN"/>
              </w:rPr>
              <w:t>。</w:t>
            </w:r>
          </w:p>
        </w:tc>
        <w:tc>
          <w:tcPr>
            <w:tcW w:w="50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350" w:type="dxa"/>
            <w:gridSpan w:val="2"/>
            <w:vMerge w:val="continue"/>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lang w:val="en-US" w:eastAsia="zh-CN"/>
              </w:rPr>
              <w:t>3</w:t>
            </w:r>
          </w:p>
        </w:tc>
        <w:tc>
          <w:tcPr>
            <w:tcW w:w="1625" w:type="dxa"/>
            <w:gridSpan w:val="2"/>
            <w:tcBorders>
              <w:tl2br w:val="nil"/>
              <w:tr2bl w:val="nil"/>
            </w:tcBorders>
            <w:noWrap w:val="0"/>
            <w:vAlign w:val="center"/>
          </w:tcPr>
          <w:p>
            <w:pPr>
              <w:snapToGrid w:val="0"/>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eastAsia="宋体" w:cs="Times New Roman"/>
                <w:color w:val="auto"/>
                <w:spacing w:val="-10"/>
                <w:sz w:val="21"/>
                <w:szCs w:val="21"/>
                <w:highlight w:val="none"/>
                <w:shd w:val="clear" w:color="auto" w:fill="auto"/>
              </w:rPr>
              <w:t>泥浆</w:t>
            </w:r>
          </w:p>
        </w:tc>
        <w:tc>
          <w:tcPr>
            <w:tcW w:w="2507" w:type="dxa"/>
            <w:vMerge w:val="restart"/>
            <w:tcBorders>
              <w:tl2br w:val="nil"/>
              <w:tr2bl w:val="nil"/>
            </w:tcBorders>
            <w:noWrap w:val="0"/>
            <w:vAlign w:val="center"/>
          </w:tcPr>
          <w:p>
            <w:pPr>
              <w:pStyle w:val="24"/>
              <w:spacing w:line="240" w:lineRule="exact"/>
              <w:jc w:val="both"/>
              <w:rPr>
                <w:rFonts w:hint="default" w:ascii="Times New Roman" w:hAnsi="Times New Roman" w:eastAsia="宋体" w:cs="Times New Roman"/>
                <w:bCs/>
                <w:color w:val="auto"/>
                <w:spacing w:val="0"/>
                <w:sz w:val="21"/>
                <w:szCs w:val="21"/>
                <w:highlight w:val="none"/>
                <w:shd w:val="clear" w:color="auto" w:fill="auto"/>
              </w:rPr>
            </w:pPr>
            <w:r>
              <w:rPr>
                <w:rFonts w:hint="eastAsia" w:ascii="Times New Roman" w:hAnsi="Times New Roman" w:eastAsia="宋体" w:cs="Times New Roman"/>
                <w:bCs/>
                <w:color w:val="auto"/>
                <w:spacing w:val="0"/>
                <w:sz w:val="21"/>
                <w:szCs w:val="21"/>
                <w:highlight w:val="none"/>
                <w:shd w:val="clear" w:color="auto" w:fill="auto"/>
                <w:lang w:eastAsia="zh-CN"/>
              </w:rPr>
              <w:t>本工程钻井采用泥浆不落地系统，</w:t>
            </w:r>
            <w:r>
              <w:rPr>
                <w:rFonts w:hint="eastAsia" w:ascii="Times New Roman" w:hAnsi="Times New Roman" w:eastAsia="宋体" w:cs="Times New Roman"/>
                <w:bCs/>
                <w:color w:val="auto"/>
                <w:spacing w:val="0"/>
                <w:sz w:val="21"/>
                <w:szCs w:val="21"/>
                <w:highlight w:val="none"/>
                <w:shd w:val="clear" w:color="auto" w:fill="auto"/>
                <w:lang w:val="en-US" w:eastAsia="zh-CN"/>
              </w:rPr>
              <w:t>一开、二开水基</w:t>
            </w:r>
            <w:r>
              <w:rPr>
                <w:rFonts w:hint="eastAsia" w:ascii="Times New Roman" w:hAnsi="Times New Roman" w:eastAsia="宋体" w:cs="Times New Roman"/>
                <w:bCs/>
                <w:color w:val="auto"/>
                <w:spacing w:val="0"/>
                <w:sz w:val="21"/>
                <w:szCs w:val="21"/>
                <w:highlight w:val="none"/>
                <w:shd w:val="clear" w:color="auto" w:fill="auto"/>
              </w:rPr>
              <w:t>钻井泥浆及岩屑经泥浆不落地系统处理后，液相泥浆进罐收集，循环使用</w:t>
            </w:r>
            <w:r>
              <w:rPr>
                <w:rFonts w:hint="eastAsia" w:ascii="Times New Roman" w:hAnsi="Times New Roman" w:eastAsia="宋体" w:cs="Times New Roman"/>
                <w:bCs/>
                <w:color w:val="auto"/>
                <w:spacing w:val="0"/>
                <w:sz w:val="21"/>
                <w:szCs w:val="21"/>
                <w:highlight w:val="none"/>
                <w:shd w:val="clear" w:color="auto" w:fill="auto"/>
                <w:lang w:eastAsia="zh-CN"/>
              </w:rPr>
              <w:t>，完井后剩余泥浆由钻井液分公司回收；</w:t>
            </w:r>
            <w:r>
              <w:rPr>
                <w:rFonts w:hint="eastAsia" w:ascii="Times New Roman" w:hAnsi="Times New Roman" w:eastAsia="宋体" w:cs="Times New Roman"/>
                <w:bCs/>
                <w:color w:val="auto"/>
                <w:spacing w:val="0"/>
                <w:sz w:val="21"/>
                <w:szCs w:val="21"/>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ascii="Times New Roman" w:hAnsi="Times New Roman" w:eastAsia="宋体" w:cs="Times New Roman"/>
                <w:bCs/>
                <w:color w:val="auto"/>
                <w:spacing w:val="0"/>
                <w:sz w:val="21"/>
                <w:szCs w:val="21"/>
                <w:highlight w:val="none"/>
                <w:shd w:val="clear" w:color="auto" w:fill="auto"/>
                <w:lang w:eastAsia="zh-CN"/>
              </w:rPr>
              <w:t>；</w:t>
            </w:r>
            <w:r>
              <w:rPr>
                <w:rFonts w:hint="eastAsia" w:ascii="Times New Roman" w:hAnsi="Times New Roman" w:eastAsia="宋体" w:cs="Times New Roman"/>
                <w:bCs/>
                <w:color w:val="auto"/>
                <w:spacing w:val="0"/>
                <w:sz w:val="21"/>
                <w:szCs w:val="21"/>
                <w:highlight w:val="none"/>
                <w:shd w:val="clear" w:color="auto" w:fill="auto"/>
                <w:lang w:val="en-US" w:eastAsia="zh-CN"/>
              </w:rPr>
              <w:t>三开油基</w:t>
            </w:r>
            <w:r>
              <w:rPr>
                <w:rFonts w:hint="eastAsia" w:ascii="Times New Roman" w:hAnsi="Times New Roman" w:eastAsia="宋体" w:cs="Times New Roman"/>
                <w:bCs/>
                <w:color w:val="auto"/>
                <w:spacing w:val="0"/>
                <w:sz w:val="21"/>
                <w:szCs w:val="21"/>
                <w:highlight w:val="none"/>
                <w:shd w:val="clear" w:color="auto" w:fill="auto"/>
              </w:rPr>
              <w:t>钻井泥浆及岩屑经泥浆不落地系统处理后，液相泥浆进罐收集，循环使用</w:t>
            </w:r>
            <w:r>
              <w:rPr>
                <w:rFonts w:hint="eastAsia" w:ascii="Times New Roman" w:hAnsi="Times New Roman" w:eastAsia="宋体" w:cs="Times New Roman"/>
                <w:bCs/>
                <w:color w:val="auto"/>
                <w:spacing w:val="0"/>
                <w:sz w:val="21"/>
                <w:szCs w:val="21"/>
                <w:highlight w:val="none"/>
                <w:shd w:val="clear" w:color="auto" w:fill="auto"/>
                <w:lang w:eastAsia="zh-CN"/>
              </w:rPr>
              <w:t>，完井后剩余泥浆由钻井液分公司回收；</w:t>
            </w:r>
            <w:r>
              <w:rPr>
                <w:rFonts w:hint="eastAsia" w:ascii="Times New Roman" w:hAnsi="Times New Roman" w:eastAsia="宋体" w:cs="Times New Roman"/>
                <w:bCs/>
                <w:color w:val="auto"/>
                <w:spacing w:val="0"/>
                <w:sz w:val="21"/>
                <w:szCs w:val="21"/>
                <w:highlight w:val="none"/>
                <w:shd w:val="clear" w:color="auto" w:fill="auto"/>
                <w:lang w:val="en-US" w:eastAsia="zh-CN"/>
              </w:rPr>
              <w:t>分离后的固相</w:t>
            </w:r>
            <w:r>
              <w:rPr>
                <w:rFonts w:hint="eastAsia" w:ascii="Times New Roman" w:hAnsi="Times New Roman" w:eastAsia="宋体" w:cs="Times New Roman"/>
                <w:bCs/>
                <w:color w:val="auto"/>
                <w:spacing w:val="0"/>
                <w:sz w:val="21"/>
                <w:szCs w:val="21"/>
                <w:highlight w:val="none"/>
                <w:shd w:val="clear" w:color="auto" w:fill="auto"/>
                <w:lang w:val="en-US"/>
              </w:rPr>
              <w:t>暂存于</w:t>
            </w:r>
            <w:r>
              <w:rPr>
                <w:rFonts w:hint="eastAsia" w:ascii="Times New Roman" w:hAnsi="Times New Roman" w:eastAsia="宋体" w:cs="Times New Roman"/>
                <w:bCs/>
                <w:color w:val="auto"/>
                <w:spacing w:val="0"/>
                <w:sz w:val="21"/>
                <w:szCs w:val="21"/>
                <w:highlight w:val="none"/>
                <w:shd w:val="clear" w:color="auto" w:fill="auto"/>
                <w:lang w:val="en-US" w:eastAsia="zh-CN"/>
              </w:rPr>
              <w:t>专用油基</w:t>
            </w:r>
            <w:r>
              <w:rPr>
                <w:rFonts w:hint="eastAsia" w:ascii="Times New Roman" w:hAnsi="Times New Roman" w:eastAsia="宋体" w:cs="Times New Roman"/>
                <w:bCs/>
                <w:color w:val="auto"/>
                <w:spacing w:val="0"/>
                <w:sz w:val="21"/>
                <w:szCs w:val="21"/>
                <w:highlight w:val="none"/>
                <w:shd w:val="clear" w:color="auto" w:fill="auto"/>
                <w:lang w:val="en-US"/>
              </w:rPr>
              <w:t>岩屑储罐</w:t>
            </w:r>
            <w:r>
              <w:rPr>
                <w:rFonts w:hint="eastAsia" w:ascii="Times New Roman" w:hAnsi="Times New Roman" w:eastAsia="宋体" w:cs="Times New Roman"/>
                <w:bCs/>
                <w:color w:val="auto"/>
                <w:spacing w:val="0"/>
                <w:sz w:val="21"/>
                <w:szCs w:val="21"/>
                <w:highlight w:val="none"/>
                <w:shd w:val="clear" w:color="auto" w:fill="auto"/>
                <w:lang w:val="en-US" w:eastAsia="zh-CN"/>
              </w:rPr>
              <w:t>，委托有相应危险废物处理资质的单位进行无害化处理</w:t>
            </w:r>
            <w:r>
              <w:rPr>
                <w:rFonts w:hint="eastAsia" w:ascii="Times New Roman" w:hAnsi="Times New Roman" w:eastAsia="宋体" w:cs="Times New Roman"/>
                <w:bCs/>
                <w:color w:val="auto"/>
                <w:spacing w:val="0"/>
                <w:sz w:val="21"/>
                <w:szCs w:val="21"/>
                <w:highlight w:val="none"/>
                <w:shd w:val="clear" w:color="auto" w:fill="auto"/>
                <w:lang w:eastAsia="zh-CN"/>
              </w:rPr>
              <w:t>。</w:t>
            </w:r>
          </w:p>
        </w:tc>
        <w:tc>
          <w:tcPr>
            <w:tcW w:w="500" w:type="dxa"/>
            <w:vMerge w:val="restart"/>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550" w:type="dxa"/>
            <w:vMerge w:val="restart"/>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c>
          <w:tcPr>
            <w:tcW w:w="1946" w:type="dxa"/>
            <w:vMerge w:val="restart"/>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napToGrid w:val="0"/>
              <w:spacing w:line="240" w:lineRule="exact"/>
              <w:jc w:val="center"/>
              <w:rPr>
                <w:rFonts w:hint="default" w:ascii="Times New Roman" w:hAnsi="Times New Roman" w:cs="Times New Roman"/>
                <w:color w:val="auto"/>
                <w:sz w:val="21"/>
                <w:szCs w:val="21"/>
                <w:highlight w:val="none"/>
                <w:shd w:val="clear" w:color="auto" w:fill="auto"/>
              </w:rPr>
            </w:pPr>
          </w:p>
        </w:tc>
        <w:tc>
          <w:tcPr>
            <w:tcW w:w="302"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lang w:val="en-US" w:eastAsia="zh-CN"/>
              </w:rPr>
              <w:t>4</w:t>
            </w:r>
          </w:p>
        </w:tc>
        <w:tc>
          <w:tcPr>
            <w:tcW w:w="1625" w:type="dxa"/>
            <w:gridSpan w:val="2"/>
            <w:tcBorders>
              <w:tl2br w:val="nil"/>
              <w:tr2bl w:val="nil"/>
            </w:tcBorders>
            <w:noWrap w:val="0"/>
            <w:vAlign w:val="center"/>
          </w:tcPr>
          <w:p>
            <w:pPr>
              <w:snapToGrid w:val="0"/>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bidi="ar-SA"/>
              </w:rPr>
            </w:pPr>
            <w:r>
              <w:rPr>
                <w:rFonts w:hint="default" w:ascii="Times New Roman" w:hAnsi="Times New Roman" w:eastAsia="宋体" w:cs="Times New Roman"/>
                <w:color w:val="auto"/>
                <w:spacing w:val="-10"/>
                <w:sz w:val="21"/>
                <w:szCs w:val="21"/>
                <w:highlight w:val="none"/>
                <w:shd w:val="clear" w:color="auto" w:fill="auto"/>
              </w:rPr>
              <w:t>岩屑</w:t>
            </w:r>
          </w:p>
        </w:tc>
        <w:tc>
          <w:tcPr>
            <w:tcW w:w="2507" w:type="dxa"/>
            <w:vMerge w:val="continue"/>
            <w:tcBorders>
              <w:tl2br w:val="nil"/>
              <w:tr2bl w:val="nil"/>
            </w:tcBorders>
            <w:noWrap w:val="0"/>
            <w:vAlign w:val="center"/>
          </w:tcPr>
          <w:p>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500" w:type="dxa"/>
            <w:vMerge w:val="continue"/>
            <w:tcBorders>
              <w:tl2br w:val="nil"/>
              <w:tr2bl w:val="nil"/>
            </w:tcBorders>
            <w:noWrap w:val="0"/>
            <w:vAlign w:val="center"/>
          </w:tcPr>
          <w:p>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1550" w:type="dxa"/>
            <w:vMerge w:val="continue"/>
            <w:tcBorders>
              <w:tl2br w:val="nil"/>
              <w:tr2bl w:val="nil"/>
            </w:tcBorders>
            <w:noWrap w:val="0"/>
            <w:vAlign w:val="center"/>
          </w:tcPr>
          <w:p>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p>
        </w:tc>
        <w:tc>
          <w:tcPr>
            <w:tcW w:w="1946" w:type="dxa"/>
            <w:vMerge w:val="continue"/>
            <w:tcBorders>
              <w:tl2br w:val="nil"/>
              <w:tr2bl w:val="nil"/>
            </w:tcBorders>
            <w:noWrap w:val="0"/>
            <w:vAlign w:val="center"/>
          </w:tcPr>
          <w:p>
            <w:pPr>
              <w:snapToGrid w:val="0"/>
              <w:spacing w:line="240" w:lineRule="exact"/>
              <w:jc w:val="center"/>
              <w:rPr>
                <w:rFonts w:hint="default" w:ascii="Times New Roman" w:hAnsi="Times New Roman" w:cs="Times New Roman"/>
                <w:color w:val="auto"/>
                <w:spacing w:val="-10"/>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397" w:hRule="atLeast"/>
          <w:jc w:val="center"/>
        </w:trPr>
        <w:tc>
          <w:tcPr>
            <w:tcW w:w="350" w:type="dxa"/>
            <w:gridSpan w:val="2"/>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5</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生活垃圾</w:t>
            </w:r>
          </w:p>
        </w:tc>
        <w:tc>
          <w:tcPr>
            <w:tcW w:w="2507"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集中收集后拉运至</w:t>
            </w:r>
            <w:r>
              <w:rPr>
                <w:rFonts w:hint="eastAsia" w:ascii="Times New Roman" w:hAnsi="Times New Roman" w:eastAsia="宋体" w:cs="Times New Roman"/>
                <w:color w:val="auto"/>
                <w:sz w:val="21"/>
                <w:szCs w:val="21"/>
                <w:highlight w:val="none"/>
                <w:shd w:val="clear" w:color="auto" w:fill="auto"/>
                <w:lang w:eastAsia="zh-CN"/>
              </w:rPr>
              <w:t>乌尔禾区生活垃圾填埋场进行处置</w:t>
            </w:r>
            <w:r>
              <w:rPr>
                <w:rFonts w:hint="default" w:ascii="Times New Roman" w:hAnsi="Times New Roman" w:cs="Times New Roman"/>
                <w:bCs/>
                <w:color w:val="auto"/>
                <w:spacing w:val="0"/>
                <w:sz w:val="21"/>
                <w:szCs w:val="21"/>
                <w:highlight w:val="none"/>
                <w:shd w:val="clear" w:color="auto" w:fill="auto"/>
                <w:lang w:val="en-US" w:eastAsia="zh-CN"/>
              </w:rPr>
              <w:t>。</w:t>
            </w:r>
          </w:p>
        </w:tc>
        <w:tc>
          <w:tcPr>
            <w:tcW w:w="50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550"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c>
          <w:tcPr>
            <w:tcW w:w="1946"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240" w:lineRule="exact"/>
              <w:jc w:val="center"/>
              <w:rPr>
                <w:color w:val="auto"/>
                <w:highlight w:val="none"/>
                <w:shd w:val="clear" w:color="auto" w:fill="auto"/>
              </w:rPr>
            </w:pPr>
          </w:p>
        </w:tc>
        <w:tc>
          <w:tcPr>
            <w:tcW w:w="302"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6</w:t>
            </w:r>
          </w:p>
        </w:tc>
        <w:tc>
          <w:tcPr>
            <w:tcW w:w="1625" w:type="dxa"/>
            <w:gridSpan w:val="2"/>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机械设备废油和含油废弃物、废纯碱、膨润土、水泥等包装袋</w:t>
            </w:r>
          </w:p>
        </w:tc>
        <w:tc>
          <w:tcPr>
            <w:tcW w:w="2507" w:type="dxa"/>
            <w:tcBorders>
              <w:tl2br w:val="nil"/>
              <w:tr2bl w:val="nil"/>
            </w:tcBorders>
            <w:noWrap w:val="0"/>
            <w:vAlign w:val="center"/>
          </w:tcPr>
          <w:p>
            <w:pPr>
              <w:spacing w:line="240" w:lineRule="exac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eastAsia" w:ascii="Times New Roman" w:hAnsi="Times New Roman" w:cs="Times New Roman"/>
                <w:color w:val="auto"/>
                <w:spacing w:val="-10"/>
                <w:sz w:val="21"/>
                <w:szCs w:val="21"/>
                <w:highlight w:val="none"/>
                <w:shd w:val="clear" w:color="auto" w:fill="auto"/>
                <w:lang w:val="en-US" w:eastAsia="zh-CN" w:bidi="ar-SA"/>
              </w:rPr>
              <w:t>委托有相应危废处置资质单位接收处置</w:t>
            </w:r>
          </w:p>
        </w:tc>
        <w:tc>
          <w:tcPr>
            <w:tcW w:w="500" w:type="dxa"/>
            <w:tcBorders>
              <w:tl2br w:val="nil"/>
              <w:tr2bl w:val="nil"/>
            </w:tcBorders>
            <w:noWrap w:val="0"/>
            <w:vAlign w:val="center"/>
          </w:tcPr>
          <w:p>
            <w:pPr>
              <w:widowControl w:val="0"/>
              <w:jc w:val="center"/>
              <w:rPr>
                <w:rFonts w:hint="eastAsia"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widowControl w:val="0"/>
              <w:jc w:val="center"/>
              <w:rPr>
                <w:rFonts w:hint="eastAsia"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pPr>
              <w:widowControl w:val="0"/>
              <w:jc w:val="center"/>
              <w:rPr>
                <w:rFonts w:hint="eastAsia"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《危险废物贮存污染控制标准》（GB18597-20</w:t>
            </w:r>
            <w:r>
              <w:rPr>
                <w:rFonts w:hint="default" w:ascii="Times New Roman" w:hAnsi="Times New Roman" w:cs="Times New Roman"/>
                <w:color w:val="auto"/>
                <w:spacing w:val="-10"/>
                <w:sz w:val="21"/>
                <w:szCs w:val="21"/>
                <w:highlight w:val="none"/>
                <w:shd w:val="clear" w:color="auto" w:fill="auto"/>
                <w:lang w:val="en-US" w:eastAsia="zh-CN"/>
              </w:rPr>
              <w:t>23</w:t>
            </w:r>
            <w:r>
              <w:rPr>
                <w:rFonts w:hint="default" w:ascii="Times New Roman" w:hAnsi="Times New Roman" w:cs="Times New Roman"/>
                <w:color w:val="auto"/>
                <w:spacing w:val="-1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80" w:type="dxa"/>
            <w:gridSpan w:val="9"/>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lang w:val="en-US" w:eastAsia="zh-CN" w:bidi="ar-SA"/>
              </w:rPr>
              <w:t>运营期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类别</w:t>
            </w: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序号</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污染源</w:t>
            </w:r>
          </w:p>
        </w:tc>
        <w:tc>
          <w:tcPr>
            <w:tcW w:w="2507"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环保措施</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eastAsia="宋体" w:cs="Times New Roman"/>
                <w:color w:val="auto"/>
                <w:spacing w:val="-23"/>
                <w:sz w:val="21"/>
                <w:szCs w:val="21"/>
                <w:highlight w:val="none"/>
                <w:shd w:val="clear" w:color="auto" w:fill="auto"/>
              </w:rPr>
              <w:t>台</w:t>
            </w:r>
            <w:r>
              <w:rPr>
                <w:rFonts w:hint="default" w:ascii="Times New Roman" w:hAnsi="Times New Roman" w:eastAsia="宋体" w:cs="Times New Roman"/>
                <w:color w:val="auto"/>
                <w:spacing w:val="-23"/>
                <w:sz w:val="21"/>
                <w:szCs w:val="21"/>
                <w:highlight w:val="none"/>
                <w:shd w:val="clear" w:color="auto" w:fill="auto"/>
                <w:lang w:eastAsia="zh-CN"/>
              </w:rPr>
              <w:t>（</w:t>
            </w:r>
            <w:r>
              <w:rPr>
                <w:rFonts w:hint="default" w:ascii="Times New Roman" w:hAnsi="Times New Roman" w:eastAsia="宋体" w:cs="Times New Roman"/>
                <w:color w:val="auto"/>
                <w:spacing w:val="-23"/>
                <w:sz w:val="21"/>
                <w:szCs w:val="21"/>
                <w:highlight w:val="none"/>
                <w:shd w:val="clear" w:color="auto" w:fill="auto"/>
              </w:rPr>
              <w:t>套</w:t>
            </w:r>
            <w:r>
              <w:rPr>
                <w:rFonts w:hint="default" w:ascii="Times New Roman" w:hAnsi="Times New Roman" w:eastAsia="宋体" w:cs="Times New Roman"/>
                <w:color w:val="auto"/>
                <w:spacing w:val="-23"/>
                <w:sz w:val="21"/>
                <w:szCs w:val="21"/>
                <w:highlight w:val="none"/>
                <w:shd w:val="clear" w:color="auto" w:fill="auto"/>
                <w:lang w:eastAsia="zh-CN"/>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治理效果</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验收标准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废气</w:t>
            </w:r>
          </w:p>
        </w:tc>
        <w:tc>
          <w:tcPr>
            <w:tcW w:w="302"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widowControl w:val="0"/>
              <w:snapToGrid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井场</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站场</w:t>
            </w:r>
            <w:r>
              <w:rPr>
                <w:rFonts w:hint="default" w:ascii="Times New Roman" w:hAnsi="Times New Roman" w:cs="Times New Roman"/>
                <w:color w:val="auto"/>
                <w:spacing w:val="-10"/>
                <w:sz w:val="21"/>
                <w:szCs w:val="21"/>
                <w:highlight w:val="none"/>
                <w:shd w:val="clear" w:color="auto" w:fill="auto"/>
              </w:rPr>
              <w:t>无组织废气</w:t>
            </w:r>
          </w:p>
        </w:tc>
        <w:tc>
          <w:tcPr>
            <w:tcW w:w="2507" w:type="dxa"/>
            <w:tcBorders>
              <w:tl2br w:val="nil"/>
              <w:tr2bl w:val="nil"/>
            </w:tcBorders>
            <w:noWrap w:val="0"/>
            <w:vAlign w:val="center"/>
          </w:tcPr>
          <w:p>
            <w:pPr>
              <w:widowControl w:val="0"/>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密闭管道、阀门的检修和维护</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widowControl w:val="0"/>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eastAsia" w:cs="Times New Roman"/>
                <w:color w:val="auto"/>
                <w:spacing w:val="-10"/>
                <w:sz w:val="21"/>
                <w:szCs w:val="21"/>
                <w:highlight w:val="none"/>
                <w:shd w:val="clear" w:color="auto" w:fill="auto"/>
                <w:lang w:eastAsia="zh-CN"/>
              </w:rPr>
              <w:t>厂</w:t>
            </w:r>
            <w:r>
              <w:rPr>
                <w:rFonts w:hint="default" w:ascii="Times New Roman" w:hAnsi="Times New Roman" w:cs="Times New Roman"/>
                <w:color w:val="auto"/>
                <w:spacing w:val="-10"/>
                <w:sz w:val="21"/>
                <w:szCs w:val="21"/>
                <w:highlight w:val="none"/>
                <w:shd w:val="clear" w:color="auto" w:fill="auto"/>
              </w:rPr>
              <w:t>界非甲烷总烃≤4.0mg/m</w:t>
            </w:r>
            <w:r>
              <w:rPr>
                <w:rFonts w:hint="default" w:ascii="Times New Roman" w:hAnsi="Times New Roman" w:cs="Times New Roman"/>
                <w:color w:val="auto"/>
                <w:spacing w:val="-10"/>
                <w:sz w:val="21"/>
                <w:szCs w:val="21"/>
                <w:highlight w:val="none"/>
                <w:shd w:val="clear" w:color="auto" w:fill="auto"/>
                <w:vertAlign w:val="superscript"/>
              </w:rPr>
              <w:t>3</w:t>
            </w:r>
          </w:p>
        </w:tc>
        <w:tc>
          <w:tcPr>
            <w:tcW w:w="1946" w:type="dxa"/>
            <w:tcBorders>
              <w:tl2br w:val="nil"/>
              <w:tr2bl w:val="nil"/>
            </w:tcBorders>
            <w:noWrap w:val="0"/>
            <w:vAlign w:val="center"/>
          </w:tcPr>
          <w:p>
            <w:pPr>
              <w:widowControl w:val="0"/>
              <w:jc w:val="center"/>
              <w:rPr>
                <w:rFonts w:hint="eastAsia"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7"/>
                <w:sz w:val="21"/>
                <w:szCs w:val="21"/>
                <w:highlight w:val="none"/>
                <w:shd w:val="clear" w:color="auto" w:fill="auto"/>
              </w:rPr>
              <w:t>《陆上石油天然气开采工业大气污染物排放标准》（GB39728-2020）中企业边界污染物控制要求</w:t>
            </w:r>
            <w:r>
              <w:rPr>
                <w:rFonts w:hint="eastAsia" w:ascii="Times New Roman" w:hAnsi="Times New Roman" w:cs="Times New Roman"/>
                <w:color w:val="auto"/>
                <w:spacing w:val="-17"/>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废水</w:t>
            </w:r>
          </w:p>
        </w:tc>
        <w:tc>
          <w:tcPr>
            <w:tcW w:w="302"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采出水</w:t>
            </w:r>
          </w:p>
        </w:tc>
        <w:tc>
          <w:tcPr>
            <w:tcW w:w="2507" w:type="dxa"/>
            <w:tcBorders>
              <w:tl2br w:val="nil"/>
              <w:tr2bl w:val="nil"/>
            </w:tcBorders>
            <w:noWrap w:val="0"/>
            <w:vAlign w:val="center"/>
          </w:tcPr>
          <w:p>
            <w:pPr>
              <w:widowControl w:val="0"/>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采出水进入</w:t>
            </w:r>
            <w:r>
              <w:rPr>
                <w:rFonts w:hint="eastAsia" w:ascii="Times New Roman" w:hAnsi="Times New Roman" w:cs="Times New Roman"/>
                <w:color w:val="auto"/>
                <w:spacing w:val="-10"/>
                <w:sz w:val="21"/>
                <w:szCs w:val="21"/>
                <w:highlight w:val="none"/>
                <w:shd w:val="clear" w:color="auto" w:fill="auto"/>
                <w:lang w:eastAsia="zh-CN"/>
              </w:rPr>
              <w:t>风城二号稠油联合站</w:t>
            </w:r>
            <w:r>
              <w:rPr>
                <w:rFonts w:hint="default" w:ascii="Times New Roman" w:hAnsi="Times New Roman" w:cs="Times New Roman"/>
                <w:color w:val="auto"/>
                <w:spacing w:val="-10"/>
                <w:sz w:val="21"/>
                <w:szCs w:val="21"/>
                <w:highlight w:val="none"/>
                <w:shd w:val="clear" w:color="auto" w:fill="auto"/>
              </w:rPr>
              <w:t>处理达到《</w:t>
            </w:r>
            <w:r>
              <w:rPr>
                <w:rFonts w:hint="default" w:ascii="Times New Roman" w:hAnsi="Times New Roman" w:cs="Times New Roman"/>
                <w:color w:val="auto"/>
                <w:spacing w:val="-10"/>
                <w:sz w:val="21"/>
                <w:szCs w:val="21"/>
                <w:highlight w:val="none"/>
                <w:shd w:val="clear" w:color="auto" w:fill="auto"/>
                <w:lang w:eastAsia="zh-CN"/>
              </w:rPr>
              <w:t>碎屑岩油藏注水水质指标技术要求及分析方法</w:t>
            </w:r>
            <w:r>
              <w:rPr>
                <w:rFonts w:hint="default" w:ascii="Times New Roman" w:hAnsi="Times New Roman" w:cs="Times New Roman"/>
                <w:color w:val="auto"/>
                <w:spacing w:val="-10"/>
                <w:sz w:val="21"/>
                <w:szCs w:val="21"/>
                <w:highlight w:val="none"/>
                <w:shd w:val="clear" w:color="auto" w:fill="auto"/>
              </w:rPr>
              <w:t>》（</w:t>
            </w:r>
            <w:r>
              <w:rPr>
                <w:rFonts w:hint="default" w:ascii="Times New Roman" w:hAnsi="Times New Roman" w:cs="Times New Roman"/>
                <w:color w:val="auto"/>
                <w:spacing w:val="-10"/>
                <w:sz w:val="21"/>
                <w:szCs w:val="21"/>
                <w:highlight w:val="none"/>
                <w:shd w:val="clear" w:color="auto" w:fill="auto"/>
                <w:lang w:eastAsia="zh-CN"/>
              </w:rPr>
              <w:t>SY/T5329-2022</w:t>
            </w:r>
            <w:r>
              <w:rPr>
                <w:rFonts w:hint="default" w:ascii="Times New Roman" w:hAnsi="Times New Roman" w:cs="Times New Roman"/>
                <w:color w:val="auto"/>
                <w:spacing w:val="-10"/>
                <w:sz w:val="21"/>
                <w:szCs w:val="21"/>
                <w:highlight w:val="none"/>
                <w:shd w:val="clear" w:color="auto" w:fill="auto"/>
              </w:rPr>
              <w:t>）</w:t>
            </w:r>
            <w:r>
              <w:rPr>
                <w:rFonts w:hint="eastAsia" w:cs="Times New Roman"/>
                <w:color w:val="auto"/>
                <w:spacing w:val="-10"/>
                <w:sz w:val="21"/>
                <w:szCs w:val="21"/>
                <w:highlight w:val="none"/>
                <w:shd w:val="clear" w:color="auto" w:fill="auto"/>
                <w:lang w:eastAsia="zh-CN"/>
              </w:rPr>
              <w:t>、《陆上油气田采出水地下注入环境保护技术规范》（SY/T7784-2024）</w:t>
            </w:r>
            <w:r>
              <w:rPr>
                <w:rFonts w:hint="default" w:ascii="Times New Roman" w:hAnsi="Times New Roman" w:cs="Times New Roman"/>
                <w:color w:val="auto"/>
                <w:spacing w:val="-10"/>
                <w:sz w:val="21"/>
                <w:szCs w:val="21"/>
                <w:highlight w:val="none"/>
                <w:shd w:val="clear" w:color="auto" w:fill="auto"/>
              </w:rPr>
              <w:t>标准后回注</w:t>
            </w:r>
            <w:r>
              <w:rPr>
                <w:rFonts w:hint="eastAsia" w:ascii="Times New Roman" w:hAnsi="Times New Roman" w:cs="Times New Roman"/>
                <w:color w:val="auto"/>
                <w:spacing w:val="-10"/>
                <w:sz w:val="21"/>
                <w:szCs w:val="21"/>
                <w:highlight w:val="none"/>
                <w:shd w:val="clear" w:color="auto" w:fill="auto"/>
                <w:lang w:val="en-US" w:eastAsia="zh-CN"/>
              </w:rPr>
              <w:t>油藏</w:t>
            </w:r>
            <w:r>
              <w:rPr>
                <w:rFonts w:hint="default" w:ascii="Times New Roman" w:hAnsi="Times New Roman" w:cs="Times New Roman"/>
                <w:color w:val="auto"/>
                <w:spacing w:val="-10"/>
                <w:sz w:val="21"/>
                <w:szCs w:val="21"/>
                <w:highlight w:val="none"/>
                <w:shd w:val="clear" w:color="auto" w:fill="auto"/>
              </w:rPr>
              <w:t>，不外排</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vMerge w:val="restart"/>
            <w:tcBorders>
              <w:tl2br w:val="nil"/>
              <w:tr2bl w:val="nil"/>
            </w:tcBorders>
            <w:noWrap w:val="0"/>
            <w:vAlign w:val="center"/>
          </w:tcPr>
          <w:p>
            <w:pPr>
              <w:widowControl w:val="0"/>
              <w:jc w:val="center"/>
              <w:rPr>
                <w:rFonts w:hint="eastAsia"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w:t>
            </w:r>
            <w:r>
              <w:rPr>
                <w:rFonts w:hint="default" w:ascii="Times New Roman" w:hAnsi="Times New Roman" w:cs="Times New Roman"/>
                <w:color w:val="auto"/>
                <w:spacing w:val="-10"/>
                <w:sz w:val="21"/>
                <w:szCs w:val="21"/>
                <w:highlight w:val="none"/>
                <w:shd w:val="clear" w:color="auto" w:fill="auto"/>
                <w:lang w:eastAsia="zh-CN"/>
              </w:rPr>
              <w:t>碎屑岩油藏注水水质指标技术要求及分析方法</w:t>
            </w:r>
            <w:r>
              <w:rPr>
                <w:rFonts w:hint="default" w:ascii="Times New Roman" w:hAnsi="Times New Roman" w:cs="Times New Roman"/>
                <w:color w:val="auto"/>
                <w:spacing w:val="-10"/>
                <w:sz w:val="21"/>
                <w:szCs w:val="21"/>
                <w:highlight w:val="none"/>
                <w:shd w:val="clear" w:color="auto" w:fill="auto"/>
              </w:rPr>
              <w:t>》（</w:t>
            </w:r>
            <w:r>
              <w:rPr>
                <w:rFonts w:hint="default" w:ascii="Times New Roman" w:hAnsi="Times New Roman" w:cs="Times New Roman"/>
                <w:color w:val="auto"/>
                <w:spacing w:val="-10"/>
                <w:sz w:val="21"/>
                <w:szCs w:val="21"/>
                <w:highlight w:val="none"/>
                <w:shd w:val="clear" w:color="auto" w:fill="auto"/>
                <w:lang w:eastAsia="zh-CN"/>
              </w:rPr>
              <w:t>SY/T5329-2022</w:t>
            </w:r>
            <w:r>
              <w:rPr>
                <w:rFonts w:hint="default" w:ascii="Times New Roman" w:hAnsi="Times New Roman" w:cs="Times New Roman"/>
                <w:color w:val="auto"/>
                <w:spacing w:val="-10"/>
                <w:sz w:val="21"/>
                <w:szCs w:val="21"/>
                <w:highlight w:val="none"/>
                <w:shd w:val="clear" w:color="auto" w:fill="auto"/>
              </w:rPr>
              <w:t>）</w:t>
            </w:r>
            <w:r>
              <w:rPr>
                <w:rFonts w:hint="eastAsia" w:cs="Times New Roman"/>
                <w:color w:val="auto"/>
                <w:spacing w:val="-10"/>
                <w:sz w:val="21"/>
                <w:szCs w:val="21"/>
                <w:highlight w:val="none"/>
                <w:shd w:val="clear" w:color="auto" w:fill="auto"/>
                <w:lang w:eastAsia="zh-CN"/>
              </w:rPr>
              <w:t>、《陆上油气田采出水地下注入环境保护技术规范》（SY/T7784-2024）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2</w:t>
            </w:r>
          </w:p>
        </w:tc>
        <w:tc>
          <w:tcPr>
            <w:tcW w:w="1625"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spacing w:val="-10"/>
                <w:sz w:val="21"/>
                <w:szCs w:val="21"/>
                <w:highlight w:val="none"/>
                <w:shd w:val="clear" w:color="auto" w:fill="auto"/>
              </w:rPr>
            </w:pPr>
            <w:r>
              <w:rPr>
                <w:rFonts w:hint="default" w:ascii="Times New Roman" w:hAnsi="Times New Roman" w:eastAsia="宋体" w:cs="Times New Roman"/>
                <w:color w:val="auto"/>
                <w:spacing w:val="-10"/>
                <w:sz w:val="21"/>
                <w:szCs w:val="21"/>
                <w:highlight w:val="none"/>
                <w:shd w:val="clear" w:color="auto" w:fill="auto"/>
              </w:rPr>
              <w:t>井下作业废水</w:t>
            </w:r>
          </w:p>
        </w:tc>
        <w:tc>
          <w:tcPr>
            <w:tcW w:w="2507" w:type="dxa"/>
            <w:tcBorders>
              <w:tl2br w:val="nil"/>
              <w:tr2bl w:val="nil"/>
            </w:tcBorders>
            <w:noWrap w:val="0"/>
            <w:vAlign w:val="center"/>
          </w:tcPr>
          <w:p>
            <w:pPr>
              <w:widowControl w:val="0"/>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eastAsia="宋体" w:cs="Times New Roman"/>
                <w:color w:val="auto"/>
                <w:spacing w:val="-10"/>
                <w:sz w:val="21"/>
                <w:szCs w:val="21"/>
                <w:highlight w:val="none"/>
                <w:shd w:val="clear" w:color="auto" w:fill="auto"/>
              </w:rPr>
              <w:t>采用专用废水回收罐收集，运至</w:t>
            </w:r>
            <w:r>
              <w:rPr>
                <w:rFonts w:hint="eastAsia" w:ascii="Times New Roman" w:hAnsi="Times New Roman" w:eastAsia="宋体" w:cs="Times New Roman"/>
                <w:color w:val="auto"/>
                <w:spacing w:val="-10"/>
                <w:sz w:val="21"/>
                <w:szCs w:val="21"/>
                <w:highlight w:val="none"/>
                <w:shd w:val="clear" w:color="auto" w:fill="auto"/>
                <w:lang w:eastAsia="zh-CN"/>
              </w:rPr>
              <w:t>风城二号稠油联合站</w:t>
            </w:r>
            <w:r>
              <w:rPr>
                <w:rFonts w:hint="default" w:ascii="Times New Roman" w:hAnsi="Times New Roman" w:eastAsia="宋体" w:cs="Times New Roman"/>
                <w:color w:val="auto"/>
                <w:spacing w:val="-10"/>
                <w:sz w:val="21"/>
                <w:szCs w:val="21"/>
                <w:highlight w:val="none"/>
                <w:shd w:val="clear" w:color="auto" w:fill="auto"/>
              </w:rPr>
              <w:t>处理</w:t>
            </w:r>
            <w:r>
              <w:rPr>
                <w:rFonts w:hint="default" w:ascii="Times New Roman" w:hAnsi="Times New Roman" w:eastAsia="宋体"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不外排</w:t>
            </w:r>
          </w:p>
        </w:tc>
        <w:tc>
          <w:tcPr>
            <w:tcW w:w="1946" w:type="dxa"/>
            <w:vMerge w:val="continue"/>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噪声</w:t>
            </w:r>
          </w:p>
        </w:tc>
        <w:tc>
          <w:tcPr>
            <w:tcW w:w="302"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widowControl w:val="0"/>
              <w:snapToGrid w:val="0"/>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10"/>
                <w:sz w:val="21"/>
                <w:szCs w:val="21"/>
                <w:highlight w:val="none"/>
                <w:shd w:val="clear" w:color="auto" w:fill="auto"/>
              </w:rPr>
              <w:t>井场</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站场</w:t>
            </w:r>
          </w:p>
        </w:tc>
        <w:tc>
          <w:tcPr>
            <w:tcW w:w="2507" w:type="dxa"/>
            <w:tcBorders>
              <w:tl2br w:val="nil"/>
              <w:tr2bl w:val="nil"/>
            </w:tcBorders>
            <w:noWrap w:val="0"/>
            <w:vAlign w:val="center"/>
          </w:tcPr>
          <w:p>
            <w:pPr>
              <w:widowControl w:val="0"/>
              <w:snapToGrid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基础减震</w:t>
            </w:r>
          </w:p>
        </w:tc>
        <w:tc>
          <w:tcPr>
            <w:tcW w:w="50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场界达标：</w:t>
            </w:r>
          </w:p>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昼间≤60dB(A)</w:t>
            </w:r>
          </w:p>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夜间≤50dB(A)</w:t>
            </w:r>
          </w:p>
        </w:tc>
        <w:tc>
          <w:tcPr>
            <w:tcW w:w="1946" w:type="dxa"/>
            <w:tcBorders>
              <w:tl2br w:val="nil"/>
              <w:tr2bl w:val="nil"/>
            </w:tcBorders>
            <w:noWrap w:val="0"/>
            <w:vAlign w:val="center"/>
          </w:tcPr>
          <w:p>
            <w:pPr>
              <w:widowControl w:val="0"/>
              <w:ind w:left="-80" w:leftChars="-38" w:right="-88" w:rightChars="-42"/>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《工业企业厂界环境噪声排放标准》</w:t>
            </w:r>
            <w:r>
              <w:rPr>
                <w:rFonts w:hint="eastAsia"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GB12348-2008</w:t>
            </w:r>
            <w:r>
              <w:rPr>
                <w:rFonts w:hint="eastAsia" w:cs="Times New Roman"/>
                <w:color w:val="auto"/>
                <w:spacing w:val="-10"/>
                <w:sz w:val="21"/>
                <w:szCs w:val="21"/>
                <w:highlight w:val="none"/>
                <w:shd w:val="clear" w:color="auto" w:fill="auto"/>
                <w:lang w:eastAsia="zh-CN"/>
              </w:rPr>
              <w:t>）</w:t>
            </w:r>
          </w:p>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2类区排放限值</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固废</w:t>
            </w:r>
          </w:p>
        </w:tc>
        <w:tc>
          <w:tcPr>
            <w:tcW w:w="302"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widowControl w:val="0"/>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油泥</w:t>
            </w:r>
            <w:r>
              <w:rPr>
                <w:rFonts w:hint="default" w:ascii="Times New Roman" w:hAnsi="Times New Roman" w:eastAsia="宋体" w:cs="Times New Roman"/>
                <w:color w:val="auto"/>
                <w:spacing w:val="-10"/>
                <w:sz w:val="21"/>
                <w:szCs w:val="21"/>
                <w:highlight w:val="none"/>
                <w:shd w:val="clear" w:color="auto" w:fill="auto"/>
                <w:lang w:eastAsia="zh-CN"/>
              </w:rPr>
              <w:t>（</w:t>
            </w:r>
            <w:r>
              <w:rPr>
                <w:rFonts w:hint="default" w:ascii="Times New Roman" w:hAnsi="Times New Roman" w:eastAsia="宋体" w:cs="Times New Roman"/>
                <w:color w:val="auto"/>
                <w:spacing w:val="-10"/>
                <w:sz w:val="21"/>
                <w:szCs w:val="21"/>
                <w:highlight w:val="none"/>
                <w:shd w:val="clear" w:color="auto" w:fill="auto"/>
              </w:rPr>
              <w:t>砂</w:t>
            </w:r>
            <w:r>
              <w:rPr>
                <w:rFonts w:hint="default" w:ascii="Times New Roman" w:hAnsi="Times New Roman" w:eastAsia="宋体" w:cs="Times New Roman"/>
                <w:color w:val="auto"/>
                <w:spacing w:val="-10"/>
                <w:sz w:val="21"/>
                <w:szCs w:val="21"/>
                <w:highlight w:val="none"/>
                <w:shd w:val="clear" w:color="auto" w:fill="auto"/>
                <w:lang w:eastAsia="zh-CN"/>
              </w:rPr>
              <w:t>）</w:t>
            </w:r>
            <w:r>
              <w:rPr>
                <w:rFonts w:hint="default" w:ascii="Times New Roman" w:hAnsi="Times New Roman" w:eastAsia="宋体" w:cs="Times New Roman"/>
                <w:color w:val="auto"/>
                <w:spacing w:val="-10"/>
                <w:sz w:val="21"/>
                <w:szCs w:val="21"/>
                <w:highlight w:val="none"/>
                <w:shd w:val="clear" w:color="auto" w:fill="auto"/>
              </w:rPr>
              <w:t>、清管废渣、</w:t>
            </w:r>
            <w:r>
              <w:rPr>
                <w:rFonts w:hint="default" w:ascii="Times New Roman" w:hAnsi="Times New Roman" w:eastAsia="宋体" w:cs="Times New Roman"/>
                <w:color w:val="auto"/>
                <w:spacing w:val="-10"/>
                <w:sz w:val="21"/>
                <w:szCs w:val="21"/>
                <w:highlight w:val="none"/>
                <w:shd w:val="clear" w:color="auto" w:fill="auto"/>
                <w:lang w:eastAsia="zh-CN"/>
              </w:rPr>
              <w:t>废防渗膜、</w:t>
            </w:r>
            <w:r>
              <w:rPr>
                <w:rFonts w:hint="default" w:ascii="Times New Roman" w:hAnsi="Times New Roman" w:eastAsia="宋体" w:cs="Times New Roman"/>
                <w:color w:val="auto"/>
                <w:spacing w:val="-10"/>
                <w:sz w:val="21"/>
                <w:szCs w:val="21"/>
                <w:highlight w:val="none"/>
                <w:shd w:val="clear" w:color="auto" w:fill="auto"/>
              </w:rPr>
              <w:t>废润滑油</w:t>
            </w:r>
            <w:r>
              <w:rPr>
                <w:rFonts w:hint="default" w:ascii="Times New Roman" w:hAnsi="Times New Roman" w:eastAsia="宋体" w:cs="Times New Roman"/>
                <w:color w:val="auto"/>
                <w:spacing w:val="-10"/>
                <w:sz w:val="21"/>
                <w:szCs w:val="21"/>
                <w:highlight w:val="none"/>
                <w:shd w:val="clear" w:color="auto" w:fill="auto"/>
                <w:lang w:eastAsia="zh-CN"/>
              </w:rPr>
              <w:t>、</w:t>
            </w:r>
            <w:r>
              <w:rPr>
                <w:rFonts w:hint="default" w:ascii="Times New Roman" w:hAnsi="Times New Roman" w:eastAsia="宋体" w:cs="Times New Roman"/>
                <w:color w:val="auto"/>
                <w:spacing w:val="-10"/>
                <w:sz w:val="21"/>
                <w:szCs w:val="21"/>
                <w:highlight w:val="none"/>
                <w:shd w:val="clear" w:color="auto" w:fill="auto"/>
                <w:lang w:val="en-US" w:eastAsia="zh-CN"/>
              </w:rPr>
              <w:t>落地油</w:t>
            </w:r>
          </w:p>
        </w:tc>
        <w:tc>
          <w:tcPr>
            <w:tcW w:w="2507" w:type="dxa"/>
            <w:tcBorders>
              <w:tl2br w:val="nil"/>
              <w:tr2bl w:val="nil"/>
            </w:tcBorders>
            <w:noWrap w:val="0"/>
            <w:vAlign w:val="center"/>
          </w:tcPr>
          <w:p>
            <w:pPr>
              <w:widowControl w:val="0"/>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委托</w:t>
            </w:r>
            <w:r>
              <w:rPr>
                <w:rFonts w:hint="eastAsia" w:ascii="Times New Roman" w:hAnsi="Times New Roman" w:cs="Times New Roman"/>
                <w:color w:val="auto"/>
                <w:spacing w:val="-10"/>
                <w:sz w:val="21"/>
                <w:szCs w:val="21"/>
                <w:highlight w:val="none"/>
                <w:shd w:val="clear" w:color="auto" w:fill="auto"/>
                <w:lang w:eastAsia="zh-CN"/>
              </w:rPr>
              <w:t>克拉玛依顺通环保科技有限责任公司</w:t>
            </w:r>
            <w:r>
              <w:rPr>
                <w:rFonts w:hint="default" w:ascii="Times New Roman" w:hAnsi="Times New Roman" w:cs="Times New Roman"/>
                <w:color w:val="auto"/>
                <w:spacing w:val="-10"/>
                <w:sz w:val="21"/>
                <w:szCs w:val="21"/>
                <w:highlight w:val="none"/>
                <w:shd w:val="clear" w:color="auto" w:fill="auto"/>
              </w:rPr>
              <w:t>接收处置</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《危险废物贮存污染控制标准》（GB18597-20</w:t>
            </w:r>
            <w:r>
              <w:rPr>
                <w:rFonts w:hint="default" w:ascii="Times New Roman" w:hAnsi="Times New Roman" w:cs="Times New Roman"/>
                <w:color w:val="auto"/>
                <w:spacing w:val="-10"/>
                <w:sz w:val="21"/>
                <w:szCs w:val="21"/>
                <w:highlight w:val="none"/>
                <w:shd w:val="clear" w:color="auto" w:fill="auto"/>
                <w:lang w:val="en-US" w:eastAsia="zh-CN"/>
              </w:rPr>
              <w:t>23</w:t>
            </w:r>
            <w:r>
              <w:rPr>
                <w:rFonts w:hint="default" w:ascii="Times New Roman" w:hAnsi="Times New Roman" w:cs="Times New Roman"/>
                <w:color w:val="auto"/>
                <w:spacing w:val="-1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防渗</w:t>
            </w:r>
          </w:p>
        </w:tc>
        <w:tc>
          <w:tcPr>
            <w:tcW w:w="302"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585" w:type="dxa"/>
            <w:tcBorders>
              <w:tl2br w:val="nil"/>
              <w:tr2bl w:val="nil"/>
            </w:tcBorders>
            <w:noWrap w:val="0"/>
            <w:vAlign w:val="center"/>
          </w:tcPr>
          <w:p>
            <w:pPr>
              <w:widowControl w:val="0"/>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简单防渗区</w:t>
            </w:r>
          </w:p>
        </w:tc>
        <w:tc>
          <w:tcPr>
            <w:tcW w:w="1040" w:type="dxa"/>
            <w:tcBorders>
              <w:tl2br w:val="nil"/>
              <w:tr2bl w:val="nil"/>
            </w:tcBorders>
            <w:noWrap w:val="0"/>
            <w:vAlign w:val="center"/>
          </w:tcPr>
          <w:p>
            <w:pPr>
              <w:widowControl w:val="0"/>
              <w:jc w:val="center"/>
              <w:rPr>
                <w:rFonts w:hint="default" w:ascii="Times New Roman" w:hAnsi="Times New Roman" w:cs="Times New Roman"/>
                <w:color w:val="auto"/>
                <w:spacing w:val="-20"/>
                <w:sz w:val="21"/>
                <w:szCs w:val="21"/>
                <w:highlight w:val="none"/>
                <w:shd w:val="clear" w:color="auto" w:fill="auto"/>
              </w:rPr>
            </w:pPr>
            <w:r>
              <w:rPr>
                <w:rFonts w:hint="default" w:ascii="Times New Roman" w:hAnsi="Times New Roman" w:cs="Times New Roman"/>
                <w:color w:val="auto"/>
                <w:spacing w:val="-20"/>
                <w:sz w:val="21"/>
                <w:szCs w:val="21"/>
                <w:highlight w:val="none"/>
                <w:shd w:val="clear" w:color="auto" w:fill="auto"/>
              </w:rPr>
              <w:t>井场</w:t>
            </w:r>
            <w:r>
              <w:rPr>
                <w:rFonts w:hint="eastAsia" w:ascii="Times New Roman" w:hAnsi="Times New Roman" w:cs="Times New Roman"/>
                <w:color w:val="auto"/>
                <w:spacing w:val="-20"/>
                <w:sz w:val="21"/>
                <w:szCs w:val="21"/>
                <w:highlight w:val="none"/>
                <w:shd w:val="clear" w:color="auto" w:fill="auto"/>
                <w:lang w:eastAsia="zh-CN"/>
              </w:rPr>
              <w:t>、</w:t>
            </w:r>
            <w:r>
              <w:rPr>
                <w:rFonts w:hint="eastAsia" w:ascii="Times New Roman" w:hAnsi="Times New Roman" w:cs="Times New Roman"/>
                <w:color w:val="auto"/>
                <w:spacing w:val="-20"/>
                <w:sz w:val="21"/>
                <w:szCs w:val="21"/>
                <w:highlight w:val="none"/>
                <w:shd w:val="clear" w:color="auto" w:fill="auto"/>
                <w:lang w:val="en-US" w:eastAsia="zh-CN"/>
              </w:rPr>
              <w:t>站场</w:t>
            </w:r>
            <w:r>
              <w:rPr>
                <w:rFonts w:hint="default" w:ascii="Times New Roman" w:hAnsi="Times New Roman" w:cs="Times New Roman"/>
                <w:color w:val="auto"/>
                <w:spacing w:val="-20"/>
                <w:sz w:val="21"/>
                <w:szCs w:val="21"/>
                <w:highlight w:val="none"/>
                <w:shd w:val="clear" w:color="auto" w:fill="auto"/>
              </w:rPr>
              <w:t>永久占地</w:t>
            </w:r>
          </w:p>
        </w:tc>
        <w:tc>
          <w:tcPr>
            <w:tcW w:w="2507"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实施地面硬化</w:t>
            </w:r>
          </w:p>
        </w:tc>
        <w:tc>
          <w:tcPr>
            <w:tcW w:w="50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p>
        </w:tc>
        <w:tc>
          <w:tcPr>
            <w:tcW w:w="155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地面硬化</w:t>
            </w:r>
          </w:p>
        </w:tc>
        <w:tc>
          <w:tcPr>
            <w:tcW w:w="1946"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2</w:t>
            </w:r>
          </w:p>
        </w:tc>
        <w:tc>
          <w:tcPr>
            <w:tcW w:w="1625" w:type="dxa"/>
            <w:gridSpan w:val="2"/>
            <w:tcBorders>
              <w:tl2br w:val="nil"/>
              <w:tr2bl w:val="nil"/>
            </w:tcBorders>
            <w:noWrap w:val="0"/>
            <w:vAlign w:val="center"/>
          </w:tcPr>
          <w:p>
            <w:pPr>
              <w:widowControl w:val="0"/>
              <w:jc w:val="center"/>
              <w:rPr>
                <w:rFonts w:hint="eastAsia"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eastAsia="宋体" w:cs="Times New Roman"/>
                <w:color w:val="auto"/>
                <w:spacing w:val="-10"/>
                <w:sz w:val="21"/>
                <w:szCs w:val="21"/>
                <w:highlight w:val="none"/>
                <w:shd w:val="clear" w:color="auto" w:fill="auto"/>
              </w:rPr>
              <w:t>管道防腐</w:t>
            </w:r>
            <w:r>
              <w:rPr>
                <w:rFonts w:hint="eastAsia" w:ascii="Times New Roman" w:hAnsi="Times New Roman" w:eastAsia="宋体" w:cs="Times New Roman"/>
                <w:color w:val="auto"/>
                <w:spacing w:val="-10"/>
                <w:sz w:val="21"/>
                <w:szCs w:val="21"/>
                <w:highlight w:val="none"/>
                <w:shd w:val="clear" w:color="auto" w:fill="auto"/>
                <w:lang w:eastAsia="zh-CN"/>
              </w:rPr>
              <w:t>、</w:t>
            </w:r>
            <w:r>
              <w:rPr>
                <w:rFonts w:hint="eastAsia" w:ascii="Times New Roman" w:hAnsi="Times New Roman" w:eastAsia="宋体" w:cs="Times New Roman"/>
                <w:color w:val="auto"/>
                <w:spacing w:val="-10"/>
                <w:sz w:val="21"/>
                <w:szCs w:val="21"/>
                <w:highlight w:val="none"/>
                <w:shd w:val="clear" w:color="auto" w:fill="auto"/>
                <w:lang w:val="en-US" w:eastAsia="zh-CN"/>
              </w:rPr>
              <w:t>保温</w:t>
            </w:r>
          </w:p>
        </w:tc>
        <w:tc>
          <w:tcPr>
            <w:tcW w:w="2507" w:type="dxa"/>
            <w:tcBorders>
              <w:tl2br w:val="nil"/>
              <w:tr2bl w:val="nil"/>
            </w:tcBorders>
            <w:noWrap w:val="0"/>
            <w:vAlign w:val="center"/>
          </w:tcPr>
          <w:p>
            <w:pPr>
              <w:widowControl w:val="0"/>
              <w:jc w:val="center"/>
              <w:rPr>
                <w:rFonts w:hint="eastAsia"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eastAsia="宋体" w:cs="Times New Roman"/>
                <w:color w:val="auto"/>
                <w:spacing w:val="-10"/>
                <w:sz w:val="21"/>
                <w:szCs w:val="21"/>
                <w:highlight w:val="none"/>
                <w:shd w:val="clear" w:color="auto" w:fill="auto"/>
              </w:rPr>
              <w:t>储罐内外壁涂层防腐</w:t>
            </w:r>
            <w:r>
              <w:rPr>
                <w:rFonts w:hint="eastAsia" w:ascii="Times New Roman" w:hAnsi="Times New Roman" w:eastAsia="宋体" w:cs="Times New Roman"/>
                <w:color w:val="auto"/>
                <w:spacing w:val="-10"/>
                <w:sz w:val="21"/>
                <w:szCs w:val="21"/>
                <w:highlight w:val="none"/>
                <w:shd w:val="clear" w:color="auto" w:fill="auto"/>
                <w:lang w:eastAsia="zh-CN"/>
              </w:rPr>
              <w:t>，</w:t>
            </w:r>
            <w:r>
              <w:rPr>
                <w:rFonts w:hint="default" w:ascii="Times New Roman" w:hAnsi="Times New Roman" w:eastAsia="宋体" w:cs="Times New Roman"/>
                <w:color w:val="auto"/>
                <w:spacing w:val="-10"/>
                <w:sz w:val="21"/>
                <w:szCs w:val="21"/>
                <w:highlight w:val="none"/>
                <w:shd w:val="clear" w:color="auto" w:fill="auto"/>
              </w:rPr>
              <w:t>管道外壁涂层防腐</w:t>
            </w:r>
            <w:r>
              <w:rPr>
                <w:rFonts w:hint="eastAsia" w:ascii="Times New Roman" w:hAnsi="Times New Roman" w:eastAsia="宋体"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p>
        </w:tc>
        <w:tc>
          <w:tcPr>
            <w:tcW w:w="1550" w:type="dxa"/>
            <w:tcBorders>
              <w:tl2br w:val="nil"/>
              <w:tr2bl w:val="nil"/>
            </w:tcBorders>
            <w:noWrap w:val="0"/>
            <w:vAlign w:val="center"/>
          </w:tcPr>
          <w:p>
            <w:pPr>
              <w:widowControl w:val="0"/>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防腐</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保温</w:t>
            </w:r>
            <w:r>
              <w:rPr>
                <w:rFonts w:hint="default" w:ascii="Times New Roman" w:hAnsi="Times New Roman" w:cs="Times New Roman"/>
                <w:color w:val="auto"/>
                <w:spacing w:val="-10"/>
                <w:sz w:val="21"/>
                <w:szCs w:val="21"/>
                <w:highlight w:val="none"/>
                <w:shd w:val="clear" w:color="auto" w:fill="auto"/>
              </w:rPr>
              <w:t>性能良好</w:t>
            </w:r>
          </w:p>
        </w:tc>
        <w:tc>
          <w:tcPr>
            <w:tcW w:w="1946" w:type="dxa"/>
            <w:tcBorders>
              <w:tl2br w:val="nil"/>
              <w:tr2bl w:val="nil"/>
            </w:tcBorders>
            <w:noWrap w:val="0"/>
            <w:vAlign w:val="center"/>
          </w:tcPr>
          <w:p>
            <w:pPr>
              <w:widowControl w:val="0"/>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652" w:type="dxa"/>
            <w:gridSpan w:val="3"/>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风险防范措施</w:t>
            </w:r>
          </w:p>
        </w:tc>
        <w:tc>
          <w:tcPr>
            <w:tcW w:w="1625" w:type="dxa"/>
            <w:gridSpan w:val="2"/>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10"/>
                <w:sz w:val="21"/>
                <w:szCs w:val="21"/>
                <w:highlight w:val="none"/>
                <w:shd w:val="clear" w:color="auto" w:fill="auto"/>
              </w:rPr>
              <w:t>井场</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站场</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设置可燃</w:t>
            </w:r>
            <w:r>
              <w:rPr>
                <w:rFonts w:hint="default" w:ascii="Times New Roman" w:hAnsi="Times New Roman" w:cs="Times New Roman"/>
                <w:snapToGrid w:val="0"/>
                <w:color w:val="auto"/>
                <w:spacing w:val="-10"/>
                <w:sz w:val="21"/>
                <w:szCs w:val="21"/>
                <w:highlight w:val="none"/>
                <w:shd w:val="clear" w:color="auto" w:fill="auto"/>
              </w:rPr>
              <w:t>气体检测报警仪、消防器材、警戒标语标牌</w:t>
            </w:r>
            <w:r>
              <w:rPr>
                <w:rFonts w:hint="default" w:ascii="Times New Roman" w:hAnsi="Times New Roman" w:cs="Times New Roman"/>
                <w:snapToGrid w:val="0"/>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风险防范设施数量按照消防、安全等相关要求设置</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restart"/>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环境管理与监测</w:t>
            </w: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排污口规范化</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按照《排污口规范化整治技术要求</w:t>
            </w:r>
            <w:r>
              <w:rPr>
                <w:rFonts w:hint="default" w:ascii="Times New Roman" w:hAnsi="Times New Roman"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试行</w:t>
            </w:r>
            <w:r>
              <w:rPr>
                <w:rFonts w:hint="default" w:ascii="Times New Roman" w:hAnsi="Times New Roman"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环境保护图形标志》及排污许可技术规范等文件规范排污口设置</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保证实施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2</w:t>
            </w:r>
          </w:p>
        </w:tc>
        <w:tc>
          <w:tcPr>
            <w:tcW w:w="1625" w:type="dxa"/>
            <w:gridSpan w:val="2"/>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val="en-US" w:eastAsia="zh-CN"/>
              </w:rPr>
            </w:pPr>
            <w:r>
              <w:rPr>
                <w:rFonts w:hint="default" w:ascii="Times New Roman" w:hAnsi="Times New Roman" w:cs="Times New Roman"/>
                <w:color w:val="auto"/>
                <w:spacing w:val="-10"/>
                <w:sz w:val="21"/>
                <w:szCs w:val="21"/>
                <w:highlight w:val="none"/>
                <w:shd w:val="clear" w:color="auto" w:fill="auto"/>
              </w:rPr>
              <w:t>井场</w:t>
            </w:r>
            <w:r>
              <w:rPr>
                <w:rFonts w:hint="eastAsia" w:ascii="Times New Roman" w:hAnsi="Times New Roman" w:cs="Times New Roman"/>
                <w:color w:val="auto"/>
                <w:spacing w:val="-10"/>
                <w:sz w:val="21"/>
                <w:szCs w:val="21"/>
                <w:highlight w:val="none"/>
                <w:shd w:val="clear" w:color="auto" w:fill="auto"/>
                <w:lang w:eastAsia="zh-CN"/>
              </w:rPr>
              <w:t>、</w:t>
            </w:r>
            <w:r>
              <w:rPr>
                <w:rFonts w:hint="eastAsia" w:ascii="Times New Roman" w:hAnsi="Times New Roman" w:cs="Times New Roman"/>
                <w:color w:val="auto"/>
                <w:spacing w:val="-10"/>
                <w:sz w:val="21"/>
                <w:szCs w:val="21"/>
                <w:highlight w:val="none"/>
                <w:shd w:val="clear" w:color="auto" w:fill="auto"/>
                <w:lang w:val="en-US" w:eastAsia="zh-CN"/>
              </w:rPr>
              <w:t>站场</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按照监测计划，委托有监测资质的单位开展监测</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污染源达标排放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0" w:type="dxa"/>
            <w:gridSpan w:val="2"/>
            <w:vMerge w:val="continue"/>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p>
        </w:tc>
        <w:tc>
          <w:tcPr>
            <w:tcW w:w="302"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3</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环境影响后评价</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根据《建设项目环境影响后评价管理办法</w:t>
            </w:r>
            <w:r>
              <w:rPr>
                <w:rFonts w:hint="default" w:ascii="Times New Roman" w:hAnsi="Times New Roman"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试行</w:t>
            </w:r>
            <w:r>
              <w:rPr>
                <w:rFonts w:hint="default" w:ascii="Times New Roman" w:hAnsi="Times New Roman" w:cs="Times New Roman"/>
                <w:color w:val="auto"/>
                <w:spacing w:val="-10"/>
                <w:sz w:val="21"/>
                <w:szCs w:val="21"/>
                <w:highlight w:val="none"/>
                <w:shd w:val="clear" w:color="auto" w:fill="auto"/>
                <w:lang w:eastAsia="zh-CN"/>
              </w:rPr>
              <w:t>）》《</w:t>
            </w:r>
            <w:r>
              <w:rPr>
                <w:rFonts w:hint="default" w:ascii="Times New Roman" w:hAnsi="Times New Roman" w:cs="Times New Roman"/>
                <w:color w:val="auto"/>
                <w:spacing w:val="-10"/>
                <w:sz w:val="21"/>
                <w:szCs w:val="21"/>
                <w:highlight w:val="none"/>
                <w:shd w:val="clear" w:color="auto" w:fill="auto"/>
              </w:rPr>
              <w:t>关于进一步加强和规范油气田开发项目环境保护管理工作的通知》等文件组织开展环境影响后评价</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保证实施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80" w:type="dxa"/>
            <w:gridSpan w:val="9"/>
            <w:tcBorders>
              <w:tl2br w:val="nil"/>
              <w:tr2bl w:val="nil"/>
            </w:tcBorders>
            <w:noWrap w:val="0"/>
            <w:vAlign w:val="center"/>
          </w:tcPr>
          <w:p>
            <w:pPr>
              <w:spacing w:line="0" w:lineRule="atLeast"/>
              <w:jc w:val="center"/>
              <w:rPr>
                <w:rFonts w:hint="default" w:ascii="Times New Roman" w:hAnsi="Times New Roman" w:eastAsia="宋体" w:cs="Times New Roman"/>
                <w:snapToGrid w:val="0"/>
                <w:color w:val="auto"/>
                <w:spacing w:val="-10"/>
                <w:sz w:val="21"/>
                <w:szCs w:val="21"/>
                <w:highlight w:val="none"/>
                <w:shd w:val="clear" w:color="auto" w:fill="auto"/>
                <w:lang w:val="en-US" w:eastAsia="zh-CN"/>
              </w:rPr>
            </w:pPr>
            <w:r>
              <w:rPr>
                <w:rFonts w:hint="eastAsia" w:ascii="Times New Roman" w:hAnsi="Times New Roman" w:cs="Times New Roman"/>
                <w:snapToGrid w:val="0"/>
                <w:color w:val="auto"/>
                <w:spacing w:val="-10"/>
                <w:sz w:val="21"/>
                <w:szCs w:val="21"/>
                <w:highlight w:val="none"/>
                <w:shd w:val="clear" w:color="auto" w:fill="auto"/>
                <w:lang w:val="en-US" w:eastAsia="zh-CN"/>
              </w:rPr>
              <w:t>退役期</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3"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废气</w:t>
            </w:r>
          </w:p>
        </w:tc>
        <w:tc>
          <w:tcPr>
            <w:tcW w:w="309"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施工扬尘</w:t>
            </w:r>
          </w:p>
        </w:tc>
        <w:tc>
          <w:tcPr>
            <w:tcW w:w="2507"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洒水抑尘</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lang w:val="en-US" w:eastAsia="zh-CN" w:bidi="ar-SA"/>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lang w:val="en-US" w:eastAsia="zh-CN" w:bidi="ar-SA"/>
              </w:rPr>
            </w:pPr>
            <w:r>
              <w:rPr>
                <w:rFonts w:hint="default" w:ascii="Times New Roman" w:hAnsi="Times New Roman" w:cs="Times New Roman"/>
                <w:snapToGrid w:val="0"/>
                <w:color w:val="auto"/>
                <w:spacing w:val="-1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3"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噪声</w:t>
            </w:r>
          </w:p>
        </w:tc>
        <w:tc>
          <w:tcPr>
            <w:tcW w:w="309"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车辆</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合理安排作业时间</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3"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固废</w:t>
            </w:r>
          </w:p>
        </w:tc>
        <w:tc>
          <w:tcPr>
            <w:tcW w:w="309"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废弃管线、废弃建筑垃圾</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收集后</w:t>
            </w:r>
            <w:r>
              <w:rPr>
                <w:rFonts w:hint="default" w:ascii="Times New Roman" w:hAnsi="Times New Roman" w:cs="Times New Roman"/>
                <w:color w:val="auto"/>
                <w:spacing w:val="-10"/>
                <w:sz w:val="21"/>
                <w:szCs w:val="21"/>
                <w:highlight w:val="none"/>
                <w:shd w:val="clear" w:color="auto" w:fill="auto"/>
                <w:lang w:val="en-US" w:eastAsia="zh-CN"/>
              </w:rPr>
              <w:t>拉运至</w:t>
            </w:r>
            <w:r>
              <w:rPr>
                <w:rFonts w:hint="eastAsia" w:ascii="Times New Roman" w:hAnsi="Times New Roman" w:eastAsia="宋体" w:cs="Times New Roman"/>
                <w:color w:val="auto"/>
                <w:sz w:val="21"/>
                <w:szCs w:val="21"/>
                <w:highlight w:val="none"/>
                <w:shd w:val="clear" w:color="auto" w:fill="auto"/>
                <w:lang w:eastAsia="zh-CN"/>
              </w:rPr>
              <w:t>乌尔禾区生活垃圾填埋场进行处置</w:t>
            </w:r>
            <w:r>
              <w:rPr>
                <w:rFonts w:hint="default" w:ascii="Times New Roman" w:hAnsi="Times New Roman" w:cs="Times New Roman"/>
                <w:color w:val="auto"/>
                <w:spacing w:val="-20"/>
                <w:sz w:val="21"/>
                <w:szCs w:val="21"/>
                <w:highlight w:val="none"/>
                <w:shd w:val="clear" w:color="auto" w:fill="auto"/>
                <w:lang w:eastAsia="zh-CN"/>
              </w:rPr>
              <w:t>。</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妥善处置不外排</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snapToGrid w:val="0"/>
                <w:color w:val="auto"/>
                <w:spacing w:val="-10"/>
                <w:sz w:val="21"/>
                <w:szCs w:val="21"/>
                <w:highlight w:val="none"/>
                <w:shd w:val="clear" w:color="auto" w:fill="auto"/>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43"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生态</w:t>
            </w:r>
          </w:p>
        </w:tc>
        <w:tc>
          <w:tcPr>
            <w:tcW w:w="309"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1</w:t>
            </w:r>
          </w:p>
        </w:tc>
        <w:tc>
          <w:tcPr>
            <w:tcW w:w="1625" w:type="dxa"/>
            <w:gridSpan w:val="2"/>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生态恢复</w:t>
            </w:r>
          </w:p>
        </w:tc>
        <w:tc>
          <w:tcPr>
            <w:tcW w:w="2507" w:type="dxa"/>
            <w:tcBorders>
              <w:tl2br w:val="nil"/>
              <w:tr2bl w:val="nil"/>
            </w:tcBorders>
            <w:noWrap w:val="0"/>
            <w:vAlign w:val="center"/>
          </w:tcPr>
          <w:p>
            <w:pPr>
              <w:spacing w:line="0" w:lineRule="atLeast"/>
              <w:jc w:val="center"/>
              <w:rPr>
                <w:rFonts w:hint="default" w:ascii="Times New Roman" w:hAnsi="Times New Roman" w:eastAsia="宋体" w:cs="Times New Roman"/>
                <w:color w:val="auto"/>
                <w:spacing w:val="-10"/>
                <w:sz w:val="21"/>
                <w:szCs w:val="21"/>
                <w:highlight w:val="none"/>
                <w:shd w:val="clear" w:color="auto" w:fill="auto"/>
                <w:lang w:eastAsia="zh-CN"/>
              </w:rPr>
            </w:pPr>
            <w:r>
              <w:rPr>
                <w:rFonts w:hint="default" w:ascii="Times New Roman" w:hAnsi="Times New Roman" w:cs="Times New Roman"/>
                <w:color w:val="auto"/>
                <w:spacing w:val="-10"/>
                <w:sz w:val="21"/>
                <w:szCs w:val="21"/>
                <w:highlight w:val="none"/>
                <w:shd w:val="clear" w:color="auto" w:fill="auto"/>
              </w:rPr>
              <w:t>地面设施拆除、水泥条清理，恢复原有自然状况</w:t>
            </w:r>
            <w:r>
              <w:rPr>
                <w:rFonts w:hint="default" w:ascii="Times New Roman" w:hAnsi="Times New Roman" w:cs="Times New Roman"/>
                <w:color w:val="auto"/>
                <w:spacing w:val="-10"/>
                <w:sz w:val="21"/>
                <w:szCs w:val="21"/>
                <w:highlight w:val="none"/>
                <w:shd w:val="clear" w:color="auto" w:fill="auto"/>
                <w:lang w:eastAsia="zh-CN"/>
              </w:rPr>
              <w:t>。</w:t>
            </w:r>
          </w:p>
        </w:tc>
        <w:tc>
          <w:tcPr>
            <w:tcW w:w="50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w:t>
            </w:r>
          </w:p>
        </w:tc>
        <w:tc>
          <w:tcPr>
            <w:tcW w:w="1550" w:type="dxa"/>
            <w:tcBorders>
              <w:tl2br w:val="nil"/>
              <w:tr2bl w:val="nil"/>
            </w:tcBorders>
            <w:noWrap w:val="0"/>
            <w:vAlign w:val="center"/>
          </w:tcPr>
          <w:p>
            <w:pPr>
              <w:spacing w:line="0" w:lineRule="atLeast"/>
              <w:jc w:val="center"/>
              <w:rPr>
                <w:rFonts w:hint="default" w:ascii="Times New Roman" w:hAnsi="Times New Roman" w:cs="Times New Roman"/>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恢复原貌</w:t>
            </w:r>
          </w:p>
        </w:tc>
        <w:tc>
          <w:tcPr>
            <w:tcW w:w="1946" w:type="dxa"/>
            <w:tcBorders>
              <w:tl2br w:val="nil"/>
              <w:tr2bl w:val="nil"/>
            </w:tcBorders>
            <w:noWrap w:val="0"/>
            <w:vAlign w:val="center"/>
          </w:tcPr>
          <w:p>
            <w:pPr>
              <w:spacing w:line="0" w:lineRule="atLeast"/>
              <w:jc w:val="center"/>
              <w:rPr>
                <w:rFonts w:hint="default" w:ascii="Times New Roman" w:hAnsi="Times New Roman" w:cs="Times New Roman"/>
                <w:snapToGrid w:val="0"/>
                <w:color w:val="auto"/>
                <w:spacing w:val="-10"/>
                <w:sz w:val="21"/>
                <w:szCs w:val="21"/>
                <w:highlight w:val="none"/>
                <w:shd w:val="clear" w:color="auto" w:fill="auto"/>
              </w:rPr>
            </w:pPr>
            <w:r>
              <w:rPr>
                <w:rFonts w:hint="default" w:ascii="Times New Roman" w:hAnsi="Times New Roman" w:cs="Times New Roman"/>
                <w:color w:val="auto"/>
                <w:spacing w:val="-10"/>
                <w:sz w:val="21"/>
                <w:szCs w:val="21"/>
                <w:highlight w:val="none"/>
                <w:shd w:val="clear" w:color="auto" w:fill="auto"/>
              </w:rPr>
              <w:t>《废弃井封井回填技术指南（试行）》</w:t>
            </w:r>
          </w:p>
        </w:tc>
      </w:tr>
    </w:tbl>
    <w:p>
      <w:pPr>
        <w:pStyle w:val="33"/>
        <w:rPr>
          <w:color w:val="auto"/>
        </w:rPr>
      </w:pPr>
    </w:p>
    <w:p>
      <w:pPr>
        <w:rPr>
          <w:color w:val="auto"/>
          <w:highlight w:val="none"/>
        </w:rPr>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pPr>
    </w:p>
    <w:p>
      <w:pPr>
        <w:pStyle w:val="47"/>
        <w:rPr>
          <w:color w:val="auto"/>
          <w:highlight w:val="none"/>
        </w:rPr>
      </w:pPr>
      <w:bookmarkStart w:id="875" w:name="_Toc173942718"/>
      <w:bookmarkStart w:id="876" w:name="_Toc361761885"/>
      <w:bookmarkStart w:id="877" w:name="_Toc255293829"/>
      <w:bookmarkStart w:id="878" w:name="_Toc14619"/>
      <w:bookmarkStart w:id="879" w:name="_Toc508291911"/>
      <w:bookmarkStart w:id="880" w:name="_Toc297590834"/>
      <w:bookmarkStart w:id="881" w:name="_Toc280954967"/>
      <w:bookmarkStart w:id="882" w:name="_Toc24341"/>
      <w:bookmarkStart w:id="883" w:name="_Toc280955044"/>
      <w:bookmarkStart w:id="884" w:name="_Toc374724242"/>
      <w:bookmarkStart w:id="885" w:name="_Toc340140066"/>
      <w:bookmarkStart w:id="886" w:name="_Toc353966793"/>
      <w:bookmarkStart w:id="887" w:name="_Toc173942001"/>
      <w:bookmarkStart w:id="888" w:name="_Toc19018"/>
      <w:bookmarkStart w:id="889" w:name="_Toc173941764"/>
      <w:r>
        <w:rPr>
          <w:rFonts w:hint="eastAsia"/>
          <w:color w:val="auto"/>
          <w:highlight w:val="none"/>
        </w:rPr>
        <w:t>10</w:t>
      </w:r>
      <w:r>
        <w:rPr>
          <w:color w:val="auto"/>
          <w:highlight w:val="none"/>
        </w:rPr>
        <w:t>.结论</w:t>
      </w:r>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p>
    <w:p>
      <w:pPr>
        <w:pStyle w:val="49"/>
        <w:rPr>
          <w:rFonts w:eastAsia="宋体"/>
          <w:color w:val="auto"/>
          <w:highlight w:val="none"/>
        </w:rPr>
      </w:pPr>
      <w:bookmarkStart w:id="890" w:name="_Toc173942719"/>
      <w:bookmarkStart w:id="891" w:name="_Toc173942002"/>
      <w:bookmarkStart w:id="892" w:name="_Toc173941765"/>
      <w:bookmarkStart w:id="893" w:name="_Toc31293"/>
      <w:bookmarkStart w:id="894" w:name="_Toc28527"/>
      <w:bookmarkStart w:id="895" w:name="_Toc82"/>
      <w:bookmarkStart w:id="896" w:name="_Toc280955045"/>
      <w:bookmarkStart w:id="897" w:name="_Toc280954968"/>
      <w:bookmarkStart w:id="898" w:name="_Toc227650630"/>
      <w:bookmarkStart w:id="899" w:name="_Toc297590835"/>
      <w:bookmarkStart w:id="900" w:name="_Toc255293830"/>
      <w:r>
        <w:rPr>
          <w:rFonts w:hint="eastAsia"/>
          <w:color w:val="auto"/>
          <w:highlight w:val="none"/>
        </w:rPr>
        <w:t>10</w:t>
      </w:r>
      <w:r>
        <w:rPr>
          <w:color w:val="auto"/>
          <w:highlight w:val="none"/>
        </w:rPr>
        <w:t>.1</w:t>
      </w:r>
      <w:bookmarkEnd w:id="890"/>
      <w:bookmarkEnd w:id="891"/>
      <w:bookmarkEnd w:id="892"/>
      <w:bookmarkEnd w:id="893"/>
      <w:r>
        <w:rPr>
          <w:rFonts w:hint="eastAsia"/>
          <w:color w:val="auto"/>
          <w:highlight w:val="none"/>
        </w:rPr>
        <w:t>建设项目情况</w:t>
      </w:r>
      <w:bookmarkEnd w:id="894"/>
      <w:bookmarkEnd w:id="895"/>
    </w:p>
    <w:p>
      <w:pPr>
        <w:pStyle w:val="57"/>
        <w:rPr>
          <w:color w:val="auto"/>
          <w:highlight w:val="none"/>
        </w:rPr>
      </w:pPr>
      <w:r>
        <w:rPr>
          <w:rFonts w:hint="eastAsia"/>
          <w:color w:val="auto"/>
          <w:highlight w:val="none"/>
          <w:lang w:eastAsia="zh-CN"/>
        </w:rPr>
        <w:t>新疆</w:t>
      </w:r>
      <w:bookmarkStart w:id="901" w:name="OLE_LINK98"/>
      <w:r>
        <w:rPr>
          <w:rFonts w:hint="eastAsia"/>
          <w:color w:val="auto"/>
          <w:highlight w:val="none"/>
          <w:lang w:eastAsia="zh-CN"/>
        </w:rPr>
        <w:t>夏子街油田丰探1井区</w:t>
      </w:r>
      <w:bookmarkEnd w:id="901"/>
      <w:r>
        <w:rPr>
          <w:rFonts w:hint="eastAsia"/>
          <w:color w:val="auto"/>
          <w:highlight w:val="none"/>
          <w:lang w:eastAsia="zh-CN"/>
        </w:rPr>
        <w:t>二叠系风城组页岩油2025年产能建设项目</w:t>
      </w:r>
      <w:r>
        <w:rPr>
          <w:color w:val="auto"/>
          <w:highlight w:val="none"/>
        </w:rPr>
        <w:t>位</w:t>
      </w:r>
      <w:r>
        <w:rPr>
          <w:rFonts w:hint="eastAsia"/>
          <w:color w:val="auto"/>
          <w:highlight w:val="none"/>
        </w:rPr>
        <w:t>于</w:t>
      </w:r>
      <w:r>
        <w:rPr>
          <w:rFonts w:hint="eastAsia"/>
          <w:color w:val="auto"/>
          <w:highlight w:val="none"/>
          <w:lang w:eastAsia="zh-CN"/>
        </w:rPr>
        <w:t>夏子街油田丰探1井区</w:t>
      </w:r>
      <w:r>
        <w:rPr>
          <w:color w:val="auto"/>
          <w:highlight w:val="none"/>
        </w:rPr>
        <w:t>，中心地理坐标为：</w:t>
      </w:r>
      <w:r>
        <w:rPr>
          <w:rFonts w:hint="default" w:ascii="Times New Roman" w:hAnsi="Times New Roman" w:cs="Times New Roman"/>
          <w:color w:val="auto"/>
          <w:highlight w:val="none"/>
        </w:rPr>
        <w:t>东经</w:t>
      </w:r>
      <w:r>
        <w:rPr>
          <w:rFonts w:hint="eastAsia" w:cs="Times New Roman"/>
          <w:color w:val="auto"/>
          <w:highlight w:val="none"/>
          <w:lang w:val="en-US" w:eastAsia="zh-CN"/>
        </w:rPr>
        <w:t xml:space="preserve">       </w:t>
      </w:r>
      <w:r>
        <w:rPr>
          <w:rFonts w:hint="default" w:ascii="Times New Roman" w:hAnsi="Times New Roman" w:cs="Times New Roman"/>
          <w:color w:val="auto"/>
          <w:highlight w:val="none"/>
        </w:rPr>
        <w:t>；北纬</w:t>
      </w:r>
      <w:r>
        <w:rPr>
          <w:rFonts w:hint="eastAsia" w:cs="Times New Roman"/>
          <w:color w:val="auto"/>
          <w:highlight w:val="none"/>
          <w:lang w:val="en-US" w:eastAsia="zh-CN"/>
        </w:rPr>
        <w:t xml:space="preserve">       </w:t>
      </w:r>
      <w:r>
        <w:rPr>
          <w:color w:val="auto"/>
          <w:highlight w:val="none"/>
        </w:rPr>
        <w:t>。</w:t>
      </w:r>
      <w:r>
        <w:rPr>
          <w:rFonts w:hint="eastAsia"/>
          <w:color w:val="auto"/>
          <w:highlight w:val="none"/>
        </w:rPr>
        <w:t>行政区划隶属于</w:t>
      </w:r>
      <w:r>
        <w:rPr>
          <w:rFonts w:hint="eastAsia"/>
          <w:color w:val="auto"/>
          <w:sz w:val="24"/>
          <w:szCs w:val="22"/>
          <w:highlight w:val="none"/>
        </w:rPr>
        <w:t>克拉玛依市</w:t>
      </w:r>
      <w:r>
        <w:rPr>
          <w:rFonts w:hint="eastAsia"/>
          <w:color w:val="auto"/>
          <w:sz w:val="24"/>
          <w:szCs w:val="22"/>
          <w:highlight w:val="none"/>
          <w:lang w:val="en-US" w:eastAsia="zh-CN"/>
        </w:rPr>
        <w:t>乌尔禾区、</w:t>
      </w:r>
      <w:r>
        <w:rPr>
          <w:rFonts w:hint="default" w:ascii="Times New Roman" w:hAnsi="Times New Roman" w:cs="Times New Roman"/>
          <w:color w:val="auto"/>
          <w:szCs w:val="24"/>
          <w:highlight w:val="none"/>
          <w:lang w:eastAsia="zh-CN"/>
        </w:rPr>
        <w:t>塔城地区和布克赛尔蒙古自治县</w:t>
      </w:r>
      <w:r>
        <w:rPr>
          <w:rFonts w:hint="eastAsia"/>
          <w:color w:val="auto"/>
          <w:sz w:val="24"/>
          <w:szCs w:val="22"/>
          <w:highlight w:val="none"/>
          <w:lang w:val="en-US" w:eastAsia="zh-CN"/>
        </w:rPr>
        <w:t>和</w:t>
      </w:r>
      <w:r>
        <w:rPr>
          <w:rFonts w:hint="eastAsia"/>
          <w:color w:val="auto"/>
          <w:sz w:val="24"/>
          <w:szCs w:val="22"/>
          <w:highlight w:val="none"/>
          <w:lang w:eastAsia="zh-CN"/>
        </w:rPr>
        <w:t>新疆生产建设兵团第</w:t>
      </w:r>
      <w:r>
        <w:rPr>
          <w:rFonts w:hint="eastAsia"/>
          <w:color w:val="auto"/>
          <w:sz w:val="24"/>
          <w:szCs w:val="22"/>
          <w:highlight w:val="none"/>
          <w:lang w:val="en-US" w:eastAsia="zh-CN"/>
        </w:rPr>
        <w:t>七</w:t>
      </w:r>
      <w:r>
        <w:rPr>
          <w:rFonts w:hint="eastAsia"/>
          <w:color w:val="auto"/>
          <w:sz w:val="24"/>
          <w:szCs w:val="22"/>
          <w:highlight w:val="none"/>
          <w:lang w:eastAsia="zh-CN"/>
        </w:rPr>
        <w:t>师</w:t>
      </w:r>
      <w:r>
        <w:rPr>
          <w:rFonts w:hint="eastAsia"/>
          <w:color w:val="auto"/>
          <w:sz w:val="24"/>
          <w:szCs w:val="22"/>
          <w:highlight w:val="none"/>
          <w:lang w:val="en-US" w:eastAsia="zh-CN"/>
        </w:rPr>
        <w:t>胡杨河市</w:t>
      </w:r>
      <w:r>
        <w:rPr>
          <w:rFonts w:hint="default" w:ascii="Times New Roman" w:hAnsi="Times New Roman" w:cs="Times New Roman"/>
          <w:color w:val="auto"/>
          <w:highlight w:val="none"/>
        </w:rPr>
        <w:t>管辖</w:t>
      </w:r>
      <w:r>
        <w:rPr>
          <w:rFonts w:hint="eastAsia"/>
          <w:color w:val="auto"/>
          <w:highlight w:val="none"/>
        </w:rPr>
        <w:t>，</w:t>
      </w:r>
      <w:r>
        <w:rPr>
          <w:rFonts w:hint="default" w:ascii="Times New Roman" w:hAnsi="Times New Roman" w:cs="Times New Roman"/>
          <w:color w:val="auto"/>
          <w:highlight w:val="none"/>
        </w:rPr>
        <w:t>工程区中心西南距</w:t>
      </w:r>
      <w:r>
        <w:rPr>
          <w:rFonts w:hint="eastAsia" w:cs="Times New Roman"/>
          <w:color w:val="auto"/>
          <w:highlight w:val="none"/>
          <w:lang w:val="en-US" w:eastAsia="zh-CN"/>
        </w:rPr>
        <w:t>离</w:t>
      </w:r>
      <w:r>
        <w:rPr>
          <w:rFonts w:hint="eastAsia" w:cs="Times New Roman"/>
          <w:color w:val="auto"/>
          <w:highlight w:val="none"/>
          <w:lang w:eastAsia="zh-CN"/>
        </w:rPr>
        <w:t>和布克赛尔蒙古自治县</w:t>
      </w:r>
      <w:r>
        <w:rPr>
          <w:rFonts w:hint="default" w:ascii="Times New Roman" w:hAnsi="Times New Roman" w:cs="Times New Roman"/>
          <w:color w:val="auto"/>
          <w:highlight w:val="none"/>
        </w:rPr>
        <w:t>城中心约</w:t>
      </w:r>
      <w:r>
        <w:rPr>
          <w:rFonts w:hint="eastAsia" w:cs="Times New Roman"/>
          <w:color w:val="auto"/>
          <w:highlight w:val="none"/>
          <w:lang w:val="en-US" w:eastAsia="zh-CN"/>
        </w:rPr>
        <w:t>76.5</w:t>
      </w:r>
      <w:r>
        <w:rPr>
          <w:rFonts w:hint="default" w:ascii="Times New Roman" w:hAnsi="Times New Roman" w:cs="Times New Roman"/>
          <w:color w:val="auto"/>
          <w:highlight w:val="none"/>
        </w:rPr>
        <w:t>km</w:t>
      </w:r>
      <w:bookmarkStart w:id="902" w:name="OLE_LINK108"/>
      <w:r>
        <w:rPr>
          <w:rFonts w:hint="eastAsia" w:ascii="Times New Roman" w:hAnsi="Times New Roman" w:cs="Times New Roman"/>
          <w:color w:val="auto"/>
          <w:highlight w:val="none"/>
          <w:lang w:eastAsia="zh-CN"/>
        </w:rPr>
        <w:t>，</w:t>
      </w:r>
      <w:r>
        <w:rPr>
          <w:rFonts w:hint="eastAsia" w:ascii="Times New Roman" w:hAnsi="Times New Roman" w:cs="Times New Roman"/>
          <w:color w:val="auto"/>
          <w:highlight w:val="none"/>
          <w:lang w:val="en-US" w:eastAsia="zh-CN"/>
        </w:rPr>
        <w:t>西侧距离</w:t>
      </w:r>
      <w:r>
        <w:rPr>
          <w:rFonts w:hint="default" w:ascii="Times New Roman" w:hAnsi="Times New Roman" w:cs="Times New Roman"/>
          <w:color w:val="auto"/>
          <w:highlight w:val="none"/>
        </w:rPr>
        <w:t>克拉玛依市乌尔禾区</w:t>
      </w:r>
      <w:r>
        <w:rPr>
          <w:rFonts w:hint="eastAsia" w:ascii="Times New Roman" w:hAnsi="Times New Roman" w:cs="Times New Roman"/>
          <w:color w:val="auto"/>
          <w:highlight w:val="none"/>
          <w:lang w:val="en-US" w:eastAsia="zh-CN"/>
        </w:rPr>
        <w:t>32.1km</w:t>
      </w:r>
      <w:r>
        <w:rPr>
          <w:rFonts w:hint="eastAsia"/>
          <w:color w:val="auto"/>
          <w:highlight w:val="none"/>
        </w:rPr>
        <w:t>。</w:t>
      </w:r>
      <w:bookmarkEnd w:id="902"/>
    </w:p>
    <w:p>
      <w:pPr>
        <w:pStyle w:val="57"/>
        <w:rPr>
          <w:color w:val="auto"/>
          <w:highlight w:val="none"/>
        </w:rPr>
      </w:pPr>
      <w:r>
        <w:rPr>
          <w:rFonts w:hint="eastAsia"/>
          <w:color w:val="auto"/>
          <w:highlight w:val="none"/>
        </w:rPr>
        <w:t>本工程主要建设内容为：</w:t>
      </w:r>
      <w:r>
        <w:rPr>
          <w:rFonts w:hint="default" w:ascii="Times New Roman" w:hAnsi="Times New Roman" w:eastAsia="宋体" w:cs="Times New Roman"/>
          <w:color w:val="auto"/>
          <w:sz w:val="24"/>
          <w:szCs w:val="24"/>
          <w:highlight w:val="none"/>
          <w:lang w:val="en-US" w:eastAsia="zh-CN" w:bidi="ar-SA"/>
        </w:rPr>
        <w:t>①部署7口采油井</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w:t>
      </w:r>
      <w:r>
        <w:rPr>
          <w:rFonts w:hint="eastAsia" w:ascii="Times New Roman" w:hAnsi="Times New Roman" w:eastAsia="宋体" w:cs="Times New Roman"/>
          <w:color w:val="auto"/>
          <w:sz w:val="24"/>
          <w:szCs w:val="24"/>
          <w:highlight w:val="none"/>
          <w:lang w:val="en-US" w:eastAsia="zh-CN" w:bidi="ar-SA"/>
        </w:rPr>
        <w:t>）</w:t>
      </w:r>
      <w:r>
        <w:rPr>
          <w:rFonts w:hint="default" w:ascii="Times New Roman" w:hAnsi="Times New Roman" w:eastAsia="宋体" w:cs="Times New Roman"/>
          <w:color w:val="auto"/>
          <w:sz w:val="24"/>
          <w:szCs w:val="24"/>
          <w:highlight w:val="none"/>
          <w:lang w:val="en-US" w:eastAsia="zh-CN" w:bidi="ar-SA"/>
        </w:rPr>
        <w:t>；②</w:t>
      </w:r>
      <w:r>
        <w:rPr>
          <w:rFonts w:hint="eastAsia" w:cs="Times New Roman"/>
          <w:color w:val="auto"/>
          <w:sz w:val="24"/>
          <w:szCs w:val="24"/>
          <w:highlight w:val="none"/>
          <w:lang w:val="en-US" w:eastAsia="zh-CN" w:bidi="ar-SA"/>
        </w:rPr>
        <w:t>新建采油井场18座（FTYHW1235</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FTYHW0912</w:t>
      </w:r>
      <w:r>
        <w:rPr>
          <w:rFonts w:hint="eastAsia" w:ascii="Times New Roman" w:hAnsi="Times New Roman" w:eastAsia="宋体" w:cs="Times New Roman"/>
          <w:color w:val="auto"/>
          <w:sz w:val="24"/>
          <w:szCs w:val="24"/>
          <w:highlight w:val="none"/>
          <w:lang w:val="en-US" w:eastAsia="zh-CN" w:bidi="ar-SA"/>
        </w:rPr>
        <w:t>、FTYHW0911、</w:t>
      </w:r>
      <w:r>
        <w:rPr>
          <w:rFonts w:hint="eastAsia" w:cs="Times New Roman"/>
          <w:color w:val="auto"/>
          <w:sz w:val="24"/>
          <w:szCs w:val="24"/>
          <w:highlight w:val="none"/>
          <w:lang w:val="en-US" w:eastAsia="zh-CN" w:bidi="ar-SA"/>
        </w:rPr>
        <w:t>FTYHW1012</w:t>
      </w:r>
      <w:r>
        <w:rPr>
          <w:rFonts w:hint="eastAsia" w:ascii="Times New Roman" w:hAnsi="Times New Roman" w:eastAsia="宋体" w:cs="Times New Roman"/>
          <w:color w:val="auto"/>
          <w:sz w:val="24"/>
          <w:szCs w:val="24"/>
          <w:highlight w:val="none"/>
          <w:lang w:val="en-US" w:eastAsia="zh-CN" w:bidi="ar-SA"/>
        </w:rPr>
        <w:t>、</w:t>
      </w:r>
      <w:r>
        <w:rPr>
          <w:rFonts w:hint="eastAsia" w:cs="Times New Roman"/>
          <w:color w:val="auto"/>
          <w:sz w:val="24"/>
          <w:szCs w:val="24"/>
          <w:highlight w:val="none"/>
          <w:lang w:val="en-US" w:eastAsia="zh-CN" w:bidi="ar-SA"/>
        </w:rPr>
        <w:t>FTYHW1011</w:t>
      </w:r>
      <w:r>
        <w:rPr>
          <w:rFonts w:hint="eastAsia" w:ascii="Times New Roman" w:hAnsi="Times New Roman" w:eastAsia="宋体" w:cs="Times New Roman"/>
          <w:color w:val="auto"/>
          <w:sz w:val="24"/>
          <w:szCs w:val="24"/>
          <w:highlight w:val="none"/>
          <w:lang w:val="en-US" w:eastAsia="zh-CN" w:bidi="ar-SA"/>
        </w:rPr>
        <w:t>、FTYHW1010、</w:t>
      </w:r>
      <w:r>
        <w:rPr>
          <w:rFonts w:hint="eastAsia" w:cs="Times New Roman"/>
          <w:color w:val="auto"/>
          <w:sz w:val="24"/>
          <w:szCs w:val="24"/>
          <w:highlight w:val="none"/>
          <w:lang w:val="en-US" w:eastAsia="zh-CN" w:bidi="ar-SA"/>
        </w:rPr>
        <w:t>FTYHW1234、丰探1、丰探101、丰探102、丰探103、夏211X、夏213、夏216、夏217、风城5、风城6X、风城7），</w:t>
      </w:r>
      <w:r>
        <w:rPr>
          <w:rFonts w:hint="default" w:ascii="Times New Roman" w:hAnsi="Times New Roman" w:eastAsia="宋体" w:cs="Times New Roman"/>
          <w:color w:val="auto"/>
          <w:sz w:val="24"/>
          <w:szCs w:val="24"/>
          <w:highlight w:val="none"/>
          <w:lang w:val="en-US" w:eastAsia="zh-CN" w:bidi="ar-SA"/>
        </w:rPr>
        <w:t>新建集中拉油站一座，12井式计量站一座，新建阀池1座；③新建各类集输管道</w:t>
      </w:r>
      <w:r>
        <w:rPr>
          <w:rFonts w:hint="eastAsia" w:cs="Times New Roman"/>
          <w:color w:val="auto"/>
          <w:sz w:val="24"/>
          <w:szCs w:val="24"/>
          <w:highlight w:val="none"/>
          <w:lang w:val="en-US" w:eastAsia="zh-CN" w:bidi="ar-SA"/>
        </w:rPr>
        <w:t>34.25</w:t>
      </w:r>
      <w:r>
        <w:rPr>
          <w:rFonts w:hint="default" w:ascii="Times New Roman" w:hAnsi="Times New Roman" w:eastAsia="宋体" w:cs="Times New Roman"/>
          <w:color w:val="auto"/>
          <w:sz w:val="24"/>
          <w:szCs w:val="24"/>
          <w:highlight w:val="none"/>
          <w:lang w:val="en-US" w:eastAsia="zh-CN" w:bidi="ar-SA"/>
        </w:rPr>
        <w:t>km；④配套自动控制、通信、供配电、结构、给排水及消防等辅助系统工程。项目建成后，区块新建产能</w:t>
      </w:r>
      <w:r>
        <w:rPr>
          <w:rFonts w:hint="eastAsia" w:cs="Times New Roman"/>
          <w:color w:val="auto"/>
          <w:sz w:val="24"/>
          <w:szCs w:val="24"/>
          <w:highlight w:val="none"/>
          <w:lang w:val="en-US" w:eastAsia="zh-CN" w:bidi="ar-SA"/>
        </w:rPr>
        <w:t>15.5</w:t>
      </w:r>
      <w:r>
        <w:rPr>
          <w:rFonts w:hint="default" w:ascii="Times New Roman" w:hAnsi="Times New Roman" w:eastAsia="宋体" w:cs="Times New Roman"/>
          <w:color w:val="auto"/>
          <w:sz w:val="24"/>
          <w:szCs w:val="24"/>
          <w:highlight w:val="none"/>
          <w:lang w:val="en-US" w:eastAsia="zh-CN" w:bidi="ar-SA"/>
        </w:rPr>
        <w:t>×10</w:t>
      </w:r>
      <w:r>
        <w:rPr>
          <w:rFonts w:hint="default" w:ascii="Times New Roman" w:hAnsi="Times New Roman" w:eastAsia="宋体" w:cs="Times New Roman"/>
          <w:color w:val="auto"/>
          <w:sz w:val="24"/>
          <w:szCs w:val="24"/>
          <w:highlight w:val="none"/>
          <w:vertAlign w:val="superscript"/>
          <w:lang w:val="en-US" w:eastAsia="zh-CN" w:bidi="ar-SA"/>
        </w:rPr>
        <w:t>4</w:t>
      </w:r>
      <w:r>
        <w:rPr>
          <w:rFonts w:hint="default" w:ascii="Times New Roman" w:hAnsi="Times New Roman" w:eastAsia="宋体" w:cs="Times New Roman"/>
          <w:color w:val="auto"/>
          <w:sz w:val="24"/>
          <w:szCs w:val="24"/>
          <w:highlight w:val="none"/>
          <w:lang w:val="en-US" w:eastAsia="zh-CN" w:bidi="ar-SA"/>
        </w:rPr>
        <w:t>t/a</w:t>
      </w:r>
      <w:r>
        <w:rPr>
          <w:rFonts w:hint="eastAsia"/>
          <w:color w:val="auto"/>
          <w:highlight w:val="none"/>
        </w:rPr>
        <w:t>。</w:t>
      </w:r>
    </w:p>
    <w:bookmarkEnd w:id="896"/>
    <w:bookmarkEnd w:id="897"/>
    <w:bookmarkEnd w:id="898"/>
    <w:bookmarkEnd w:id="899"/>
    <w:bookmarkEnd w:id="900"/>
    <w:p>
      <w:pPr>
        <w:pStyle w:val="49"/>
        <w:rPr>
          <w:color w:val="auto"/>
          <w:highlight w:val="none"/>
        </w:rPr>
      </w:pPr>
      <w:bookmarkStart w:id="903" w:name="_Toc173942003"/>
      <w:bookmarkStart w:id="904" w:name="_Toc10263"/>
      <w:bookmarkStart w:id="905" w:name="_Toc737"/>
      <w:bookmarkStart w:id="906" w:name="_Toc173942720"/>
      <w:bookmarkStart w:id="907" w:name="_Toc15562"/>
      <w:bookmarkStart w:id="908" w:name="_Toc173941766"/>
      <w:r>
        <w:rPr>
          <w:rFonts w:hint="eastAsia"/>
          <w:color w:val="auto"/>
          <w:highlight w:val="none"/>
        </w:rPr>
        <w:t>10</w:t>
      </w:r>
      <w:r>
        <w:rPr>
          <w:color w:val="auto"/>
          <w:highlight w:val="none"/>
        </w:rPr>
        <w:t>.2产业政策</w:t>
      </w:r>
      <w:r>
        <w:rPr>
          <w:rFonts w:hint="eastAsia"/>
          <w:color w:val="auto"/>
          <w:highlight w:val="none"/>
        </w:rPr>
        <w:t>、选址</w:t>
      </w:r>
      <w:r>
        <w:rPr>
          <w:color w:val="auto"/>
          <w:highlight w:val="none"/>
        </w:rPr>
        <w:t>符合性</w:t>
      </w:r>
      <w:bookmarkEnd w:id="903"/>
      <w:bookmarkEnd w:id="904"/>
      <w:bookmarkEnd w:id="905"/>
      <w:bookmarkEnd w:id="906"/>
      <w:bookmarkEnd w:id="907"/>
      <w:bookmarkEnd w:id="908"/>
    </w:p>
    <w:p>
      <w:pPr>
        <w:pStyle w:val="57"/>
        <w:rPr>
          <w:color w:val="auto"/>
          <w:highlight w:val="none"/>
        </w:rPr>
      </w:pPr>
      <w:r>
        <w:rPr>
          <w:color w:val="auto"/>
          <w:highlight w:val="none"/>
        </w:rPr>
        <w:t>石油天然气开采业是当前国民经济的重要基础产业和支柱产业，属于</w:t>
      </w:r>
      <w:r>
        <w:rPr>
          <w:rFonts w:hint="eastAsia"/>
          <w:color w:val="auto"/>
          <w:highlight w:val="none"/>
        </w:rPr>
        <w:t>《产业结构调整指导目录（2024本）》</w:t>
      </w:r>
      <w:r>
        <w:rPr>
          <w:color w:val="auto"/>
          <w:highlight w:val="none"/>
        </w:rPr>
        <w:t>中国家鼓励发展的产业，项目建设</w:t>
      </w:r>
      <w:r>
        <w:rPr>
          <w:rFonts w:hint="eastAsia"/>
          <w:color w:val="auto"/>
          <w:highlight w:val="none"/>
        </w:rPr>
        <w:t>符合《新疆维吾尔自治区重点行业生态环境准入条件（2024年）》（新环发〔2024〕93号）要求，</w:t>
      </w:r>
      <w:r>
        <w:rPr>
          <w:color w:val="auto"/>
          <w:highlight w:val="none"/>
        </w:rPr>
        <w:t>符合国家</w:t>
      </w:r>
      <w:r>
        <w:rPr>
          <w:rFonts w:hint="eastAsia"/>
          <w:color w:val="auto"/>
          <w:highlight w:val="none"/>
        </w:rPr>
        <w:t>和自治区</w:t>
      </w:r>
      <w:r>
        <w:rPr>
          <w:color w:val="auto"/>
          <w:highlight w:val="none"/>
        </w:rPr>
        <w:t>的相关产业政策。</w:t>
      </w:r>
    </w:p>
    <w:p>
      <w:pPr>
        <w:pStyle w:val="57"/>
        <w:rPr>
          <w:color w:val="auto"/>
          <w:highlight w:val="none"/>
        </w:rPr>
      </w:pPr>
      <w:r>
        <w:rPr>
          <w:rFonts w:hint="eastAsia"/>
          <w:color w:val="auto"/>
          <w:highlight w:val="none"/>
        </w:rPr>
        <w:t>本工程属于</w:t>
      </w:r>
      <w:r>
        <w:rPr>
          <w:rFonts w:hint="eastAsia"/>
          <w:color w:val="auto"/>
          <w:highlight w:val="none"/>
          <w:lang w:eastAsia="zh-CN"/>
        </w:rPr>
        <w:t>新疆油田分公司</w:t>
      </w:r>
      <w:r>
        <w:rPr>
          <w:rFonts w:hint="eastAsia"/>
          <w:color w:val="auto"/>
          <w:highlight w:val="none"/>
          <w:lang w:val="en-US" w:eastAsia="zh-CN"/>
        </w:rPr>
        <w:t>页岩油</w:t>
      </w:r>
      <w:r>
        <w:rPr>
          <w:rFonts w:hint="eastAsia"/>
          <w:color w:val="auto"/>
          <w:highlight w:val="none"/>
        </w:rPr>
        <w:t>开采项目，符合《新疆维吾尔自治区国土空间规划（2021</w:t>
      </w:r>
      <w:r>
        <w:rPr>
          <w:rFonts w:hint="eastAsia"/>
          <w:color w:val="auto"/>
          <w:highlight w:val="none"/>
          <w:lang w:eastAsia="zh-CN"/>
        </w:rPr>
        <w:t>—</w:t>
      </w:r>
      <w:r>
        <w:rPr>
          <w:rFonts w:hint="eastAsia"/>
          <w:color w:val="auto"/>
          <w:highlight w:val="none"/>
        </w:rPr>
        <w:t>2035年）》（国函〔2024〕70号）</w:t>
      </w:r>
      <w:r>
        <w:rPr>
          <w:rFonts w:hint="eastAsia"/>
          <w:color w:val="auto"/>
          <w:highlight w:val="none"/>
          <w:lang w:val="zh-CN"/>
        </w:rPr>
        <w:t>《新疆维吾尔自治区国民经济和社会发展第十四个五年规划和2035年远景目标纲要》《新疆油田公司“十四五”发展规划》</w:t>
      </w:r>
      <w:r>
        <w:rPr>
          <w:rFonts w:hint="eastAsia"/>
          <w:color w:val="auto"/>
          <w:highlight w:val="none"/>
        </w:rPr>
        <w:t>的相关要求。本工程位于</w:t>
      </w:r>
      <w:r>
        <w:rPr>
          <w:rFonts w:hint="eastAsia"/>
          <w:color w:val="auto"/>
          <w:highlight w:val="none"/>
          <w:lang w:eastAsia="zh-CN"/>
        </w:rPr>
        <w:t>夏子街油田丰探1井区</w:t>
      </w:r>
      <w:r>
        <w:rPr>
          <w:rFonts w:hint="eastAsia"/>
          <w:color w:val="auto"/>
          <w:highlight w:val="none"/>
        </w:rPr>
        <w:t>，不占用生态保护红线及水源地、风景名胜区等环境敏感区，不在划定的禁止开发区域范围内，符合《新疆维吾尔自治区主体功能区规划》《新疆生态环境保护“十四五”规划》等相关要求。</w:t>
      </w:r>
    </w:p>
    <w:p>
      <w:pPr>
        <w:pStyle w:val="49"/>
        <w:rPr>
          <w:color w:val="auto"/>
          <w:highlight w:val="none"/>
        </w:rPr>
      </w:pPr>
      <w:bookmarkStart w:id="909" w:name="_Toc173942004"/>
      <w:bookmarkStart w:id="910" w:name="_Toc173942721"/>
      <w:bookmarkStart w:id="911" w:name="_Toc6022"/>
      <w:bookmarkStart w:id="912" w:name="_Toc173941767"/>
      <w:bookmarkStart w:id="913" w:name="_Toc12024"/>
      <w:bookmarkStart w:id="914" w:name="_Toc25834"/>
      <w:r>
        <w:rPr>
          <w:rFonts w:hint="eastAsia"/>
          <w:color w:val="auto"/>
          <w:highlight w:val="none"/>
        </w:rPr>
        <w:t>10</w:t>
      </w:r>
      <w:r>
        <w:rPr>
          <w:color w:val="auto"/>
          <w:highlight w:val="none"/>
        </w:rPr>
        <w:t>.3</w:t>
      </w:r>
      <w:bookmarkEnd w:id="909"/>
      <w:bookmarkEnd w:id="910"/>
      <w:bookmarkEnd w:id="911"/>
      <w:bookmarkEnd w:id="912"/>
      <w:bookmarkStart w:id="915" w:name="_Toc173941768"/>
      <w:bookmarkStart w:id="916" w:name="_Toc173942722"/>
      <w:bookmarkStart w:id="917" w:name="_Toc173942005"/>
      <w:bookmarkStart w:id="918" w:name="_Toc17629"/>
      <w:r>
        <w:rPr>
          <w:color w:val="auto"/>
          <w:highlight w:val="none"/>
        </w:rPr>
        <w:t>环境质量现状</w:t>
      </w:r>
      <w:bookmarkEnd w:id="913"/>
      <w:bookmarkEnd w:id="914"/>
      <w:bookmarkEnd w:id="915"/>
      <w:bookmarkEnd w:id="916"/>
      <w:bookmarkEnd w:id="917"/>
      <w:bookmarkEnd w:id="918"/>
    </w:p>
    <w:p>
      <w:pPr>
        <w:pStyle w:val="57"/>
        <w:numPr>
          <w:ilvl w:val="0"/>
          <w:numId w:val="3"/>
        </w:numPr>
        <w:rPr>
          <w:color w:val="auto"/>
          <w:highlight w:val="none"/>
        </w:rPr>
      </w:pPr>
      <w:r>
        <w:rPr>
          <w:rFonts w:hint="eastAsia"/>
          <w:color w:val="auto"/>
          <w:highlight w:val="none"/>
        </w:rPr>
        <w:t>生态环境质量现状</w:t>
      </w:r>
    </w:p>
    <w:p>
      <w:pPr>
        <w:pStyle w:val="57"/>
        <w:rPr>
          <w:color w:val="auto"/>
          <w:highlight w:val="none"/>
        </w:rPr>
      </w:pPr>
      <w:r>
        <w:rPr>
          <w:rFonts w:hint="eastAsia"/>
          <w:color w:val="auto"/>
          <w:highlight w:val="none"/>
        </w:rPr>
        <w:t>本工程</w:t>
      </w:r>
      <w:r>
        <w:rPr>
          <w:color w:val="auto"/>
          <w:highlight w:val="none"/>
        </w:rPr>
        <w:t>地处</w:t>
      </w:r>
      <w:r>
        <w:rPr>
          <w:rFonts w:hint="eastAsia"/>
          <w:color w:val="auto"/>
          <w:highlight w:val="none"/>
          <w:lang w:val="en-US" w:eastAsia="zh-CN"/>
        </w:rPr>
        <w:t>准噶尔盆地西北部</w:t>
      </w:r>
      <w:r>
        <w:rPr>
          <w:rFonts w:hint="eastAsia"/>
          <w:color w:val="auto"/>
          <w:highlight w:val="none"/>
        </w:rPr>
        <w:t>，</w:t>
      </w:r>
      <w:r>
        <w:rPr>
          <w:rFonts w:hint="eastAsia"/>
          <w:color w:val="auto"/>
          <w:highlight w:val="none"/>
          <w:lang w:val="en-US" w:eastAsia="zh-CN"/>
        </w:rPr>
        <w:t>位于</w:t>
      </w:r>
      <w:r>
        <w:rPr>
          <w:rFonts w:hint="eastAsia"/>
          <w:color w:val="auto"/>
          <w:highlight w:val="none"/>
        </w:rPr>
        <w:t>中国石油天然气股份有限公司新疆油田分公司夏子街油田</w:t>
      </w:r>
      <w:r>
        <w:rPr>
          <w:rFonts w:hint="eastAsia"/>
          <w:color w:val="auto"/>
          <w:highlight w:val="none"/>
          <w:lang w:val="en-US" w:eastAsia="zh-CN"/>
        </w:rPr>
        <w:t>区域</w:t>
      </w:r>
      <w:r>
        <w:rPr>
          <w:rFonts w:hint="eastAsia"/>
          <w:color w:val="auto"/>
          <w:highlight w:val="none"/>
          <w:lang w:eastAsia="zh-CN"/>
        </w:rPr>
        <w:t>，工程</w:t>
      </w:r>
      <w:r>
        <w:rPr>
          <w:rFonts w:hint="eastAsia"/>
          <w:color w:val="auto"/>
          <w:highlight w:val="none"/>
          <w:lang w:val="en-US" w:eastAsia="zh-CN"/>
        </w:rPr>
        <w:t>所在区域</w:t>
      </w:r>
      <w:r>
        <w:rPr>
          <w:rFonts w:hint="eastAsia"/>
          <w:color w:val="auto"/>
          <w:highlight w:val="none"/>
          <w:lang w:eastAsia="zh-CN"/>
        </w:rPr>
        <w:t>属典型的风积沙漠地貌，整个地势由东北向西南倾斜</w:t>
      </w:r>
      <w:r>
        <w:rPr>
          <w:color w:val="auto"/>
          <w:highlight w:val="none"/>
        </w:rPr>
        <w:t>。评价区域内不涉及国家公园、自然保护区、自然公园等自然保护地、世界自然遗产、生态保护红线等法定生态保护区域，也没有重要物种的天然集中分布区、栖息地等重要生境，本工程距离最近的生态保护红线是</w:t>
      </w:r>
      <w:r>
        <w:rPr>
          <w:rFonts w:hint="eastAsia"/>
          <w:color w:val="auto"/>
          <w:highlight w:val="none"/>
          <w:lang w:val="en-US" w:eastAsia="zh-CN"/>
        </w:rPr>
        <w:t>西南</w:t>
      </w:r>
      <w:r>
        <w:rPr>
          <w:color w:val="auto"/>
          <w:highlight w:val="none"/>
        </w:rPr>
        <w:t>侧</w:t>
      </w:r>
      <w:r>
        <w:rPr>
          <w:rFonts w:hint="eastAsia"/>
          <w:color w:val="auto"/>
          <w:highlight w:val="none"/>
          <w:lang w:val="en-US" w:eastAsia="zh-CN"/>
        </w:rPr>
        <w:t>11.2</w:t>
      </w:r>
      <w:r>
        <w:rPr>
          <w:color w:val="auto"/>
          <w:highlight w:val="none"/>
        </w:rPr>
        <w:t>km</w:t>
      </w:r>
      <w:r>
        <w:rPr>
          <w:rFonts w:hint="eastAsia"/>
          <w:color w:val="auto"/>
          <w:highlight w:val="none"/>
        </w:rPr>
        <w:t>处的准噶尔盆地南缘土地沙化防控与防风固沙生态保护红线区</w:t>
      </w:r>
      <w:r>
        <w:rPr>
          <w:color w:val="auto"/>
          <w:highlight w:val="none"/>
        </w:rPr>
        <w:t>。生态保护目标主要为区域野生动植物</w:t>
      </w:r>
      <w:r>
        <w:rPr>
          <w:rFonts w:hint="eastAsia"/>
          <w:color w:val="auto"/>
          <w:highlight w:val="none"/>
        </w:rPr>
        <w:t>和</w:t>
      </w:r>
      <w:r>
        <w:rPr>
          <w:color w:val="auto"/>
          <w:highlight w:val="none"/>
        </w:rPr>
        <w:t>水土流失重点治理区等</w:t>
      </w:r>
      <w:r>
        <w:rPr>
          <w:rFonts w:hint="eastAsia"/>
          <w:color w:val="auto"/>
          <w:highlight w:val="none"/>
        </w:rPr>
        <w:t>。</w:t>
      </w:r>
    </w:p>
    <w:p>
      <w:pPr>
        <w:pStyle w:val="57"/>
        <w:rPr>
          <w:color w:val="auto"/>
          <w:highlight w:val="none"/>
        </w:rPr>
      </w:pPr>
      <w:r>
        <w:rPr>
          <w:color w:val="auto"/>
          <w:highlight w:val="none"/>
        </w:rPr>
        <w:t>本工程所在区域自然植被</w:t>
      </w:r>
      <w:r>
        <w:rPr>
          <w:rFonts w:hint="eastAsia"/>
          <w:color w:val="auto"/>
          <w:highlight w:val="none"/>
          <w:lang w:val="en-US" w:eastAsia="zh-CN"/>
        </w:rPr>
        <w:t>主要以梭梭、假木贼为主，严酷的自然环境及地势平坦的地形地貌，导致区域内的主要动物为啮齿动物（荒漠麻蜥、快步麻蜥等）及鸟类（小嘴乌鸦、凤头百灵、红尾伯劳等）。</w:t>
      </w:r>
      <w:r>
        <w:rPr>
          <w:color w:val="auto"/>
          <w:highlight w:val="none"/>
        </w:rPr>
        <w:t>评价范围内涉及的土地利用类型主要为</w:t>
      </w:r>
      <w:r>
        <w:rPr>
          <w:rFonts w:hint="eastAsia"/>
          <w:color w:val="auto"/>
          <w:highlight w:val="none"/>
          <w:lang w:val="en-US" w:eastAsia="zh-CN"/>
        </w:rPr>
        <w:t>其他</w:t>
      </w:r>
      <w:r>
        <w:rPr>
          <w:color w:val="auto"/>
          <w:highlight w:val="none"/>
        </w:rPr>
        <w:t>草地、裸</w:t>
      </w:r>
      <w:r>
        <w:rPr>
          <w:rFonts w:hint="eastAsia"/>
          <w:color w:val="auto"/>
          <w:highlight w:val="none"/>
          <w:lang w:val="en-US" w:eastAsia="zh-CN"/>
        </w:rPr>
        <w:t>土</w:t>
      </w:r>
      <w:r>
        <w:rPr>
          <w:color w:val="auto"/>
          <w:highlight w:val="none"/>
        </w:rPr>
        <w:t>地</w:t>
      </w:r>
      <w:r>
        <w:rPr>
          <w:rFonts w:hint="eastAsia"/>
          <w:color w:val="auto"/>
          <w:highlight w:val="none"/>
          <w:lang w:eastAsia="zh-CN"/>
        </w:rPr>
        <w:t>、</w:t>
      </w:r>
      <w:r>
        <w:rPr>
          <w:rFonts w:hint="eastAsia"/>
          <w:color w:val="auto"/>
          <w:highlight w:val="none"/>
          <w:lang w:val="en-US" w:eastAsia="zh-CN"/>
        </w:rPr>
        <w:t>采矿用地和灌木林地等</w:t>
      </w:r>
      <w:r>
        <w:rPr>
          <w:color w:val="auto"/>
          <w:highlight w:val="none"/>
        </w:rPr>
        <w:t>；根据《新疆第六次沙化土地监测报告》，本工程所在区域属于</w:t>
      </w:r>
      <w:r>
        <w:rPr>
          <w:rFonts w:hint="eastAsia"/>
          <w:color w:val="auto"/>
          <w:highlight w:val="none"/>
        </w:rPr>
        <w:t>非沙化</w:t>
      </w:r>
      <w:r>
        <w:rPr>
          <w:rFonts w:hint="eastAsia"/>
          <w:color w:val="auto"/>
          <w:highlight w:val="none"/>
          <w:lang w:val="en-US" w:eastAsia="zh-CN"/>
        </w:rPr>
        <w:t>土地</w:t>
      </w:r>
      <w:r>
        <w:rPr>
          <w:rFonts w:hint="eastAsia"/>
          <w:color w:val="auto"/>
          <w:highlight w:val="none"/>
          <w:lang w:eastAsia="zh-CN"/>
        </w:rPr>
        <w:t>、</w:t>
      </w:r>
      <w:r>
        <w:rPr>
          <w:rFonts w:hint="eastAsia"/>
          <w:color w:val="auto"/>
          <w:highlight w:val="none"/>
          <w:lang w:val="en-US" w:eastAsia="zh-CN"/>
        </w:rPr>
        <w:t>风蚀残丘和</w:t>
      </w:r>
      <w:r>
        <w:rPr>
          <w:rFonts w:hint="eastAsia"/>
          <w:color w:val="auto"/>
          <w:highlight w:val="none"/>
        </w:rPr>
        <w:t>戈壁</w:t>
      </w:r>
      <w:r>
        <w:rPr>
          <w:color w:val="auto"/>
          <w:highlight w:val="none"/>
        </w:rPr>
        <w:t>；现场调查中未发现国家及自治区级重点保护野生</w:t>
      </w:r>
      <w:r>
        <w:rPr>
          <w:rFonts w:hint="eastAsia"/>
          <w:color w:val="auto"/>
          <w:highlight w:val="none"/>
          <w:lang w:val="en-US" w:eastAsia="zh-CN"/>
        </w:rPr>
        <w:t>动</w:t>
      </w:r>
      <w:r>
        <w:rPr>
          <w:color w:val="auto"/>
          <w:highlight w:val="none"/>
        </w:rPr>
        <w:t>植物</w:t>
      </w:r>
      <w:r>
        <w:rPr>
          <w:rFonts w:hint="eastAsia"/>
          <w:color w:val="auto"/>
          <w:highlight w:val="none"/>
          <w:lang w:eastAsia="zh-CN"/>
        </w:rPr>
        <w:t>，</w:t>
      </w:r>
      <w:r>
        <w:rPr>
          <w:color w:val="auto"/>
          <w:highlight w:val="none"/>
        </w:rPr>
        <w:t>生态系统类型简单、脆弱，环境异质性较低，系统受扰动后自我恢复的能力较弱</w:t>
      </w:r>
      <w:r>
        <w:rPr>
          <w:rFonts w:hint="eastAsia"/>
          <w:color w:val="auto"/>
          <w:highlight w:val="none"/>
        </w:rPr>
        <w:t>。</w:t>
      </w:r>
    </w:p>
    <w:p>
      <w:pPr>
        <w:pStyle w:val="57"/>
        <w:numPr>
          <w:ilvl w:val="0"/>
          <w:numId w:val="3"/>
        </w:numPr>
        <w:rPr>
          <w:color w:val="auto"/>
          <w:highlight w:val="none"/>
        </w:rPr>
      </w:pPr>
      <w:r>
        <w:rPr>
          <w:rFonts w:hint="eastAsia"/>
          <w:color w:val="auto"/>
          <w:highlight w:val="none"/>
        </w:rPr>
        <w:t>地下水环境质量现状</w:t>
      </w:r>
    </w:p>
    <w:p>
      <w:pPr>
        <w:pStyle w:val="57"/>
        <w:rPr>
          <w:color w:val="auto"/>
          <w:highlight w:val="none"/>
        </w:rPr>
      </w:pPr>
      <w:r>
        <w:rPr>
          <w:color w:val="auto"/>
          <w:highlight w:val="none"/>
        </w:rPr>
        <w:t>地</w:t>
      </w:r>
      <w:r>
        <w:rPr>
          <w:rFonts w:hint="eastAsia"/>
          <w:color w:val="auto"/>
          <w:highlight w:val="none"/>
        </w:rPr>
        <w:t>下</w:t>
      </w:r>
      <w:r>
        <w:rPr>
          <w:color w:val="auto"/>
          <w:highlight w:val="none"/>
        </w:rPr>
        <w:t>水监测结果表明：</w:t>
      </w:r>
      <w:r>
        <w:rPr>
          <w:rFonts w:hint="eastAsia"/>
          <w:color w:val="auto"/>
          <w:highlight w:val="none"/>
        </w:rPr>
        <w:t>在监测期间，潜水监测点除总硬度、锰存在一定程度超标外，其余因子均满足《地下水质量标准》</w:t>
      </w:r>
      <w:r>
        <w:rPr>
          <w:rFonts w:hint="eastAsia"/>
          <w:color w:val="auto"/>
          <w:highlight w:val="none"/>
          <w:lang w:eastAsia="zh-CN"/>
        </w:rPr>
        <w:t>（</w:t>
      </w:r>
      <w:r>
        <w:rPr>
          <w:rFonts w:hint="eastAsia"/>
          <w:color w:val="auto"/>
          <w:highlight w:val="none"/>
        </w:rPr>
        <w:t>GB/T14848-2017</w:t>
      </w:r>
      <w:r>
        <w:rPr>
          <w:rFonts w:hint="eastAsia"/>
          <w:color w:val="auto"/>
          <w:highlight w:val="none"/>
          <w:lang w:eastAsia="zh-CN"/>
        </w:rPr>
        <w:t>）</w:t>
      </w:r>
      <w:r>
        <w:rPr>
          <w:rFonts w:hint="eastAsia"/>
          <w:color w:val="auto"/>
          <w:highlight w:val="none"/>
        </w:rPr>
        <w:t>Ⅲ类标准，各潜水监测点中石油类满足《地表水环境质量标准》</w:t>
      </w:r>
      <w:r>
        <w:rPr>
          <w:rFonts w:hint="eastAsia"/>
          <w:color w:val="auto"/>
          <w:highlight w:val="none"/>
          <w:lang w:eastAsia="zh-CN"/>
        </w:rPr>
        <w:t>（</w:t>
      </w:r>
      <w:r>
        <w:rPr>
          <w:rFonts w:hint="eastAsia"/>
          <w:color w:val="auto"/>
          <w:highlight w:val="none"/>
        </w:rPr>
        <w:t>GB3838-2002</w:t>
      </w:r>
      <w:r>
        <w:rPr>
          <w:rFonts w:hint="eastAsia"/>
          <w:color w:val="auto"/>
          <w:highlight w:val="none"/>
          <w:lang w:eastAsia="zh-CN"/>
        </w:rPr>
        <w:t>）</w:t>
      </w:r>
      <w:r>
        <w:rPr>
          <w:rFonts w:hint="eastAsia"/>
          <w:color w:val="auto"/>
          <w:highlight w:val="none"/>
        </w:rPr>
        <w:t>Ⅲ类标准要求。潜水监测点总硬度、锰超标与区域水文地质条件有关，该地区地下水位高，土壤含盐量大，盐分易升至地表造成的。</w:t>
      </w:r>
    </w:p>
    <w:p>
      <w:pPr>
        <w:pStyle w:val="57"/>
        <w:numPr>
          <w:ilvl w:val="0"/>
          <w:numId w:val="3"/>
        </w:numPr>
        <w:rPr>
          <w:color w:val="auto"/>
          <w:highlight w:val="none"/>
        </w:rPr>
      </w:pPr>
      <w:r>
        <w:rPr>
          <w:rFonts w:hint="eastAsia"/>
          <w:color w:val="auto"/>
          <w:highlight w:val="none"/>
        </w:rPr>
        <w:t>地表水环境质量现状</w:t>
      </w:r>
    </w:p>
    <w:p>
      <w:pPr>
        <w:pStyle w:val="57"/>
        <w:rPr>
          <w:color w:val="auto"/>
          <w:highlight w:val="none"/>
        </w:rPr>
      </w:pPr>
      <w:r>
        <w:rPr>
          <w:rFonts w:hint="eastAsia" w:eastAsia="宋体"/>
          <w:color w:val="auto"/>
          <w:highlight w:val="none"/>
        </w:rPr>
        <w:t>本工程周边5km范围内无天然地表水体，且距离</w:t>
      </w:r>
      <w:r>
        <w:rPr>
          <w:rFonts w:hint="eastAsia" w:eastAsia="宋体"/>
          <w:color w:val="auto"/>
          <w:highlight w:val="none"/>
          <w:lang w:val="en-US" w:eastAsia="zh-CN"/>
        </w:rPr>
        <w:t>玛纳斯湖</w:t>
      </w:r>
      <w:r>
        <w:rPr>
          <w:rFonts w:hint="eastAsia" w:eastAsia="宋体"/>
          <w:color w:val="auto"/>
          <w:highlight w:val="none"/>
        </w:rPr>
        <w:t>最近距离约</w:t>
      </w:r>
      <w:r>
        <w:rPr>
          <w:rFonts w:hint="eastAsia" w:eastAsia="宋体"/>
          <w:color w:val="auto"/>
          <w:highlight w:val="none"/>
          <w:lang w:val="en-US" w:eastAsia="zh-CN"/>
        </w:rPr>
        <w:t>31.5</w:t>
      </w:r>
      <w:r>
        <w:rPr>
          <w:rFonts w:hint="eastAsia" w:eastAsia="宋体"/>
          <w:color w:val="auto"/>
          <w:highlight w:val="none"/>
        </w:rPr>
        <w:t>km。</w:t>
      </w:r>
    </w:p>
    <w:p>
      <w:pPr>
        <w:pStyle w:val="57"/>
        <w:numPr>
          <w:ilvl w:val="0"/>
          <w:numId w:val="3"/>
        </w:numPr>
        <w:rPr>
          <w:color w:val="auto"/>
          <w:highlight w:val="none"/>
        </w:rPr>
      </w:pPr>
      <w:r>
        <w:rPr>
          <w:rFonts w:hint="eastAsia"/>
          <w:color w:val="auto"/>
          <w:highlight w:val="none"/>
        </w:rPr>
        <w:t>土壤环境质量现状</w:t>
      </w:r>
    </w:p>
    <w:p>
      <w:pPr>
        <w:pStyle w:val="57"/>
        <w:rPr>
          <w:color w:val="auto"/>
          <w:highlight w:val="none"/>
        </w:rPr>
      </w:pPr>
      <w:r>
        <w:rPr>
          <w:color w:val="auto"/>
          <w:highlight w:val="none"/>
        </w:rPr>
        <w:t>土壤环境质量监测结果表明，</w:t>
      </w:r>
      <w:r>
        <w:rPr>
          <w:rFonts w:hint="eastAsia"/>
          <w:color w:val="auto"/>
          <w:highlight w:val="none"/>
        </w:rPr>
        <w:t>本工程</w:t>
      </w:r>
      <w:r>
        <w:rPr>
          <w:color w:val="auto"/>
          <w:highlight w:val="none"/>
        </w:rPr>
        <w:t>占地范围内各监测点位的所有监测因子的污染指数均小于1，满足《土壤环境质量 建设用地土壤污染风险管控标准</w:t>
      </w:r>
      <w:r>
        <w:rPr>
          <w:rFonts w:hint="eastAsia"/>
          <w:color w:val="auto"/>
          <w:highlight w:val="none"/>
          <w:lang w:eastAsia="zh-CN"/>
        </w:rPr>
        <w:t>（试行）》</w:t>
      </w:r>
      <w:r>
        <w:rPr>
          <w:color w:val="auto"/>
          <w:highlight w:val="none"/>
        </w:rPr>
        <w:t>第二类用地筛选值标准；项目区占地范围外各监测点小于《土壤环境质量农用地土壤污染风险管控标准（试行）》（GB156 18-2018）中“表.1农用地土壤污染风险筛选值（基</w:t>
      </w:r>
      <w:r>
        <w:rPr>
          <w:rFonts w:hint="eastAsia"/>
          <w:color w:val="auto"/>
          <w:highlight w:val="none"/>
        </w:rPr>
        <w:t>本工程</w:t>
      </w:r>
      <w:r>
        <w:rPr>
          <w:color w:val="auto"/>
          <w:highlight w:val="none"/>
        </w:rPr>
        <w:t>）”所列标准；土壤中石油烃含量较低，满足《土壤环境质量建设用地土壤污染风险管控标准（试行）》（GB36600-2018）第二类用地风险筛选值要求。</w:t>
      </w:r>
    </w:p>
    <w:p>
      <w:pPr>
        <w:pStyle w:val="57"/>
        <w:rPr>
          <w:color w:val="auto"/>
          <w:highlight w:val="none"/>
        </w:rPr>
      </w:pPr>
      <w:r>
        <w:rPr>
          <w:rFonts w:hint="eastAsia"/>
          <w:color w:val="auto"/>
          <w:highlight w:val="none"/>
        </w:rPr>
        <w:t>（5）</w:t>
      </w:r>
      <w:r>
        <w:rPr>
          <w:color w:val="auto"/>
          <w:highlight w:val="none"/>
        </w:rPr>
        <w:t>环境空气质量现状</w:t>
      </w:r>
    </w:p>
    <w:p>
      <w:pPr>
        <w:pStyle w:val="57"/>
        <w:rPr>
          <w:color w:val="auto"/>
          <w:highlight w:val="none"/>
        </w:rPr>
      </w:pPr>
      <w:r>
        <w:rPr>
          <w:rFonts w:hint="eastAsia"/>
          <w:color w:val="auto"/>
          <w:highlight w:val="none"/>
        </w:rPr>
        <w:t>本工程</w:t>
      </w:r>
      <w:r>
        <w:rPr>
          <w:color w:val="auto"/>
          <w:highlight w:val="none"/>
        </w:rPr>
        <w:t>所在区域为达标区，监测期间</w:t>
      </w:r>
      <w:r>
        <w:rPr>
          <w:rFonts w:hint="eastAsia"/>
          <w:color w:val="auto"/>
          <w:highlight w:val="none"/>
        </w:rPr>
        <w:t xml:space="preserve">NMHC </w:t>
      </w:r>
      <w:r>
        <w:rPr>
          <w:color w:val="auto"/>
          <w:highlight w:val="none"/>
        </w:rPr>
        <w:t>1小时平均浓度未超过《大气污染物综合排放标准详解》中参考限值，</w:t>
      </w:r>
      <w:r>
        <w:rPr>
          <w:rFonts w:hint="default" w:ascii="Times New Roman" w:hAnsi="Times New Roman" w:cs="Times New Roman"/>
          <w:snapToGrid w:val="0"/>
          <w:color w:val="auto"/>
          <w:highlight w:val="none"/>
        </w:rPr>
        <w:t>H</w:t>
      </w:r>
      <w:r>
        <w:rPr>
          <w:rFonts w:hint="default" w:ascii="Times New Roman" w:hAnsi="Times New Roman" w:cs="Times New Roman"/>
          <w:snapToGrid w:val="0"/>
          <w:color w:val="auto"/>
          <w:highlight w:val="none"/>
          <w:vertAlign w:val="subscript"/>
        </w:rPr>
        <w:t>2</w:t>
      </w:r>
      <w:r>
        <w:rPr>
          <w:rFonts w:hint="default" w:ascii="Times New Roman" w:hAnsi="Times New Roman" w:cs="Times New Roman"/>
          <w:snapToGrid w:val="0"/>
          <w:color w:val="auto"/>
          <w:highlight w:val="none"/>
        </w:rPr>
        <w:t>S 1小时平均浓度未超过《环境影响评价技术导则大气环境》（HJ2.2-2018）附录D中的浓度限值</w:t>
      </w:r>
      <w:r>
        <w:rPr>
          <w:color w:val="auto"/>
          <w:highlight w:val="none"/>
        </w:rPr>
        <w:t>。</w:t>
      </w:r>
    </w:p>
    <w:p>
      <w:pPr>
        <w:pStyle w:val="57"/>
        <w:rPr>
          <w:color w:val="auto"/>
          <w:highlight w:val="none"/>
        </w:rPr>
      </w:pPr>
      <w:r>
        <w:rPr>
          <w:rFonts w:hint="eastAsia"/>
          <w:color w:val="auto"/>
          <w:highlight w:val="none"/>
        </w:rPr>
        <w:t>（6）</w:t>
      </w:r>
      <w:r>
        <w:rPr>
          <w:color w:val="auto"/>
          <w:highlight w:val="none"/>
        </w:rPr>
        <w:t>声环境质量现状</w:t>
      </w:r>
    </w:p>
    <w:p>
      <w:pPr>
        <w:pStyle w:val="57"/>
        <w:rPr>
          <w:color w:val="auto"/>
          <w:highlight w:val="none"/>
        </w:rPr>
      </w:pPr>
      <w:r>
        <w:rPr>
          <w:rFonts w:hint="eastAsia"/>
          <w:color w:val="auto"/>
          <w:highlight w:val="none"/>
        </w:rPr>
        <w:t>评价期内，新建井场声环境质量满足《声环境质量标准》（GB3096-2008）中2类标准要求。</w:t>
      </w:r>
    </w:p>
    <w:p>
      <w:pPr>
        <w:pStyle w:val="49"/>
        <w:rPr>
          <w:color w:val="auto"/>
          <w:highlight w:val="none"/>
        </w:rPr>
      </w:pPr>
      <w:bookmarkStart w:id="919" w:name="_Toc173942006"/>
      <w:bookmarkStart w:id="920" w:name="_Toc22052"/>
      <w:bookmarkStart w:id="921" w:name="_Toc9637"/>
      <w:bookmarkStart w:id="922" w:name="_Toc31864"/>
      <w:bookmarkStart w:id="923" w:name="_Toc173942723"/>
      <w:bookmarkStart w:id="924" w:name="_Toc173941769"/>
      <w:r>
        <w:rPr>
          <w:rFonts w:hint="eastAsia"/>
          <w:color w:val="auto"/>
          <w:highlight w:val="none"/>
        </w:rPr>
        <w:t>10</w:t>
      </w:r>
      <w:r>
        <w:rPr>
          <w:color w:val="auto"/>
          <w:highlight w:val="none"/>
        </w:rPr>
        <w:t>.</w:t>
      </w:r>
      <w:r>
        <w:rPr>
          <w:rFonts w:hint="eastAsia"/>
          <w:color w:val="auto"/>
          <w:highlight w:val="none"/>
        </w:rPr>
        <w:t>4</w:t>
      </w:r>
      <w:r>
        <w:rPr>
          <w:color w:val="auto"/>
          <w:highlight w:val="none"/>
        </w:rPr>
        <w:t>污染物排放情况</w:t>
      </w:r>
      <w:bookmarkEnd w:id="919"/>
      <w:bookmarkEnd w:id="920"/>
      <w:bookmarkEnd w:id="921"/>
      <w:bookmarkEnd w:id="922"/>
      <w:bookmarkEnd w:id="923"/>
      <w:bookmarkEnd w:id="924"/>
    </w:p>
    <w:p>
      <w:pPr>
        <w:pStyle w:val="57"/>
        <w:rPr>
          <w:color w:val="auto"/>
          <w:highlight w:val="none"/>
        </w:rPr>
      </w:pPr>
      <w:r>
        <w:rPr>
          <w:rFonts w:hint="eastAsia"/>
          <w:color w:val="auto"/>
          <w:highlight w:val="none"/>
        </w:rPr>
        <w:t>本工程</w:t>
      </w:r>
      <w:r>
        <w:rPr>
          <w:color w:val="auto"/>
          <w:highlight w:val="none"/>
        </w:rPr>
        <w:t>运营期污染物产生及排放情况详见表</w:t>
      </w:r>
      <w:r>
        <w:rPr>
          <w:rFonts w:hint="eastAsia"/>
          <w:color w:val="auto"/>
          <w:highlight w:val="none"/>
        </w:rPr>
        <w:t>10</w:t>
      </w:r>
      <w:r>
        <w:rPr>
          <w:color w:val="auto"/>
          <w:highlight w:val="none"/>
        </w:rPr>
        <w:t>.1-1。</w:t>
      </w:r>
    </w:p>
    <w:p>
      <w:pPr>
        <w:rPr>
          <w:color w:val="auto"/>
          <w:highlight w:val="none"/>
        </w:rPr>
      </w:pPr>
      <w:r>
        <w:rPr>
          <w:color w:val="auto"/>
          <w:highlight w:val="none"/>
        </w:rPr>
        <w:br w:type="page"/>
      </w:r>
    </w:p>
    <w:p>
      <w:pPr>
        <w:pStyle w:val="54"/>
        <w:keepNext w:val="0"/>
        <w:keepLines w:val="0"/>
        <w:pageBreakBefore w:val="0"/>
        <w:widowControl w:val="0"/>
        <w:kinsoku/>
        <w:wordWrap/>
        <w:overflowPunct/>
        <w:topLinePunct w:val="0"/>
        <w:autoSpaceDE/>
        <w:autoSpaceDN/>
        <w:bidi w:val="0"/>
        <w:adjustRightInd/>
        <w:snapToGrid/>
        <w:spacing w:line="480" w:lineRule="exact"/>
        <w:ind w:firstLine="482"/>
        <w:textAlignment w:val="baseline"/>
        <w:rPr>
          <w:color w:val="auto"/>
          <w:highlight w:val="none"/>
        </w:rPr>
      </w:pPr>
      <w:r>
        <w:rPr>
          <w:color w:val="auto"/>
          <w:highlight w:val="none"/>
        </w:rPr>
        <w:t>表</w:t>
      </w:r>
      <w:r>
        <w:rPr>
          <w:rFonts w:hint="eastAsia"/>
          <w:color w:val="auto"/>
          <w:highlight w:val="none"/>
        </w:rPr>
        <w:t>10</w:t>
      </w:r>
      <w:r>
        <w:rPr>
          <w:color w:val="auto"/>
          <w:highlight w:val="none"/>
        </w:rPr>
        <w:t>.1-1    污染物产排情况一览表</w:t>
      </w:r>
    </w:p>
    <w:tbl>
      <w:tblPr>
        <w:tblStyle w:val="34"/>
        <w:tblW w:w="4993"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553"/>
        <w:gridCol w:w="1013"/>
        <w:gridCol w:w="1083"/>
        <w:gridCol w:w="1301"/>
        <w:gridCol w:w="1182"/>
        <w:gridCol w:w="899"/>
        <w:gridCol w:w="279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类别</w:t>
            </w: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工段</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污染源</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主要污染物</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产生量</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排放量</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排放去向</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废气</w:t>
            </w:r>
          </w:p>
        </w:tc>
        <w:tc>
          <w:tcPr>
            <w:tcW w:w="601"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储罐呼吸损耗</w:t>
            </w:r>
          </w:p>
        </w:tc>
        <w:tc>
          <w:tcPr>
            <w:tcW w:w="6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无组织排放</w:t>
            </w:r>
          </w:p>
        </w:tc>
        <w:tc>
          <w:tcPr>
            <w:tcW w:w="764"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NMHC</w:t>
            </w:r>
          </w:p>
        </w:tc>
        <w:tc>
          <w:tcPr>
            <w:tcW w:w="1017"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lang w:val="en-US" w:eastAsia="zh-CN"/>
              </w:rPr>
              <w:t>5.04</w:t>
            </w:r>
            <w:r>
              <w:rPr>
                <w:rFonts w:hint="default"/>
                <w:color w:val="auto"/>
              </w:rPr>
              <w:t>t/a</w:t>
            </w:r>
          </w:p>
        </w:tc>
        <w:tc>
          <w:tcPr>
            <w:tcW w:w="823" w:type="dxa"/>
            <w:tcBorders>
              <w:tl2br w:val="nil"/>
              <w:tr2bl w:val="nil"/>
            </w:tcBorders>
            <w:noWrap w:val="0"/>
            <w:vAlign w:val="center"/>
          </w:tcPr>
          <w:p>
            <w:pPr>
              <w:pStyle w:val="41"/>
              <w:bidi w:val="0"/>
              <w:ind w:firstLine="0" w:firstLineChars="0"/>
              <w:rPr>
                <w:rFonts w:hint="default" w:ascii="Times New Roman" w:hAnsi="Times New Roman" w:cs="Times New Roman"/>
                <w:color w:val="auto"/>
                <w:sz w:val="21"/>
                <w:szCs w:val="21"/>
                <w:highlight w:val="none"/>
                <w:shd w:val="clear" w:color="auto" w:fill="auto"/>
              </w:rPr>
            </w:pPr>
            <w:r>
              <w:rPr>
                <w:rFonts w:hint="eastAsia"/>
                <w:color w:val="auto"/>
                <w:lang w:val="en-US" w:eastAsia="zh-CN"/>
              </w:rPr>
              <w:t>5.04</w:t>
            </w:r>
            <w:r>
              <w:rPr>
                <w:rFonts w:hint="default"/>
                <w:color w:val="auto"/>
              </w:rPr>
              <w:t>t/a</w:t>
            </w:r>
          </w:p>
        </w:tc>
        <w:tc>
          <w:tcPr>
            <w:tcW w:w="1608"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cs="Times New Roman"/>
                <w:color w:val="auto"/>
                <w:sz w:val="21"/>
                <w:szCs w:val="21"/>
                <w:highlight w:val="none"/>
                <w:shd w:val="clear" w:color="auto" w:fill="auto"/>
              </w:rPr>
              <w:t>大气</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油气集输</w:t>
            </w:r>
          </w:p>
        </w:tc>
        <w:tc>
          <w:tcPr>
            <w:tcW w:w="6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017"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1.406</w:t>
            </w:r>
            <w:r>
              <w:rPr>
                <w:rFonts w:hint="default"/>
                <w:color w:val="auto"/>
              </w:rPr>
              <w:t>t/a</w:t>
            </w:r>
          </w:p>
        </w:tc>
        <w:tc>
          <w:tcPr>
            <w:tcW w:w="823" w:type="dxa"/>
            <w:tcBorders>
              <w:tl2br w:val="nil"/>
              <w:tr2bl w:val="nil"/>
            </w:tcBorders>
            <w:noWrap w:val="0"/>
            <w:vAlign w:val="center"/>
          </w:tcPr>
          <w:p>
            <w:pPr>
              <w:pStyle w:val="41"/>
              <w:bidi w:val="0"/>
              <w:ind w:firstLine="0" w:firstLineChars="0"/>
              <w:rPr>
                <w:rFonts w:hint="default" w:ascii="Times New Roman" w:hAnsi="Times New Roman" w:eastAsia="宋体" w:cs="Times New Roman"/>
                <w:color w:val="auto"/>
                <w:sz w:val="21"/>
                <w:szCs w:val="21"/>
                <w:highlight w:val="none"/>
                <w:shd w:val="clear" w:color="auto" w:fill="auto"/>
                <w:lang w:val="en-US" w:eastAsia="zh-CN"/>
              </w:rPr>
            </w:pPr>
            <w:r>
              <w:rPr>
                <w:rFonts w:hint="eastAsia"/>
                <w:color w:val="auto"/>
                <w:lang w:val="en-US" w:eastAsia="zh-CN"/>
              </w:rPr>
              <w:t>1.406</w:t>
            </w:r>
            <w:r>
              <w:rPr>
                <w:rFonts w:hint="default"/>
                <w:color w:val="auto"/>
              </w:rPr>
              <w:t>t/a</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废水</w:t>
            </w:r>
          </w:p>
        </w:tc>
        <w:tc>
          <w:tcPr>
            <w:tcW w:w="1242" w:type="pct"/>
            <w:gridSpan w:val="2"/>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采出水</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kern w:val="24"/>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SS、COD、</w:t>
            </w:r>
          </w:p>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kern w:val="24"/>
                <w:sz w:val="21"/>
                <w:szCs w:val="21"/>
                <w:highlight w:val="none"/>
                <w:shd w:val="clear" w:color="auto" w:fill="auto"/>
              </w:rPr>
              <w:t>石油类等</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kern w:val="24"/>
                <w:sz w:val="21"/>
                <w:szCs w:val="21"/>
                <w:highlight w:val="none"/>
                <w:shd w:val="clear" w:color="auto" w:fill="auto"/>
                <w:lang w:val="en-US" w:eastAsia="zh-CN"/>
              </w:rPr>
              <w:t>3.91</w:t>
            </w:r>
            <w:r>
              <w:rPr>
                <w:rFonts w:hint="default" w:ascii="Times New Roman" w:hAnsi="Times New Roman" w:cs="Times New Roman"/>
                <w:color w:val="auto"/>
                <w:kern w:val="24"/>
                <w:sz w:val="21"/>
                <w:szCs w:val="21"/>
                <w:highlight w:val="none"/>
                <w:shd w:val="clear" w:color="auto" w:fill="auto"/>
              </w:rPr>
              <w:t>×10</w:t>
            </w:r>
            <w:r>
              <w:rPr>
                <w:rFonts w:hint="default" w:ascii="Times New Roman" w:hAnsi="Times New Roman" w:cs="Times New Roman"/>
                <w:color w:val="auto"/>
                <w:kern w:val="24"/>
                <w:sz w:val="21"/>
                <w:szCs w:val="21"/>
                <w:highlight w:val="none"/>
                <w:shd w:val="clear" w:color="auto" w:fill="auto"/>
                <w:vertAlign w:val="superscript"/>
              </w:rPr>
              <w:t>4</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采出水进入</w:t>
            </w:r>
            <w:r>
              <w:rPr>
                <w:rFonts w:hint="eastAsia" w:ascii="Times New Roman" w:hAnsi="Times New Roman" w:cs="Times New Roman"/>
                <w:color w:val="auto"/>
                <w:sz w:val="21"/>
                <w:szCs w:val="21"/>
                <w:highlight w:val="none"/>
                <w:shd w:val="clear" w:color="auto" w:fill="auto"/>
                <w:lang w:eastAsia="zh-CN"/>
              </w:rPr>
              <w:t>风城二号稠油处理站</w:t>
            </w:r>
            <w:r>
              <w:rPr>
                <w:rFonts w:hint="default" w:ascii="Times New Roman" w:hAnsi="Times New Roman" w:cs="Times New Roman"/>
                <w:color w:val="auto"/>
                <w:sz w:val="21"/>
                <w:szCs w:val="21"/>
                <w:highlight w:val="none"/>
                <w:shd w:val="clear" w:color="auto" w:fill="auto"/>
              </w:rPr>
              <w:t>的</w:t>
            </w:r>
            <w:r>
              <w:rPr>
                <w:rFonts w:hint="eastAsia" w:ascii="Times New Roman" w:hAnsi="Times New Roman" w:cs="Times New Roman"/>
                <w:color w:val="auto"/>
                <w:sz w:val="21"/>
                <w:szCs w:val="21"/>
                <w:highlight w:val="none"/>
                <w:shd w:val="clear" w:color="auto" w:fill="auto"/>
                <w:lang w:val="en-US" w:eastAsia="zh-CN"/>
              </w:rPr>
              <w:t>采出水处理系统</w:t>
            </w:r>
            <w:r>
              <w:rPr>
                <w:rFonts w:hint="default" w:ascii="Times New Roman" w:hAnsi="Times New Roman" w:cs="Times New Roman"/>
                <w:color w:val="auto"/>
                <w:sz w:val="21"/>
                <w:szCs w:val="21"/>
                <w:highlight w:val="none"/>
                <w:shd w:val="clear" w:color="auto" w:fill="auto"/>
              </w:rPr>
              <w:t>处理达到《碎屑岩油藏注水水质指标技术要求及分析方法》（SY/T5329-2022）标准后回注</w:t>
            </w:r>
            <w:r>
              <w:rPr>
                <w:rFonts w:hint="eastAsia" w:ascii="Times New Roman" w:hAnsi="Times New Roman" w:cs="Times New Roman"/>
                <w:color w:val="auto"/>
                <w:sz w:val="21"/>
                <w:szCs w:val="21"/>
                <w:highlight w:val="none"/>
                <w:shd w:val="clear" w:color="auto" w:fill="auto"/>
                <w:lang w:eastAsia="zh-CN"/>
              </w:rPr>
              <w:t>油藏</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井下作业废水</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95.2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r>
              <w:rPr>
                <w:rFonts w:hint="default" w:ascii="Times New Roman" w:hAnsi="Times New Roman"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cs="Times New Roman"/>
                <w:color w:val="auto"/>
                <w:sz w:val="21"/>
                <w:szCs w:val="21"/>
                <w:highlight w:val="none"/>
                <w:shd w:val="clear" w:color="auto" w:fill="auto"/>
              </w:rPr>
              <w:t>采用专用罐回收作业废水，拉运至</w:t>
            </w:r>
            <w:r>
              <w:rPr>
                <w:rFonts w:hint="eastAsia"/>
                <w:color w:val="auto"/>
                <w:highlight w:val="none"/>
                <w:lang w:eastAsia="zh-CN"/>
              </w:rPr>
              <w:t>风城二号稠油处理站</w:t>
            </w:r>
            <w:r>
              <w:rPr>
                <w:rFonts w:hint="default" w:ascii="Times New Roman" w:hAnsi="Times New Roman" w:cs="Times New Roman"/>
                <w:color w:val="auto"/>
                <w:sz w:val="21"/>
                <w:szCs w:val="21"/>
                <w:highlight w:val="none"/>
                <w:shd w:val="clear" w:color="auto" w:fill="auto"/>
              </w:rPr>
              <w:t>处理</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COD</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0.12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1242" w:type="pct"/>
            <w:gridSpan w:val="2"/>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c>
          <w:tcPr>
            <w:tcW w:w="764" w:type="pct"/>
            <w:tcBorders>
              <w:tl2br w:val="nil"/>
              <w:tr2bl w:val="nil"/>
            </w:tcBorders>
            <w:noWrap w:val="0"/>
            <w:vAlign w:val="center"/>
          </w:tcPr>
          <w:p>
            <w:pPr>
              <w:spacing w:line="240" w:lineRule="exact"/>
              <w:ind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固体废物</w:t>
            </w: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油泥</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cs="Times New Roman"/>
                <w:color w:val="auto"/>
                <w:sz w:val="21"/>
                <w:szCs w:val="21"/>
                <w:highlight w:val="none"/>
                <w:shd w:val="clear" w:color="auto" w:fill="auto"/>
                <w:lang w:val="en-US" w:eastAsia="zh-CN"/>
              </w:rPr>
              <w:t>1406.78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eastAsia="宋体"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管线</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清管废渣</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石油类、SS和氧化铁等</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0.02</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color w:val="auto"/>
              </w:rPr>
            </w:pPr>
          </w:p>
        </w:tc>
        <w:tc>
          <w:tcPr>
            <w:tcW w:w="601"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站场</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清罐底泥</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eastAsia" w:ascii="Times New Roman" w:hAnsi="Times New Roman" w:cs="Times New Roman"/>
                <w:color w:val="auto"/>
                <w:sz w:val="21"/>
                <w:szCs w:val="21"/>
                <w:highlight w:val="none"/>
                <w:shd w:val="clear" w:color="auto" w:fill="auto"/>
                <w:lang w:val="en-US" w:eastAsia="zh-CN"/>
              </w:rPr>
              <w:t>0.1</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eastAsia" w:ascii="Times New Roman" w:hAnsi="Times New Roman" w:eastAsia="宋体" w:cs="Times New Roman"/>
                <w:color w:val="auto"/>
                <w:sz w:val="21"/>
                <w:szCs w:val="21"/>
                <w:highlight w:val="none"/>
                <w:shd w:val="clear" w:color="auto" w:fill="auto"/>
                <w:lang w:val="en-US" w:eastAsia="zh-CN"/>
              </w:rPr>
            </w:pPr>
            <w:r>
              <w:rPr>
                <w:rFonts w:hint="eastAsia" w:ascii="Times New Roman" w:hAnsi="Times New Roman" w:eastAsia="宋体" w:cs="Times New Roman"/>
                <w:color w:val="auto"/>
                <w:sz w:val="21"/>
                <w:szCs w:val="21"/>
                <w:highlight w:val="none"/>
                <w:shd w:val="clear" w:color="auto" w:fill="auto"/>
                <w:lang w:val="en-US" w:eastAsia="zh-CN"/>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restar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eastAsia="zh-CN"/>
              </w:rPr>
            </w:pPr>
            <w:r>
              <w:rPr>
                <w:rFonts w:hint="default" w:ascii="Times New Roman" w:hAnsi="Times New Roman" w:eastAsia="宋体" w:cs="Times New Roman"/>
                <w:color w:val="auto"/>
                <w:sz w:val="21"/>
                <w:szCs w:val="21"/>
                <w:highlight w:val="none"/>
                <w:shd w:val="clear" w:color="auto" w:fill="auto"/>
                <w:lang w:eastAsia="zh-CN"/>
              </w:rPr>
              <w:t>废防渗膜</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4.5</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0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lang w:val="en-US" w:eastAsia="zh-CN"/>
              </w:rPr>
              <w:t>废润滑油</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石油类</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eastAsia" w:cs="Times New Roman"/>
                <w:color w:val="auto"/>
                <w:sz w:val="21"/>
                <w:szCs w:val="21"/>
                <w:highlight w:val="none"/>
                <w:shd w:val="clear" w:color="auto" w:fill="auto"/>
                <w:lang w:val="en-US" w:eastAsia="zh-CN"/>
              </w:rPr>
              <w:t>0.9</w:t>
            </w:r>
            <w:r>
              <w:rPr>
                <w:rFonts w:hint="default" w:ascii="Times New Roman" w:hAnsi="Times New Roman" w:eastAsia="宋体" w:cs="Times New Roman"/>
                <w:color w:val="auto"/>
                <w:sz w:val="21"/>
                <w:szCs w:val="21"/>
                <w:highlight w:val="none"/>
                <w:shd w:val="clear" w:color="auto" w:fill="auto"/>
                <w:lang w:val="en-US" w:eastAsia="zh-CN"/>
              </w:rPr>
              <w:t>t/次</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0</w:t>
            </w:r>
          </w:p>
        </w:tc>
        <w:tc>
          <w:tcPr>
            <w:tcW w:w="1608"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vMerge w:val="continue"/>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井场、管线及井下作业</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落地原油</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石油类</w:t>
            </w:r>
          </w:p>
        </w:tc>
        <w:tc>
          <w:tcPr>
            <w:tcW w:w="1182" w:type="dxa"/>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eastAsia" w:cs="Times New Roman"/>
                <w:color w:val="auto"/>
                <w:sz w:val="21"/>
                <w:szCs w:val="21"/>
                <w:highlight w:val="none"/>
                <w:shd w:val="clear" w:color="auto" w:fill="auto"/>
                <w:lang w:val="en-US" w:eastAsia="zh-CN"/>
              </w:rPr>
              <w:t>1.8</w:t>
            </w:r>
            <w:r>
              <w:rPr>
                <w:rFonts w:hint="default" w:ascii="Times New Roman" w:hAnsi="Times New Roman" w:cs="Times New Roman"/>
                <w:color w:val="auto"/>
                <w:sz w:val="21"/>
                <w:szCs w:val="21"/>
                <w:highlight w:val="none"/>
                <w:shd w:val="clear" w:color="auto" w:fill="auto"/>
              </w:rPr>
              <w:t>t/a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rPr>
              <w:t>0</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bidi="ar-SA"/>
              </w:rPr>
            </w:pPr>
            <w:r>
              <w:rPr>
                <w:rFonts w:hint="default" w:ascii="Times New Roman" w:hAnsi="Times New Roman" w:eastAsia="宋体" w:cs="Times New Roman"/>
                <w:color w:val="auto"/>
                <w:sz w:val="21"/>
                <w:szCs w:val="21"/>
                <w:highlight w:val="none"/>
                <w:shd w:val="clear" w:color="auto" w:fill="auto"/>
                <w:lang w:val="en-US" w:eastAsia="zh-CN"/>
              </w:rPr>
              <w:t>落地油100%回收，</w:t>
            </w:r>
            <w:r>
              <w:rPr>
                <w:rFonts w:hint="default" w:ascii="Times New Roman" w:hAnsi="Times New Roman" w:eastAsia="宋体" w:cs="Times New Roman"/>
                <w:color w:val="auto"/>
                <w:sz w:val="21"/>
                <w:szCs w:val="21"/>
                <w:highlight w:val="none"/>
                <w:shd w:val="clear" w:color="auto" w:fill="auto"/>
              </w:rPr>
              <w:t>回收后的落地原油</w:t>
            </w:r>
            <w:r>
              <w:rPr>
                <w:rFonts w:hint="eastAsia" w:ascii="Times New Roman" w:hAnsi="Times New Roman" w:cs="Times New Roman"/>
                <w:color w:val="auto"/>
                <w:sz w:val="21"/>
                <w:szCs w:val="21"/>
                <w:highlight w:val="none"/>
                <w:shd w:val="clear" w:color="auto" w:fill="auto"/>
                <w:lang w:val="en-US" w:eastAsia="zh-CN"/>
              </w:rPr>
              <w:t>委托克拉玛依顺通环保科技有限责任公司或其他有危废处置资质单位接收处置</w:t>
            </w:r>
            <w:r>
              <w:rPr>
                <w:rFonts w:hint="default" w:ascii="Times New Roman" w:hAnsi="Times New Roman" w:cs="Times New Roman"/>
                <w:color w:val="auto"/>
                <w:sz w:val="21"/>
                <w:szCs w:val="21"/>
                <w:highlight w:val="none"/>
                <w:shd w:val="clear" w:color="auto" w:fill="auto"/>
                <w:lang w:eastAsia="zh-CN"/>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3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噪声</w:t>
            </w:r>
          </w:p>
        </w:tc>
        <w:tc>
          <w:tcPr>
            <w:tcW w:w="60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井场</w:t>
            </w:r>
            <w:r>
              <w:rPr>
                <w:rFonts w:hint="eastAsia" w:ascii="Times New Roman" w:hAnsi="Times New Roman" w:eastAsia="宋体" w:cs="Times New Roman"/>
                <w:color w:val="auto"/>
                <w:sz w:val="21"/>
                <w:szCs w:val="21"/>
                <w:highlight w:val="none"/>
                <w:shd w:val="clear" w:color="auto" w:fill="auto"/>
                <w:lang w:eastAsia="zh-CN"/>
              </w:rPr>
              <w:t>、</w:t>
            </w:r>
            <w:r>
              <w:rPr>
                <w:rFonts w:hint="eastAsia" w:ascii="Times New Roman" w:hAnsi="Times New Roman" w:eastAsia="宋体" w:cs="Times New Roman"/>
                <w:color w:val="auto"/>
                <w:sz w:val="21"/>
                <w:szCs w:val="21"/>
                <w:highlight w:val="none"/>
                <w:shd w:val="clear" w:color="auto" w:fill="auto"/>
                <w:lang w:val="en-US" w:eastAsia="zh-CN"/>
              </w:rPr>
              <w:t>站场</w:t>
            </w:r>
            <w:r>
              <w:rPr>
                <w:rFonts w:hint="default" w:ascii="Times New Roman" w:hAnsi="Times New Roman" w:eastAsia="宋体" w:cs="Times New Roman"/>
                <w:color w:val="auto"/>
                <w:sz w:val="21"/>
                <w:szCs w:val="21"/>
                <w:highlight w:val="none"/>
                <w:shd w:val="clear" w:color="auto" w:fill="auto"/>
              </w:rPr>
              <w:t>设备、</w:t>
            </w:r>
          </w:p>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井下作业</w:t>
            </w:r>
          </w:p>
        </w:tc>
        <w:tc>
          <w:tcPr>
            <w:tcW w:w="641"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机械噪声</w:t>
            </w:r>
          </w:p>
        </w:tc>
        <w:tc>
          <w:tcPr>
            <w:tcW w:w="764"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w:t>
            </w:r>
          </w:p>
        </w:tc>
        <w:tc>
          <w:tcPr>
            <w:tcW w:w="57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lang w:val="en-US" w:eastAsia="zh-CN"/>
              </w:rPr>
              <w:t>60</w:t>
            </w:r>
            <w:r>
              <w:rPr>
                <w:rFonts w:hint="eastAsia" w:cs="Times New Roman"/>
                <w:color w:val="auto"/>
                <w:sz w:val="21"/>
                <w:szCs w:val="21"/>
                <w:highlight w:val="none"/>
                <w:shd w:val="clear" w:color="auto" w:fill="auto"/>
                <w:lang w:val="en-US" w:eastAsia="zh-CN"/>
              </w:rPr>
              <w:t>~</w:t>
            </w:r>
            <w:r>
              <w:rPr>
                <w:rFonts w:hint="default" w:ascii="Times New Roman" w:hAnsi="Times New Roman" w:eastAsia="宋体" w:cs="Times New Roman"/>
                <w:color w:val="auto"/>
                <w:sz w:val="21"/>
                <w:szCs w:val="21"/>
                <w:highlight w:val="none"/>
                <w:shd w:val="clear" w:color="auto" w:fill="auto"/>
                <w:lang w:val="en-US" w:eastAsia="zh-CN"/>
              </w:rPr>
              <w:t>120</w:t>
            </w:r>
            <w:r>
              <w:rPr>
                <w:rFonts w:hint="default" w:ascii="Times New Roman" w:hAnsi="Times New Roman" w:eastAsia="宋体" w:cs="Times New Roman"/>
                <w:color w:val="auto"/>
                <w:sz w:val="21"/>
                <w:szCs w:val="21"/>
                <w:highlight w:val="none"/>
                <w:shd w:val="clear" w:color="auto" w:fill="auto"/>
              </w:rPr>
              <w:t>dB(A)</w:t>
            </w:r>
          </w:p>
        </w:tc>
        <w:tc>
          <w:tcPr>
            <w:tcW w:w="466"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rPr>
            </w:pPr>
            <w:r>
              <w:rPr>
                <w:rFonts w:hint="default" w:ascii="Times New Roman" w:hAnsi="Times New Roman" w:eastAsia="宋体" w:cs="Times New Roman"/>
                <w:color w:val="auto"/>
                <w:sz w:val="21"/>
                <w:szCs w:val="21"/>
                <w:highlight w:val="none"/>
                <w:shd w:val="clear" w:color="auto" w:fill="auto"/>
              </w:rPr>
              <w:t>厂界</w:t>
            </w:r>
          </w:p>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达标</w:t>
            </w:r>
          </w:p>
        </w:tc>
        <w:tc>
          <w:tcPr>
            <w:tcW w:w="1608" w:type="pct"/>
            <w:tcBorders>
              <w:tl2br w:val="nil"/>
              <w:tr2bl w:val="nil"/>
            </w:tcBorders>
            <w:noWrap w:val="0"/>
            <w:vAlign w:val="center"/>
          </w:tcPr>
          <w:p>
            <w:pPr>
              <w:spacing w:line="240" w:lineRule="exact"/>
              <w:ind w:left="-105" w:leftChars="-50" w:right="-105" w:rightChars="-50"/>
              <w:jc w:val="center"/>
              <w:rPr>
                <w:rFonts w:hint="default" w:ascii="Times New Roman" w:hAnsi="Times New Roman" w:eastAsia="宋体" w:cs="Times New Roman"/>
                <w:color w:val="auto"/>
                <w:sz w:val="21"/>
                <w:szCs w:val="21"/>
                <w:highlight w:val="none"/>
                <w:shd w:val="clear" w:color="auto" w:fill="auto"/>
                <w:lang w:val="en-US" w:eastAsia="zh-CN"/>
              </w:rPr>
            </w:pPr>
            <w:r>
              <w:rPr>
                <w:rFonts w:hint="default" w:ascii="Times New Roman" w:hAnsi="Times New Roman" w:eastAsia="宋体" w:cs="Times New Roman"/>
                <w:color w:val="auto"/>
                <w:sz w:val="21"/>
                <w:szCs w:val="21"/>
                <w:highlight w:val="none"/>
                <w:shd w:val="clear" w:color="auto" w:fill="auto"/>
              </w:rPr>
              <w:t>选用低噪声设备，采取减振、隔声、消声等降噪措施</w:t>
            </w:r>
            <w:r>
              <w:rPr>
                <w:rFonts w:hint="default" w:ascii="Times New Roman" w:hAnsi="Times New Roman" w:cs="Times New Roman"/>
                <w:color w:val="auto"/>
                <w:sz w:val="21"/>
                <w:szCs w:val="21"/>
                <w:highlight w:val="none"/>
                <w:shd w:val="clear" w:color="auto" w:fill="auto"/>
                <w:lang w:eastAsia="zh-CN"/>
              </w:rPr>
              <w:t>。</w:t>
            </w:r>
          </w:p>
        </w:tc>
      </w:tr>
    </w:tbl>
    <w:p>
      <w:pPr>
        <w:pStyle w:val="49"/>
        <w:rPr>
          <w:rFonts w:eastAsia="宋体"/>
          <w:color w:val="auto"/>
          <w:highlight w:val="none"/>
        </w:rPr>
      </w:pPr>
      <w:bookmarkStart w:id="925" w:name="_Toc173942724"/>
      <w:bookmarkStart w:id="926" w:name="_Toc8346"/>
      <w:bookmarkStart w:id="927" w:name="_Toc173942007"/>
      <w:bookmarkStart w:id="928" w:name="_Toc173941770"/>
      <w:bookmarkStart w:id="929" w:name="_Toc8480"/>
      <w:bookmarkStart w:id="930" w:name="_Toc6017"/>
      <w:r>
        <w:rPr>
          <w:rFonts w:hint="eastAsia"/>
          <w:color w:val="auto"/>
          <w:highlight w:val="none"/>
        </w:rPr>
        <w:t>10</w:t>
      </w:r>
      <w:r>
        <w:rPr>
          <w:color w:val="auto"/>
          <w:highlight w:val="none"/>
        </w:rPr>
        <w:t>.</w:t>
      </w:r>
      <w:r>
        <w:rPr>
          <w:rFonts w:hint="eastAsia"/>
          <w:color w:val="auto"/>
          <w:highlight w:val="none"/>
        </w:rPr>
        <w:t>5</w:t>
      </w:r>
      <w:bookmarkEnd w:id="925"/>
      <w:bookmarkEnd w:id="926"/>
      <w:bookmarkEnd w:id="927"/>
      <w:bookmarkEnd w:id="928"/>
      <w:r>
        <w:rPr>
          <w:rFonts w:hint="eastAsia"/>
          <w:color w:val="auto"/>
          <w:highlight w:val="none"/>
        </w:rPr>
        <w:t>主要环境影响</w:t>
      </w:r>
      <w:bookmarkEnd w:id="929"/>
      <w:bookmarkEnd w:id="930"/>
    </w:p>
    <w:p>
      <w:pPr>
        <w:pStyle w:val="57"/>
        <w:rPr>
          <w:color w:val="auto"/>
          <w:highlight w:val="none"/>
        </w:rPr>
      </w:pPr>
      <w:r>
        <w:rPr>
          <w:color w:val="auto"/>
          <w:highlight w:val="none"/>
        </w:rPr>
        <w:t>（1）生态环境影响分析</w:t>
      </w:r>
    </w:p>
    <w:p>
      <w:pPr>
        <w:pStyle w:val="57"/>
        <w:rPr>
          <w:color w:val="auto"/>
          <w:highlight w:val="none"/>
        </w:rPr>
      </w:pPr>
      <w:r>
        <w:rPr>
          <w:rFonts w:hint="eastAsia"/>
          <w:color w:val="auto"/>
          <w:highlight w:val="none"/>
        </w:rPr>
        <w:t>本工程</w:t>
      </w:r>
      <w:r>
        <w:rPr>
          <w:color w:val="auto"/>
          <w:highlight w:val="none"/>
        </w:rPr>
        <w:t>不涉及</w:t>
      </w:r>
      <w:r>
        <w:rPr>
          <w:rFonts w:hint="eastAsia"/>
          <w:color w:val="auto"/>
          <w:highlight w:val="none"/>
        </w:rPr>
        <w:t>法定生态保护区域、重要生境以及其他具有重要生态功能、对保护生物多样性具有重要意义的区域。生态保护目标主要为基本农田、区域重要物种、水土流失重点治理区</w:t>
      </w:r>
      <w:r>
        <w:rPr>
          <w:color w:val="auto"/>
          <w:highlight w:val="none"/>
        </w:rPr>
        <w:t>，对生态环境的影响主要来自</w:t>
      </w:r>
      <w:r>
        <w:rPr>
          <w:rFonts w:hint="eastAsia"/>
          <w:color w:val="auto"/>
          <w:highlight w:val="none"/>
        </w:rPr>
        <w:t>施工期</w:t>
      </w:r>
      <w:r>
        <w:rPr>
          <w:color w:val="auto"/>
          <w:highlight w:val="none"/>
        </w:rPr>
        <w:t>占地影响，项目</w:t>
      </w:r>
      <w:r>
        <w:rPr>
          <w:rFonts w:hint="eastAsia"/>
          <w:color w:val="auto"/>
          <w:highlight w:val="none"/>
        </w:rPr>
        <w:t>总占地</w:t>
      </w:r>
      <w:r>
        <w:rPr>
          <w:rFonts w:hint="eastAsia"/>
          <w:color w:val="auto"/>
          <w:highlight w:val="none"/>
          <w:lang w:eastAsia="zh-CN"/>
        </w:rPr>
        <w:t>51.696</w:t>
      </w:r>
      <w:r>
        <w:rPr>
          <w:rFonts w:hint="eastAsia"/>
          <w:color w:val="auto"/>
          <w:highlight w:val="none"/>
        </w:rPr>
        <w:t>公顷，其中</w:t>
      </w:r>
      <w:r>
        <w:rPr>
          <w:color w:val="auto"/>
          <w:highlight w:val="none"/>
        </w:rPr>
        <w:t>永久性占地面积为</w:t>
      </w:r>
      <w:r>
        <w:rPr>
          <w:rFonts w:hint="eastAsia"/>
          <w:color w:val="auto"/>
          <w:highlight w:val="none"/>
          <w:lang w:val="en-US" w:eastAsia="zh-CN"/>
        </w:rPr>
        <w:t>3.176</w:t>
      </w:r>
      <w:r>
        <w:rPr>
          <w:color w:val="auto"/>
          <w:highlight w:val="none"/>
        </w:rPr>
        <w:t>公顷，临时占地面积</w:t>
      </w:r>
      <w:r>
        <w:rPr>
          <w:rFonts w:hint="eastAsia"/>
          <w:color w:val="auto"/>
          <w:highlight w:val="none"/>
          <w:lang w:eastAsia="zh-CN"/>
        </w:rPr>
        <w:t>48.52</w:t>
      </w:r>
      <w:r>
        <w:rPr>
          <w:color w:val="auto"/>
          <w:highlight w:val="none"/>
        </w:rPr>
        <w:t>公顷，占地类型主要为</w:t>
      </w:r>
      <w:r>
        <w:rPr>
          <w:rFonts w:hint="eastAsia"/>
          <w:color w:val="auto"/>
          <w:highlight w:val="none"/>
          <w:lang w:val="en-US" w:eastAsia="zh-CN"/>
        </w:rPr>
        <w:t>其他草地</w:t>
      </w:r>
      <w:r>
        <w:rPr>
          <w:rFonts w:hint="eastAsia"/>
          <w:color w:val="auto"/>
          <w:highlight w:val="none"/>
        </w:rPr>
        <w:t>、裸地</w:t>
      </w:r>
      <w:r>
        <w:rPr>
          <w:rFonts w:hint="eastAsia"/>
          <w:color w:val="auto"/>
          <w:highlight w:val="none"/>
          <w:lang w:eastAsia="zh-CN"/>
        </w:rPr>
        <w:t>、</w:t>
      </w:r>
      <w:r>
        <w:rPr>
          <w:rFonts w:hint="eastAsia"/>
          <w:color w:val="auto"/>
          <w:highlight w:val="none"/>
          <w:lang w:val="en-US" w:eastAsia="zh-CN"/>
        </w:rPr>
        <w:t>采矿用地、灌木林地、盐碱地</w:t>
      </w:r>
      <w:r>
        <w:rPr>
          <w:rFonts w:hint="eastAsia"/>
          <w:color w:val="auto"/>
          <w:highlight w:val="none"/>
        </w:rPr>
        <w:t>等，施工结束后，随着生态补偿或生态恢复措施的实施，临时性工程用地扰动区内的原有植被逐渐恢复，临时占地影响将逐渐减小。在规范施工以及严格按照相关部门的要求对占用</w:t>
      </w:r>
      <w:r>
        <w:rPr>
          <w:rFonts w:hint="eastAsia"/>
          <w:color w:val="auto"/>
          <w:highlight w:val="none"/>
          <w:lang w:val="en-US" w:eastAsia="zh-CN"/>
        </w:rPr>
        <w:t>土地</w:t>
      </w:r>
      <w:r>
        <w:rPr>
          <w:rFonts w:hint="eastAsia"/>
          <w:color w:val="auto"/>
          <w:highlight w:val="none"/>
        </w:rPr>
        <w:t>采取相应补偿措施后，本工程的建设对区域生态影响在可接受范围内。区域的野生动物种类较少，少有大型野生动物在本区域出现，项目对野生动物的影响较小。项目建设在采取严格的环境保护措施后，生态环境影响可接受</w:t>
      </w:r>
      <w:r>
        <w:rPr>
          <w:color w:val="auto"/>
          <w:highlight w:val="none"/>
        </w:rPr>
        <w:t>。</w:t>
      </w:r>
    </w:p>
    <w:p>
      <w:pPr>
        <w:pStyle w:val="57"/>
        <w:rPr>
          <w:color w:val="auto"/>
          <w:highlight w:val="none"/>
        </w:rPr>
      </w:pPr>
      <w:r>
        <w:rPr>
          <w:color w:val="auto"/>
          <w:highlight w:val="none"/>
        </w:rPr>
        <w:t>（</w:t>
      </w:r>
      <w:r>
        <w:rPr>
          <w:rFonts w:hint="eastAsia"/>
          <w:color w:val="auto"/>
          <w:highlight w:val="none"/>
        </w:rPr>
        <w:t>2</w:t>
      </w:r>
      <w:r>
        <w:rPr>
          <w:color w:val="auto"/>
          <w:highlight w:val="none"/>
        </w:rPr>
        <w:t>）</w:t>
      </w:r>
      <w:r>
        <w:rPr>
          <w:rFonts w:hint="eastAsia"/>
          <w:color w:val="auto"/>
          <w:highlight w:val="none"/>
        </w:rPr>
        <w:t>地下水</w:t>
      </w:r>
      <w:r>
        <w:rPr>
          <w:color w:val="auto"/>
          <w:highlight w:val="none"/>
        </w:rPr>
        <w:t>环境影响分析</w:t>
      </w:r>
    </w:p>
    <w:p>
      <w:pPr>
        <w:pStyle w:val="57"/>
        <w:rPr>
          <w:color w:val="auto"/>
          <w:highlight w:val="none"/>
        </w:rPr>
      </w:pPr>
      <w:r>
        <w:rPr>
          <w:rFonts w:hint="eastAsia"/>
          <w:color w:val="auto"/>
          <w:highlight w:val="none"/>
        </w:rPr>
        <w:t>在正常状况下，本工程在设计、施工和运行时，严把质量验收关，杜绝因管道材质、制管、防腐涂层、焊接缺陷及运行失误而造成管线泄漏。在生产运行过程中，强化监控手段，定期检查检验，检漏控漏，尽量杜绝事故性排放源的存在，本工程对地下水环境的影响较小；在非正常状况下，在及时采取水污染应急控制措施后，本工程对水环境的影响属可接受范围。</w:t>
      </w:r>
    </w:p>
    <w:p>
      <w:pPr>
        <w:pStyle w:val="57"/>
        <w:rPr>
          <w:color w:val="auto"/>
          <w:highlight w:val="none"/>
        </w:rPr>
      </w:pPr>
      <w:r>
        <w:rPr>
          <w:rFonts w:hint="eastAsia"/>
          <w:color w:val="auto"/>
          <w:highlight w:val="none"/>
        </w:rPr>
        <w:t>（5）地表水环境影响分析</w:t>
      </w:r>
    </w:p>
    <w:p>
      <w:pPr>
        <w:pStyle w:val="57"/>
        <w:ind w:firstLine="496"/>
        <w:rPr>
          <w:color w:val="auto"/>
          <w:highlight w:val="none"/>
        </w:rPr>
      </w:pPr>
      <w:r>
        <w:rPr>
          <w:color w:val="auto"/>
          <w:spacing w:val="4"/>
          <w:kern w:val="24"/>
          <w:highlight w:val="none"/>
        </w:rPr>
        <w:t>施工期废水不外排。运营期</w:t>
      </w:r>
      <w:r>
        <w:rPr>
          <w:color w:val="auto"/>
          <w:highlight w:val="none"/>
        </w:rPr>
        <w:t>水环境影响主要为</w:t>
      </w:r>
      <w:r>
        <w:rPr>
          <w:rFonts w:hint="eastAsia"/>
          <w:color w:val="auto"/>
          <w:highlight w:val="none"/>
          <w:lang w:val="en-US" w:eastAsia="zh-CN"/>
        </w:rPr>
        <w:t>页岩油</w:t>
      </w:r>
      <w:r>
        <w:rPr>
          <w:color w:val="auto"/>
          <w:highlight w:val="none"/>
        </w:rPr>
        <w:t>开采过程中的采出水和井下作业废水。采出水经</w:t>
      </w:r>
      <w:r>
        <w:rPr>
          <w:rFonts w:hint="eastAsia"/>
          <w:color w:val="auto"/>
          <w:highlight w:val="none"/>
          <w:lang w:eastAsia="zh-CN"/>
        </w:rPr>
        <w:t>风城二号稠油处理站</w:t>
      </w:r>
      <w:r>
        <w:rPr>
          <w:rFonts w:hint="eastAsia"/>
          <w:color w:val="auto"/>
          <w:highlight w:val="none"/>
        </w:rPr>
        <w:t>污水处理系统</w:t>
      </w:r>
      <w:r>
        <w:rPr>
          <w:color w:val="auto"/>
          <w:highlight w:val="none"/>
        </w:rPr>
        <w:t>处理达到</w:t>
      </w:r>
      <w:r>
        <w:rPr>
          <w:rFonts w:hint="eastAsia"/>
          <w:color w:val="auto"/>
          <w:highlight w:val="none"/>
        </w:rPr>
        <w:t>《碎屑岩油藏注水水质指标技术要求及分析方法》（SY/T5329-2022）</w:t>
      </w:r>
      <w:r>
        <w:rPr>
          <w:color w:val="auto"/>
          <w:highlight w:val="none"/>
        </w:rPr>
        <w:t>中的有关标准后回注</w:t>
      </w:r>
      <w:r>
        <w:rPr>
          <w:rFonts w:hint="eastAsia"/>
          <w:color w:val="auto"/>
          <w:highlight w:val="none"/>
        </w:rPr>
        <w:t>地</w:t>
      </w:r>
      <w:r>
        <w:rPr>
          <w:color w:val="auto"/>
          <w:highlight w:val="none"/>
        </w:rPr>
        <w:t>层；井下作业废水</w:t>
      </w:r>
      <w:r>
        <w:rPr>
          <w:rFonts w:hint="eastAsia"/>
          <w:color w:val="auto"/>
          <w:spacing w:val="-3"/>
          <w:highlight w:val="none"/>
        </w:rPr>
        <w:t>采用专用回收罐收集后运至</w:t>
      </w:r>
      <w:r>
        <w:rPr>
          <w:rFonts w:hint="eastAsia"/>
          <w:color w:val="auto"/>
          <w:spacing w:val="-3"/>
          <w:highlight w:val="none"/>
          <w:lang w:eastAsia="zh-CN"/>
        </w:rPr>
        <w:t>风城二号稠油联合站</w:t>
      </w:r>
      <w:r>
        <w:rPr>
          <w:rFonts w:hint="eastAsia"/>
          <w:color w:val="auto"/>
          <w:spacing w:val="-3"/>
          <w:highlight w:val="none"/>
        </w:rPr>
        <w:t>处理</w:t>
      </w:r>
      <w:r>
        <w:rPr>
          <w:color w:val="auto"/>
          <w:highlight w:val="none"/>
        </w:rPr>
        <w:t>。</w:t>
      </w:r>
    </w:p>
    <w:p>
      <w:pPr>
        <w:pStyle w:val="57"/>
        <w:rPr>
          <w:color w:val="auto"/>
          <w:highlight w:val="none"/>
        </w:rPr>
      </w:pPr>
      <w:r>
        <w:rPr>
          <w:color w:val="auto"/>
          <w:highlight w:val="none"/>
        </w:rPr>
        <w:t>（</w:t>
      </w:r>
      <w:r>
        <w:rPr>
          <w:rFonts w:hint="eastAsia"/>
          <w:color w:val="auto"/>
          <w:highlight w:val="none"/>
        </w:rPr>
        <w:t>4</w:t>
      </w:r>
      <w:r>
        <w:rPr>
          <w:color w:val="auto"/>
          <w:highlight w:val="none"/>
        </w:rPr>
        <w:t>）土壤影响分析</w:t>
      </w:r>
    </w:p>
    <w:p>
      <w:pPr>
        <w:pStyle w:val="57"/>
        <w:rPr>
          <w:color w:val="auto"/>
          <w:highlight w:val="none"/>
        </w:rPr>
      </w:pPr>
      <w:r>
        <w:rPr>
          <w:rFonts w:hint="eastAsia"/>
          <w:color w:val="auto"/>
          <w:highlight w:val="none"/>
        </w:rPr>
        <w:t>施工期对土壤质量的影响主要为人为扰动、车辆行驶和机械施工、各种废弃物污染影响；本工程采用密闭集输的生产方式，正常工况下无废水及固废等污染物外排，不会造成土壤环境污染。非正常工况下如果发生</w:t>
      </w:r>
      <w:r>
        <w:rPr>
          <w:rFonts w:hint="eastAsia"/>
          <w:color w:val="auto"/>
          <w:highlight w:val="none"/>
          <w:lang w:val="en-US" w:eastAsia="zh-CN"/>
        </w:rPr>
        <w:t>集输</w:t>
      </w:r>
      <w:r>
        <w:rPr>
          <w:rFonts w:hint="eastAsia"/>
          <w:color w:val="auto"/>
          <w:highlight w:val="none"/>
        </w:rPr>
        <w:t>管线</w:t>
      </w:r>
      <w:r>
        <w:rPr>
          <w:rFonts w:hint="eastAsia"/>
          <w:color w:val="auto"/>
          <w:highlight w:val="none"/>
          <w:lang w:eastAsia="zh-CN"/>
        </w:rPr>
        <w:t>、</w:t>
      </w:r>
      <w:r>
        <w:rPr>
          <w:rFonts w:hint="eastAsia"/>
          <w:color w:val="auto"/>
          <w:highlight w:val="none"/>
          <w:lang w:val="en-US" w:eastAsia="zh-CN"/>
        </w:rPr>
        <w:t>站场设备</w:t>
      </w:r>
      <w:r>
        <w:rPr>
          <w:rFonts w:hint="eastAsia"/>
          <w:color w:val="auto"/>
          <w:highlight w:val="none"/>
        </w:rPr>
        <w:t>泄漏等事故，泄漏的采出水会对土壤环境产生一定的影响，改变土壤理化性质，从而</w:t>
      </w:r>
      <w:r>
        <w:rPr>
          <w:rFonts w:hint="eastAsia"/>
          <w:color w:val="auto"/>
          <w:highlight w:val="none"/>
          <w:lang w:eastAsia="zh-CN"/>
        </w:rPr>
        <w:t>影响</w:t>
      </w:r>
      <w:r>
        <w:rPr>
          <w:rFonts w:hint="eastAsia"/>
          <w:color w:val="auto"/>
          <w:highlight w:val="none"/>
        </w:rPr>
        <w:t>土地功能，进而影响地表植被的生长。根据环境风险分析可知，本工程风险潜势很低，发生泄漏事故的可能性很小，在做好源头控制、过程防控等措施的前提下，可避免工程项目实施对土壤环境产生污染影响</w:t>
      </w:r>
      <w:r>
        <w:rPr>
          <w:color w:val="auto"/>
          <w:highlight w:val="none"/>
        </w:rPr>
        <w:t>。</w:t>
      </w:r>
    </w:p>
    <w:p>
      <w:pPr>
        <w:pStyle w:val="57"/>
        <w:rPr>
          <w:color w:val="auto"/>
          <w:highlight w:val="none"/>
        </w:rPr>
      </w:pPr>
      <w:r>
        <w:rPr>
          <w:color w:val="auto"/>
          <w:highlight w:val="none"/>
        </w:rPr>
        <w:t>（</w:t>
      </w:r>
      <w:r>
        <w:rPr>
          <w:rFonts w:hint="eastAsia"/>
          <w:color w:val="auto"/>
          <w:highlight w:val="none"/>
        </w:rPr>
        <w:t>5</w:t>
      </w:r>
      <w:r>
        <w:rPr>
          <w:color w:val="auto"/>
          <w:highlight w:val="none"/>
        </w:rPr>
        <w:t>）大气环境影响分析</w:t>
      </w:r>
    </w:p>
    <w:p>
      <w:pPr>
        <w:pStyle w:val="57"/>
        <w:rPr>
          <w:color w:val="auto"/>
          <w:highlight w:val="none"/>
        </w:rPr>
      </w:pPr>
      <w:r>
        <w:rPr>
          <w:color w:val="auto"/>
          <w:highlight w:val="none"/>
        </w:rPr>
        <w:t>施工期废气</w:t>
      </w:r>
      <w:r>
        <w:rPr>
          <w:rFonts w:hint="eastAsia"/>
          <w:color w:val="auto"/>
          <w:highlight w:val="none"/>
        </w:rPr>
        <w:t>源</w:t>
      </w:r>
      <w:r>
        <w:rPr>
          <w:color w:val="auto"/>
          <w:highlight w:val="none"/>
        </w:rPr>
        <w:t>主要是</w:t>
      </w:r>
      <w:r>
        <w:rPr>
          <w:rFonts w:hint="eastAsia"/>
          <w:color w:val="auto"/>
          <w:highlight w:val="none"/>
        </w:rPr>
        <w:t>施工扬尘、焊接烟气、机械设备和车辆废气</w:t>
      </w:r>
      <w:r>
        <w:rPr>
          <w:color w:val="auto"/>
          <w:highlight w:val="none"/>
        </w:rPr>
        <w:t>，大气影响随工程的结束而逐渐消失。</w:t>
      </w:r>
      <w:r>
        <w:rPr>
          <w:rFonts w:hint="eastAsia"/>
          <w:color w:val="auto"/>
          <w:highlight w:val="none"/>
        </w:rPr>
        <w:t>运营期污染源正常排放下非甲烷总烃短期浓度贡献值的最大浓度占标率小于1</w:t>
      </w:r>
      <w:r>
        <w:rPr>
          <w:rFonts w:hint="eastAsia"/>
          <w:color w:val="auto"/>
          <w:highlight w:val="none"/>
          <w:lang w:val="en-US" w:eastAsia="zh-CN"/>
        </w:rPr>
        <w:t>0</w:t>
      </w:r>
      <w:r>
        <w:rPr>
          <w:rFonts w:hint="eastAsia"/>
          <w:color w:val="auto"/>
          <w:highlight w:val="none"/>
        </w:rPr>
        <w:t>%，污染物的贡献浓度较低，且出现距离较近，影响范围较小。本工程废气污染源对井场、站场四周的贡献浓度均满足相应标准要求。本工程实施后大气环境影响可以接受。</w:t>
      </w:r>
    </w:p>
    <w:p>
      <w:pPr>
        <w:pStyle w:val="57"/>
        <w:rPr>
          <w:color w:val="auto"/>
          <w:highlight w:val="none"/>
        </w:rPr>
      </w:pPr>
      <w:r>
        <w:rPr>
          <w:color w:val="auto"/>
          <w:highlight w:val="none"/>
        </w:rPr>
        <w:t>（</w:t>
      </w:r>
      <w:r>
        <w:rPr>
          <w:rFonts w:hint="eastAsia"/>
          <w:color w:val="auto"/>
          <w:highlight w:val="none"/>
        </w:rPr>
        <w:t>6</w:t>
      </w:r>
      <w:r>
        <w:rPr>
          <w:color w:val="auto"/>
          <w:highlight w:val="none"/>
        </w:rPr>
        <w:t>）声环境影响分析</w:t>
      </w:r>
    </w:p>
    <w:p>
      <w:pPr>
        <w:pStyle w:val="57"/>
        <w:rPr>
          <w:color w:val="auto"/>
          <w:highlight w:val="none"/>
        </w:rPr>
      </w:pPr>
      <w:r>
        <w:rPr>
          <w:rFonts w:hint="eastAsia"/>
          <w:color w:val="auto"/>
          <w:highlight w:val="none"/>
        </w:rPr>
        <w:t>本工程</w:t>
      </w:r>
      <w:r>
        <w:rPr>
          <w:color w:val="auto"/>
          <w:highlight w:val="none"/>
        </w:rPr>
        <w:t>开发建设区域声环境质量现状较好。施工期噪声源均为暂时性的，待施工结束后噪声影响也随之消失，并且项目评价范围内无声环境敏感目标，不会产生噪声扰民问题。运营期，采油井场</w:t>
      </w:r>
      <w:r>
        <w:rPr>
          <w:rFonts w:hint="eastAsia"/>
          <w:color w:val="auto"/>
          <w:highlight w:val="none"/>
          <w:lang w:eastAsia="zh-CN"/>
        </w:rPr>
        <w:t>、</w:t>
      </w:r>
      <w:r>
        <w:rPr>
          <w:rFonts w:hint="eastAsia"/>
          <w:color w:val="auto"/>
          <w:highlight w:val="none"/>
          <w:lang w:val="en-US" w:eastAsia="zh-CN"/>
        </w:rPr>
        <w:t>站场厂</w:t>
      </w:r>
      <w:r>
        <w:rPr>
          <w:color w:val="auto"/>
          <w:highlight w:val="none"/>
        </w:rPr>
        <w:t>界噪声贡献值可满足《工业企业厂界环境噪声排放标准》（GB12348-2008）2类区标准要求。</w:t>
      </w:r>
    </w:p>
    <w:p>
      <w:pPr>
        <w:pStyle w:val="57"/>
        <w:rPr>
          <w:color w:val="auto"/>
          <w:highlight w:val="none"/>
        </w:rPr>
      </w:pPr>
      <w:r>
        <w:rPr>
          <w:color w:val="auto"/>
          <w:highlight w:val="none"/>
        </w:rPr>
        <w:t>（</w:t>
      </w:r>
      <w:r>
        <w:rPr>
          <w:rFonts w:hint="eastAsia"/>
          <w:color w:val="auto"/>
          <w:highlight w:val="none"/>
        </w:rPr>
        <w:t>7</w:t>
      </w:r>
      <w:r>
        <w:rPr>
          <w:color w:val="auto"/>
          <w:highlight w:val="none"/>
        </w:rPr>
        <w:t>）固体废物影响分析</w:t>
      </w:r>
    </w:p>
    <w:p>
      <w:pPr>
        <w:pStyle w:val="57"/>
        <w:rPr>
          <w:color w:val="auto"/>
          <w:highlight w:val="none"/>
        </w:rPr>
      </w:pPr>
      <w:r>
        <w:rPr>
          <w:rFonts w:hint="eastAsia"/>
          <w:color w:val="auto"/>
          <w:sz w:val="24"/>
          <w:szCs w:val="24"/>
          <w:highlight w:val="none"/>
          <w:shd w:val="clear" w:color="auto" w:fill="auto"/>
        </w:rPr>
        <w:t>本工程新钻井井身结构为</w:t>
      </w:r>
      <w:r>
        <w:rPr>
          <w:rFonts w:hint="eastAsia"/>
          <w:color w:val="auto"/>
          <w:sz w:val="24"/>
          <w:szCs w:val="24"/>
          <w:highlight w:val="none"/>
          <w:shd w:val="clear" w:color="auto" w:fill="auto"/>
          <w:lang w:val="en-US" w:eastAsia="zh-CN"/>
        </w:rPr>
        <w:t>三</w:t>
      </w:r>
      <w:r>
        <w:rPr>
          <w:rFonts w:hint="eastAsia"/>
          <w:color w:val="auto"/>
          <w:sz w:val="24"/>
          <w:szCs w:val="24"/>
          <w:highlight w:val="none"/>
          <w:shd w:val="clear" w:color="auto" w:fill="auto"/>
        </w:rPr>
        <w:t>开，</w:t>
      </w:r>
      <w:r>
        <w:rPr>
          <w:rFonts w:hint="eastAsia"/>
          <w:color w:val="auto"/>
          <w:spacing w:val="-6"/>
          <w:sz w:val="24"/>
          <w:highlight w:val="none"/>
          <w:shd w:val="clear" w:color="auto" w:fill="auto"/>
          <w:lang w:val="en-US" w:eastAsia="zh-CN"/>
        </w:rPr>
        <w:t>一开、二开水基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rPr>
        <w:t>分离后的固相暂存于岩屑储罐，委托第三方处置单位进行处理，处理后经检测满足《油气田钻井固体废物综合利用污染控制要求》（DB65/T3997-2017）中相关标准要求后综合利用</w:t>
      </w:r>
      <w:r>
        <w:rPr>
          <w:rFonts w:hint="eastAsia"/>
          <w:color w:val="auto"/>
          <w:spacing w:val="-6"/>
          <w:sz w:val="24"/>
          <w:highlight w:val="none"/>
          <w:shd w:val="clear" w:color="auto" w:fill="auto"/>
          <w:lang w:eastAsia="zh-CN"/>
        </w:rPr>
        <w:t>；</w:t>
      </w:r>
      <w:r>
        <w:rPr>
          <w:rFonts w:hint="eastAsia"/>
          <w:color w:val="auto"/>
          <w:spacing w:val="-6"/>
          <w:sz w:val="24"/>
          <w:highlight w:val="none"/>
          <w:shd w:val="clear" w:color="auto" w:fill="auto"/>
          <w:lang w:val="en-US" w:eastAsia="zh-CN"/>
        </w:rPr>
        <w:t>三开油基</w:t>
      </w:r>
      <w:r>
        <w:rPr>
          <w:rFonts w:hint="eastAsia"/>
          <w:color w:val="auto"/>
          <w:spacing w:val="-6"/>
          <w:sz w:val="24"/>
          <w:highlight w:val="none"/>
          <w:shd w:val="clear" w:color="auto" w:fill="auto"/>
        </w:rPr>
        <w:t>钻井泥浆及岩屑经泥浆不落地系统处理后，液相泥浆进罐收集，循环使用</w:t>
      </w:r>
      <w:r>
        <w:rPr>
          <w:rFonts w:hint="eastAsia"/>
          <w:color w:val="auto"/>
          <w:spacing w:val="-6"/>
          <w:sz w:val="24"/>
          <w:highlight w:val="none"/>
          <w:shd w:val="clear" w:color="auto" w:fill="auto"/>
          <w:lang w:eastAsia="zh-CN"/>
        </w:rPr>
        <w:t>，完井后剩余泥浆由钻井液分公司回收；</w:t>
      </w:r>
      <w:r>
        <w:rPr>
          <w:rFonts w:hint="eastAsia"/>
          <w:color w:val="auto"/>
          <w:spacing w:val="-6"/>
          <w:sz w:val="24"/>
          <w:highlight w:val="none"/>
          <w:shd w:val="clear" w:color="auto" w:fill="auto"/>
          <w:lang w:val="en-US" w:eastAsia="zh-CN"/>
        </w:rPr>
        <w:t>分离后的固相</w:t>
      </w:r>
      <w:r>
        <w:rPr>
          <w:rFonts w:hint="eastAsia" w:ascii="Times New Roman" w:hAnsi="Times New Roman" w:eastAsia="宋体" w:cs="Times New Roman"/>
          <w:color w:val="auto"/>
          <w:spacing w:val="-6"/>
          <w:sz w:val="24"/>
          <w:highlight w:val="none"/>
          <w:shd w:val="clear" w:color="auto" w:fill="auto"/>
          <w:lang w:val="en-US"/>
        </w:rPr>
        <w:t>暂存于</w:t>
      </w:r>
      <w:r>
        <w:rPr>
          <w:rFonts w:hint="eastAsia" w:ascii="Times New Roman" w:hAnsi="Times New Roman" w:eastAsia="宋体" w:cs="Times New Roman"/>
          <w:color w:val="auto"/>
          <w:spacing w:val="-6"/>
          <w:sz w:val="24"/>
          <w:highlight w:val="none"/>
          <w:shd w:val="clear" w:color="auto" w:fill="auto"/>
          <w:lang w:val="en-US" w:eastAsia="zh-CN"/>
        </w:rPr>
        <w:t>专用油基</w:t>
      </w:r>
      <w:r>
        <w:rPr>
          <w:rFonts w:hint="eastAsia" w:ascii="Times New Roman" w:hAnsi="Times New Roman" w:eastAsia="宋体" w:cs="Times New Roman"/>
          <w:color w:val="auto"/>
          <w:spacing w:val="-6"/>
          <w:sz w:val="24"/>
          <w:highlight w:val="none"/>
          <w:shd w:val="clear" w:color="auto" w:fill="auto"/>
          <w:lang w:val="en-US"/>
        </w:rPr>
        <w:t>岩屑储罐</w:t>
      </w:r>
      <w:r>
        <w:rPr>
          <w:rFonts w:hint="eastAsia" w:ascii="Times New Roman" w:hAnsi="Times New Roman" w:eastAsia="宋体" w:cs="Times New Roman"/>
          <w:color w:val="auto"/>
          <w:spacing w:val="-6"/>
          <w:sz w:val="24"/>
          <w:highlight w:val="none"/>
          <w:shd w:val="clear" w:color="auto" w:fill="auto"/>
          <w:lang w:val="en-US" w:eastAsia="zh-CN"/>
        </w:rPr>
        <w:t>，委托有相应危险废物处理资质的单位进行无害化处理。</w:t>
      </w:r>
    </w:p>
    <w:p>
      <w:pPr>
        <w:pStyle w:val="57"/>
        <w:ind w:left="0" w:leftChars="0" w:firstLine="480" w:firstLineChars="200"/>
        <w:rPr>
          <w:color w:val="auto"/>
          <w:highlight w:val="none"/>
        </w:rPr>
      </w:pPr>
      <w:r>
        <w:rPr>
          <w:rFonts w:hint="eastAsia"/>
          <w:color w:val="auto"/>
          <w:highlight w:val="none"/>
          <w:lang w:val="en-US" w:eastAsia="zh-CN"/>
        </w:rPr>
        <w:t>井场、</w:t>
      </w:r>
      <w:r>
        <w:rPr>
          <w:rFonts w:hint="eastAsia"/>
          <w:color w:val="auto"/>
          <w:highlight w:val="none"/>
        </w:rPr>
        <w:t>站场平整、管沟开挖产生土方用于为井、站场回填、管沟回填，无弃方；施工废料应首先考虑回收利用，不可回收利用部分收集后</w:t>
      </w:r>
      <w:r>
        <w:rPr>
          <w:color w:val="auto"/>
          <w:highlight w:val="none"/>
        </w:rPr>
        <w:t>拉运</w:t>
      </w:r>
      <w:r>
        <w:rPr>
          <w:rFonts w:hint="eastAsia"/>
          <w:color w:val="auto"/>
          <w:highlight w:val="none"/>
          <w:lang w:eastAsia="zh-CN"/>
        </w:rPr>
        <w:t>克拉玛依市建筑垃圾填埋场</w:t>
      </w:r>
      <w:r>
        <w:rPr>
          <w:color w:val="auto"/>
          <w:highlight w:val="none"/>
        </w:rPr>
        <w:t>进行处置。生活垃圾集中收集后定期</w:t>
      </w:r>
      <w:r>
        <w:rPr>
          <w:rFonts w:hint="eastAsia"/>
          <w:color w:val="auto"/>
          <w:highlight w:val="none"/>
        </w:rPr>
        <w:t>清理运送</w:t>
      </w:r>
      <w:r>
        <w:rPr>
          <w:rFonts w:hint="eastAsia"/>
          <w:color w:val="auto"/>
          <w:highlight w:val="none"/>
          <w:lang w:eastAsia="zh-CN"/>
        </w:rPr>
        <w:t>至</w:t>
      </w:r>
      <w:bookmarkStart w:id="931" w:name="OLE_LINK100"/>
      <w:r>
        <w:rPr>
          <w:rFonts w:hint="eastAsia"/>
          <w:color w:val="auto"/>
          <w:sz w:val="24"/>
          <w:szCs w:val="24"/>
          <w:highlight w:val="none"/>
          <w:shd w:val="clear" w:color="auto" w:fill="auto"/>
          <w:lang w:eastAsia="zh-CN"/>
        </w:rPr>
        <w:t>乌尔禾区生活垃圾填埋场</w:t>
      </w:r>
      <w:bookmarkEnd w:id="931"/>
      <w:r>
        <w:rPr>
          <w:rFonts w:hint="eastAsia"/>
          <w:color w:val="auto"/>
          <w:highlight w:val="none"/>
        </w:rPr>
        <w:t>填埋。</w:t>
      </w:r>
    </w:p>
    <w:p>
      <w:pPr>
        <w:pStyle w:val="57"/>
        <w:pageBreakBefore w:val="0"/>
        <w:kinsoku/>
        <w:wordWrap/>
        <w:overflowPunct/>
        <w:topLinePunct w:val="0"/>
        <w:autoSpaceDE/>
        <w:autoSpaceDN/>
        <w:bidi w:val="0"/>
        <w:spacing w:line="480" w:lineRule="exact"/>
        <w:jc w:val="left"/>
        <w:textAlignment w:val="auto"/>
        <w:rPr>
          <w:color w:val="auto"/>
          <w:highlight w:val="none"/>
        </w:rPr>
      </w:pPr>
      <w:r>
        <w:rPr>
          <w:color w:val="auto"/>
          <w:highlight w:val="none"/>
        </w:rPr>
        <w:t>运营期产生的</w:t>
      </w:r>
      <w:r>
        <w:rPr>
          <w:rFonts w:hint="eastAsia"/>
          <w:color w:val="auto"/>
          <w:highlight w:val="none"/>
        </w:rPr>
        <w:t>固体废物</w:t>
      </w:r>
      <w:r>
        <w:rPr>
          <w:color w:val="auto"/>
          <w:highlight w:val="none"/>
        </w:rPr>
        <w:t>主要有</w:t>
      </w:r>
      <w:r>
        <w:rPr>
          <w:rFonts w:hint="eastAsia" w:ascii="Times New Roman" w:hAnsi="Times New Roman" w:eastAsia="宋体" w:cs="Times New Roman"/>
          <w:color w:val="auto"/>
          <w:sz w:val="24"/>
          <w:szCs w:val="24"/>
          <w:highlight w:val="none"/>
          <w:shd w:val="clear" w:color="auto" w:fill="auto"/>
          <w:lang w:val="en-US" w:eastAsia="zh-CN"/>
        </w:rPr>
        <w:t>油泥（砂）、</w:t>
      </w:r>
      <w:r>
        <w:rPr>
          <w:rFonts w:hint="eastAsia" w:ascii="Times New Roman" w:hAnsi="Times New Roman" w:eastAsia="宋体" w:cs="Times New Roman"/>
          <w:color w:val="auto"/>
          <w:highlight w:val="none"/>
          <w:shd w:val="clear" w:color="auto" w:fill="auto"/>
          <w:lang w:val="en-US" w:eastAsia="zh-CN"/>
        </w:rPr>
        <w:t>清管废渣</w:t>
      </w:r>
      <w:r>
        <w:rPr>
          <w:rFonts w:hint="eastAsia"/>
          <w:color w:val="auto"/>
          <w:highlight w:val="none"/>
          <w:lang w:val="en-US" w:eastAsia="zh-CN"/>
        </w:rPr>
        <w:t>、</w:t>
      </w:r>
      <w:r>
        <w:rPr>
          <w:color w:val="auto"/>
          <w:highlight w:val="none"/>
        </w:rPr>
        <w:t>落地油、</w:t>
      </w:r>
      <w:r>
        <w:rPr>
          <w:rFonts w:hint="eastAsia"/>
          <w:color w:val="auto"/>
          <w:highlight w:val="none"/>
        </w:rPr>
        <w:t>废防渗材料</w:t>
      </w:r>
      <w:r>
        <w:rPr>
          <w:rFonts w:hint="eastAsia"/>
          <w:color w:val="auto"/>
          <w:highlight w:val="none"/>
          <w:lang w:eastAsia="zh-CN"/>
        </w:rPr>
        <w:t>、</w:t>
      </w:r>
      <w:r>
        <w:rPr>
          <w:rFonts w:hint="eastAsia" w:ascii="Times New Roman" w:hAnsi="Times New Roman" w:eastAsia="宋体" w:cs="Times New Roman"/>
          <w:color w:val="auto"/>
          <w:highlight w:val="none"/>
          <w:shd w:val="clear" w:color="auto" w:fill="auto"/>
          <w:lang w:val="en-US" w:eastAsia="zh-CN"/>
        </w:rPr>
        <w:t>废润滑油和清罐底泥</w:t>
      </w:r>
      <w:r>
        <w:rPr>
          <w:rFonts w:hint="eastAsia"/>
          <w:color w:val="auto"/>
          <w:highlight w:val="none"/>
        </w:rPr>
        <w:t>，均属于危险废物</w:t>
      </w:r>
      <w:r>
        <w:rPr>
          <w:color w:val="auto"/>
          <w:highlight w:val="none"/>
        </w:rPr>
        <w:t>。</w:t>
      </w:r>
      <w:r>
        <w:rPr>
          <w:rFonts w:hint="eastAsia"/>
          <w:color w:val="auto"/>
          <w:highlight w:val="none"/>
        </w:rPr>
        <w:t>委托有危废处置资质的单位处置。</w:t>
      </w:r>
    </w:p>
    <w:p>
      <w:pPr>
        <w:pStyle w:val="57"/>
        <w:rPr>
          <w:color w:val="auto"/>
          <w:highlight w:val="none"/>
        </w:rPr>
      </w:pPr>
      <w:r>
        <w:rPr>
          <w:rFonts w:hint="eastAsia"/>
          <w:color w:val="auto"/>
          <w:highlight w:val="none"/>
        </w:rPr>
        <w:t>退役期</w:t>
      </w:r>
      <w:r>
        <w:rPr>
          <w:color w:val="auto"/>
          <w:highlight w:val="none"/>
        </w:rPr>
        <w:t>井场拆除的井架、集输设施、井构筑物等为钢制材料，清洗油污后可回收利用。</w:t>
      </w:r>
    </w:p>
    <w:p>
      <w:pPr>
        <w:pStyle w:val="57"/>
        <w:rPr>
          <w:color w:val="auto"/>
          <w:highlight w:val="none"/>
        </w:rPr>
      </w:pPr>
      <w:r>
        <w:rPr>
          <w:rFonts w:hint="eastAsia"/>
          <w:color w:val="auto"/>
          <w:highlight w:val="none"/>
        </w:rPr>
        <w:t>固体废物在处置和运行管理中严格落实《危险废物贮存污染控制标准》（GB18597-2023）、《一般工业固体废物贮存和填埋污染控制标准》（GB 18599-2020）等相关要求后，对环境所造成的影响可以接受。</w:t>
      </w:r>
    </w:p>
    <w:p>
      <w:pPr>
        <w:pStyle w:val="57"/>
        <w:rPr>
          <w:rStyle w:val="111"/>
          <w:rFonts w:ascii="Times New Roman" w:hAnsi="Times New Roman" w:eastAsia="宋体" w:cs="Times New Roman"/>
          <w:color w:val="auto"/>
          <w:highlight w:val="none"/>
          <w:shd w:val="clear" w:color="auto" w:fill="auto"/>
        </w:rPr>
      </w:pPr>
      <w:r>
        <w:rPr>
          <w:rStyle w:val="111"/>
          <w:rFonts w:ascii="Times New Roman" w:hAnsi="Times New Roman" w:eastAsia="宋体" w:cs="Times New Roman"/>
          <w:color w:val="auto"/>
          <w:highlight w:val="none"/>
          <w:shd w:val="clear" w:color="auto" w:fill="auto"/>
        </w:rPr>
        <w:t>（</w:t>
      </w:r>
      <w:r>
        <w:rPr>
          <w:rStyle w:val="111"/>
          <w:rFonts w:hint="eastAsia" w:ascii="Times New Roman" w:hAnsi="Times New Roman" w:eastAsia="宋体" w:cs="Times New Roman"/>
          <w:color w:val="auto"/>
          <w:highlight w:val="none"/>
          <w:shd w:val="clear" w:color="auto" w:fill="auto"/>
        </w:rPr>
        <w:t>8</w:t>
      </w:r>
      <w:r>
        <w:rPr>
          <w:rStyle w:val="111"/>
          <w:rFonts w:ascii="Times New Roman" w:hAnsi="Times New Roman" w:eastAsia="宋体" w:cs="Times New Roman"/>
          <w:color w:val="auto"/>
          <w:highlight w:val="none"/>
          <w:shd w:val="clear" w:color="auto" w:fill="auto"/>
        </w:rPr>
        <w:t>）环境风险分析</w:t>
      </w:r>
    </w:p>
    <w:p>
      <w:pPr>
        <w:pStyle w:val="57"/>
        <w:rPr>
          <w:rStyle w:val="111"/>
          <w:rFonts w:ascii="Times New Roman" w:hAnsi="Times New Roman" w:eastAsia="宋体" w:cs="Times New Roman"/>
          <w:color w:val="auto"/>
          <w:highlight w:val="none"/>
          <w:shd w:val="clear" w:color="auto" w:fill="auto"/>
        </w:rPr>
      </w:pPr>
      <w:bookmarkStart w:id="932" w:name="_Hlk68080684"/>
      <w:bookmarkStart w:id="933" w:name="_Toc169342380"/>
      <w:bookmarkStart w:id="934" w:name="_Toc146344873"/>
      <w:bookmarkStart w:id="935" w:name="_Toc149456097"/>
      <w:r>
        <w:rPr>
          <w:rStyle w:val="111"/>
          <w:rFonts w:hint="eastAsia" w:ascii="Times New Roman" w:hAnsi="Times New Roman" w:eastAsia="宋体" w:cs="Times New Roman"/>
          <w:color w:val="auto"/>
          <w:highlight w:val="none"/>
          <w:shd w:val="clear" w:color="auto" w:fill="auto"/>
        </w:rPr>
        <w:t>根据工程可研及工程分析以及《建设项目环境风险评价技术导则》（HJ 169-2018）附录B，</w:t>
      </w:r>
      <w:r>
        <w:rPr>
          <w:rStyle w:val="111"/>
          <w:rFonts w:hint="eastAsia" w:ascii="Times New Roman" w:hAnsi="Times New Roman" w:eastAsia="宋体" w:cs="Times New Roman"/>
          <w:color w:val="auto"/>
          <w:highlight w:val="none"/>
          <w:shd w:val="clear" w:color="auto" w:fill="auto"/>
          <w:lang w:eastAsia="zh-CN"/>
        </w:rPr>
        <w:t>本工程</w:t>
      </w:r>
      <w:r>
        <w:rPr>
          <w:rStyle w:val="111"/>
          <w:rFonts w:ascii="Times New Roman" w:hAnsi="Times New Roman" w:eastAsia="宋体" w:cs="Times New Roman"/>
          <w:color w:val="auto"/>
          <w:highlight w:val="none"/>
          <w:shd w:val="clear" w:color="auto" w:fill="auto"/>
        </w:rPr>
        <w:t>所涉及的危险物质包括</w:t>
      </w:r>
      <w:r>
        <w:rPr>
          <w:rStyle w:val="111"/>
          <w:rFonts w:hint="eastAsia" w:ascii="Times New Roman" w:hAnsi="Times New Roman" w:eastAsia="宋体" w:cs="Times New Roman"/>
          <w:color w:val="auto"/>
          <w:highlight w:val="none"/>
          <w:shd w:val="clear" w:color="auto" w:fill="auto"/>
          <w:lang w:eastAsia="zh-CN"/>
        </w:rPr>
        <w:t>原油</w:t>
      </w:r>
      <w:r>
        <w:rPr>
          <w:rStyle w:val="111"/>
          <w:rFonts w:hint="eastAsia" w:ascii="Times New Roman" w:hAnsi="Times New Roman" w:eastAsia="宋体" w:cs="Times New Roman"/>
          <w:color w:val="auto"/>
          <w:highlight w:val="none"/>
          <w:shd w:val="clear" w:color="auto" w:fill="auto"/>
        </w:rPr>
        <w:t>和</w:t>
      </w:r>
      <w:r>
        <w:rPr>
          <w:rStyle w:val="111"/>
          <w:rFonts w:ascii="Times New Roman" w:hAnsi="Times New Roman" w:eastAsia="宋体" w:cs="Times New Roman"/>
          <w:color w:val="auto"/>
          <w:highlight w:val="none"/>
          <w:shd w:val="clear" w:color="auto" w:fill="auto"/>
        </w:rPr>
        <w:t>天然气，可能发生的风险事故包括井场事故、管线</w:t>
      </w:r>
      <w:r>
        <w:rPr>
          <w:rStyle w:val="111"/>
          <w:rFonts w:hint="eastAsia" w:ascii="Times New Roman" w:hAnsi="Times New Roman" w:eastAsia="宋体" w:cs="Times New Roman"/>
          <w:color w:val="auto"/>
          <w:highlight w:val="none"/>
          <w:shd w:val="clear" w:color="auto" w:fill="auto"/>
          <w:lang w:eastAsia="zh-CN"/>
        </w:rPr>
        <w:t>、</w:t>
      </w:r>
      <w:r>
        <w:rPr>
          <w:rStyle w:val="111"/>
          <w:rFonts w:hint="eastAsia" w:ascii="Times New Roman" w:hAnsi="Times New Roman" w:eastAsia="宋体" w:cs="Times New Roman"/>
          <w:color w:val="auto"/>
          <w:highlight w:val="none"/>
          <w:shd w:val="clear" w:color="auto" w:fill="auto"/>
          <w:lang w:val="en-US" w:eastAsia="zh-CN"/>
        </w:rPr>
        <w:t>设备</w:t>
      </w:r>
      <w:r>
        <w:rPr>
          <w:rStyle w:val="111"/>
          <w:rFonts w:hint="eastAsia" w:ascii="Times New Roman" w:hAnsi="Times New Roman" w:eastAsia="宋体" w:cs="Times New Roman"/>
          <w:color w:val="auto"/>
          <w:highlight w:val="none"/>
          <w:shd w:val="clear" w:color="auto" w:fill="auto"/>
          <w:lang w:eastAsia="zh-CN"/>
        </w:rPr>
        <w:t>泄漏事故</w:t>
      </w:r>
      <w:r>
        <w:rPr>
          <w:rStyle w:val="111"/>
          <w:rFonts w:ascii="Times New Roman" w:hAnsi="Times New Roman" w:eastAsia="宋体" w:cs="Times New Roman"/>
          <w:color w:val="auto"/>
          <w:highlight w:val="none"/>
          <w:shd w:val="clear" w:color="auto" w:fill="auto"/>
        </w:rPr>
        <w:t>。</w:t>
      </w:r>
      <w:r>
        <w:rPr>
          <w:rStyle w:val="111"/>
          <w:rFonts w:hint="eastAsia" w:ascii="Times New Roman" w:hAnsi="Times New Roman" w:eastAsia="宋体" w:cs="Times New Roman"/>
          <w:color w:val="auto"/>
          <w:highlight w:val="none"/>
          <w:shd w:val="clear" w:color="auto" w:fill="auto"/>
        </w:rPr>
        <w:t>原油</w:t>
      </w:r>
      <w:r>
        <w:rPr>
          <w:rStyle w:val="111"/>
          <w:rFonts w:ascii="Times New Roman" w:hAnsi="Times New Roman" w:eastAsia="宋体" w:cs="Times New Roman"/>
          <w:color w:val="auto"/>
          <w:highlight w:val="none"/>
          <w:shd w:val="clear" w:color="auto" w:fill="auto"/>
        </w:rPr>
        <w:t>发生泄漏时，对土壤、植被、地下水会产生一定的影响，发生事故后，在严格落实</w:t>
      </w:r>
      <w:r>
        <w:rPr>
          <w:rStyle w:val="111"/>
          <w:rFonts w:hint="eastAsia" w:ascii="Times New Roman" w:hAnsi="Times New Roman" w:eastAsia="宋体" w:cs="Times New Roman"/>
          <w:color w:val="auto"/>
          <w:highlight w:val="none"/>
          <w:shd w:val="clear" w:color="auto" w:fill="auto"/>
        </w:rPr>
        <w:t>本工程</w:t>
      </w:r>
      <w:r>
        <w:rPr>
          <w:rStyle w:val="111"/>
          <w:rFonts w:ascii="Times New Roman" w:hAnsi="Times New Roman" w:eastAsia="宋体" w:cs="Times New Roman"/>
          <w:color w:val="auto"/>
          <w:highlight w:val="none"/>
          <w:shd w:val="clear" w:color="auto" w:fill="auto"/>
        </w:rPr>
        <w:t>提出的风险防范措施的前提下，不会对周围环境产生明显影响；当泄漏事故发生时，及时、彻底清除泄漏油品、被污染的土壤，污染物不会进入地下水中，对地下水水质没有不良影响。做好事故风险防范措施，将事故发生概率减少到最低。</w:t>
      </w:r>
      <w:r>
        <w:rPr>
          <w:rStyle w:val="111"/>
          <w:rFonts w:hint="eastAsia" w:ascii="Times New Roman" w:hAnsi="Times New Roman" w:eastAsia="宋体" w:cs="Times New Roman"/>
          <w:color w:val="auto"/>
          <w:highlight w:val="none"/>
          <w:shd w:val="clear" w:color="auto" w:fill="auto"/>
        </w:rPr>
        <w:t>综上所述，本工程环境风险程度属于可以防控的。</w:t>
      </w:r>
    </w:p>
    <w:p>
      <w:pPr>
        <w:pStyle w:val="57"/>
        <w:rPr>
          <w:color w:val="auto"/>
          <w:highlight w:val="none"/>
        </w:rPr>
      </w:pPr>
      <w:r>
        <w:rPr>
          <w:rFonts w:hint="eastAsia"/>
          <w:color w:val="auto"/>
          <w:highlight w:val="none"/>
        </w:rPr>
        <w:t>本工程应落实各项井场、站场制度，降低井喷、井漏发生概率，本</w:t>
      </w:r>
      <w:r>
        <w:rPr>
          <w:rFonts w:hint="eastAsia"/>
          <w:color w:val="auto"/>
          <w:highlight w:val="none"/>
          <w:lang w:val="en-US" w:eastAsia="zh-CN"/>
        </w:rPr>
        <w:t>项目</w:t>
      </w:r>
      <w:r>
        <w:rPr>
          <w:rFonts w:hint="eastAsia"/>
          <w:color w:val="auto"/>
          <w:highlight w:val="none"/>
        </w:rPr>
        <w:t>所在区域地势平坦，扩散条件较好，发生事故后，及时采取相应的措施，不会对周围环境空气产生明显影响；当泄漏事故发生时，及时采取措施、彻底清除被污染的土壤，污染物不会进入地下水中，对地下水水质没有不良影响。因此，发生事故后，在严格落实本工程提出的风险防范措施的前提下，不会对周围环境产生明显影响；本次评价建议加强日常环境管理及认真落实环境风险预防措施</w:t>
      </w:r>
      <w:r>
        <w:rPr>
          <w:rFonts w:hint="eastAsia"/>
          <w:color w:val="auto"/>
          <w:highlight w:val="none"/>
          <w:lang w:eastAsia="zh-CN"/>
        </w:rPr>
        <w:t>，</w:t>
      </w:r>
      <w:r>
        <w:rPr>
          <w:rFonts w:hint="eastAsia"/>
          <w:color w:val="auto"/>
          <w:highlight w:val="none"/>
        </w:rPr>
        <w:t>编制应急预案并备案，拟建工程实施后，负责实施的</w:t>
      </w:r>
      <w:r>
        <w:rPr>
          <w:rFonts w:hint="eastAsia"/>
          <w:color w:val="auto"/>
          <w:highlight w:val="none"/>
          <w:lang w:eastAsia="zh-CN"/>
        </w:rPr>
        <w:t>风城油田作业区</w:t>
      </w:r>
      <w:r>
        <w:rPr>
          <w:rFonts w:hint="eastAsia"/>
          <w:color w:val="auto"/>
          <w:highlight w:val="none"/>
        </w:rPr>
        <w:t>将结合项目新增建设内容适时修订现行环境风险应急预案。项目在制定严格的事故风险防范措施及应急计划后，可将事故发生概率减少到最低，减小事故造成的损失，环境风险是可防控的。</w:t>
      </w:r>
    </w:p>
    <w:bookmarkEnd w:id="932"/>
    <w:p>
      <w:pPr>
        <w:pStyle w:val="49"/>
        <w:rPr>
          <w:color w:val="auto"/>
          <w:highlight w:val="none"/>
        </w:rPr>
      </w:pPr>
      <w:bookmarkStart w:id="936" w:name="_Toc24348"/>
      <w:bookmarkStart w:id="937" w:name="_Toc173942725"/>
      <w:bookmarkStart w:id="938" w:name="_Toc10186"/>
      <w:bookmarkStart w:id="939" w:name="_Toc173942008"/>
      <w:bookmarkStart w:id="940" w:name="_Toc32248"/>
      <w:bookmarkStart w:id="941" w:name="_Toc173941771"/>
      <w:r>
        <w:rPr>
          <w:rFonts w:hint="eastAsia"/>
          <w:color w:val="auto"/>
          <w:highlight w:val="none"/>
        </w:rPr>
        <w:t>10</w:t>
      </w:r>
      <w:r>
        <w:rPr>
          <w:color w:val="auto"/>
          <w:highlight w:val="none"/>
        </w:rPr>
        <w:t>.</w:t>
      </w:r>
      <w:r>
        <w:rPr>
          <w:rFonts w:hint="eastAsia"/>
          <w:color w:val="auto"/>
          <w:highlight w:val="none"/>
        </w:rPr>
        <w:t>6</w:t>
      </w:r>
      <w:r>
        <w:rPr>
          <w:color w:val="auto"/>
          <w:highlight w:val="none"/>
        </w:rPr>
        <w:t>环境保护措施</w:t>
      </w:r>
      <w:bookmarkEnd w:id="933"/>
      <w:bookmarkEnd w:id="934"/>
      <w:bookmarkEnd w:id="935"/>
      <w:bookmarkEnd w:id="936"/>
      <w:bookmarkEnd w:id="937"/>
      <w:bookmarkEnd w:id="938"/>
      <w:bookmarkEnd w:id="939"/>
      <w:bookmarkEnd w:id="940"/>
      <w:bookmarkEnd w:id="941"/>
    </w:p>
    <w:p>
      <w:pPr>
        <w:pStyle w:val="57"/>
        <w:rPr>
          <w:color w:val="auto"/>
          <w:highlight w:val="none"/>
        </w:rPr>
      </w:pPr>
      <w:r>
        <w:rPr>
          <w:rFonts w:hint="eastAsia"/>
          <w:color w:val="auto"/>
          <w:highlight w:val="none"/>
        </w:rPr>
        <w:t>本工程</w:t>
      </w:r>
      <w:r>
        <w:rPr>
          <w:color w:val="auto"/>
          <w:highlight w:val="none"/>
        </w:rPr>
        <w:t>的主要环境保护措施如下：</w:t>
      </w:r>
    </w:p>
    <w:p>
      <w:pPr>
        <w:pStyle w:val="57"/>
        <w:rPr>
          <w:color w:val="auto"/>
          <w:highlight w:val="none"/>
        </w:rPr>
      </w:pPr>
      <w:r>
        <w:rPr>
          <w:rFonts w:hint="eastAsia"/>
          <w:color w:val="auto"/>
          <w:highlight w:val="none"/>
        </w:rPr>
        <w:t>生态环境保护措施：</w:t>
      </w:r>
      <w:r>
        <w:rPr>
          <w:color w:val="auto"/>
          <w:highlight w:val="none"/>
        </w:rPr>
        <w:t>施工期</w:t>
      </w:r>
      <w:r>
        <w:rPr>
          <w:rFonts w:hint="eastAsia"/>
          <w:color w:val="auto"/>
          <w:highlight w:val="none"/>
        </w:rPr>
        <w:t>进一步</w:t>
      </w:r>
      <w:r>
        <w:rPr>
          <w:color w:val="auto"/>
          <w:highlight w:val="none"/>
        </w:rPr>
        <w:t>优化井场</w:t>
      </w:r>
      <w:r>
        <w:rPr>
          <w:rFonts w:hint="eastAsia"/>
          <w:color w:val="auto"/>
          <w:highlight w:val="none"/>
          <w:lang w:eastAsia="zh-CN"/>
        </w:rPr>
        <w:t>、</w:t>
      </w:r>
      <w:r>
        <w:rPr>
          <w:rFonts w:hint="eastAsia"/>
          <w:color w:val="auto"/>
          <w:highlight w:val="none"/>
          <w:lang w:val="en-US" w:eastAsia="zh-CN"/>
        </w:rPr>
        <w:t>站场</w:t>
      </w:r>
      <w:r>
        <w:rPr>
          <w:color w:val="auto"/>
          <w:highlight w:val="none"/>
        </w:rPr>
        <w:t>和管线选址选线，严格控制占地面积；占地及补偿应按照地方有关工程征地及补偿要求进行，由相关部门许可后方可开工建设；施工期充分利用现有油田道路，尽可能减少道路临时占地，降低对地表和植被的破坏，施工</w:t>
      </w:r>
      <w:r>
        <w:rPr>
          <w:rFonts w:hint="eastAsia"/>
          <w:color w:val="auto"/>
          <w:highlight w:val="none"/>
        </w:rPr>
        <w:t>机械</w:t>
      </w:r>
      <w:r>
        <w:rPr>
          <w:color w:val="auto"/>
          <w:highlight w:val="none"/>
        </w:rPr>
        <w:t>不得在道路以外行驶和作业，保持地表不被扰动，不得随意取弃土；管线施工时应根据地形条件，尽量按地形走向、起伏施工，减少挖填作业量；施工结束后，及时对临时占地区域进行平整、恢复</w:t>
      </w:r>
      <w:r>
        <w:rPr>
          <w:rFonts w:hint="eastAsia"/>
          <w:color w:val="auto"/>
          <w:highlight w:val="none"/>
        </w:rPr>
        <w:t>原貌。</w:t>
      </w:r>
      <w:r>
        <w:rPr>
          <w:color w:val="auto"/>
          <w:highlight w:val="none"/>
        </w:rPr>
        <w:t>运营期，对于永久占地地面采取砾石覆盖措施，减少风蚀量；在管线上方设置标志，以防附近的各类施工活动对管线的破坏；定时巡查井场、管线等，及时清理落地原油；开展生态环境恢复治理工作；设置“保护生态环境、保护野生动植物”等警示牌。退役期，拆除地面设施、清理井场等，拆除的报废设备和建筑废料等由施工单位运至指定位置进行处理；及时清理作业现场，做到“工完、料尽、场地清”，恢复原有地貌；按规范要求对废弃井采取固井、封井措施。</w:t>
      </w:r>
    </w:p>
    <w:p>
      <w:pPr>
        <w:pStyle w:val="57"/>
        <w:rPr>
          <w:color w:val="auto"/>
          <w:highlight w:val="none"/>
        </w:rPr>
      </w:pPr>
      <w:r>
        <w:rPr>
          <w:color w:val="auto"/>
          <w:highlight w:val="none"/>
        </w:rPr>
        <w:t>地下水环境保护</w:t>
      </w:r>
      <w:r>
        <w:rPr>
          <w:rFonts w:hint="eastAsia"/>
          <w:color w:val="auto"/>
          <w:highlight w:val="none"/>
          <w:lang w:val="en-US" w:eastAsia="zh-CN"/>
        </w:rPr>
        <w:t>措施：</w:t>
      </w:r>
      <w:r>
        <w:rPr>
          <w:color w:val="auto"/>
          <w:highlight w:val="none"/>
        </w:rPr>
        <w:t>按照“源头控制、分区防控、污染监控、应急响应”原则采取措施。</w:t>
      </w:r>
    </w:p>
    <w:p>
      <w:pPr>
        <w:pStyle w:val="57"/>
        <w:rPr>
          <w:color w:val="auto"/>
          <w:highlight w:val="none"/>
        </w:rPr>
      </w:pPr>
      <w:r>
        <w:rPr>
          <w:rFonts w:hint="eastAsia"/>
          <w:color w:val="auto"/>
          <w:highlight w:val="none"/>
        </w:rPr>
        <w:t>地表水</w:t>
      </w:r>
      <w:r>
        <w:rPr>
          <w:color w:val="auto"/>
          <w:highlight w:val="none"/>
        </w:rPr>
        <w:t>防治措施：</w:t>
      </w:r>
      <w:r>
        <w:rPr>
          <w:rFonts w:hint="eastAsia"/>
          <w:color w:val="auto"/>
          <w:highlight w:val="none"/>
        </w:rPr>
        <w:t>本工程采出水随</w:t>
      </w:r>
      <w:r>
        <w:rPr>
          <w:rFonts w:hint="eastAsia"/>
          <w:color w:val="auto"/>
          <w:highlight w:val="none"/>
          <w:lang w:val="en-US" w:eastAsia="zh-CN"/>
        </w:rPr>
        <w:t>原油</w:t>
      </w:r>
      <w:r>
        <w:rPr>
          <w:rFonts w:hint="eastAsia"/>
          <w:color w:val="auto"/>
          <w:highlight w:val="none"/>
        </w:rPr>
        <w:t>一起</w:t>
      </w:r>
      <w:r>
        <w:rPr>
          <w:rFonts w:hint="eastAsia"/>
          <w:color w:val="auto"/>
          <w:highlight w:val="none"/>
          <w:lang w:val="en-US" w:eastAsia="zh-CN"/>
        </w:rPr>
        <w:t>拉运至</w:t>
      </w:r>
      <w:r>
        <w:rPr>
          <w:rFonts w:hint="eastAsia"/>
          <w:color w:val="auto"/>
          <w:highlight w:val="none"/>
          <w:lang w:eastAsia="zh-CN"/>
        </w:rPr>
        <w:t>风城二号稠油处理站</w:t>
      </w:r>
      <w:r>
        <w:rPr>
          <w:rFonts w:hint="eastAsia"/>
          <w:color w:val="auto"/>
          <w:highlight w:val="none"/>
        </w:rPr>
        <w:t>处理达标后回注地层；井下作业废水采用专用废水回收罐收集，运至</w:t>
      </w:r>
      <w:r>
        <w:rPr>
          <w:rFonts w:hint="eastAsia"/>
          <w:color w:val="auto"/>
          <w:highlight w:val="none"/>
          <w:lang w:val="en-US" w:eastAsia="zh-CN"/>
        </w:rPr>
        <w:t>风城二号稠油联合站</w:t>
      </w:r>
      <w:r>
        <w:rPr>
          <w:rFonts w:hint="eastAsia"/>
          <w:color w:val="auto"/>
          <w:highlight w:val="none"/>
        </w:rPr>
        <w:t>处理，废水不外排。</w:t>
      </w:r>
    </w:p>
    <w:p>
      <w:pPr>
        <w:pStyle w:val="57"/>
        <w:rPr>
          <w:color w:val="auto"/>
          <w:highlight w:val="none"/>
        </w:rPr>
      </w:pPr>
      <w:r>
        <w:rPr>
          <w:color w:val="auto"/>
          <w:highlight w:val="none"/>
        </w:rPr>
        <w:t>大气污染防治措施：</w:t>
      </w:r>
      <w:r>
        <w:rPr>
          <w:rFonts w:hint="eastAsia"/>
          <w:color w:val="auto"/>
          <w:highlight w:val="none"/>
        </w:rPr>
        <w:t>本工程</w:t>
      </w:r>
      <w:r>
        <w:rPr>
          <w:color w:val="auto"/>
          <w:highlight w:val="none"/>
        </w:rPr>
        <w:t>采用密闭集输流程，采用技术质量可靠的设备、阀门等；定期对</w:t>
      </w:r>
      <w:r>
        <w:rPr>
          <w:rFonts w:hint="eastAsia"/>
          <w:color w:val="auto"/>
          <w:highlight w:val="none"/>
        </w:rPr>
        <w:t>油气生产设施、设备</w:t>
      </w:r>
      <w:r>
        <w:rPr>
          <w:color w:val="auto"/>
          <w:highlight w:val="none"/>
        </w:rPr>
        <w:t>等进行定期的检查、检修，以防止跑、冒、滴、漏的发生。定期对油气集输管线进行巡检，以便及时发现问题，消除事故隐患，防止油气</w:t>
      </w:r>
      <w:r>
        <w:rPr>
          <w:rFonts w:hint="eastAsia"/>
          <w:color w:val="auto"/>
          <w:highlight w:val="none"/>
        </w:rPr>
        <w:t>泄漏</w:t>
      </w:r>
      <w:r>
        <w:rPr>
          <w:color w:val="auto"/>
          <w:highlight w:val="none"/>
        </w:rPr>
        <w:t>进入大气环境。</w:t>
      </w:r>
    </w:p>
    <w:p>
      <w:pPr>
        <w:pStyle w:val="57"/>
        <w:rPr>
          <w:color w:val="auto"/>
          <w:highlight w:val="none"/>
        </w:rPr>
      </w:pPr>
      <w:r>
        <w:rPr>
          <w:color w:val="auto"/>
          <w:highlight w:val="none"/>
        </w:rPr>
        <w:t>噪声防治措施：合理布局噪声源，采用基础减振、隔声等措施，并加强日常维护，减轻设备对外环境和岗位工人的噪声污染。</w:t>
      </w:r>
    </w:p>
    <w:p>
      <w:pPr>
        <w:pStyle w:val="57"/>
        <w:rPr>
          <w:color w:val="auto"/>
          <w:highlight w:val="none"/>
        </w:rPr>
      </w:pPr>
      <w:r>
        <w:rPr>
          <w:color w:val="auto"/>
          <w:highlight w:val="none"/>
        </w:rPr>
        <w:t>固体废物防治措施：</w:t>
      </w:r>
      <w:r>
        <w:rPr>
          <w:rFonts w:hint="eastAsia"/>
          <w:color w:val="auto"/>
          <w:highlight w:val="none"/>
        </w:rPr>
        <w:t>施工废料应首先考虑回收利用，不可回收利用部分收集后</w:t>
      </w:r>
      <w:r>
        <w:rPr>
          <w:color w:val="auto"/>
          <w:highlight w:val="none"/>
        </w:rPr>
        <w:t>拉运</w:t>
      </w:r>
      <w:r>
        <w:rPr>
          <w:rFonts w:hint="eastAsia"/>
          <w:color w:val="auto"/>
          <w:highlight w:val="none"/>
          <w:lang w:eastAsia="zh-CN"/>
        </w:rPr>
        <w:t>克拉玛依市建筑垃圾填埋场</w:t>
      </w:r>
      <w:r>
        <w:rPr>
          <w:color w:val="auto"/>
          <w:highlight w:val="none"/>
        </w:rPr>
        <w:t>进行处置。生活垃圾集中收集后定期</w:t>
      </w:r>
      <w:r>
        <w:rPr>
          <w:rFonts w:hint="eastAsia"/>
          <w:color w:val="auto"/>
          <w:highlight w:val="none"/>
        </w:rPr>
        <w:t>清理运送至</w:t>
      </w:r>
      <w:r>
        <w:rPr>
          <w:rFonts w:hint="eastAsia"/>
          <w:color w:val="auto"/>
          <w:highlight w:val="none"/>
          <w:lang w:eastAsia="zh-CN"/>
        </w:rPr>
        <w:t>乌尔禾区生活垃圾填埋场</w:t>
      </w:r>
      <w:r>
        <w:rPr>
          <w:rFonts w:hint="eastAsia"/>
          <w:color w:val="auto"/>
          <w:highlight w:val="none"/>
        </w:rPr>
        <w:t>填埋，危险废物委托有资质的单位处理</w:t>
      </w:r>
      <w:r>
        <w:rPr>
          <w:color w:val="auto"/>
          <w:highlight w:val="none"/>
        </w:rPr>
        <w:t>。</w:t>
      </w:r>
    </w:p>
    <w:p>
      <w:pPr>
        <w:pStyle w:val="57"/>
        <w:rPr>
          <w:color w:val="auto"/>
          <w:highlight w:val="none"/>
        </w:rPr>
      </w:pPr>
      <w:r>
        <w:rPr>
          <w:color w:val="auto"/>
          <w:highlight w:val="none"/>
        </w:rPr>
        <w:t>土壤污染防治措施：加强管线内的压力、流量传感器检修维护，保障发生管线阀门连接处泄漏及时切断阀门，减少泄漏量；加强日常巡检监管工作，出现泄漏情况能及时发现；加强法兰、阀门连接处腐蚀情况记录管理，避免因老化、腐蚀导致泄漏情况发生。严格执行地下水章节分区防控措施要求。制定跟踪监测计划，发生事故</w:t>
      </w:r>
      <w:r>
        <w:rPr>
          <w:rFonts w:hint="eastAsia"/>
          <w:color w:val="auto"/>
          <w:highlight w:val="none"/>
        </w:rPr>
        <w:t>泄漏</w:t>
      </w:r>
      <w:r>
        <w:rPr>
          <w:color w:val="auto"/>
          <w:highlight w:val="none"/>
        </w:rPr>
        <w:t>时对井口区及集输管线铺设范围可能影响区域进行跟踪监测。</w:t>
      </w:r>
    </w:p>
    <w:p>
      <w:pPr>
        <w:pStyle w:val="57"/>
        <w:rPr>
          <w:color w:val="auto"/>
          <w:highlight w:val="none"/>
        </w:rPr>
      </w:pPr>
      <w:r>
        <w:rPr>
          <w:color w:val="auto"/>
          <w:highlight w:val="none"/>
        </w:rPr>
        <w:t>风险防治措施：做好</w:t>
      </w:r>
      <w:r>
        <w:rPr>
          <w:rFonts w:hint="eastAsia"/>
          <w:color w:val="auto"/>
          <w:highlight w:val="none"/>
          <w:lang w:val="en-US" w:eastAsia="zh-CN"/>
        </w:rPr>
        <w:t>原油、天然气</w:t>
      </w:r>
      <w:r>
        <w:rPr>
          <w:color w:val="auto"/>
          <w:highlight w:val="none"/>
        </w:rPr>
        <w:t>泄漏风险防范</w:t>
      </w:r>
      <w:r>
        <w:rPr>
          <w:rFonts w:hint="eastAsia"/>
          <w:color w:val="auto"/>
          <w:highlight w:val="none"/>
          <w:lang w:val="en-US" w:eastAsia="zh-CN"/>
        </w:rPr>
        <w:t>措施</w:t>
      </w:r>
      <w:r>
        <w:rPr>
          <w:color w:val="auto"/>
          <w:highlight w:val="none"/>
        </w:rPr>
        <w:t>，制定切实可行、有效的应急预案，加之项目发生事故的概率较低，项目建设环境风险水平是</w:t>
      </w:r>
      <w:r>
        <w:rPr>
          <w:rFonts w:hint="eastAsia"/>
          <w:color w:val="auto"/>
          <w:highlight w:val="none"/>
        </w:rPr>
        <w:t>可以</w:t>
      </w:r>
      <w:r>
        <w:rPr>
          <w:color w:val="auto"/>
          <w:highlight w:val="none"/>
        </w:rPr>
        <w:t>接受的。</w:t>
      </w:r>
    </w:p>
    <w:p>
      <w:pPr>
        <w:pStyle w:val="49"/>
        <w:rPr>
          <w:color w:val="auto"/>
          <w:highlight w:val="none"/>
        </w:rPr>
      </w:pPr>
      <w:bookmarkStart w:id="942" w:name="_Toc6032"/>
      <w:bookmarkStart w:id="943" w:name="_Toc31280"/>
      <w:bookmarkStart w:id="944" w:name="_Toc489976941"/>
      <w:bookmarkStart w:id="945" w:name="_Toc173942726"/>
      <w:bookmarkStart w:id="946" w:name="_Toc173941772"/>
      <w:bookmarkStart w:id="947" w:name="_Toc173942009"/>
      <w:bookmarkStart w:id="948" w:name="_Toc7507"/>
      <w:r>
        <w:rPr>
          <w:rFonts w:hint="eastAsia"/>
          <w:color w:val="auto"/>
          <w:highlight w:val="none"/>
        </w:rPr>
        <w:t>10</w:t>
      </w:r>
      <w:r>
        <w:rPr>
          <w:color w:val="auto"/>
          <w:highlight w:val="none"/>
        </w:rPr>
        <w:t>.</w:t>
      </w:r>
      <w:r>
        <w:rPr>
          <w:rFonts w:hint="eastAsia"/>
          <w:color w:val="auto"/>
          <w:highlight w:val="none"/>
        </w:rPr>
        <w:t>7</w:t>
      </w:r>
      <w:r>
        <w:rPr>
          <w:color w:val="auto"/>
          <w:highlight w:val="none"/>
        </w:rPr>
        <w:t>公众意见采纳情况</w:t>
      </w:r>
      <w:bookmarkEnd w:id="942"/>
      <w:bookmarkEnd w:id="943"/>
      <w:bookmarkEnd w:id="944"/>
      <w:bookmarkEnd w:id="945"/>
      <w:bookmarkEnd w:id="946"/>
      <w:bookmarkEnd w:id="947"/>
      <w:bookmarkEnd w:id="948"/>
    </w:p>
    <w:p>
      <w:pPr>
        <w:pStyle w:val="57"/>
        <w:rPr>
          <w:color w:val="auto"/>
          <w:highlight w:val="none"/>
        </w:rPr>
      </w:pPr>
      <w:bookmarkStart w:id="949" w:name="_Hlk521698622"/>
      <w:bookmarkStart w:id="950" w:name="_Hlk33713607"/>
      <w:r>
        <w:rPr>
          <w:color w:val="auto"/>
          <w:highlight w:val="none"/>
        </w:rPr>
        <w:t>建设单位根据《环境影响评价公众参与办法》的要求，采用网络公告、报纸刊登等形式开展公众参与调查，</w:t>
      </w:r>
      <w:r>
        <w:rPr>
          <w:rFonts w:hint="eastAsia"/>
          <w:color w:val="auto"/>
          <w:highlight w:val="none"/>
          <w:lang w:val="en-US" w:eastAsia="zh-CN"/>
        </w:rPr>
        <w:t>正在开展</w:t>
      </w:r>
      <w:r>
        <w:rPr>
          <w:color w:val="auto"/>
          <w:highlight w:val="none"/>
        </w:rPr>
        <w:t>。</w:t>
      </w:r>
    </w:p>
    <w:bookmarkEnd w:id="949"/>
    <w:bookmarkEnd w:id="950"/>
    <w:p>
      <w:pPr>
        <w:pStyle w:val="49"/>
        <w:rPr>
          <w:color w:val="auto"/>
          <w:highlight w:val="none"/>
        </w:rPr>
      </w:pPr>
      <w:bookmarkStart w:id="951" w:name="_Toc173941773"/>
      <w:bookmarkStart w:id="952" w:name="_Toc6831"/>
      <w:bookmarkStart w:id="953" w:name="_Toc489976943"/>
      <w:bookmarkStart w:id="954" w:name="_Toc14347"/>
      <w:bookmarkStart w:id="955" w:name="_Toc173942010"/>
      <w:bookmarkStart w:id="956" w:name="_Toc19435"/>
      <w:bookmarkStart w:id="957" w:name="_Toc173942727"/>
      <w:r>
        <w:rPr>
          <w:rFonts w:hint="eastAsia"/>
          <w:color w:val="auto"/>
          <w:highlight w:val="none"/>
        </w:rPr>
        <w:t>10</w:t>
      </w:r>
      <w:r>
        <w:rPr>
          <w:color w:val="auto"/>
          <w:highlight w:val="none"/>
        </w:rPr>
        <w:t>.</w:t>
      </w:r>
      <w:r>
        <w:rPr>
          <w:rFonts w:hint="eastAsia"/>
          <w:color w:val="auto"/>
          <w:highlight w:val="none"/>
        </w:rPr>
        <w:t>8</w:t>
      </w:r>
      <w:r>
        <w:rPr>
          <w:color w:val="auto"/>
          <w:highlight w:val="none"/>
        </w:rPr>
        <w:t>环境影响经济损益分析</w:t>
      </w:r>
      <w:bookmarkEnd w:id="951"/>
      <w:bookmarkEnd w:id="952"/>
      <w:bookmarkEnd w:id="953"/>
      <w:bookmarkEnd w:id="954"/>
      <w:bookmarkEnd w:id="955"/>
      <w:bookmarkEnd w:id="956"/>
      <w:bookmarkEnd w:id="957"/>
    </w:p>
    <w:p>
      <w:pPr>
        <w:pStyle w:val="57"/>
        <w:rPr>
          <w:color w:val="auto"/>
          <w:highlight w:val="none"/>
        </w:rPr>
      </w:pPr>
      <w:r>
        <w:rPr>
          <w:rFonts w:hint="eastAsia"/>
          <w:color w:val="auto"/>
          <w:highlight w:val="none"/>
        </w:rPr>
        <w:t>本工程</w:t>
      </w:r>
      <w:r>
        <w:rPr>
          <w:color w:val="auto"/>
          <w:highlight w:val="none"/>
        </w:rPr>
        <w:t>具有良好的经济效益和社会效益。</w:t>
      </w:r>
    </w:p>
    <w:p>
      <w:pPr>
        <w:pStyle w:val="57"/>
        <w:rPr>
          <w:color w:val="auto"/>
          <w:highlight w:val="none"/>
        </w:rPr>
      </w:pPr>
      <w:r>
        <w:rPr>
          <w:color w:val="auto"/>
          <w:highlight w:val="none"/>
        </w:rPr>
        <w:t>在建设过程中，由于地面设施建设、管线敷设等都需要占用一定量的土地，并因此带来一定的</w:t>
      </w:r>
      <w:r>
        <w:rPr>
          <w:rFonts w:hint="eastAsia"/>
          <w:color w:val="auto"/>
          <w:highlight w:val="none"/>
        </w:rPr>
        <w:t>生态</w:t>
      </w:r>
      <w:r>
        <w:rPr>
          <w:color w:val="auto"/>
          <w:highlight w:val="none"/>
        </w:rPr>
        <w:t>环境损失。因而在油田开发过程中，需要投入必要的资金用于污染防治和恢复地貌等，经估算</w:t>
      </w:r>
      <w:r>
        <w:rPr>
          <w:rFonts w:hint="eastAsia"/>
          <w:color w:val="auto"/>
          <w:highlight w:val="none"/>
        </w:rPr>
        <w:t>本工程</w:t>
      </w:r>
      <w:r>
        <w:rPr>
          <w:color w:val="auto"/>
          <w:highlight w:val="none"/>
        </w:rPr>
        <w:t>总投资为</w:t>
      </w:r>
      <w:r>
        <w:rPr>
          <w:rFonts w:hint="eastAsia"/>
          <w:color w:val="auto"/>
          <w:highlight w:val="none"/>
          <w:lang w:eastAsia="zh-CN"/>
        </w:rPr>
        <w:t>5321.98</w:t>
      </w:r>
      <w:r>
        <w:rPr>
          <w:color w:val="auto"/>
          <w:highlight w:val="none"/>
        </w:rPr>
        <w:t>万元，其中环保投资</w:t>
      </w:r>
      <w:r>
        <w:rPr>
          <w:rFonts w:hint="eastAsia"/>
          <w:color w:val="auto"/>
          <w:highlight w:val="none"/>
          <w:lang w:val="en-US" w:eastAsia="zh-CN"/>
        </w:rPr>
        <w:t>945</w:t>
      </w:r>
      <w:r>
        <w:rPr>
          <w:color w:val="auto"/>
          <w:highlight w:val="none"/>
        </w:rPr>
        <w:t>万元，占总投资</w:t>
      </w:r>
      <w:r>
        <w:rPr>
          <w:rFonts w:hint="eastAsia"/>
          <w:color w:val="auto"/>
          <w:highlight w:val="none"/>
          <w:lang w:eastAsia="zh-CN"/>
        </w:rPr>
        <w:t>17.76%</w:t>
      </w:r>
      <w:r>
        <w:rPr>
          <w:color w:val="auto"/>
          <w:highlight w:val="none"/>
        </w:rPr>
        <w:t>。实施相应的环保措施后，不但能够起到保护环境的效果，同时节约经济开支，为企业带来经济效益。</w:t>
      </w:r>
    </w:p>
    <w:p>
      <w:pPr>
        <w:pStyle w:val="49"/>
        <w:rPr>
          <w:color w:val="auto"/>
          <w:highlight w:val="none"/>
        </w:rPr>
      </w:pPr>
      <w:bookmarkStart w:id="958" w:name="_Toc173942011"/>
      <w:bookmarkStart w:id="959" w:name="_Toc173941774"/>
      <w:bookmarkStart w:id="960" w:name="_Toc489976944"/>
      <w:bookmarkStart w:id="961" w:name="_Toc173942728"/>
      <w:bookmarkStart w:id="962" w:name="_Toc14055"/>
      <w:bookmarkStart w:id="963" w:name="_Toc21828"/>
      <w:bookmarkStart w:id="964" w:name="_Toc22661"/>
      <w:r>
        <w:rPr>
          <w:rFonts w:hint="eastAsia"/>
          <w:color w:val="auto"/>
          <w:highlight w:val="none"/>
        </w:rPr>
        <w:t>10</w:t>
      </w:r>
      <w:r>
        <w:rPr>
          <w:color w:val="auto"/>
          <w:highlight w:val="none"/>
        </w:rPr>
        <w:t>.</w:t>
      </w:r>
      <w:r>
        <w:rPr>
          <w:rFonts w:hint="eastAsia"/>
          <w:color w:val="auto"/>
          <w:highlight w:val="none"/>
        </w:rPr>
        <w:t>9</w:t>
      </w:r>
      <w:r>
        <w:rPr>
          <w:color w:val="auto"/>
          <w:highlight w:val="none"/>
        </w:rPr>
        <w:t>环境管理与监测计划</w:t>
      </w:r>
      <w:bookmarkEnd w:id="958"/>
      <w:bookmarkEnd w:id="959"/>
      <w:bookmarkEnd w:id="960"/>
      <w:bookmarkEnd w:id="961"/>
      <w:bookmarkEnd w:id="962"/>
      <w:bookmarkEnd w:id="963"/>
      <w:bookmarkEnd w:id="964"/>
    </w:p>
    <w:p>
      <w:pPr>
        <w:pStyle w:val="57"/>
        <w:rPr>
          <w:snapToGrid w:val="0"/>
          <w:color w:val="auto"/>
          <w:highlight w:val="none"/>
        </w:rPr>
      </w:pPr>
      <w:r>
        <w:rPr>
          <w:rFonts w:hint="eastAsia"/>
          <w:snapToGrid w:val="0"/>
          <w:color w:val="auto"/>
          <w:highlight w:val="none"/>
          <w:lang w:eastAsia="zh-CN"/>
        </w:rPr>
        <w:t>中国石油新疆油田分公司玛湖勘探开发项目部</w:t>
      </w:r>
      <w:r>
        <w:rPr>
          <w:snapToGrid w:val="0"/>
          <w:color w:val="auto"/>
          <w:highlight w:val="none"/>
        </w:rPr>
        <w:t>环境管理机构设置健全，同时拥有完善的管理体系和管理手段。</w:t>
      </w:r>
      <w:r>
        <w:rPr>
          <w:rFonts w:hint="eastAsia"/>
          <w:snapToGrid w:val="0"/>
          <w:color w:val="auto"/>
          <w:highlight w:val="none"/>
        </w:rPr>
        <w:t>本工程</w:t>
      </w:r>
      <w:r>
        <w:rPr>
          <w:snapToGrid w:val="0"/>
          <w:color w:val="auto"/>
          <w:highlight w:val="none"/>
        </w:rPr>
        <w:t>制定了</w:t>
      </w:r>
      <w:r>
        <w:rPr>
          <w:rFonts w:hint="eastAsia"/>
          <w:snapToGrid w:val="0"/>
          <w:color w:val="auto"/>
          <w:highlight w:val="none"/>
        </w:rPr>
        <w:t>生态环境</w:t>
      </w:r>
      <w:r>
        <w:rPr>
          <w:snapToGrid w:val="0"/>
          <w:color w:val="auto"/>
          <w:highlight w:val="none"/>
        </w:rPr>
        <w:t>监</w:t>
      </w:r>
      <w:r>
        <w:rPr>
          <w:rFonts w:hint="eastAsia"/>
          <w:snapToGrid w:val="0"/>
          <w:color w:val="auto"/>
          <w:highlight w:val="none"/>
        </w:rPr>
        <w:t>测</w:t>
      </w:r>
      <w:r>
        <w:rPr>
          <w:snapToGrid w:val="0"/>
          <w:color w:val="auto"/>
          <w:highlight w:val="none"/>
        </w:rPr>
        <w:t>计划，针对工程的不同阶段提出了具体的环境管理要求</w:t>
      </w:r>
      <w:r>
        <w:rPr>
          <w:rFonts w:hint="eastAsia"/>
          <w:snapToGrid w:val="0"/>
          <w:color w:val="auto"/>
          <w:highlight w:val="none"/>
        </w:rPr>
        <w:t>，具体见第9章。</w:t>
      </w:r>
    </w:p>
    <w:p>
      <w:pPr>
        <w:pStyle w:val="49"/>
        <w:rPr>
          <w:rFonts w:eastAsia="宋体"/>
          <w:color w:val="auto"/>
          <w:highlight w:val="none"/>
        </w:rPr>
      </w:pPr>
      <w:bookmarkStart w:id="965" w:name="_Toc363155884"/>
      <w:bookmarkStart w:id="966" w:name="_Toc489976945"/>
      <w:bookmarkStart w:id="967" w:name="_Toc15721"/>
      <w:bookmarkStart w:id="968" w:name="_Toc406178556"/>
      <w:bookmarkStart w:id="969" w:name="_Toc173942729"/>
      <w:bookmarkStart w:id="970" w:name="_Toc173942012"/>
      <w:bookmarkStart w:id="971" w:name="_Toc479866312"/>
      <w:bookmarkStart w:id="972" w:name="_Toc173941775"/>
      <w:bookmarkStart w:id="973" w:name="_Toc3607"/>
      <w:bookmarkStart w:id="974" w:name="_Toc32439"/>
      <w:bookmarkStart w:id="975" w:name="_Toc14908"/>
      <w:r>
        <w:rPr>
          <w:rFonts w:hint="eastAsia"/>
          <w:color w:val="auto"/>
          <w:highlight w:val="none"/>
        </w:rPr>
        <w:t>10</w:t>
      </w:r>
      <w:r>
        <w:rPr>
          <w:color w:val="auto"/>
          <w:highlight w:val="none"/>
        </w:rPr>
        <w:t>.11</w:t>
      </w:r>
      <w:bookmarkEnd w:id="965"/>
      <w:bookmarkEnd w:id="966"/>
      <w:bookmarkEnd w:id="967"/>
      <w:bookmarkEnd w:id="968"/>
      <w:bookmarkEnd w:id="969"/>
      <w:bookmarkEnd w:id="970"/>
      <w:bookmarkEnd w:id="971"/>
      <w:bookmarkEnd w:id="972"/>
      <w:bookmarkEnd w:id="973"/>
      <w:r>
        <w:rPr>
          <w:rFonts w:hint="eastAsia"/>
          <w:color w:val="auto"/>
          <w:highlight w:val="none"/>
        </w:rPr>
        <w:t>项目可行性结论</w:t>
      </w:r>
      <w:bookmarkEnd w:id="974"/>
      <w:bookmarkEnd w:id="975"/>
    </w:p>
    <w:p>
      <w:pPr>
        <w:pStyle w:val="57"/>
        <w:rPr>
          <w:color w:val="auto"/>
          <w:highlight w:val="none"/>
        </w:rPr>
      </w:pPr>
      <w:r>
        <w:rPr>
          <w:rFonts w:hint="eastAsia"/>
          <w:color w:val="auto"/>
          <w:highlight w:val="none"/>
          <w:lang w:eastAsia="zh-CN"/>
        </w:rPr>
        <w:t>新疆夏子街油田丰探1井区二叠系风城组页岩油2025年产能建设项目</w:t>
      </w:r>
      <w:r>
        <w:rPr>
          <w:color w:val="auto"/>
          <w:highlight w:val="none"/>
        </w:rPr>
        <w:t>属于国家产业政策鼓励类项目，项目实施后可取得较大的经济效益和社会效益。项目在建设和运行中，会对周围的环境产生一定的不利影响，并在今后的建设和运行中存在一定的环境风险，但其影响和环境风险是可以接受的。建设单位须加强环境管理，认真落实可行性研究报告和本环评报告书中提出的各项污染防治措施、风险防范措施以及生态环境保护和恢复措施，可使</w:t>
      </w:r>
      <w:r>
        <w:rPr>
          <w:rFonts w:hint="eastAsia"/>
          <w:color w:val="auto"/>
          <w:highlight w:val="none"/>
        </w:rPr>
        <w:t>本工程</w:t>
      </w:r>
      <w:r>
        <w:rPr>
          <w:color w:val="auto"/>
          <w:highlight w:val="none"/>
        </w:rPr>
        <w:t>对环境造成的不利影响降低到最低限度，</w:t>
      </w:r>
      <w:r>
        <w:rPr>
          <w:rFonts w:hint="eastAsia"/>
          <w:color w:val="auto"/>
          <w:highlight w:val="none"/>
        </w:rPr>
        <w:t>本工程</w:t>
      </w:r>
      <w:r>
        <w:rPr>
          <w:color w:val="auto"/>
          <w:highlight w:val="none"/>
        </w:rPr>
        <w:t>建设在环境保护方面可行。</w:t>
      </w:r>
    </w:p>
    <w:p>
      <w:pPr>
        <w:rPr>
          <w:color w:val="auto"/>
          <w:highlight w:val="none"/>
        </w:rPr>
      </w:pPr>
    </w:p>
    <w:sectPr>
      <w:pgSz w:w="11905" w:h="16838"/>
      <w:pgMar w:top="1474" w:right="1474" w:bottom="1474" w:left="1814" w:header="850" w:footer="992" w:gutter="0"/>
      <w:pgBorders>
        <w:top w:val="none" w:sz="0" w:space="0"/>
        <w:left w:val="none" w:sz="0" w:space="0"/>
        <w:bottom w:val="none" w:sz="0" w:space="0"/>
        <w:right w:val="none" w:sz="0" w:space="0"/>
      </w:pgBorders>
      <w:pgNumType w:fmt="decimal"/>
      <w:cols w:space="0" w:num="1"/>
      <w:rtlGutter w:val="0"/>
      <w:docGrid w:type="lines" w:linePitch="33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B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CIDFont">
    <w:altName w:val="Segoe Print"/>
    <w:panose1 w:val="00000000000000000000"/>
    <w:charset w:val="00"/>
    <w:family w:val="auto"/>
    <w:pitch w:val="default"/>
    <w:sig w:usb0="00000000" w:usb1="00000000" w:usb2="00000000" w:usb3="00000000" w:csb0="00040001" w:csb1="00000000"/>
  </w:font>
  <w:font w:name="Segoe UI Symbol">
    <w:panose1 w:val="020B0502040204020203"/>
    <w:charset w:val="00"/>
    <w:family w:val="swiss"/>
    <w:pitch w:val="default"/>
    <w:sig w:usb0="800001E3" w:usb1="1200FFEF" w:usb2="00040000" w:usb3="04000000" w:csb0="00000001" w:csb1="40000000"/>
  </w:font>
  <w:font w:name="Wingdings 2">
    <w:panose1 w:val="05020102010507070707"/>
    <w:charset w:val="02"/>
    <w:family w:val="roman"/>
    <w:pitch w:val="default"/>
    <w:sig w:usb0="00000000" w:usb1="00000000" w:usb2="00000000" w:usb3="00000000" w:csb0="80000000" w:csb1="0000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TimesNewRomanPSMT">
    <w:altName w:val="MS Gothic"/>
    <w:panose1 w:val="00000000000000000000"/>
    <w:charset w:val="80"/>
    <w:family w:val="auto"/>
    <w:pitch w:val="default"/>
    <w:sig w:usb0="00000000" w:usb1="00000000" w:usb2="00000010" w:usb3="00000000" w:csb0="00020000" w:csb1="00000000"/>
  </w:font>
  <w:font w:name="Cambria Math">
    <w:panose1 w:val="02040503050406030204"/>
    <w:charset w:val="00"/>
    <w:family w:val="roman"/>
    <w:pitch w:val="default"/>
    <w:sig w:usb0="E00006FF" w:usb1="420024FF" w:usb2="02000000" w:usb3="00000000" w:csb0="2000019F"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20"/>
      <w:pBdr>
        <w:top w:val="thinThickLargeGap" w:color="auto" w:sz="4" w:space="1"/>
        <w:left w:val="none" w:color="auto" w:sz="0" w:space="4"/>
        <w:bottom w:val="none" w:color="auto" w:sz="0" w:space="1"/>
        <w:right w:val="none" w:color="auto" w:sz="0" w:space="4"/>
      </w:pBdr>
      <w:spacing w:line="240" w:lineRule="atLeast"/>
      <w:jc w:val="both"/>
    </w:pPr>
    <w:r>
      <w:rPr>
        <w:rFonts w:hint="eastAsia"/>
      </w:rPr>
      <w:t>新疆天合环境技术咨询有限公司</w:t>
    </w:r>
  </w:p>
  <w:p>
    <w:pPr>
      <w:pStyle w:val="2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
    <w:pPr>
      <w:pStyle w:val="20"/>
      <w:pBdr>
        <w:top w:val="thinThickLargeGap" w:color="auto" w:sz="4" w:space="1"/>
        <w:left w:val="none" w:color="auto" w:sz="0" w:space="4"/>
        <w:bottom w:val="none" w:color="auto" w:sz="0" w:space="1"/>
        <w:right w:val="none" w:color="auto" w:sz="0" w:space="4"/>
      </w:pBdr>
      <w:spacing w:line="240" w:lineRule="atLeast"/>
      <w:jc w:val="both"/>
    </w:pPr>
    <w:r>
      <w:rPr>
        <w:sz w:val="21"/>
      </w:rPr>
      <mc:AlternateContent>
        <mc:Choice Requires="wps">
          <w:drawing>
            <wp:anchor distT="0" distB="0" distL="114300" distR="114300" simplePos="0" relativeHeight="251659264" behindDoc="0" locked="0" layoutInCell="1" allowOverlap="1">
              <wp:simplePos x="0" y="0"/>
              <wp:positionH relativeFrom="margin">
                <wp:posOffset>2600325</wp:posOffset>
              </wp:positionH>
              <wp:positionV relativeFrom="paragraph">
                <wp:posOffset>-19050</wp:posOffset>
              </wp:positionV>
              <wp:extent cx="1828800" cy="1828800"/>
              <wp:effectExtent l="0" t="0" r="0" b="0"/>
              <wp:wrapNone/>
              <wp:docPr id="108" name="文本框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04.75pt;margin-top:-1.5pt;height:144pt;width:144pt;mso-position-horizontal-relative:margin;mso-wrap-style:none;z-index:251659264;mso-width-relative:page;mso-height-relative:page;" filled="f" stroked="f" coordsize="21600,21600" o:gfxdata="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ExsFztcAAAAKAQAADwAAAAAAAAABACAAAAAiAAAAZHJzL2Rvd25yZXYueG1s&#10;UEsBAhQAFAAAAAgAh07iQPoR2bAyAgAAZQQAAA4AAAAAAAAAAQAgAAAAJgEAAGRycy9lMm9Eb2Mu&#10;eG1sUEsFBgAAAAAGAAYAWQEAAMo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新疆天合环境技术咨询有限公司</w:t>
    </w:r>
  </w:p>
  <w:p>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thinThickLargeGap" w:color="auto" w:sz="4" w:space="1"/>
        <w:left w:val="none" w:color="auto" w:sz="0" w:space="4"/>
        <w:bottom w:val="none" w:color="auto" w:sz="0" w:space="1"/>
        <w:right w:val="none" w:color="auto" w:sz="0" w:space="4"/>
      </w:pBdr>
      <w:spacing w:line="240" w:lineRule="atLeast"/>
      <w:jc w:val="both"/>
    </w:pPr>
    <w:r>
      <w:rPr>
        <w:sz w:val="21"/>
      </w:rPr>
      <mc:AlternateContent>
        <mc:Choice Requires="wps">
          <w:drawing>
            <wp:anchor distT="0" distB="0" distL="114300" distR="114300" simplePos="0" relativeHeight="251660288" behindDoc="0" locked="0" layoutInCell="1" allowOverlap="1">
              <wp:simplePos x="0" y="0"/>
              <wp:positionH relativeFrom="margin">
                <wp:posOffset>2632710</wp:posOffset>
              </wp:positionH>
              <wp:positionV relativeFrom="paragraph">
                <wp:posOffset>0</wp:posOffset>
              </wp:positionV>
              <wp:extent cx="294005" cy="169545"/>
              <wp:effectExtent l="0" t="0" r="0" b="0"/>
              <wp:wrapNone/>
              <wp:docPr id="112" name="文本框 112"/>
              <wp:cNvGraphicFramePr/>
              <a:graphic xmlns:a="http://schemas.openxmlformats.org/drawingml/2006/main">
                <a:graphicData uri="http://schemas.microsoft.com/office/word/2010/wordprocessingShape">
                  <wps:wsp>
                    <wps:cNvSpPr txBox="1"/>
                    <wps:spPr>
                      <a:xfrm>
                        <a:off x="0" y="0"/>
                        <a:ext cx="294005" cy="169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square" lIns="0" tIns="0" rIns="0" bIns="0" numCol="1" spcCol="0" rtlCol="0" fromWordArt="0" anchor="t" anchorCtr="0" forceAA="0" upright="0" compatLnSpc="1">
                      <a:noAutofit/>
                    </wps:bodyPr>
                  </wps:wsp>
                </a:graphicData>
              </a:graphic>
            </wp:anchor>
          </w:drawing>
        </mc:Choice>
        <mc:Fallback>
          <w:pict>
            <v:shape id="_x0000_s1026" o:spid="_x0000_s1026" o:spt="202" type="#_x0000_t202" style="position:absolute;left:0pt;margin-left:207.3pt;margin-top:0pt;height:13.35pt;width:23.15pt;mso-position-horizontal-relative:margin;z-index:251660288;mso-width-relative:page;mso-height-relative:page;" filled="f" stroked="f" coordsize="21600,21600" o:gfxdata="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Ht+Mp/WAAAABwEAAA8AAAAAAAAAAQAgAAAAIgAAAGRycy9kb3du&#10;cmV2LnhtbFBLAQIUABQAAAAIAIdO4kA9eYCHOgIAAGUEAAAOAAAAAAAAAAEAIAAAACUBAABkcnMv&#10;ZTJvRG9jLnhtbFBLBQYAAAAABgAGAFkBAADRBQAAAAA=&#10;">
              <v:fill on="f" focussize="0,0"/>
              <v:stroke on="f" weight="0.5pt"/>
              <v:imagedata o:title=""/>
              <o:lock v:ext="edit" aspectratio="f"/>
              <v:textbox inset="0mm,0mm,0mm,0mm">
                <w:txbxContent>
                  <w:p>
                    <w:pPr>
                      <w:pStyle w:val="20"/>
                    </w:pPr>
                    <w:r>
                      <w:fldChar w:fldCharType="begin"/>
                    </w:r>
                    <w:r>
                      <w:instrText xml:space="preserve"> PAGE  \* MERGEFORMAT </w:instrText>
                    </w:r>
                    <w:r>
                      <w:fldChar w:fldCharType="separate"/>
                    </w:r>
                    <w:r>
                      <w:t>3</w:t>
                    </w:r>
                    <w:r>
                      <w:fldChar w:fldCharType="end"/>
                    </w:r>
                  </w:p>
                </w:txbxContent>
              </v:textbox>
            </v:shape>
          </w:pict>
        </mc:Fallback>
      </mc:AlternateContent>
    </w:r>
    <w:r>
      <w:rPr>
        <w:rFonts w:hint="eastAsia"/>
      </w:rPr>
      <w:t>新疆天合环境技术咨询有限公司</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top w:val="single" w:color="auto" w:sz="4" w:space="1"/>
      </w:pBdr>
      <w:ind w:left="1360" w:hanging="400"/>
    </w:pPr>
    <w:r>
      <w:drawing>
        <wp:anchor distT="0" distB="0" distL="114300" distR="114300" simplePos="0" relativeHeight="251684864" behindDoc="1" locked="0" layoutInCell="1" allowOverlap="0">
          <wp:simplePos x="0" y="0"/>
          <wp:positionH relativeFrom="column">
            <wp:posOffset>2540</wp:posOffset>
          </wp:positionH>
          <wp:positionV relativeFrom="line">
            <wp:posOffset>-81915</wp:posOffset>
          </wp:positionV>
          <wp:extent cx="390525" cy="285750"/>
          <wp:effectExtent l="0" t="0" r="9525" b="0"/>
          <wp:wrapNone/>
          <wp:docPr id="230" name="图片 46" descr="wps7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图片 46" descr="wps7EA1"/>
                  <pic:cNvPicPr>
                    <a:picLocks noChangeAspect="1"/>
                  </pic:cNvPicPr>
                </pic:nvPicPr>
                <pic:blipFill>
                  <a:blip r:embed="rId1"/>
                  <a:stretch>
                    <a:fillRect/>
                  </a:stretch>
                </pic:blipFill>
                <pic:spPr>
                  <a:xfrm>
                    <a:off x="0" y="0"/>
                    <a:ext cx="390525" cy="285750"/>
                  </a:xfrm>
                  <a:prstGeom prst="rect">
                    <a:avLst/>
                  </a:prstGeom>
                  <a:noFill/>
                  <a:ln>
                    <a:noFill/>
                  </a:ln>
                </pic:spPr>
              </pic:pic>
            </a:graphicData>
          </a:graphic>
        </wp:anchor>
      </w:drawing>
    </w:r>
    <w:r>
      <w:rPr>
        <w:rFonts w:hint="eastAsia"/>
      </w:rPr>
      <w:t>中</w:t>
    </w:r>
    <w:r>
      <w:rPr>
        <w:rFonts w:hint="eastAsia"/>
        <w:sz w:val="15"/>
        <w:szCs w:val="15"/>
      </w:rPr>
      <w:t>勘</w:t>
    </w:r>
    <w:r>
      <w:rPr>
        <w:rFonts w:hint="eastAsia"/>
      </w:rPr>
      <w:t>冶金勘察设计研究院有限责任公司</w:t>
    </w:r>
    <w:r>
      <w:fldChar w:fldCharType="begin"/>
    </w:r>
    <w:r>
      <w:instrText xml:space="preserve"> PAGE   \* MERGEFORMAT </w:instrText>
    </w:r>
    <w:r>
      <w:fldChar w:fldCharType="separate"/>
    </w:r>
    <w:r>
      <w:rPr>
        <w:lang w:val="zh-CN"/>
      </w:rPr>
      <w:t>166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Bdr>
        <w:bottom w:val="thinThickSmallGap" w:color="auto" w:sz="12" w:space="1"/>
      </w:pBdr>
    </w:pPr>
    <w:bookmarkStart w:id="976" w:name="OLE_LINK162"/>
    <w:r>
      <w:rPr>
        <w:rFonts w:hint="eastAsia"/>
        <w:szCs w:val="24"/>
      </w:rPr>
      <w:t>新疆夏子街油田丰探1井区二叠系风城组页岩油2025年产能建设项目</w:t>
    </w:r>
    <w:bookmarkEnd w:id="976"/>
    <w:r>
      <w:rPr>
        <w:rFonts w:hint="eastAsia"/>
      </w:rPr>
      <w:t>环境影响报告书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6B4416"/>
    <w:multiLevelType w:val="singleLevel"/>
    <w:tmpl w:val="846B4416"/>
    <w:lvl w:ilvl="0" w:tentative="0">
      <w:start w:val="1"/>
      <w:numFmt w:val="decimal"/>
      <w:suff w:val="nothing"/>
      <w:lvlText w:val="（%1）"/>
      <w:lvlJc w:val="left"/>
    </w:lvl>
  </w:abstractNum>
  <w:abstractNum w:abstractNumId="1">
    <w:nsid w:val="C4763CE7"/>
    <w:multiLevelType w:val="singleLevel"/>
    <w:tmpl w:val="C4763CE7"/>
    <w:lvl w:ilvl="0" w:tentative="0">
      <w:start w:val="1"/>
      <w:numFmt w:val="decimal"/>
      <w:lvlText w:val="%1."/>
      <w:lvlJc w:val="left"/>
      <w:pPr>
        <w:tabs>
          <w:tab w:val="left" w:pos="312"/>
        </w:tabs>
      </w:pPr>
    </w:lvl>
  </w:abstractNum>
  <w:abstractNum w:abstractNumId="2">
    <w:nsid w:val="1E5BAADD"/>
    <w:multiLevelType w:val="singleLevel"/>
    <w:tmpl w:val="1E5BAADD"/>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HorizontalSpacing w:val="210"/>
  <w:drawingGridVerticalSpacing w:val="165"/>
  <w:displayHorizontalDrawingGridEvery w:val="1"/>
  <w:displayVerticalDrawingGridEvery w:val="1"/>
  <w:noPunctuationKerning w:val="1"/>
  <w:characterSpacingControl w:val="compressPunctuation"/>
  <w:hdrShapeDefaults>
    <o:shapelayout v:ext="edit">
      <o:idmap v:ext="edit" data="3"/>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BiZmFkZmFjZWYzZmYwYzgwYmYzZmNjOTY0OTZiYTQifQ=="/>
  </w:docVars>
  <w:rsids>
    <w:rsidRoot w:val="00172A27"/>
    <w:rsid w:val="000057FD"/>
    <w:rsid w:val="00006231"/>
    <w:rsid w:val="00006D94"/>
    <w:rsid w:val="0001237E"/>
    <w:rsid w:val="00012BBB"/>
    <w:rsid w:val="00023BE1"/>
    <w:rsid w:val="00026075"/>
    <w:rsid w:val="0003320B"/>
    <w:rsid w:val="0003385A"/>
    <w:rsid w:val="00034A8E"/>
    <w:rsid w:val="0006004C"/>
    <w:rsid w:val="00081970"/>
    <w:rsid w:val="00083948"/>
    <w:rsid w:val="00087A21"/>
    <w:rsid w:val="0009141C"/>
    <w:rsid w:val="00094A35"/>
    <w:rsid w:val="000E14AA"/>
    <w:rsid w:val="000E7F44"/>
    <w:rsid w:val="0010296C"/>
    <w:rsid w:val="00122970"/>
    <w:rsid w:val="00130433"/>
    <w:rsid w:val="00146279"/>
    <w:rsid w:val="00156094"/>
    <w:rsid w:val="00160E5F"/>
    <w:rsid w:val="001662A6"/>
    <w:rsid w:val="00172896"/>
    <w:rsid w:val="00172A27"/>
    <w:rsid w:val="001851B8"/>
    <w:rsid w:val="001874C0"/>
    <w:rsid w:val="00187D95"/>
    <w:rsid w:val="001A18D8"/>
    <w:rsid w:val="001A3CBF"/>
    <w:rsid w:val="001B6958"/>
    <w:rsid w:val="001C3199"/>
    <w:rsid w:val="001C37AA"/>
    <w:rsid w:val="001D2737"/>
    <w:rsid w:val="001D2B31"/>
    <w:rsid w:val="001D45C6"/>
    <w:rsid w:val="001E1B9D"/>
    <w:rsid w:val="00202D38"/>
    <w:rsid w:val="00206CDF"/>
    <w:rsid w:val="002131FA"/>
    <w:rsid w:val="002224EE"/>
    <w:rsid w:val="00223AE1"/>
    <w:rsid w:val="00224690"/>
    <w:rsid w:val="00231443"/>
    <w:rsid w:val="00245776"/>
    <w:rsid w:val="002473EE"/>
    <w:rsid w:val="00251389"/>
    <w:rsid w:val="002677D9"/>
    <w:rsid w:val="0027145A"/>
    <w:rsid w:val="00286DA6"/>
    <w:rsid w:val="00292BB6"/>
    <w:rsid w:val="002A34D9"/>
    <w:rsid w:val="002A600E"/>
    <w:rsid w:val="002C329E"/>
    <w:rsid w:val="002D4AAC"/>
    <w:rsid w:val="002D7239"/>
    <w:rsid w:val="002E4620"/>
    <w:rsid w:val="002E77BA"/>
    <w:rsid w:val="002F3A1E"/>
    <w:rsid w:val="00305CE4"/>
    <w:rsid w:val="00320763"/>
    <w:rsid w:val="00332914"/>
    <w:rsid w:val="00332D0A"/>
    <w:rsid w:val="003335BB"/>
    <w:rsid w:val="00334482"/>
    <w:rsid w:val="00383A0A"/>
    <w:rsid w:val="00384455"/>
    <w:rsid w:val="003871DF"/>
    <w:rsid w:val="00387E63"/>
    <w:rsid w:val="003A2C08"/>
    <w:rsid w:val="003B150A"/>
    <w:rsid w:val="003C0985"/>
    <w:rsid w:val="003C2D05"/>
    <w:rsid w:val="003E5C8D"/>
    <w:rsid w:val="003E77BD"/>
    <w:rsid w:val="003F03BE"/>
    <w:rsid w:val="003F0D78"/>
    <w:rsid w:val="00405DF3"/>
    <w:rsid w:val="0042025C"/>
    <w:rsid w:val="00430848"/>
    <w:rsid w:val="00437534"/>
    <w:rsid w:val="004423E8"/>
    <w:rsid w:val="004442EF"/>
    <w:rsid w:val="00450840"/>
    <w:rsid w:val="0046732B"/>
    <w:rsid w:val="00471BCA"/>
    <w:rsid w:val="00472C43"/>
    <w:rsid w:val="00477ADC"/>
    <w:rsid w:val="00484C26"/>
    <w:rsid w:val="00485EB6"/>
    <w:rsid w:val="004B4A37"/>
    <w:rsid w:val="004B592D"/>
    <w:rsid w:val="004E3C80"/>
    <w:rsid w:val="004F40B1"/>
    <w:rsid w:val="004F43C7"/>
    <w:rsid w:val="004F602A"/>
    <w:rsid w:val="0051078A"/>
    <w:rsid w:val="00511233"/>
    <w:rsid w:val="00512CEF"/>
    <w:rsid w:val="0052102E"/>
    <w:rsid w:val="00522A90"/>
    <w:rsid w:val="00537A69"/>
    <w:rsid w:val="00541B65"/>
    <w:rsid w:val="00541C9F"/>
    <w:rsid w:val="005444A6"/>
    <w:rsid w:val="005471C5"/>
    <w:rsid w:val="00547670"/>
    <w:rsid w:val="00553FD1"/>
    <w:rsid w:val="00556E70"/>
    <w:rsid w:val="005572EC"/>
    <w:rsid w:val="00560637"/>
    <w:rsid w:val="00576FA8"/>
    <w:rsid w:val="00580720"/>
    <w:rsid w:val="005820AF"/>
    <w:rsid w:val="0058515F"/>
    <w:rsid w:val="00590576"/>
    <w:rsid w:val="00597108"/>
    <w:rsid w:val="005B596F"/>
    <w:rsid w:val="005C0669"/>
    <w:rsid w:val="005C2A40"/>
    <w:rsid w:val="005C405F"/>
    <w:rsid w:val="005D01D7"/>
    <w:rsid w:val="005D04BA"/>
    <w:rsid w:val="005D19EB"/>
    <w:rsid w:val="005E2C52"/>
    <w:rsid w:val="00603DC0"/>
    <w:rsid w:val="0061066D"/>
    <w:rsid w:val="00610D19"/>
    <w:rsid w:val="006163B4"/>
    <w:rsid w:val="00623517"/>
    <w:rsid w:val="00626FC2"/>
    <w:rsid w:val="00633552"/>
    <w:rsid w:val="0063364E"/>
    <w:rsid w:val="00633E87"/>
    <w:rsid w:val="006348CB"/>
    <w:rsid w:val="006501A3"/>
    <w:rsid w:val="00650A3D"/>
    <w:rsid w:val="00651B51"/>
    <w:rsid w:val="006542CD"/>
    <w:rsid w:val="00666357"/>
    <w:rsid w:val="0067202F"/>
    <w:rsid w:val="006827F9"/>
    <w:rsid w:val="006A147F"/>
    <w:rsid w:val="006A559D"/>
    <w:rsid w:val="006B0DB4"/>
    <w:rsid w:val="006B74AE"/>
    <w:rsid w:val="006B76AA"/>
    <w:rsid w:val="006C5086"/>
    <w:rsid w:val="006C779E"/>
    <w:rsid w:val="006D2661"/>
    <w:rsid w:val="006D48B4"/>
    <w:rsid w:val="006D6AEF"/>
    <w:rsid w:val="006E227E"/>
    <w:rsid w:val="006E6D62"/>
    <w:rsid w:val="006F1263"/>
    <w:rsid w:val="00702047"/>
    <w:rsid w:val="00704622"/>
    <w:rsid w:val="007046D9"/>
    <w:rsid w:val="00707289"/>
    <w:rsid w:val="007126BC"/>
    <w:rsid w:val="00733CB4"/>
    <w:rsid w:val="0073673E"/>
    <w:rsid w:val="00741BC1"/>
    <w:rsid w:val="00760ADC"/>
    <w:rsid w:val="00761549"/>
    <w:rsid w:val="00762B28"/>
    <w:rsid w:val="00766D5F"/>
    <w:rsid w:val="00773E69"/>
    <w:rsid w:val="007804AE"/>
    <w:rsid w:val="00781C70"/>
    <w:rsid w:val="00783F04"/>
    <w:rsid w:val="007A0DFC"/>
    <w:rsid w:val="007B0D57"/>
    <w:rsid w:val="007B7AED"/>
    <w:rsid w:val="007C72B8"/>
    <w:rsid w:val="007D3CC4"/>
    <w:rsid w:val="007D5B23"/>
    <w:rsid w:val="007E01B5"/>
    <w:rsid w:val="00806C43"/>
    <w:rsid w:val="00827F8D"/>
    <w:rsid w:val="008313D0"/>
    <w:rsid w:val="00840A8B"/>
    <w:rsid w:val="00840BED"/>
    <w:rsid w:val="0084138F"/>
    <w:rsid w:val="00841A8F"/>
    <w:rsid w:val="008509A3"/>
    <w:rsid w:val="0085612E"/>
    <w:rsid w:val="00861C29"/>
    <w:rsid w:val="00874C8A"/>
    <w:rsid w:val="00881660"/>
    <w:rsid w:val="008829B1"/>
    <w:rsid w:val="00884392"/>
    <w:rsid w:val="0088550F"/>
    <w:rsid w:val="00893B3C"/>
    <w:rsid w:val="008A74AF"/>
    <w:rsid w:val="008A7CC8"/>
    <w:rsid w:val="008B2948"/>
    <w:rsid w:val="008B3F6E"/>
    <w:rsid w:val="008B44D5"/>
    <w:rsid w:val="008D1285"/>
    <w:rsid w:val="008D3E56"/>
    <w:rsid w:val="008E2E3A"/>
    <w:rsid w:val="008E6081"/>
    <w:rsid w:val="008F6832"/>
    <w:rsid w:val="009205CE"/>
    <w:rsid w:val="009243BF"/>
    <w:rsid w:val="0093122C"/>
    <w:rsid w:val="009320C7"/>
    <w:rsid w:val="009375AB"/>
    <w:rsid w:val="00941B71"/>
    <w:rsid w:val="00947B77"/>
    <w:rsid w:val="00955830"/>
    <w:rsid w:val="00962DFA"/>
    <w:rsid w:val="00966530"/>
    <w:rsid w:val="0097049A"/>
    <w:rsid w:val="00971815"/>
    <w:rsid w:val="00971DE5"/>
    <w:rsid w:val="009758FB"/>
    <w:rsid w:val="00980667"/>
    <w:rsid w:val="009822F7"/>
    <w:rsid w:val="00997D10"/>
    <w:rsid w:val="009A6B97"/>
    <w:rsid w:val="009A7A77"/>
    <w:rsid w:val="009C0659"/>
    <w:rsid w:val="009C7AFA"/>
    <w:rsid w:val="009D07D8"/>
    <w:rsid w:val="009D5E18"/>
    <w:rsid w:val="009E310E"/>
    <w:rsid w:val="009F21C0"/>
    <w:rsid w:val="009F5A14"/>
    <w:rsid w:val="009F5D38"/>
    <w:rsid w:val="00A008E9"/>
    <w:rsid w:val="00A03FC1"/>
    <w:rsid w:val="00A05AA2"/>
    <w:rsid w:val="00A21C32"/>
    <w:rsid w:val="00A32FEA"/>
    <w:rsid w:val="00A36860"/>
    <w:rsid w:val="00A41E6C"/>
    <w:rsid w:val="00A43A69"/>
    <w:rsid w:val="00A452C3"/>
    <w:rsid w:val="00A479FC"/>
    <w:rsid w:val="00A51F90"/>
    <w:rsid w:val="00A826C0"/>
    <w:rsid w:val="00A8270A"/>
    <w:rsid w:val="00A855CC"/>
    <w:rsid w:val="00AA0FBB"/>
    <w:rsid w:val="00AB5AE3"/>
    <w:rsid w:val="00AC5A8A"/>
    <w:rsid w:val="00AE0F32"/>
    <w:rsid w:val="00AF4353"/>
    <w:rsid w:val="00B00B2B"/>
    <w:rsid w:val="00B114AB"/>
    <w:rsid w:val="00B275D5"/>
    <w:rsid w:val="00B27B78"/>
    <w:rsid w:val="00B3471A"/>
    <w:rsid w:val="00B34FFF"/>
    <w:rsid w:val="00B456D7"/>
    <w:rsid w:val="00B45DC3"/>
    <w:rsid w:val="00B47B15"/>
    <w:rsid w:val="00B53CFC"/>
    <w:rsid w:val="00B557A6"/>
    <w:rsid w:val="00B62DB5"/>
    <w:rsid w:val="00B828CE"/>
    <w:rsid w:val="00BA69E8"/>
    <w:rsid w:val="00BB34B8"/>
    <w:rsid w:val="00BB79E4"/>
    <w:rsid w:val="00BD2706"/>
    <w:rsid w:val="00BD4974"/>
    <w:rsid w:val="00BE0782"/>
    <w:rsid w:val="00BE154E"/>
    <w:rsid w:val="00BE3E3E"/>
    <w:rsid w:val="00BF34B1"/>
    <w:rsid w:val="00BF6170"/>
    <w:rsid w:val="00C015D9"/>
    <w:rsid w:val="00C04E84"/>
    <w:rsid w:val="00C1305C"/>
    <w:rsid w:val="00C14B61"/>
    <w:rsid w:val="00C20FD5"/>
    <w:rsid w:val="00C21C58"/>
    <w:rsid w:val="00C45127"/>
    <w:rsid w:val="00C479B1"/>
    <w:rsid w:val="00C518C9"/>
    <w:rsid w:val="00C60AA0"/>
    <w:rsid w:val="00C67B7F"/>
    <w:rsid w:val="00C933D5"/>
    <w:rsid w:val="00CA1508"/>
    <w:rsid w:val="00CA1A4F"/>
    <w:rsid w:val="00CB3E23"/>
    <w:rsid w:val="00CB51B0"/>
    <w:rsid w:val="00CC20B2"/>
    <w:rsid w:val="00CE3FFC"/>
    <w:rsid w:val="00CE524D"/>
    <w:rsid w:val="00CF09CB"/>
    <w:rsid w:val="00D0106A"/>
    <w:rsid w:val="00D05948"/>
    <w:rsid w:val="00D148C0"/>
    <w:rsid w:val="00D20179"/>
    <w:rsid w:val="00D460AB"/>
    <w:rsid w:val="00D528E9"/>
    <w:rsid w:val="00D649B4"/>
    <w:rsid w:val="00D6693D"/>
    <w:rsid w:val="00D6751C"/>
    <w:rsid w:val="00D7058D"/>
    <w:rsid w:val="00D72B3B"/>
    <w:rsid w:val="00D76B26"/>
    <w:rsid w:val="00D861AF"/>
    <w:rsid w:val="00D87CFE"/>
    <w:rsid w:val="00D91A60"/>
    <w:rsid w:val="00DA16AF"/>
    <w:rsid w:val="00DA79DB"/>
    <w:rsid w:val="00DB2CD6"/>
    <w:rsid w:val="00DB361C"/>
    <w:rsid w:val="00DB40EA"/>
    <w:rsid w:val="00DD02C9"/>
    <w:rsid w:val="00DF6BF5"/>
    <w:rsid w:val="00E05081"/>
    <w:rsid w:val="00E11566"/>
    <w:rsid w:val="00E12DD2"/>
    <w:rsid w:val="00E14B04"/>
    <w:rsid w:val="00E17908"/>
    <w:rsid w:val="00E22BD3"/>
    <w:rsid w:val="00E25DBA"/>
    <w:rsid w:val="00E40594"/>
    <w:rsid w:val="00E709F7"/>
    <w:rsid w:val="00E73938"/>
    <w:rsid w:val="00E74D75"/>
    <w:rsid w:val="00E75C2A"/>
    <w:rsid w:val="00E92604"/>
    <w:rsid w:val="00E92EF3"/>
    <w:rsid w:val="00E958C0"/>
    <w:rsid w:val="00E97D38"/>
    <w:rsid w:val="00EA2D46"/>
    <w:rsid w:val="00EB2737"/>
    <w:rsid w:val="00EB2EAC"/>
    <w:rsid w:val="00EB723E"/>
    <w:rsid w:val="00EC58F1"/>
    <w:rsid w:val="00EC65B5"/>
    <w:rsid w:val="00EC6A29"/>
    <w:rsid w:val="00EE1459"/>
    <w:rsid w:val="00EE5E93"/>
    <w:rsid w:val="00EE5EF3"/>
    <w:rsid w:val="00EE743D"/>
    <w:rsid w:val="00EF01F4"/>
    <w:rsid w:val="00EF5FDA"/>
    <w:rsid w:val="00F053ED"/>
    <w:rsid w:val="00F22205"/>
    <w:rsid w:val="00F258E2"/>
    <w:rsid w:val="00F40D77"/>
    <w:rsid w:val="00F4425A"/>
    <w:rsid w:val="00F53C32"/>
    <w:rsid w:val="00F73BDC"/>
    <w:rsid w:val="00F84BF6"/>
    <w:rsid w:val="00F97847"/>
    <w:rsid w:val="00F97900"/>
    <w:rsid w:val="00FA4638"/>
    <w:rsid w:val="00FC335C"/>
    <w:rsid w:val="00FC6B26"/>
    <w:rsid w:val="00FD68C8"/>
    <w:rsid w:val="00FE2458"/>
    <w:rsid w:val="00FF7EDB"/>
    <w:rsid w:val="012F5415"/>
    <w:rsid w:val="0147153B"/>
    <w:rsid w:val="025739FF"/>
    <w:rsid w:val="03A74512"/>
    <w:rsid w:val="03E312C3"/>
    <w:rsid w:val="04C13A78"/>
    <w:rsid w:val="04C2712A"/>
    <w:rsid w:val="04C96A13"/>
    <w:rsid w:val="05363CC6"/>
    <w:rsid w:val="05AB5D84"/>
    <w:rsid w:val="06502589"/>
    <w:rsid w:val="06736704"/>
    <w:rsid w:val="06F57B0E"/>
    <w:rsid w:val="079A0FA5"/>
    <w:rsid w:val="07A82607"/>
    <w:rsid w:val="08000695"/>
    <w:rsid w:val="0858402D"/>
    <w:rsid w:val="08B576D2"/>
    <w:rsid w:val="08DF3D86"/>
    <w:rsid w:val="08EF0034"/>
    <w:rsid w:val="0A3F6C68"/>
    <w:rsid w:val="0A40746F"/>
    <w:rsid w:val="0B1D50BA"/>
    <w:rsid w:val="0B453DDB"/>
    <w:rsid w:val="0C220683"/>
    <w:rsid w:val="0C4B6E38"/>
    <w:rsid w:val="0CD143AE"/>
    <w:rsid w:val="0D187A5E"/>
    <w:rsid w:val="0D2C3CDA"/>
    <w:rsid w:val="0EA02C7F"/>
    <w:rsid w:val="0EBC4BEA"/>
    <w:rsid w:val="0EDE48A1"/>
    <w:rsid w:val="0EFB414D"/>
    <w:rsid w:val="0F4C33C4"/>
    <w:rsid w:val="0F783207"/>
    <w:rsid w:val="0FB71F81"/>
    <w:rsid w:val="0FC4644C"/>
    <w:rsid w:val="0FD34C43"/>
    <w:rsid w:val="10256E5E"/>
    <w:rsid w:val="10A92AFD"/>
    <w:rsid w:val="10EF574B"/>
    <w:rsid w:val="10FA6547"/>
    <w:rsid w:val="10FD2D84"/>
    <w:rsid w:val="115E4DF9"/>
    <w:rsid w:val="118E2F2D"/>
    <w:rsid w:val="11907D85"/>
    <w:rsid w:val="128171A9"/>
    <w:rsid w:val="12A35796"/>
    <w:rsid w:val="130F72FF"/>
    <w:rsid w:val="132F62D2"/>
    <w:rsid w:val="133B50BF"/>
    <w:rsid w:val="14411E19"/>
    <w:rsid w:val="147F5C8B"/>
    <w:rsid w:val="156C736A"/>
    <w:rsid w:val="157E709D"/>
    <w:rsid w:val="15A308B2"/>
    <w:rsid w:val="16133C89"/>
    <w:rsid w:val="16583F76"/>
    <w:rsid w:val="16610551"/>
    <w:rsid w:val="167C182F"/>
    <w:rsid w:val="16AE22C9"/>
    <w:rsid w:val="170830C2"/>
    <w:rsid w:val="17171557"/>
    <w:rsid w:val="172F68A1"/>
    <w:rsid w:val="188F5AFD"/>
    <w:rsid w:val="18A4330A"/>
    <w:rsid w:val="18AE06D7"/>
    <w:rsid w:val="19962189"/>
    <w:rsid w:val="19AB21E9"/>
    <w:rsid w:val="1AC45552"/>
    <w:rsid w:val="1AFC4CEC"/>
    <w:rsid w:val="1BB27AA1"/>
    <w:rsid w:val="1BE86120"/>
    <w:rsid w:val="1BF45058"/>
    <w:rsid w:val="1C76074C"/>
    <w:rsid w:val="1CA92C52"/>
    <w:rsid w:val="1CC47DA2"/>
    <w:rsid w:val="1CEC2B3E"/>
    <w:rsid w:val="1D2642A2"/>
    <w:rsid w:val="1D344C11"/>
    <w:rsid w:val="1D884F5D"/>
    <w:rsid w:val="1E0508CE"/>
    <w:rsid w:val="1E214A6A"/>
    <w:rsid w:val="1E414B65"/>
    <w:rsid w:val="1E811919"/>
    <w:rsid w:val="1F903C55"/>
    <w:rsid w:val="203C3DDD"/>
    <w:rsid w:val="20511636"/>
    <w:rsid w:val="207D72D4"/>
    <w:rsid w:val="216B7882"/>
    <w:rsid w:val="2175060E"/>
    <w:rsid w:val="21CB5418"/>
    <w:rsid w:val="21ED1832"/>
    <w:rsid w:val="21ED5FC5"/>
    <w:rsid w:val="2201447D"/>
    <w:rsid w:val="228E679A"/>
    <w:rsid w:val="22E2588F"/>
    <w:rsid w:val="23302581"/>
    <w:rsid w:val="235E22F0"/>
    <w:rsid w:val="248875F1"/>
    <w:rsid w:val="251A0B90"/>
    <w:rsid w:val="259E238F"/>
    <w:rsid w:val="25E54953"/>
    <w:rsid w:val="25E92311"/>
    <w:rsid w:val="25FE400E"/>
    <w:rsid w:val="28A013AD"/>
    <w:rsid w:val="28C55C75"/>
    <w:rsid w:val="28DF529E"/>
    <w:rsid w:val="29051210"/>
    <w:rsid w:val="296879F1"/>
    <w:rsid w:val="29CD27F7"/>
    <w:rsid w:val="2A096954"/>
    <w:rsid w:val="2A5D55C5"/>
    <w:rsid w:val="2A9D0FD2"/>
    <w:rsid w:val="2ADB52C9"/>
    <w:rsid w:val="2B086D40"/>
    <w:rsid w:val="2B0F45C8"/>
    <w:rsid w:val="2B275ED7"/>
    <w:rsid w:val="2B4A3852"/>
    <w:rsid w:val="2BD82C0B"/>
    <w:rsid w:val="2C0B28F8"/>
    <w:rsid w:val="2CBC6D61"/>
    <w:rsid w:val="2CFF219F"/>
    <w:rsid w:val="2D512AA5"/>
    <w:rsid w:val="2D7C025A"/>
    <w:rsid w:val="2D83129D"/>
    <w:rsid w:val="2DA6290B"/>
    <w:rsid w:val="2DE16DA7"/>
    <w:rsid w:val="2DE25FC3"/>
    <w:rsid w:val="2DE951DB"/>
    <w:rsid w:val="2E982B26"/>
    <w:rsid w:val="2F907E0C"/>
    <w:rsid w:val="2FF630A8"/>
    <w:rsid w:val="3056332C"/>
    <w:rsid w:val="30877874"/>
    <w:rsid w:val="318B632B"/>
    <w:rsid w:val="31993480"/>
    <w:rsid w:val="31A841D4"/>
    <w:rsid w:val="320F63B0"/>
    <w:rsid w:val="32666C55"/>
    <w:rsid w:val="329A2C26"/>
    <w:rsid w:val="333B229A"/>
    <w:rsid w:val="33811DDB"/>
    <w:rsid w:val="338335E4"/>
    <w:rsid w:val="340547BA"/>
    <w:rsid w:val="34684D49"/>
    <w:rsid w:val="34A73AC3"/>
    <w:rsid w:val="355748A5"/>
    <w:rsid w:val="36552B49"/>
    <w:rsid w:val="36C26992"/>
    <w:rsid w:val="36CA7209"/>
    <w:rsid w:val="37164F30"/>
    <w:rsid w:val="37A823EF"/>
    <w:rsid w:val="37B07132"/>
    <w:rsid w:val="37B1660C"/>
    <w:rsid w:val="37CA0B35"/>
    <w:rsid w:val="389820A0"/>
    <w:rsid w:val="390872E3"/>
    <w:rsid w:val="399E45EB"/>
    <w:rsid w:val="39BA5501"/>
    <w:rsid w:val="39DA2245"/>
    <w:rsid w:val="39F132B6"/>
    <w:rsid w:val="3AB87F02"/>
    <w:rsid w:val="3AD44EE6"/>
    <w:rsid w:val="3AD62A0C"/>
    <w:rsid w:val="3AD72F96"/>
    <w:rsid w:val="3B6C511E"/>
    <w:rsid w:val="3C235C01"/>
    <w:rsid w:val="3C321EED"/>
    <w:rsid w:val="3C480B3F"/>
    <w:rsid w:val="3CBC13B8"/>
    <w:rsid w:val="3CF86CAA"/>
    <w:rsid w:val="3D360C68"/>
    <w:rsid w:val="3D5D11C3"/>
    <w:rsid w:val="3DB64D77"/>
    <w:rsid w:val="3E380D92"/>
    <w:rsid w:val="3E4D7489"/>
    <w:rsid w:val="3E922CE0"/>
    <w:rsid w:val="3E9939C1"/>
    <w:rsid w:val="3EBA2F1A"/>
    <w:rsid w:val="3EC7548D"/>
    <w:rsid w:val="3F051FBF"/>
    <w:rsid w:val="3F762A0F"/>
    <w:rsid w:val="3FAD7EF4"/>
    <w:rsid w:val="3FB00FD4"/>
    <w:rsid w:val="3FC108EA"/>
    <w:rsid w:val="3FF6120F"/>
    <w:rsid w:val="40481D0D"/>
    <w:rsid w:val="41570042"/>
    <w:rsid w:val="4199221E"/>
    <w:rsid w:val="41C3151B"/>
    <w:rsid w:val="41F63B3A"/>
    <w:rsid w:val="42323228"/>
    <w:rsid w:val="424F50EE"/>
    <w:rsid w:val="42B0448A"/>
    <w:rsid w:val="42C35F6C"/>
    <w:rsid w:val="42D323AC"/>
    <w:rsid w:val="42DF1772"/>
    <w:rsid w:val="432418B7"/>
    <w:rsid w:val="43E048FB"/>
    <w:rsid w:val="43E523B6"/>
    <w:rsid w:val="440469A6"/>
    <w:rsid w:val="440F4AB9"/>
    <w:rsid w:val="449E2D2B"/>
    <w:rsid w:val="450B30B0"/>
    <w:rsid w:val="453E7AC9"/>
    <w:rsid w:val="4600318E"/>
    <w:rsid w:val="46500769"/>
    <w:rsid w:val="4654341B"/>
    <w:rsid w:val="46E97F6B"/>
    <w:rsid w:val="46F25071"/>
    <w:rsid w:val="47242D51"/>
    <w:rsid w:val="47685334"/>
    <w:rsid w:val="487B41EE"/>
    <w:rsid w:val="487D6BBD"/>
    <w:rsid w:val="48DF200F"/>
    <w:rsid w:val="495851E9"/>
    <w:rsid w:val="49AE394E"/>
    <w:rsid w:val="4A2D43D8"/>
    <w:rsid w:val="4A975E58"/>
    <w:rsid w:val="4B01301B"/>
    <w:rsid w:val="4B26353C"/>
    <w:rsid w:val="4BA3693A"/>
    <w:rsid w:val="4BF96738"/>
    <w:rsid w:val="4C0A6433"/>
    <w:rsid w:val="4CA0731E"/>
    <w:rsid w:val="4CD3324F"/>
    <w:rsid w:val="4D3F6B37"/>
    <w:rsid w:val="4E386937"/>
    <w:rsid w:val="4ED81593"/>
    <w:rsid w:val="4F1B0EDE"/>
    <w:rsid w:val="4F38383D"/>
    <w:rsid w:val="4F493C9D"/>
    <w:rsid w:val="4F4E005F"/>
    <w:rsid w:val="4FE01229"/>
    <w:rsid w:val="4FE21E27"/>
    <w:rsid w:val="50357D7D"/>
    <w:rsid w:val="506143EC"/>
    <w:rsid w:val="50850D04"/>
    <w:rsid w:val="50953188"/>
    <w:rsid w:val="511D0F3D"/>
    <w:rsid w:val="51385D77"/>
    <w:rsid w:val="517535C5"/>
    <w:rsid w:val="5183104C"/>
    <w:rsid w:val="51AF590D"/>
    <w:rsid w:val="51E41A5B"/>
    <w:rsid w:val="521D09F2"/>
    <w:rsid w:val="52891D4D"/>
    <w:rsid w:val="5290589C"/>
    <w:rsid w:val="52990A97"/>
    <w:rsid w:val="529A65BD"/>
    <w:rsid w:val="52B62EA4"/>
    <w:rsid w:val="530A434B"/>
    <w:rsid w:val="531C49E2"/>
    <w:rsid w:val="53206AC2"/>
    <w:rsid w:val="53822CD9"/>
    <w:rsid w:val="539F3F23"/>
    <w:rsid w:val="53D855EF"/>
    <w:rsid w:val="53DD6E31"/>
    <w:rsid w:val="54244390"/>
    <w:rsid w:val="544D47D2"/>
    <w:rsid w:val="548868AA"/>
    <w:rsid w:val="549E5C51"/>
    <w:rsid w:val="551D59AF"/>
    <w:rsid w:val="552A7962"/>
    <w:rsid w:val="5542526F"/>
    <w:rsid w:val="55B24C7B"/>
    <w:rsid w:val="55B77848"/>
    <w:rsid w:val="55F34962"/>
    <w:rsid w:val="563263D1"/>
    <w:rsid w:val="5636125F"/>
    <w:rsid w:val="56C62FC9"/>
    <w:rsid w:val="574D1E50"/>
    <w:rsid w:val="57596A47"/>
    <w:rsid w:val="57803B24"/>
    <w:rsid w:val="57BA64B4"/>
    <w:rsid w:val="57D936E4"/>
    <w:rsid w:val="58493820"/>
    <w:rsid w:val="588B498C"/>
    <w:rsid w:val="58CD1F3D"/>
    <w:rsid w:val="58D204C9"/>
    <w:rsid w:val="590E38BE"/>
    <w:rsid w:val="59651216"/>
    <w:rsid w:val="597F77E2"/>
    <w:rsid w:val="5A3F0176"/>
    <w:rsid w:val="5A97282E"/>
    <w:rsid w:val="5B445084"/>
    <w:rsid w:val="5CF36FF6"/>
    <w:rsid w:val="5E0B52B6"/>
    <w:rsid w:val="5EEA3E64"/>
    <w:rsid w:val="5FE01AB3"/>
    <w:rsid w:val="5FE86BBA"/>
    <w:rsid w:val="600D4872"/>
    <w:rsid w:val="60DB227B"/>
    <w:rsid w:val="611430D1"/>
    <w:rsid w:val="61177D34"/>
    <w:rsid w:val="6170330B"/>
    <w:rsid w:val="618F6740"/>
    <w:rsid w:val="622E1505"/>
    <w:rsid w:val="62D116CD"/>
    <w:rsid w:val="63026D35"/>
    <w:rsid w:val="64634A61"/>
    <w:rsid w:val="651F1E47"/>
    <w:rsid w:val="653A034D"/>
    <w:rsid w:val="65764C68"/>
    <w:rsid w:val="658B749D"/>
    <w:rsid w:val="65B97391"/>
    <w:rsid w:val="660B1854"/>
    <w:rsid w:val="66791416"/>
    <w:rsid w:val="66885A01"/>
    <w:rsid w:val="6784366C"/>
    <w:rsid w:val="67EF7410"/>
    <w:rsid w:val="680D6E2D"/>
    <w:rsid w:val="6810519A"/>
    <w:rsid w:val="6858147F"/>
    <w:rsid w:val="6885798D"/>
    <w:rsid w:val="68F92B6B"/>
    <w:rsid w:val="6998062A"/>
    <w:rsid w:val="6A026ACA"/>
    <w:rsid w:val="6A0B374A"/>
    <w:rsid w:val="6A2E78BF"/>
    <w:rsid w:val="6A7E0847"/>
    <w:rsid w:val="6AA54025"/>
    <w:rsid w:val="6AD7102C"/>
    <w:rsid w:val="6B557DA2"/>
    <w:rsid w:val="6C6B0957"/>
    <w:rsid w:val="6CC67584"/>
    <w:rsid w:val="6CCB5899"/>
    <w:rsid w:val="6D3B7266"/>
    <w:rsid w:val="6DAF51BB"/>
    <w:rsid w:val="6E260DAB"/>
    <w:rsid w:val="6E64558F"/>
    <w:rsid w:val="6EBF21B5"/>
    <w:rsid w:val="6F3D32ED"/>
    <w:rsid w:val="6F6F2FA1"/>
    <w:rsid w:val="6F734614"/>
    <w:rsid w:val="6F9901B2"/>
    <w:rsid w:val="6FA40C3A"/>
    <w:rsid w:val="6FD11419"/>
    <w:rsid w:val="6FE0661C"/>
    <w:rsid w:val="6FE902A7"/>
    <w:rsid w:val="70652260"/>
    <w:rsid w:val="706D680E"/>
    <w:rsid w:val="70BF75A4"/>
    <w:rsid w:val="71634841"/>
    <w:rsid w:val="72221DF9"/>
    <w:rsid w:val="72282ED8"/>
    <w:rsid w:val="724F5EA2"/>
    <w:rsid w:val="733E7B86"/>
    <w:rsid w:val="73533EAF"/>
    <w:rsid w:val="735C40F7"/>
    <w:rsid w:val="73CB62F7"/>
    <w:rsid w:val="73DE78C6"/>
    <w:rsid w:val="74122B6B"/>
    <w:rsid w:val="74A44763"/>
    <w:rsid w:val="75022074"/>
    <w:rsid w:val="752B2E74"/>
    <w:rsid w:val="75436915"/>
    <w:rsid w:val="75B71DC3"/>
    <w:rsid w:val="75E672A0"/>
    <w:rsid w:val="75E707C4"/>
    <w:rsid w:val="77050456"/>
    <w:rsid w:val="775708DD"/>
    <w:rsid w:val="776110C8"/>
    <w:rsid w:val="776D0E18"/>
    <w:rsid w:val="77A613DD"/>
    <w:rsid w:val="77D23F80"/>
    <w:rsid w:val="781520BE"/>
    <w:rsid w:val="786033F2"/>
    <w:rsid w:val="78C977D6"/>
    <w:rsid w:val="79017595"/>
    <w:rsid w:val="795E7C1C"/>
    <w:rsid w:val="795F1D72"/>
    <w:rsid w:val="7A1F7224"/>
    <w:rsid w:val="7A5944E4"/>
    <w:rsid w:val="7A6B4218"/>
    <w:rsid w:val="7A7B26AD"/>
    <w:rsid w:val="7A875EF8"/>
    <w:rsid w:val="7A8F3C5A"/>
    <w:rsid w:val="7A9607AF"/>
    <w:rsid w:val="7A9A22DD"/>
    <w:rsid w:val="7AA809AB"/>
    <w:rsid w:val="7ABD6575"/>
    <w:rsid w:val="7B07403A"/>
    <w:rsid w:val="7B3D6D3E"/>
    <w:rsid w:val="7B4F5CC8"/>
    <w:rsid w:val="7B6E406A"/>
    <w:rsid w:val="7B8F3F36"/>
    <w:rsid w:val="7C557277"/>
    <w:rsid w:val="7CEF2EDE"/>
    <w:rsid w:val="7D3C2AC4"/>
    <w:rsid w:val="7D6067A7"/>
    <w:rsid w:val="7D901AF7"/>
    <w:rsid w:val="7DA102C1"/>
    <w:rsid w:val="7EA626E5"/>
    <w:rsid w:val="7EDA196C"/>
    <w:rsid w:val="7FAE52D2"/>
    <w:rsid w:val="7FDC20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semiHidden="0"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nhideWhenUsed="0" w:uiPriority="0" w:semiHidden="0"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nhideWhenUsed="0" w:uiPriority="0"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99"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nhideWhenUsed="0" w:uiPriority="0" w:semiHidden="0" w:name="Date"/>
    <w:lsdException w:qFormat="1" w:unhideWhenUsed="0" w:uiPriority="99"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uiPriority="99" w:name="Body Text Indent 2"/>
    <w:lsdException w:uiPriority="99" w:name="Body Text Indent 3"/>
    <w:lsdException w:qFormat="1" w:unhideWhenUsed="0" w:uiPriority="99" w:semiHidden="0" w:name="Block Text"/>
    <w:lsdException w:unhideWhenUsed="0" w:uiPriority="0" w:semiHidden="0" w:name="Hyperlink"/>
    <w:lsdException w:uiPriority="99" w:name="FollowedHyperlink"/>
    <w:lsdException w:qFormat="1" w:unhideWhenUsed="0" w:uiPriority="22" w:semiHidden="0" w:name="Strong"/>
    <w:lsdException w:unhideWhenUsed="0" w:uiPriority="20" w:semiHidden="0" w:name="Emphasis"/>
    <w:lsdException w:uiPriority="99" w:name="Document Map"/>
    <w:lsdException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adjustRightInd w:val="0"/>
      <w:snapToGrid w:val="0"/>
      <w:spacing w:line="0" w:lineRule="atLeast"/>
      <w:jc w:val="center"/>
    </w:pPr>
    <w:rPr>
      <w:rFonts w:ascii="Times New Roman" w:hAnsi="Times New Roman" w:eastAsia="宋体" w:cs="Times New Roman"/>
      <w:sz w:val="21"/>
      <w:szCs w:val="21"/>
      <w:lang w:val="en-US" w:eastAsia="zh-CN" w:bidi="ar-SA"/>
    </w:rPr>
  </w:style>
  <w:style w:type="paragraph" w:styleId="2">
    <w:name w:val="heading 1"/>
    <w:basedOn w:val="1"/>
    <w:next w:val="1"/>
    <w:link w:val="44"/>
    <w:autoRedefine/>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51"/>
    <w:autoRedefine/>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autoRedefine/>
    <w:unhideWhenUsed/>
    <w:qFormat/>
    <w:uiPriority w:val="9"/>
    <w:pPr>
      <w:keepNext/>
      <w:keepLines/>
      <w:spacing w:before="260" w:after="260" w:line="416" w:lineRule="auto"/>
      <w:outlineLvl w:val="2"/>
    </w:pPr>
    <w:rPr>
      <w:b/>
      <w:bCs/>
      <w:sz w:val="32"/>
      <w:szCs w:val="32"/>
    </w:rPr>
  </w:style>
  <w:style w:type="paragraph" w:styleId="5">
    <w:name w:val="heading 4"/>
    <w:basedOn w:val="1"/>
    <w:next w:val="1"/>
    <w:link w:val="43"/>
    <w:autoRedefine/>
    <w:unhideWhenUsed/>
    <w:qFormat/>
    <w:uiPriority w:val="9"/>
    <w:pPr>
      <w:keepNext/>
      <w:keepLines/>
      <w:spacing w:before="120" w:after="120" w:line="360" w:lineRule="auto"/>
      <w:jc w:val="both"/>
      <w:outlineLvl w:val="3"/>
    </w:pPr>
    <w:rPr>
      <w:rFonts w:cstheme="majorBidi"/>
      <w:b/>
      <w:bCs/>
      <w:sz w:val="24"/>
      <w:szCs w:val="28"/>
    </w:rPr>
  </w:style>
  <w:style w:type="paragraph" w:styleId="6">
    <w:name w:val="heading 5"/>
    <w:basedOn w:val="1"/>
    <w:next w:val="1"/>
    <w:link w:val="63"/>
    <w:autoRedefine/>
    <w:unhideWhenUsed/>
    <w:qFormat/>
    <w:uiPriority w:val="9"/>
    <w:pPr>
      <w:keepNext/>
      <w:keepLines/>
      <w:spacing w:line="480" w:lineRule="exact"/>
      <w:jc w:val="left"/>
      <w:outlineLvl w:val="4"/>
    </w:pPr>
    <w:rPr>
      <w:rFonts w:ascii="Times New Roman" w:hAnsi="Times New Roman" w:eastAsia="宋体"/>
      <w:b/>
      <w:bCs/>
      <w:sz w:val="24"/>
      <w:szCs w:val="28"/>
    </w:rPr>
  </w:style>
  <w:style w:type="character" w:default="1" w:styleId="36">
    <w:name w:val="Default Paragraph Font"/>
    <w:autoRedefine/>
    <w:semiHidden/>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7">
    <w:name w:val="toc 7"/>
    <w:basedOn w:val="1"/>
    <w:next w:val="1"/>
    <w:autoRedefine/>
    <w:unhideWhenUsed/>
    <w:qFormat/>
    <w:uiPriority w:val="39"/>
    <w:pPr>
      <w:ind w:left="1440"/>
      <w:jc w:val="left"/>
    </w:pPr>
    <w:rPr>
      <w:rFonts w:asciiTheme="minorHAnsi" w:hAnsiTheme="minorHAnsi"/>
      <w:sz w:val="18"/>
      <w:szCs w:val="18"/>
    </w:rPr>
  </w:style>
  <w:style w:type="paragraph" w:styleId="8">
    <w:name w:val="Normal Indent"/>
    <w:basedOn w:val="1"/>
    <w:next w:val="9"/>
    <w:autoRedefine/>
    <w:qFormat/>
    <w:uiPriority w:val="99"/>
    <w:pPr>
      <w:ind w:firstLine="420" w:firstLineChars="200"/>
    </w:pPr>
  </w:style>
  <w:style w:type="paragraph" w:customStyle="1" w:styleId="9">
    <w:name w:val="Char Char Char Char Char Char Char Char Char1 Char"/>
    <w:basedOn w:val="1"/>
    <w:autoRedefine/>
    <w:qFormat/>
    <w:uiPriority w:val="0"/>
    <w:pPr>
      <w:spacing w:line="360" w:lineRule="auto"/>
      <w:ind w:firstLine="200" w:firstLineChars="200"/>
    </w:pPr>
    <w:rPr>
      <w:rFonts w:hAnsi="宋体" w:cs="宋体"/>
      <w:spacing w:val="0"/>
      <w:sz w:val="24"/>
      <w:szCs w:val="24"/>
    </w:rPr>
  </w:style>
  <w:style w:type="paragraph" w:styleId="10">
    <w:name w:val="caption"/>
    <w:basedOn w:val="1"/>
    <w:next w:val="1"/>
    <w:autoRedefine/>
    <w:qFormat/>
    <w:uiPriority w:val="0"/>
    <w:pPr>
      <w:widowControl/>
      <w:tabs>
        <w:tab w:val="right" w:leader="middleDot" w:pos="8295"/>
      </w:tabs>
      <w:spacing w:line="360" w:lineRule="auto"/>
      <w:ind w:firstLine="480" w:firstLineChars="200"/>
    </w:pPr>
    <w:rPr>
      <w:rFonts w:ascii="Cambria" w:hAnsi="Cambria" w:eastAsia="黑体" w:cs="Times New Roman"/>
      <w:kern w:val="2"/>
      <w:szCs w:val="20"/>
    </w:rPr>
  </w:style>
  <w:style w:type="paragraph" w:styleId="11">
    <w:name w:val="annotation text"/>
    <w:basedOn w:val="1"/>
    <w:autoRedefine/>
    <w:qFormat/>
    <w:uiPriority w:val="0"/>
    <w:pPr>
      <w:jc w:val="left"/>
    </w:pPr>
  </w:style>
  <w:style w:type="paragraph" w:styleId="12">
    <w:name w:val="Body Text 3"/>
    <w:basedOn w:val="1"/>
    <w:autoRedefine/>
    <w:qFormat/>
    <w:uiPriority w:val="0"/>
    <w:pPr>
      <w:spacing w:after="120" w:line="360" w:lineRule="auto"/>
      <w:ind w:firstLine="200" w:firstLineChars="200"/>
    </w:pPr>
    <w:rPr>
      <w:rFonts w:ascii="Times New Roman" w:hAnsi="Times New Roman" w:eastAsia="Times New Roman" w:cs="Times New Roman"/>
      <w:sz w:val="16"/>
      <w:lang w:val="zh-CN"/>
    </w:rPr>
  </w:style>
  <w:style w:type="paragraph" w:styleId="13">
    <w:name w:val="Body Text"/>
    <w:basedOn w:val="1"/>
    <w:next w:val="14"/>
    <w:autoRedefine/>
    <w:unhideWhenUsed/>
    <w:qFormat/>
    <w:uiPriority w:val="99"/>
    <w:pPr>
      <w:spacing w:after="120"/>
    </w:pPr>
  </w:style>
  <w:style w:type="paragraph" w:customStyle="1" w:styleId="14">
    <w:name w:val="默认段落"/>
    <w:basedOn w:val="1"/>
    <w:autoRedefine/>
    <w:qFormat/>
    <w:uiPriority w:val="0"/>
    <w:pPr>
      <w:widowControl/>
      <w:spacing w:line="360" w:lineRule="auto"/>
      <w:ind w:firstLine="200" w:firstLineChars="200"/>
      <w:jc w:val="left"/>
    </w:pPr>
    <w:rPr>
      <w:rFonts w:ascii="仿宋_GB2312" w:eastAsia="仿宋_GB2312" w:cs="宋体"/>
      <w:kern w:val="0"/>
      <w:sz w:val="28"/>
      <w:szCs w:val="24"/>
    </w:rPr>
  </w:style>
  <w:style w:type="paragraph" w:styleId="15">
    <w:name w:val="Body Text Indent"/>
    <w:basedOn w:val="1"/>
    <w:autoRedefine/>
    <w:qFormat/>
    <w:uiPriority w:val="0"/>
    <w:pPr>
      <w:widowControl w:val="0"/>
      <w:spacing w:after="120"/>
      <w:ind w:left="420" w:leftChars="200"/>
      <w:jc w:val="both"/>
    </w:pPr>
    <w:rPr>
      <w:rFonts w:ascii="Times New Roman" w:hAnsi="Times New Roman" w:cs="Times New Roman"/>
      <w:kern w:val="2"/>
      <w:sz w:val="21"/>
      <w:szCs w:val="21"/>
    </w:rPr>
  </w:style>
  <w:style w:type="paragraph" w:styleId="16">
    <w:name w:val="List 2"/>
    <w:basedOn w:val="1"/>
    <w:autoRedefine/>
    <w:qFormat/>
    <w:uiPriority w:val="0"/>
    <w:pPr>
      <w:adjustRightInd w:val="0"/>
      <w:spacing w:line="312" w:lineRule="atLeast"/>
      <w:ind w:left="840" w:hanging="420"/>
      <w:textAlignment w:val="baseline"/>
    </w:pPr>
    <w:rPr>
      <w:kern w:val="0"/>
    </w:rPr>
  </w:style>
  <w:style w:type="paragraph" w:styleId="17">
    <w:name w:val="Block Text"/>
    <w:basedOn w:val="1"/>
    <w:autoRedefine/>
    <w:qFormat/>
    <w:uiPriority w:val="99"/>
    <w:pPr>
      <w:spacing w:line="260" w:lineRule="exact"/>
      <w:ind w:left="-107" w:right="-63"/>
      <w:jc w:val="center"/>
    </w:pPr>
    <w:rPr>
      <w:color w:val="000000"/>
      <w:sz w:val="18"/>
      <w:szCs w:val="20"/>
    </w:rPr>
  </w:style>
  <w:style w:type="paragraph" w:styleId="18">
    <w:name w:val="toc 5"/>
    <w:basedOn w:val="1"/>
    <w:next w:val="1"/>
    <w:autoRedefine/>
    <w:unhideWhenUsed/>
    <w:qFormat/>
    <w:uiPriority w:val="39"/>
    <w:pPr>
      <w:ind w:left="960"/>
      <w:jc w:val="left"/>
    </w:pPr>
    <w:rPr>
      <w:rFonts w:asciiTheme="minorHAnsi" w:hAnsiTheme="minorHAnsi"/>
      <w:sz w:val="18"/>
      <w:szCs w:val="18"/>
    </w:rPr>
  </w:style>
  <w:style w:type="paragraph" w:styleId="19">
    <w:name w:val="toc 8"/>
    <w:basedOn w:val="1"/>
    <w:next w:val="1"/>
    <w:autoRedefine/>
    <w:unhideWhenUsed/>
    <w:qFormat/>
    <w:uiPriority w:val="39"/>
    <w:pPr>
      <w:ind w:left="1680"/>
      <w:jc w:val="left"/>
    </w:pPr>
    <w:rPr>
      <w:rFonts w:asciiTheme="minorHAnsi" w:hAnsiTheme="minorHAnsi"/>
      <w:sz w:val="18"/>
      <w:szCs w:val="18"/>
    </w:rPr>
  </w:style>
  <w:style w:type="paragraph" w:styleId="20">
    <w:name w:val="footer"/>
    <w:basedOn w:val="1"/>
    <w:link w:val="52"/>
    <w:autoRedefine/>
    <w:qFormat/>
    <w:uiPriority w:val="99"/>
    <w:pPr>
      <w:tabs>
        <w:tab w:val="center" w:pos="4153"/>
        <w:tab w:val="right" w:pos="8306"/>
      </w:tabs>
      <w:spacing w:line="240" w:lineRule="auto"/>
      <w:jc w:val="left"/>
    </w:pPr>
  </w:style>
  <w:style w:type="paragraph" w:styleId="21">
    <w:name w:val="header"/>
    <w:basedOn w:val="1"/>
    <w:link w:val="60"/>
    <w:autoRedefine/>
    <w:qFormat/>
    <w:uiPriority w:val="99"/>
    <w:pPr>
      <w:pBdr>
        <w:bottom w:val="single" w:color="auto" w:sz="6" w:space="1"/>
      </w:pBdr>
      <w:tabs>
        <w:tab w:val="center" w:pos="4153"/>
        <w:tab w:val="right" w:pos="8306"/>
      </w:tabs>
      <w:adjustRightInd/>
      <w:spacing w:line="240" w:lineRule="auto"/>
    </w:pPr>
  </w:style>
  <w:style w:type="paragraph" w:styleId="22">
    <w:name w:val="toc 1"/>
    <w:basedOn w:val="1"/>
    <w:next w:val="1"/>
    <w:autoRedefine/>
    <w:unhideWhenUsed/>
    <w:qFormat/>
    <w:uiPriority w:val="39"/>
    <w:pPr>
      <w:spacing w:before="120" w:after="120"/>
      <w:jc w:val="left"/>
    </w:pPr>
    <w:rPr>
      <w:rFonts w:asciiTheme="minorHAnsi" w:hAnsiTheme="minorHAnsi"/>
      <w:b/>
      <w:bCs/>
      <w:caps/>
      <w:sz w:val="20"/>
    </w:rPr>
  </w:style>
  <w:style w:type="paragraph" w:styleId="23">
    <w:name w:val="toc 4"/>
    <w:basedOn w:val="1"/>
    <w:next w:val="1"/>
    <w:autoRedefine/>
    <w:unhideWhenUsed/>
    <w:qFormat/>
    <w:uiPriority w:val="39"/>
    <w:pPr>
      <w:ind w:left="720"/>
      <w:jc w:val="left"/>
    </w:pPr>
    <w:rPr>
      <w:rFonts w:asciiTheme="minorHAnsi" w:hAnsiTheme="minorHAnsi"/>
      <w:sz w:val="18"/>
      <w:szCs w:val="18"/>
    </w:rPr>
  </w:style>
  <w:style w:type="paragraph" w:styleId="24">
    <w:name w:val="index heading"/>
    <w:basedOn w:val="1"/>
    <w:next w:val="25"/>
    <w:autoRedefine/>
    <w:qFormat/>
    <w:uiPriority w:val="0"/>
  </w:style>
  <w:style w:type="paragraph" w:styleId="25">
    <w:name w:val="index 1"/>
    <w:basedOn w:val="1"/>
    <w:next w:val="1"/>
    <w:autoRedefine/>
    <w:qFormat/>
    <w:uiPriority w:val="0"/>
  </w:style>
  <w:style w:type="paragraph" w:styleId="26">
    <w:name w:val="List"/>
    <w:basedOn w:val="1"/>
    <w:autoRedefine/>
    <w:qFormat/>
    <w:uiPriority w:val="0"/>
    <w:pPr>
      <w:spacing w:line="240" w:lineRule="exact"/>
      <w:ind w:firstLine="200" w:firstLineChars="200"/>
      <w:jc w:val="center"/>
    </w:pPr>
    <w:rPr>
      <w:rFonts w:ascii="Arial" w:hAnsi="Arial"/>
      <w:snapToGrid w:val="0"/>
      <w:kern w:val="0"/>
      <w:sz w:val="24"/>
    </w:rPr>
  </w:style>
  <w:style w:type="paragraph" w:styleId="27">
    <w:name w:val="toc 6"/>
    <w:basedOn w:val="1"/>
    <w:next w:val="1"/>
    <w:autoRedefine/>
    <w:unhideWhenUsed/>
    <w:qFormat/>
    <w:uiPriority w:val="39"/>
    <w:pPr>
      <w:ind w:left="1200"/>
      <w:jc w:val="left"/>
    </w:pPr>
    <w:rPr>
      <w:rFonts w:asciiTheme="minorHAnsi" w:hAnsiTheme="minorHAnsi"/>
      <w:sz w:val="18"/>
      <w:szCs w:val="18"/>
    </w:rPr>
  </w:style>
  <w:style w:type="paragraph" w:styleId="28">
    <w:name w:val="toc 2"/>
    <w:basedOn w:val="1"/>
    <w:next w:val="1"/>
    <w:autoRedefine/>
    <w:unhideWhenUsed/>
    <w:qFormat/>
    <w:uiPriority w:val="39"/>
    <w:pPr>
      <w:ind w:left="240"/>
      <w:jc w:val="left"/>
    </w:pPr>
    <w:rPr>
      <w:rFonts w:asciiTheme="minorHAnsi" w:hAnsiTheme="minorHAnsi"/>
      <w:smallCaps/>
      <w:sz w:val="20"/>
    </w:rPr>
  </w:style>
  <w:style w:type="paragraph" w:styleId="29">
    <w:name w:val="toc 9"/>
    <w:basedOn w:val="1"/>
    <w:next w:val="1"/>
    <w:autoRedefine/>
    <w:unhideWhenUsed/>
    <w:qFormat/>
    <w:uiPriority w:val="39"/>
    <w:pPr>
      <w:ind w:left="1920"/>
      <w:jc w:val="left"/>
    </w:pPr>
    <w:rPr>
      <w:rFonts w:asciiTheme="minorHAnsi" w:hAnsiTheme="minorHAnsi"/>
      <w:sz w:val="18"/>
      <w:szCs w:val="18"/>
    </w:rPr>
  </w:style>
  <w:style w:type="paragraph" w:styleId="30">
    <w:name w:val="Body Text 2"/>
    <w:basedOn w:val="1"/>
    <w:autoRedefine/>
    <w:qFormat/>
    <w:uiPriority w:val="0"/>
    <w:pPr>
      <w:spacing w:after="120" w:afterLines="0" w:afterAutospacing="0" w:line="480" w:lineRule="auto"/>
      <w:ind w:firstLine="200" w:firstLineChars="200"/>
    </w:pPr>
    <w:rPr>
      <w:rFonts w:ascii="Times New Roman" w:hAnsi="Times New Roman" w:cs="Times New Roman"/>
      <w:kern w:val="2"/>
      <w:szCs w:val="20"/>
    </w:rPr>
  </w:style>
  <w:style w:type="paragraph" w:styleId="31">
    <w:name w:val="Normal (Web)"/>
    <w:basedOn w:val="1"/>
    <w:autoRedefine/>
    <w:unhideWhenUsed/>
    <w:qFormat/>
    <w:uiPriority w:val="99"/>
    <w:pPr>
      <w:widowControl/>
      <w:spacing w:before="100" w:beforeAutospacing="1" w:after="100" w:afterAutospacing="1"/>
      <w:jc w:val="left"/>
    </w:pPr>
    <w:rPr>
      <w:rFonts w:ascii="宋体" w:hAnsi="宋体" w:cs="宋体"/>
      <w:kern w:val="0"/>
      <w:sz w:val="24"/>
    </w:rPr>
  </w:style>
  <w:style w:type="paragraph" w:styleId="32">
    <w:name w:val="Body Text First Indent"/>
    <w:basedOn w:val="13"/>
    <w:next w:val="1"/>
    <w:autoRedefine/>
    <w:qFormat/>
    <w:uiPriority w:val="99"/>
    <w:pPr>
      <w:spacing w:line="360" w:lineRule="auto"/>
      <w:ind w:firstLine="496" w:firstLineChars="200"/>
    </w:pPr>
    <w:rPr>
      <w:rFonts w:ascii="Times New Roman" w:cs="Times New Roman"/>
      <w:spacing w:val="4"/>
      <w:kern w:val="24"/>
      <w:szCs w:val="20"/>
    </w:rPr>
  </w:style>
  <w:style w:type="paragraph" w:styleId="33">
    <w:name w:val="Body Text First Indent 2"/>
    <w:basedOn w:val="15"/>
    <w:next w:val="1"/>
    <w:autoRedefine/>
    <w:qFormat/>
    <w:uiPriority w:val="0"/>
    <w:pPr>
      <w:ind w:firstLine="420" w:firstLineChars="200"/>
    </w:pPr>
  </w:style>
  <w:style w:type="table" w:styleId="35">
    <w:name w:val="Table Grid"/>
    <w:basedOn w:val="3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basedOn w:val="36"/>
    <w:autoRedefine/>
    <w:qFormat/>
    <w:uiPriority w:val="22"/>
    <w:rPr>
      <w:b/>
    </w:rPr>
  </w:style>
  <w:style w:type="character" w:styleId="38">
    <w:name w:val="annotation reference"/>
    <w:autoRedefine/>
    <w:qFormat/>
    <w:uiPriority w:val="0"/>
    <w:rPr>
      <w:rFonts w:eastAsia="宋体"/>
      <w:kern w:val="2"/>
      <w:sz w:val="21"/>
      <w:lang w:val="en-US" w:eastAsia="zh-CN"/>
    </w:rPr>
  </w:style>
  <w:style w:type="paragraph" w:customStyle="1" w:styleId="39">
    <w:name w:val="正文格式"/>
    <w:basedOn w:val="32"/>
    <w:next w:val="40"/>
    <w:autoRedefine/>
    <w:qFormat/>
    <w:uiPriority w:val="0"/>
    <w:pPr>
      <w:ind w:firstLine="200"/>
    </w:pPr>
    <w:rPr>
      <w:rFonts w:hAnsi="Times New Roman" w:cs="Times New Roman"/>
      <w:bCs/>
      <w:color w:val="323232"/>
      <w:spacing w:val="0"/>
      <w:kern w:val="0"/>
      <w:szCs w:val="21"/>
      <w:lang w:val="zh-CN"/>
    </w:rPr>
  </w:style>
  <w:style w:type="paragraph" w:customStyle="1" w:styleId="40">
    <w:name w:val="_Style 5"/>
    <w:basedOn w:val="1"/>
    <w:autoRedefine/>
    <w:qFormat/>
    <w:uiPriority w:val="0"/>
    <w:pPr>
      <w:ind w:firstLine="420"/>
    </w:pPr>
    <w:rPr>
      <w:rFonts w:ascii="Calibri" w:hAnsi="Calibri"/>
      <w:szCs w:val="22"/>
    </w:rPr>
  </w:style>
  <w:style w:type="paragraph" w:customStyle="1" w:styleId="41">
    <w:name w:val="表格内容"/>
    <w:basedOn w:val="42"/>
    <w:link w:val="46"/>
    <w:autoRedefine/>
    <w:qFormat/>
    <w:uiPriority w:val="0"/>
    <w:pPr>
      <w:spacing w:line="240" w:lineRule="atLeast"/>
      <w:ind w:firstLine="0" w:firstLineChars="0"/>
    </w:pPr>
    <w:rPr>
      <w:rFonts w:ascii="Times New Roman" w:hAnsi="Times New Roman" w:eastAsia="宋体" w:cs="Times New Roman"/>
      <w:sz w:val="21"/>
    </w:rPr>
  </w:style>
  <w:style w:type="paragraph" w:customStyle="1" w:styleId="42">
    <w:name w:val="WW-正文缩进"/>
    <w:basedOn w:val="1"/>
    <w:autoRedefine/>
    <w:semiHidden/>
    <w:qFormat/>
    <w:uiPriority w:val="0"/>
    <w:pPr>
      <w:ind w:firstLine="420"/>
    </w:pPr>
    <w:rPr>
      <w:sz w:val="28"/>
      <w:szCs w:val="20"/>
    </w:rPr>
  </w:style>
  <w:style w:type="character" w:customStyle="1" w:styleId="43">
    <w:name w:val="标题 4 字符"/>
    <w:basedOn w:val="36"/>
    <w:link w:val="5"/>
    <w:autoRedefine/>
    <w:qFormat/>
    <w:uiPriority w:val="9"/>
    <w:rPr>
      <w:rFonts w:ascii="Times New Roman" w:hAnsi="Times New Roman" w:eastAsia="宋体" w:cstheme="majorBidi"/>
      <w:b/>
      <w:bCs/>
      <w:sz w:val="24"/>
      <w:szCs w:val="28"/>
    </w:rPr>
  </w:style>
  <w:style w:type="character" w:customStyle="1" w:styleId="44">
    <w:name w:val="标题 1 字符"/>
    <w:basedOn w:val="36"/>
    <w:link w:val="2"/>
    <w:autoRedefine/>
    <w:qFormat/>
    <w:uiPriority w:val="9"/>
    <w:rPr>
      <w:rFonts w:ascii="Times New Roman" w:hAnsi="Times New Roman" w:eastAsia="宋体" w:cs="Times New Roman"/>
      <w:b/>
      <w:bCs/>
      <w:kern w:val="44"/>
      <w:sz w:val="44"/>
      <w:szCs w:val="44"/>
    </w:rPr>
  </w:style>
  <w:style w:type="character" w:customStyle="1" w:styleId="45">
    <w:name w:val="标题 3 字符"/>
    <w:basedOn w:val="36"/>
    <w:link w:val="4"/>
    <w:autoRedefine/>
    <w:semiHidden/>
    <w:qFormat/>
    <w:uiPriority w:val="9"/>
    <w:rPr>
      <w:rFonts w:ascii="Times New Roman" w:hAnsi="Times New Roman" w:eastAsia="宋体" w:cs="Times New Roman"/>
      <w:b/>
      <w:bCs/>
      <w:kern w:val="0"/>
      <w:sz w:val="32"/>
      <w:szCs w:val="32"/>
    </w:rPr>
  </w:style>
  <w:style w:type="character" w:customStyle="1" w:styleId="46">
    <w:name w:val="表格内容 字符"/>
    <w:basedOn w:val="36"/>
    <w:link w:val="41"/>
    <w:autoRedefine/>
    <w:qFormat/>
    <w:uiPriority w:val="0"/>
    <w:rPr>
      <w:rFonts w:ascii="Times New Roman" w:hAnsi="Times New Roman" w:eastAsia="宋体"/>
      <w:sz w:val="21"/>
      <w:szCs w:val="21"/>
    </w:rPr>
  </w:style>
  <w:style w:type="paragraph" w:customStyle="1" w:styleId="47">
    <w:name w:val="标题1"/>
    <w:basedOn w:val="2"/>
    <w:link w:val="48"/>
    <w:autoRedefine/>
    <w:qFormat/>
    <w:uiPriority w:val="0"/>
    <w:pPr>
      <w:adjustRightInd/>
      <w:snapToGrid/>
      <w:spacing w:before="120" w:after="120" w:line="360" w:lineRule="auto"/>
      <w:jc w:val="left"/>
    </w:pPr>
    <w:rPr>
      <w:rFonts w:ascii="黑体" w:hAnsi="黑体" w:eastAsia="黑体"/>
      <w:bCs w:val="0"/>
      <w:sz w:val="32"/>
      <w:szCs w:val="24"/>
    </w:rPr>
  </w:style>
  <w:style w:type="character" w:customStyle="1" w:styleId="48">
    <w:name w:val="标题1 字符"/>
    <w:link w:val="47"/>
    <w:autoRedefine/>
    <w:qFormat/>
    <w:uiPriority w:val="0"/>
    <w:rPr>
      <w:rFonts w:ascii="黑体" w:hAnsi="黑体" w:eastAsia="黑体" w:cs="Times New Roman"/>
      <w:b/>
      <w:kern w:val="44"/>
      <w:sz w:val="32"/>
      <w:szCs w:val="24"/>
    </w:rPr>
  </w:style>
  <w:style w:type="paragraph" w:customStyle="1" w:styleId="49">
    <w:name w:val="标题2"/>
    <w:basedOn w:val="3"/>
    <w:link w:val="50"/>
    <w:autoRedefine/>
    <w:qFormat/>
    <w:uiPriority w:val="0"/>
    <w:pPr>
      <w:adjustRightInd/>
      <w:snapToGrid/>
      <w:spacing w:before="120" w:after="120" w:line="360" w:lineRule="auto"/>
      <w:jc w:val="left"/>
    </w:pPr>
    <w:rPr>
      <w:rFonts w:ascii="黑体" w:hAnsi="黑体" w:eastAsia="黑体" w:cs="Times New Roman"/>
      <w:bCs w:val="0"/>
      <w:kern w:val="44"/>
      <w:sz w:val="28"/>
      <w:szCs w:val="24"/>
    </w:rPr>
  </w:style>
  <w:style w:type="character" w:customStyle="1" w:styleId="50">
    <w:name w:val="标题2 字符"/>
    <w:link w:val="49"/>
    <w:autoRedefine/>
    <w:qFormat/>
    <w:uiPriority w:val="0"/>
    <w:rPr>
      <w:rFonts w:ascii="黑体" w:hAnsi="黑体" w:eastAsia="黑体" w:cs="Times New Roman"/>
      <w:b/>
      <w:kern w:val="44"/>
      <w:sz w:val="28"/>
      <w:szCs w:val="24"/>
    </w:rPr>
  </w:style>
  <w:style w:type="character" w:customStyle="1" w:styleId="51">
    <w:name w:val="标题 2 字符"/>
    <w:basedOn w:val="36"/>
    <w:link w:val="3"/>
    <w:autoRedefine/>
    <w:qFormat/>
    <w:uiPriority w:val="9"/>
    <w:rPr>
      <w:rFonts w:asciiTheme="majorHAnsi" w:hAnsiTheme="majorHAnsi" w:eastAsiaTheme="majorEastAsia" w:cstheme="majorBidi"/>
      <w:b/>
      <w:bCs/>
      <w:kern w:val="0"/>
      <w:sz w:val="32"/>
      <w:szCs w:val="32"/>
    </w:rPr>
  </w:style>
  <w:style w:type="character" w:customStyle="1" w:styleId="52">
    <w:name w:val="页脚 字符"/>
    <w:link w:val="20"/>
    <w:autoRedefine/>
    <w:qFormat/>
    <w:uiPriority w:val="99"/>
    <w:rPr>
      <w:rFonts w:ascii="Times New Roman" w:hAnsi="Times New Roman" w:eastAsia="宋体" w:cs="Times New Roman"/>
      <w:kern w:val="0"/>
      <w:sz w:val="21"/>
      <w:szCs w:val="20"/>
    </w:rPr>
  </w:style>
  <w:style w:type="paragraph" w:customStyle="1" w:styleId="53">
    <w:name w:val="标题 3新"/>
    <w:basedOn w:val="4"/>
    <w:autoRedefine/>
    <w:qFormat/>
    <w:uiPriority w:val="0"/>
    <w:pPr>
      <w:spacing w:before="120" w:after="120" w:line="360" w:lineRule="auto"/>
      <w:jc w:val="both"/>
    </w:pPr>
    <w:rPr>
      <w:rFonts w:ascii="黑体" w:hAnsi="黑体" w:eastAsia="黑体"/>
      <w:bCs w:val="0"/>
      <w:sz w:val="24"/>
      <w:szCs w:val="20"/>
    </w:rPr>
  </w:style>
  <w:style w:type="paragraph" w:customStyle="1" w:styleId="54">
    <w:name w:val="图表标题"/>
    <w:basedOn w:val="55"/>
    <w:next w:val="33"/>
    <w:link w:val="56"/>
    <w:autoRedefine/>
    <w:qFormat/>
    <w:uiPriority w:val="0"/>
    <w:pPr>
      <w:adjustRightInd/>
      <w:snapToGrid/>
      <w:spacing w:line="360" w:lineRule="auto"/>
      <w:ind w:firstLine="420" w:firstLineChars="200"/>
    </w:pPr>
    <w:rPr>
      <w:rFonts w:ascii="黑体" w:hAnsi="黑体" w:eastAsia="黑体"/>
      <w:b/>
      <w:szCs w:val="25"/>
    </w:rPr>
  </w:style>
  <w:style w:type="paragraph" w:customStyle="1" w:styleId="55">
    <w:name w:val="表格文字"/>
    <w:basedOn w:val="13"/>
    <w:autoRedefine/>
    <w:qFormat/>
    <w:uiPriority w:val="0"/>
    <w:pPr>
      <w:widowControl w:val="0"/>
      <w:adjustRightInd w:val="0"/>
      <w:spacing w:line="400" w:lineRule="exact"/>
      <w:jc w:val="center"/>
      <w:textAlignment w:val="baseline"/>
    </w:pPr>
    <w:rPr>
      <w:rFonts w:ascii="Times New Roman" w:hAnsi="Times New Roman" w:cs="Times New Roman"/>
      <w:kern w:val="2"/>
      <w:sz w:val="21"/>
      <w:szCs w:val="20"/>
    </w:rPr>
  </w:style>
  <w:style w:type="character" w:customStyle="1" w:styleId="56">
    <w:name w:val="图表标题 字符"/>
    <w:link w:val="54"/>
    <w:autoRedefine/>
    <w:qFormat/>
    <w:uiPriority w:val="0"/>
    <w:rPr>
      <w:rFonts w:ascii="黑体" w:hAnsi="黑体" w:eastAsia="黑体"/>
      <w:b/>
      <w:sz w:val="21"/>
      <w:szCs w:val="25"/>
    </w:rPr>
  </w:style>
  <w:style w:type="paragraph" w:customStyle="1" w:styleId="57">
    <w:name w:val="正文(首缩进)"/>
    <w:basedOn w:val="1"/>
    <w:autoRedefine/>
    <w:qFormat/>
    <w:uiPriority w:val="0"/>
    <w:pPr>
      <w:adjustRightInd/>
      <w:snapToGrid/>
      <w:spacing w:line="480" w:lineRule="exact"/>
      <w:ind w:firstLine="480" w:firstLineChars="200"/>
      <w:jc w:val="both"/>
    </w:pPr>
    <w:rPr>
      <w:rFonts w:ascii="Times New Roman" w:hAnsi="Times New Roman" w:eastAsia="宋体"/>
      <w:sz w:val="24"/>
    </w:rPr>
  </w:style>
  <w:style w:type="table" w:customStyle="1" w:styleId="58">
    <w:name w:val="网格型18"/>
    <w:basedOn w:val="34"/>
    <w:autoRedefine/>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59">
    <w:name w:val="网格型19"/>
    <w:basedOn w:val="34"/>
    <w:autoRedefine/>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0">
    <w:name w:val="页眉 字符1"/>
    <w:link w:val="21"/>
    <w:autoRedefine/>
    <w:qFormat/>
    <w:uiPriority w:val="99"/>
    <w:rPr>
      <w:rFonts w:ascii="Times New Roman" w:hAnsi="Times New Roman" w:eastAsia="宋体" w:cs="Times New Roman"/>
      <w:kern w:val="0"/>
      <w:sz w:val="21"/>
      <w:szCs w:val="20"/>
    </w:rPr>
  </w:style>
  <w:style w:type="table" w:customStyle="1" w:styleId="61">
    <w:name w:val="网格型20"/>
    <w:basedOn w:val="34"/>
    <w:autoRedefine/>
    <w:qFormat/>
    <w:uiPriority w:val="5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2">
    <w:name w:val="Table Normal"/>
    <w:autoRedefine/>
    <w:semiHidden/>
    <w:unhideWhenUsed/>
    <w:qFormat/>
    <w:uiPriority w:val="0"/>
    <w:tblPr>
      <w:tblCellMar>
        <w:top w:w="0" w:type="dxa"/>
        <w:left w:w="0" w:type="dxa"/>
        <w:bottom w:w="0" w:type="dxa"/>
        <w:right w:w="0" w:type="dxa"/>
      </w:tblCellMar>
    </w:tblPr>
  </w:style>
  <w:style w:type="character" w:customStyle="1" w:styleId="63">
    <w:name w:val="标题 5 字符"/>
    <w:basedOn w:val="36"/>
    <w:link w:val="6"/>
    <w:autoRedefine/>
    <w:qFormat/>
    <w:uiPriority w:val="9"/>
    <w:rPr>
      <w:rFonts w:ascii="Times New Roman" w:hAnsi="Times New Roman" w:eastAsia="宋体" w:cs="Times New Roman"/>
      <w:b/>
      <w:bCs/>
      <w:kern w:val="0"/>
      <w:sz w:val="24"/>
      <w:szCs w:val="28"/>
    </w:rPr>
  </w:style>
  <w:style w:type="paragraph" w:customStyle="1" w:styleId="64">
    <w:name w:val="！正文"/>
    <w:basedOn w:val="1"/>
    <w:autoRedefine/>
    <w:qFormat/>
    <w:uiPriority w:val="0"/>
    <w:pPr>
      <w:widowControl w:val="0"/>
      <w:spacing w:line="360" w:lineRule="auto"/>
      <w:ind w:firstLine="480" w:firstLineChars="200"/>
      <w:jc w:val="both"/>
    </w:pPr>
    <w:rPr>
      <w:rFonts w:ascii="Times New Roman" w:hAnsi="Times New Roman" w:cs="Times New Roman"/>
      <w:szCs w:val="20"/>
    </w:rPr>
  </w:style>
  <w:style w:type="paragraph" w:customStyle="1" w:styleId="65">
    <w:name w:val="表格五号居中"/>
    <w:basedOn w:val="1"/>
    <w:autoRedefine/>
    <w:qFormat/>
    <w:uiPriority w:val="0"/>
    <w:pPr>
      <w:keepLines/>
      <w:adjustRightInd w:val="0"/>
      <w:snapToGrid w:val="0"/>
      <w:spacing w:line="240" w:lineRule="auto"/>
      <w:ind w:firstLine="0" w:firstLineChars="0"/>
      <w:jc w:val="center"/>
      <w:textAlignment w:val="center"/>
    </w:pPr>
    <w:rPr>
      <w:kern w:val="0"/>
      <w:sz w:val="20"/>
      <w:szCs w:val="20"/>
      <w:lang w:bidi="en-US"/>
    </w:rPr>
  </w:style>
  <w:style w:type="paragraph" w:customStyle="1" w:styleId="66">
    <w:name w:val="表内容       .."/>
    <w:basedOn w:val="1"/>
    <w:autoRedefine/>
    <w:qFormat/>
    <w:uiPriority w:val="0"/>
    <w:pPr>
      <w:adjustRightInd w:val="0"/>
      <w:snapToGrid w:val="0"/>
      <w:spacing w:line="240" w:lineRule="exact"/>
      <w:jc w:val="center"/>
      <w:textAlignment w:val="baseline"/>
    </w:pPr>
    <w:rPr>
      <w:rFonts w:ascii="Times New Roman" w:hAnsi="Times New Roman" w:cs="Times New Roman"/>
      <w:sz w:val="21"/>
      <w:szCs w:val="18"/>
    </w:rPr>
  </w:style>
  <w:style w:type="character" w:customStyle="1" w:styleId="67">
    <w:name w:val="font61"/>
    <w:basedOn w:val="36"/>
    <w:autoRedefine/>
    <w:qFormat/>
    <w:uiPriority w:val="0"/>
    <w:rPr>
      <w:rFonts w:hint="eastAsia" w:ascii="宋体" w:hAnsi="宋体" w:eastAsia="宋体" w:cs="宋体"/>
      <w:color w:val="000000"/>
      <w:sz w:val="21"/>
      <w:szCs w:val="21"/>
      <w:u w:val="none"/>
    </w:rPr>
  </w:style>
  <w:style w:type="character" w:customStyle="1" w:styleId="68">
    <w:name w:val="font51"/>
    <w:basedOn w:val="36"/>
    <w:autoRedefine/>
    <w:qFormat/>
    <w:uiPriority w:val="0"/>
    <w:rPr>
      <w:rFonts w:hint="default" w:ascii="Times New Roman" w:hAnsi="Times New Roman" w:cs="Times New Roman"/>
      <w:color w:val="000000"/>
      <w:sz w:val="21"/>
      <w:szCs w:val="21"/>
      <w:u w:val="none"/>
    </w:rPr>
  </w:style>
  <w:style w:type="character" w:customStyle="1" w:styleId="69">
    <w:name w:val="font101"/>
    <w:basedOn w:val="36"/>
    <w:autoRedefine/>
    <w:qFormat/>
    <w:uiPriority w:val="0"/>
    <w:rPr>
      <w:rFonts w:hint="eastAsia" w:ascii="宋体" w:hAnsi="宋体" w:eastAsia="宋体" w:cs="宋体"/>
      <w:color w:val="000000"/>
      <w:sz w:val="21"/>
      <w:szCs w:val="21"/>
      <w:u w:val="none"/>
      <w:vertAlign w:val="superscript"/>
    </w:rPr>
  </w:style>
  <w:style w:type="character" w:customStyle="1" w:styleId="70">
    <w:name w:val="font91"/>
    <w:basedOn w:val="36"/>
    <w:autoRedefine/>
    <w:qFormat/>
    <w:uiPriority w:val="0"/>
    <w:rPr>
      <w:rFonts w:hint="default" w:ascii="Times New Roman" w:hAnsi="Times New Roman" w:cs="Times New Roman"/>
      <w:color w:val="000000"/>
      <w:sz w:val="21"/>
      <w:szCs w:val="21"/>
      <w:u w:val="none"/>
      <w:vertAlign w:val="superscript"/>
    </w:rPr>
  </w:style>
  <w:style w:type="paragraph" w:customStyle="1" w:styleId="71">
    <w:name w:val="报告书四级标题"/>
    <w:basedOn w:val="1"/>
    <w:autoRedefine/>
    <w:qFormat/>
    <w:uiPriority w:val="0"/>
    <w:pPr>
      <w:keepLines/>
      <w:widowControl w:val="0"/>
      <w:adjustRightInd w:val="0"/>
      <w:snapToGrid w:val="0"/>
      <w:spacing w:line="360" w:lineRule="auto"/>
      <w:outlineLvl w:val="3"/>
    </w:pPr>
    <w:rPr>
      <w:rFonts w:ascii="Times New Roman" w:hAnsi="Times New Roman" w:cs="Times New Roman"/>
      <w:b/>
      <w:kern w:val="2"/>
      <w:szCs w:val="22"/>
    </w:rPr>
  </w:style>
  <w:style w:type="paragraph" w:customStyle="1" w:styleId="72">
    <w:name w:val="表内文字"/>
    <w:basedOn w:val="73"/>
    <w:autoRedefine/>
    <w:qFormat/>
    <w:uiPriority w:val="0"/>
    <w:pPr>
      <w:adjustRightInd w:val="0"/>
      <w:jc w:val="center"/>
    </w:pPr>
    <w:rPr>
      <w:rFonts w:ascii="宋体" w:cs="宋体"/>
      <w:szCs w:val="24"/>
    </w:rPr>
  </w:style>
  <w:style w:type="paragraph" w:customStyle="1" w:styleId="73">
    <w:name w:val="表内"/>
    <w:basedOn w:val="16"/>
    <w:autoRedefine/>
    <w:qFormat/>
    <w:uiPriority w:val="0"/>
    <w:pPr>
      <w:widowControl/>
      <w:spacing w:beforeLines="0" w:line="240" w:lineRule="auto"/>
      <w:ind w:left="0" w:leftChars="0" w:firstLine="0" w:firstLineChars="0"/>
      <w:jc w:val="center"/>
    </w:pPr>
    <w:rPr>
      <w:rFonts w:ascii="宋体"/>
      <w:bCs/>
      <w:color w:val="000000"/>
      <w:szCs w:val="21"/>
    </w:rPr>
  </w:style>
  <w:style w:type="paragraph" w:customStyle="1" w:styleId="74">
    <w:name w:val="表格"/>
    <w:basedOn w:val="26"/>
    <w:next w:val="1"/>
    <w:autoRedefine/>
    <w:qFormat/>
    <w:uiPriority w:val="0"/>
    <w:pPr>
      <w:adjustRightInd w:val="0"/>
      <w:spacing w:line="400" w:lineRule="atLeast"/>
      <w:textAlignment w:val="baseline"/>
    </w:pPr>
    <w:rPr>
      <w:rFonts w:ascii="Times New Roman" w:hAnsi="Times New Roman" w:cs="Times New Roman"/>
      <w:snapToGrid/>
      <w:kern w:val="2"/>
      <w:sz w:val="21"/>
      <w:szCs w:val="20"/>
    </w:rPr>
  </w:style>
  <w:style w:type="paragraph" w:customStyle="1" w:styleId="75">
    <w:name w:val="正文.."/>
    <w:basedOn w:val="1"/>
    <w:autoRedefine/>
    <w:qFormat/>
    <w:uiPriority w:val="0"/>
    <w:pPr>
      <w:widowControl w:val="0"/>
      <w:wordWrap w:val="0"/>
      <w:spacing w:line="480" w:lineRule="exact"/>
      <w:ind w:firstLine="480" w:firstLineChars="200"/>
    </w:pPr>
    <w:rPr>
      <w:rFonts w:ascii="Times New Roman" w:hAnsi="Times New Roman" w:eastAsia="宋体" w:cs="Times New Roman"/>
      <w:bCs/>
      <w:kern w:val="2"/>
      <w:sz w:val="24"/>
      <w:szCs w:val="22"/>
      <w:lang w:val="zh-CN"/>
    </w:rPr>
  </w:style>
  <w:style w:type="paragraph" w:customStyle="1" w:styleId="76">
    <w:name w:val="00.正文格式"/>
    <w:basedOn w:val="8"/>
    <w:autoRedefine/>
    <w:qFormat/>
    <w:uiPriority w:val="0"/>
    <w:pPr>
      <w:widowControl/>
      <w:spacing w:line="360" w:lineRule="auto"/>
      <w:ind w:firstLine="480"/>
      <w:jc w:val="left"/>
    </w:pPr>
    <w:rPr>
      <w:rFonts w:ascii="Times New Roman" w:hAnsi="Times New Roman" w:cs="Times New Roman"/>
      <w:color w:val="000000"/>
      <w:kern w:val="2"/>
    </w:rPr>
  </w:style>
  <w:style w:type="paragraph" w:customStyle="1" w:styleId="77">
    <w:name w:val="表字-书"/>
    <w:basedOn w:val="1"/>
    <w:autoRedefine/>
    <w:qFormat/>
    <w:uiPriority w:val="0"/>
    <w:pPr>
      <w:spacing w:line="300" w:lineRule="atLeast"/>
      <w:jc w:val="center"/>
    </w:pPr>
    <w:rPr>
      <w:rFonts w:ascii="宋体" w:hAnsi="宋体"/>
      <w:kern w:val="0"/>
      <w:sz w:val="20"/>
      <w:szCs w:val="21"/>
    </w:rPr>
  </w:style>
  <w:style w:type="paragraph" w:customStyle="1" w:styleId="78">
    <w:name w:val="邵正文"/>
    <w:basedOn w:val="32"/>
    <w:autoRedefine/>
    <w:qFormat/>
    <w:uiPriority w:val="0"/>
    <w:pPr>
      <w:widowControl/>
      <w:spacing w:line="480" w:lineRule="exact"/>
      <w:ind w:firstLine="200"/>
    </w:pPr>
    <w:rPr>
      <w:rFonts w:ascii="Times New Roman" w:hAnsi="Times New Roman" w:eastAsia="宋体" w:cs="宋体"/>
      <w:spacing w:val="0"/>
      <w:kern w:val="0"/>
      <w:sz w:val="24"/>
      <w:szCs w:val="24"/>
    </w:rPr>
  </w:style>
  <w:style w:type="paragraph" w:customStyle="1" w:styleId="79">
    <w:name w:val="Table Text"/>
    <w:basedOn w:val="1"/>
    <w:autoRedefine/>
    <w:semiHidden/>
    <w:qFormat/>
    <w:uiPriority w:val="0"/>
    <w:rPr>
      <w:rFonts w:ascii="宋体" w:hAnsi="宋体" w:eastAsia="宋体" w:cs="宋体"/>
      <w:sz w:val="21"/>
      <w:szCs w:val="21"/>
      <w:lang w:val="en-US" w:eastAsia="en-US" w:bidi="ar-SA"/>
    </w:rPr>
  </w:style>
  <w:style w:type="paragraph" w:customStyle="1" w:styleId="80">
    <w:name w:val="Table Paragraph"/>
    <w:basedOn w:val="1"/>
    <w:autoRedefine/>
    <w:qFormat/>
    <w:uiPriority w:val="1"/>
    <w:pPr>
      <w:spacing w:before="62"/>
      <w:jc w:val="center"/>
    </w:pPr>
    <w:rPr>
      <w:rFonts w:ascii="Times New Roman" w:hAnsi="Times New Roman" w:eastAsia="Times New Roman" w:cs="Times New Roman"/>
      <w:lang w:val="zh-CN" w:bidi="zh-CN"/>
    </w:rPr>
  </w:style>
  <w:style w:type="character" w:customStyle="1" w:styleId="81">
    <w:name w:val="font31"/>
    <w:basedOn w:val="36"/>
    <w:autoRedefine/>
    <w:qFormat/>
    <w:uiPriority w:val="0"/>
    <w:rPr>
      <w:rFonts w:hint="default" w:ascii="Times New Roman" w:hAnsi="Times New Roman" w:cs="Times New Roman"/>
      <w:color w:val="000000"/>
      <w:sz w:val="22"/>
      <w:szCs w:val="22"/>
      <w:u w:val="none"/>
    </w:rPr>
  </w:style>
  <w:style w:type="character" w:customStyle="1" w:styleId="82">
    <w:name w:val="font21"/>
    <w:basedOn w:val="36"/>
    <w:autoRedefine/>
    <w:qFormat/>
    <w:uiPriority w:val="0"/>
    <w:rPr>
      <w:rFonts w:hint="eastAsia" w:ascii="宋体" w:hAnsi="宋体" w:eastAsia="宋体" w:cs="宋体"/>
      <w:color w:val="000000"/>
      <w:sz w:val="22"/>
      <w:szCs w:val="22"/>
      <w:u w:val="none"/>
    </w:rPr>
  </w:style>
  <w:style w:type="paragraph" w:customStyle="1" w:styleId="83">
    <w:name w:val="样式62"/>
    <w:basedOn w:val="1"/>
    <w:autoRedefine/>
    <w:qFormat/>
    <w:uiPriority w:val="0"/>
    <w:pPr>
      <w:widowControl/>
      <w:spacing w:line="280" w:lineRule="exact"/>
      <w:jc w:val="center"/>
    </w:pPr>
    <w:rPr>
      <w:rFonts w:hAnsi="宋体"/>
      <w:kern w:val="0"/>
      <w:sz w:val="18"/>
      <w:szCs w:val="18"/>
    </w:rPr>
  </w:style>
  <w:style w:type="paragraph" w:customStyle="1" w:styleId="84">
    <w:name w:val="方案正文"/>
    <w:basedOn w:val="1"/>
    <w:autoRedefine/>
    <w:qFormat/>
    <w:uiPriority w:val="0"/>
    <w:pPr>
      <w:widowControl/>
      <w:snapToGrid w:val="0"/>
      <w:spacing w:line="360" w:lineRule="auto"/>
      <w:ind w:firstLine="200" w:firstLineChars="200"/>
      <w:contextualSpacing/>
      <w:jc w:val="left"/>
    </w:pPr>
    <w:rPr>
      <w:kern w:val="0"/>
      <w:sz w:val="24"/>
      <w:lang w:bidi="en-US"/>
    </w:rPr>
  </w:style>
  <w:style w:type="paragraph" w:customStyle="1" w:styleId="85">
    <w:name w:val="MEL表字-书"/>
    <w:basedOn w:val="1"/>
    <w:autoRedefine/>
    <w:qFormat/>
    <w:uiPriority w:val="0"/>
    <w:pPr>
      <w:spacing w:line="240" w:lineRule="exact"/>
      <w:jc w:val="center"/>
    </w:pPr>
    <w:rPr>
      <w:rFonts w:ascii="宋体" w:hAnsi="宋体"/>
      <w:kern w:val="0"/>
      <w:szCs w:val="21"/>
    </w:rPr>
  </w:style>
  <w:style w:type="paragraph" w:customStyle="1" w:styleId="86">
    <w:name w:val="正文(首行缩进)"/>
    <w:basedOn w:val="1"/>
    <w:next w:val="1"/>
    <w:link w:val="111"/>
    <w:autoRedefine/>
    <w:qFormat/>
    <w:uiPriority w:val="0"/>
    <w:pPr>
      <w:spacing w:line="360" w:lineRule="auto"/>
      <w:ind w:firstLine="540" w:firstLineChars="225"/>
    </w:pPr>
    <w:rPr>
      <w:rFonts w:ascii="Times New Roman" w:hAnsi="Times New Roman" w:cs="Times New Roman"/>
      <w:snapToGrid w:val="0"/>
      <w:color w:val="000000"/>
      <w:kern w:val="2"/>
      <w:szCs w:val="20"/>
    </w:rPr>
  </w:style>
  <w:style w:type="paragraph" w:customStyle="1" w:styleId="87">
    <w:name w:val="正文-首行缩进"/>
    <w:basedOn w:val="1"/>
    <w:autoRedefine/>
    <w:qFormat/>
    <w:uiPriority w:val="0"/>
    <w:pPr>
      <w:widowControl w:val="0"/>
      <w:adjustRightInd w:val="0"/>
      <w:snapToGrid w:val="0"/>
      <w:spacing w:line="360" w:lineRule="auto"/>
      <w:ind w:firstLine="200" w:firstLineChars="200"/>
      <w:jc w:val="both"/>
    </w:pPr>
    <w:rPr>
      <w:rFonts w:cs="Times New Roman"/>
      <w:bCs/>
      <w:kern w:val="2"/>
      <w:sz w:val="21"/>
      <w:szCs w:val="25"/>
    </w:rPr>
  </w:style>
  <w:style w:type="paragraph" w:customStyle="1" w:styleId="88">
    <w:name w:val="YJ正文*"/>
    <w:basedOn w:val="1"/>
    <w:autoRedefine/>
    <w:qFormat/>
    <w:uiPriority w:val="0"/>
    <w:pPr>
      <w:spacing w:line="500" w:lineRule="exact"/>
      <w:ind w:firstLine="200" w:firstLineChars="200"/>
    </w:pPr>
    <w:rPr>
      <w:rFonts w:ascii="宋体" w:hAnsi="宋体"/>
      <w:kern w:val="0"/>
      <w:sz w:val="24"/>
      <w:szCs w:val="24"/>
    </w:rPr>
  </w:style>
  <w:style w:type="paragraph" w:customStyle="1" w:styleId="89">
    <w:name w:val="邵插图"/>
    <w:basedOn w:val="78"/>
    <w:next w:val="78"/>
    <w:autoRedefine/>
    <w:qFormat/>
    <w:uiPriority w:val="0"/>
    <w:pPr>
      <w:ind w:firstLine="0" w:firstLineChars="0"/>
      <w:jc w:val="center"/>
    </w:pPr>
    <w:rPr>
      <w:rFonts w:eastAsia="黑体"/>
      <w:b/>
    </w:rPr>
  </w:style>
  <w:style w:type="paragraph" w:customStyle="1" w:styleId="90">
    <w:name w:val="报告正文"/>
    <w:basedOn w:val="1"/>
    <w:autoRedefine/>
    <w:qFormat/>
    <w:uiPriority w:val="0"/>
    <w:pPr>
      <w:widowControl w:val="0"/>
      <w:autoSpaceDE w:val="0"/>
      <w:autoSpaceDN w:val="0"/>
      <w:adjustRightInd w:val="0"/>
      <w:snapToGrid w:val="0"/>
      <w:spacing w:line="360" w:lineRule="auto"/>
      <w:ind w:firstLine="480" w:firstLineChars="200"/>
      <w:jc w:val="both"/>
    </w:pPr>
    <w:rPr>
      <w:rFonts w:cs="Times New Roman"/>
      <w:szCs w:val="20"/>
    </w:rPr>
  </w:style>
  <w:style w:type="paragraph" w:customStyle="1" w:styleId="91">
    <w:name w:val="表头"/>
    <w:basedOn w:val="8"/>
    <w:next w:val="1"/>
    <w:autoRedefine/>
    <w:qFormat/>
    <w:uiPriority w:val="0"/>
    <w:pPr>
      <w:spacing w:line="500" w:lineRule="exact"/>
      <w:jc w:val="center"/>
    </w:pPr>
    <w:rPr>
      <w:rFonts w:ascii="黑体" w:hAnsi="Times New Roman" w:eastAsia="黑体" w:cs="Times New Roman"/>
      <w:kern w:val="2"/>
      <w:sz w:val="28"/>
      <w:szCs w:val="20"/>
    </w:rPr>
  </w:style>
  <w:style w:type="paragraph" w:customStyle="1" w:styleId="92">
    <w:name w:val="图表名"/>
    <w:basedOn w:val="1"/>
    <w:next w:val="1"/>
    <w:autoRedefine/>
    <w:qFormat/>
    <w:uiPriority w:val="0"/>
    <w:pPr>
      <w:widowControl w:val="0"/>
      <w:spacing w:line="400" w:lineRule="exact"/>
      <w:jc w:val="center"/>
    </w:pPr>
    <w:rPr>
      <w:rFonts w:ascii="Times New Roman" w:hAnsi="Times New Roman" w:eastAsia="黑体" w:cs="Times New Roman"/>
      <w:sz w:val="21"/>
      <w:szCs w:val="20"/>
    </w:rPr>
  </w:style>
  <w:style w:type="paragraph" w:customStyle="1" w:styleId="93">
    <w:name w:val="五号表格内的文字"/>
    <w:basedOn w:val="1"/>
    <w:autoRedefine/>
    <w:qFormat/>
    <w:uiPriority w:val="99"/>
    <w:pPr>
      <w:adjustRightInd w:val="0"/>
      <w:spacing w:line="360" w:lineRule="exact"/>
      <w:ind w:firstLine="0" w:firstLineChars="0"/>
      <w:jc w:val="center"/>
      <w:textAlignment w:val="baseline"/>
    </w:pPr>
    <w:rPr>
      <w:sz w:val="21"/>
      <w:szCs w:val="21"/>
    </w:rPr>
  </w:style>
  <w:style w:type="paragraph" w:customStyle="1" w:styleId="94">
    <w:name w:val="五号表内容"/>
    <w:basedOn w:val="1"/>
    <w:next w:val="1"/>
    <w:autoRedefine/>
    <w:qFormat/>
    <w:uiPriority w:val="0"/>
    <w:pPr>
      <w:widowControl w:val="0"/>
      <w:spacing w:line="280" w:lineRule="exact"/>
      <w:jc w:val="center"/>
    </w:pPr>
    <w:rPr>
      <w:rFonts w:ascii="Times New Roman" w:hAnsi="Times New Roman" w:cs="Times New Roman"/>
      <w:kern w:val="2"/>
      <w:sz w:val="21"/>
      <w:szCs w:val="20"/>
    </w:rPr>
  </w:style>
  <w:style w:type="paragraph" w:customStyle="1" w:styleId="95">
    <w:name w:val="我的表格"/>
    <w:basedOn w:val="1"/>
    <w:autoRedefine/>
    <w:qFormat/>
    <w:uiPriority w:val="0"/>
    <w:pPr>
      <w:adjustRightInd w:val="0"/>
      <w:jc w:val="center"/>
      <w:textAlignment w:val="baseline"/>
    </w:pPr>
    <w:rPr>
      <w:rFonts w:ascii="Times New Roman" w:hAnsi="Times New Roman" w:cs="Times New Roman"/>
      <w:kern w:val="2"/>
      <w:sz w:val="21"/>
      <w:szCs w:val="20"/>
    </w:rPr>
  </w:style>
  <w:style w:type="paragraph" w:customStyle="1" w:styleId="96">
    <w:name w:val="表、图名"/>
    <w:basedOn w:val="1"/>
    <w:autoRedefine/>
    <w:qFormat/>
    <w:uiPriority w:val="0"/>
    <w:pPr>
      <w:adjustRightInd w:val="0"/>
      <w:snapToGrid w:val="0"/>
      <w:spacing w:line="520" w:lineRule="exact"/>
      <w:ind w:left="-6" w:firstLine="560"/>
    </w:pPr>
    <w:rPr>
      <w:rFonts w:ascii="Times New Roman" w:hAnsi="Times New Roman" w:cs="Times New Roman"/>
      <w:b/>
      <w:kern w:val="2"/>
      <w:sz w:val="21"/>
      <w:szCs w:val="20"/>
    </w:rPr>
  </w:style>
  <w:style w:type="paragraph" w:customStyle="1" w:styleId="97">
    <w:name w:val="表格定"/>
    <w:basedOn w:val="41"/>
    <w:autoRedefine/>
    <w:qFormat/>
    <w:uiPriority w:val="0"/>
    <w:pPr>
      <w:keepLines/>
      <w:widowControl w:val="0"/>
      <w:autoSpaceDE w:val="0"/>
      <w:autoSpaceDN w:val="0"/>
      <w:adjustRightInd w:val="0"/>
      <w:snapToGrid w:val="0"/>
      <w:spacing w:line="320" w:lineRule="exact"/>
      <w:jc w:val="center"/>
      <w:textAlignment w:val="center"/>
    </w:pPr>
    <w:rPr>
      <w:rFonts w:ascii="Times New Roman" w:hAnsi="Times New Roman" w:cs="Times New Roman"/>
      <w:color w:val="000000"/>
      <w:sz w:val="21"/>
      <w:szCs w:val="21"/>
      <w:lang w:bidi="en-US"/>
    </w:rPr>
  </w:style>
  <w:style w:type="paragraph" w:customStyle="1" w:styleId="98">
    <w:name w:val="表标题"/>
    <w:basedOn w:val="1"/>
    <w:autoRedefine/>
    <w:qFormat/>
    <w:uiPriority w:val="0"/>
    <w:pPr>
      <w:widowControl w:val="0"/>
      <w:jc w:val="center"/>
    </w:pPr>
    <w:rPr>
      <w:rFonts w:ascii="Times New Roman" w:hAnsi="Times New Roman" w:eastAsia="黑体" w:cs="Times New Roman"/>
      <w:b/>
      <w:kern w:val="2"/>
      <w:sz w:val="21"/>
      <w:szCs w:val="20"/>
    </w:rPr>
  </w:style>
  <w:style w:type="paragraph" w:customStyle="1" w:styleId="99">
    <w:name w:val="YJ题注"/>
    <w:basedOn w:val="10"/>
    <w:autoRedefine/>
    <w:qFormat/>
    <w:uiPriority w:val="0"/>
    <w:pPr>
      <w:widowControl w:val="0"/>
      <w:spacing w:line="500" w:lineRule="exact"/>
      <w:ind w:firstLine="0" w:firstLineChars="0"/>
      <w:jc w:val="center"/>
    </w:pPr>
    <w:rPr>
      <w:rFonts w:ascii="黑体" w:hAnsi="黑体" w:cs="Times New Roman"/>
      <w:sz w:val="21"/>
      <w:szCs w:val="20"/>
    </w:rPr>
  </w:style>
  <w:style w:type="character" w:customStyle="1" w:styleId="100">
    <w:name w:val="正文(首行缩进) Char"/>
    <w:autoRedefine/>
    <w:qFormat/>
    <w:uiPriority w:val="99"/>
    <w:rPr>
      <w:color w:val="000000"/>
      <w:sz w:val="24"/>
      <w:szCs w:val="24"/>
    </w:rPr>
  </w:style>
  <w:style w:type="paragraph" w:customStyle="1" w:styleId="101">
    <w:name w:val="表内容"/>
    <w:basedOn w:val="95"/>
    <w:next w:val="1"/>
    <w:autoRedefine/>
    <w:qFormat/>
    <w:uiPriority w:val="0"/>
    <w:pPr>
      <w:widowControl w:val="0"/>
      <w:ind w:left="-20" w:leftChars="-20" w:right="-20" w:rightChars="-20"/>
      <w:jc w:val="both"/>
    </w:pPr>
    <w:rPr>
      <w:rFonts w:cs="Times New Roman"/>
      <w:sz w:val="18"/>
      <w:szCs w:val="20"/>
    </w:rPr>
  </w:style>
  <w:style w:type="paragraph" w:customStyle="1" w:styleId="102">
    <w:name w:val="表格1"/>
    <w:basedOn w:val="1"/>
    <w:autoRedefine/>
    <w:qFormat/>
    <w:uiPriority w:val="0"/>
    <w:pPr>
      <w:jc w:val="left"/>
    </w:pPr>
    <w:rPr>
      <w:rFonts w:ascii="Times New Roman" w:hAnsi="Times New Roman" w:cs="Times New Roman"/>
      <w:kern w:val="2"/>
      <w:sz w:val="21"/>
    </w:rPr>
  </w:style>
  <w:style w:type="paragraph" w:customStyle="1" w:styleId="103">
    <w:name w:val="报告正文 + 首行缩进:  2 字符 Char"/>
    <w:basedOn w:val="1"/>
    <w:autoRedefine/>
    <w:qFormat/>
    <w:uiPriority w:val="0"/>
    <w:pPr>
      <w:spacing w:line="360" w:lineRule="auto"/>
      <w:ind w:firstLine="480"/>
    </w:pPr>
    <w:rPr>
      <w:rFonts w:cs="Times New Roman"/>
      <w:bCs/>
    </w:rPr>
  </w:style>
  <w:style w:type="paragraph" w:customStyle="1" w:styleId="104">
    <w:name w:val="报告书三级标题"/>
    <w:basedOn w:val="1"/>
    <w:autoRedefine/>
    <w:qFormat/>
    <w:uiPriority w:val="0"/>
    <w:pPr>
      <w:keepNext/>
      <w:keepLines/>
      <w:widowControl w:val="0"/>
      <w:spacing w:before="120" w:after="120" w:line="360" w:lineRule="auto"/>
      <w:jc w:val="both"/>
      <w:outlineLvl w:val="2"/>
    </w:pPr>
    <w:rPr>
      <w:rFonts w:ascii="Times New Roman" w:hAnsi="Times New Roman" w:cs="Times New Roman"/>
      <w:b/>
      <w:kern w:val="2"/>
      <w:sz w:val="28"/>
      <w:szCs w:val="22"/>
    </w:rPr>
  </w:style>
  <w:style w:type="character" w:customStyle="1" w:styleId="105">
    <w:name w:val="表、图名 Char"/>
    <w:autoRedefine/>
    <w:qFormat/>
    <w:uiPriority w:val="0"/>
    <w:rPr>
      <w:rFonts w:ascii="宋体" w:hAnsi="宋体" w:cs="宋体"/>
      <w:b/>
      <w:color w:val="000000"/>
      <w:sz w:val="21"/>
      <w:szCs w:val="21"/>
    </w:rPr>
  </w:style>
  <w:style w:type="paragraph" w:customStyle="1" w:styleId="106">
    <w:name w:val="表格内"/>
    <w:basedOn w:val="1"/>
    <w:autoRedefine/>
    <w:qFormat/>
    <w:uiPriority w:val="0"/>
    <w:pPr>
      <w:widowControl w:val="0"/>
      <w:spacing w:line="300" w:lineRule="exact"/>
      <w:jc w:val="center"/>
      <w:textAlignment w:val="center"/>
    </w:pPr>
    <w:rPr>
      <w:rFonts w:ascii="Times New Roman" w:hAnsi="Times New Roman" w:cs="Times New Roman"/>
      <w:kern w:val="2"/>
      <w:sz w:val="21"/>
      <w:szCs w:val="22"/>
    </w:rPr>
  </w:style>
  <w:style w:type="paragraph" w:customStyle="1" w:styleId="107">
    <w:name w:val="LSJ正文"/>
    <w:basedOn w:val="8"/>
    <w:autoRedefine/>
    <w:qFormat/>
    <w:uiPriority w:val="0"/>
    <w:pPr>
      <w:spacing w:line="360" w:lineRule="auto"/>
      <w:ind w:firstLine="480"/>
    </w:pPr>
    <w:rPr>
      <w:rFonts w:ascii="Times New Roman" w:hAnsi="Times New Roman" w:cs="Times New Roman"/>
      <w:color w:val="000000"/>
      <w:kern w:val="2"/>
    </w:rPr>
  </w:style>
  <w:style w:type="paragraph" w:customStyle="1" w:styleId="108">
    <w:name w:val="AAP-正文"/>
    <w:basedOn w:val="109"/>
    <w:autoRedefine/>
    <w:qFormat/>
    <w:uiPriority w:val="0"/>
    <w:pPr>
      <w:widowControl w:val="0"/>
      <w:snapToGrid/>
      <w:spacing w:line="360" w:lineRule="auto"/>
      <w:jc w:val="both"/>
    </w:pPr>
    <w:rPr>
      <w:rFonts w:ascii="Times New Roman" w:hAnsi="Times New Roman" w:cs="Times New Roman"/>
      <w:color w:val="auto"/>
      <w:kern w:val="2"/>
    </w:rPr>
  </w:style>
  <w:style w:type="paragraph" w:customStyle="1" w:styleId="109">
    <w:name w:val="样式30"/>
    <w:basedOn w:val="1"/>
    <w:autoRedefine/>
    <w:qFormat/>
    <w:uiPriority w:val="0"/>
    <w:pPr>
      <w:widowControl/>
      <w:snapToGrid w:val="0"/>
      <w:spacing w:line="400" w:lineRule="exact"/>
      <w:ind w:firstLine="480" w:firstLineChars="200"/>
    </w:pPr>
    <w:rPr>
      <w:color w:val="000000"/>
      <w:kern w:val="0"/>
      <w:sz w:val="24"/>
      <w:szCs w:val="24"/>
    </w:rPr>
  </w:style>
  <w:style w:type="paragraph" w:customStyle="1" w:styleId="110">
    <w:name w:val="@表格"/>
    <w:basedOn w:val="11"/>
    <w:autoRedefine/>
    <w:qFormat/>
    <w:uiPriority w:val="0"/>
    <w:pPr>
      <w:adjustRightInd w:val="0"/>
      <w:snapToGrid w:val="0"/>
      <w:jc w:val="center"/>
    </w:pPr>
  </w:style>
  <w:style w:type="character" w:customStyle="1" w:styleId="111">
    <w:name w:val="正文(首行缩进) Char Char"/>
    <w:link w:val="86"/>
    <w:autoRedefine/>
    <w:qFormat/>
    <w:uiPriority w:val="0"/>
    <w:rPr>
      <w:rFonts w:ascii="Times New Roman" w:hAnsi="Times New Roman" w:cs="Times New Roman"/>
      <w:snapToGrid w:val="0"/>
      <w:color w:val="000000"/>
      <w:kern w:val="2"/>
      <w:szCs w:val="20"/>
    </w:rPr>
  </w:style>
  <w:style w:type="character" w:customStyle="1" w:styleId="112">
    <w:name w:val="font11"/>
    <w:basedOn w:val="36"/>
    <w:autoRedefine/>
    <w:qFormat/>
    <w:uiPriority w:val="0"/>
    <w:rPr>
      <w:rFonts w:hint="eastAsia" w:ascii="宋体" w:hAnsi="宋体" w:eastAsia="宋体" w:cs="宋体"/>
      <w:color w:val="000000"/>
      <w:sz w:val="21"/>
      <w:szCs w:val="21"/>
      <w:u w:val="none"/>
    </w:rPr>
  </w:style>
  <w:style w:type="character" w:customStyle="1" w:styleId="113">
    <w:name w:val="font41"/>
    <w:basedOn w:val="36"/>
    <w:autoRedefine/>
    <w:qFormat/>
    <w:uiPriority w:val="0"/>
    <w:rPr>
      <w:rFonts w:hint="default" w:ascii="Times New Roman" w:hAnsi="Times New Roman" w:cs="Times New Roman"/>
      <w:color w:val="000000"/>
      <w:sz w:val="11"/>
      <w:szCs w:val="11"/>
      <w:u w:val="none"/>
    </w:rPr>
  </w:style>
  <w:style w:type="paragraph" w:customStyle="1" w:styleId="114">
    <w:name w:val="缩进"/>
    <w:basedOn w:val="1"/>
    <w:autoRedefine/>
    <w:qFormat/>
    <w:uiPriority w:val="0"/>
    <w:pPr>
      <w:widowControl w:val="0"/>
      <w:adjustRightInd/>
      <w:snapToGrid/>
      <w:spacing w:line="360" w:lineRule="auto"/>
      <w:ind w:firstLine="200" w:firstLineChars="200"/>
      <w:jc w:val="both"/>
    </w:pPr>
    <w:rPr>
      <w:kern w:val="2"/>
      <w:sz w:val="24"/>
      <w:szCs w:val="24"/>
    </w:rPr>
  </w:style>
  <w:style w:type="paragraph" w:customStyle="1" w:styleId="115">
    <w:name w:val="MEL正文*"/>
    <w:basedOn w:val="1"/>
    <w:autoRedefine/>
    <w:qFormat/>
    <w:uiPriority w:val="0"/>
    <w:pPr>
      <w:spacing w:line="500" w:lineRule="exact"/>
      <w:ind w:firstLine="200" w:firstLineChars="200"/>
    </w:pPr>
    <w:rPr>
      <w:rFonts w:ascii="宋体" w:hAnsi="宋体"/>
      <w:kern w:val="0"/>
      <w:sz w:val="24"/>
      <w:szCs w:val="24"/>
    </w:rPr>
  </w:style>
  <w:style w:type="paragraph" w:customStyle="1" w:styleId="116">
    <w:name w:val="四级标题"/>
    <w:basedOn w:val="1"/>
    <w:next w:val="1"/>
    <w:autoRedefine/>
    <w:qFormat/>
    <w:uiPriority w:val="0"/>
    <w:pPr>
      <w:keepNext/>
      <w:keepLines/>
      <w:widowControl/>
      <w:adjustRightInd w:val="0"/>
      <w:snapToGrid w:val="0"/>
      <w:spacing w:before="120" w:after="120" w:line="360" w:lineRule="auto"/>
      <w:ind w:firstLine="0" w:firstLineChars="0"/>
      <w:outlineLvl w:val="3"/>
    </w:pPr>
    <w:rPr>
      <w:rFonts w:hint="eastAsia" w:ascii="Times New Roman" w:hAnsi="Times New Roman" w:eastAsia="宋体" w:cstheme="majorBidi"/>
      <w:b/>
      <w:bCs/>
      <w:color w:val="auto"/>
      <w:kern w:val="0"/>
      <w:szCs w:val="28"/>
    </w:rPr>
  </w:style>
  <w:style w:type="paragraph" w:customStyle="1" w:styleId="117">
    <w:name w:val="三级标题"/>
    <w:basedOn w:val="1"/>
    <w:autoRedefine/>
    <w:qFormat/>
    <w:uiPriority w:val="0"/>
    <w:pPr>
      <w:keepNext/>
      <w:keepLines/>
      <w:widowControl/>
      <w:adjustRightInd w:val="0"/>
      <w:snapToGrid w:val="0"/>
      <w:spacing w:before="120" w:after="120" w:line="360" w:lineRule="auto"/>
      <w:ind w:firstLine="0" w:firstLineChars="0"/>
      <w:outlineLvl w:val="2"/>
    </w:pPr>
    <w:rPr>
      <w:rFonts w:hint="eastAsia" w:ascii="黑体" w:hAnsi="黑体" w:eastAsia="黑体" w:cs="Times New Roman"/>
      <w:b/>
      <w:color w:val="auto"/>
      <w:kern w:val="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8" Type="http://schemas.openxmlformats.org/officeDocument/2006/relationships/fontTable" Target="fontTable.xml"/><Relationship Id="rId87" Type="http://schemas.openxmlformats.org/officeDocument/2006/relationships/customXml" Target="../customXml/item2.xml"/><Relationship Id="rId86" Type="http://schemas.openxmlformats.org/officeDocument/2006/relationships/numbering" Target="numbering.xml"/><Relationship Id="rId85" Type="http://schemas.openxmlformats.org/officeDocument/2006/relationships/customXml" Target="../customXml/item1.xml"/><Relationship Id="rId84" Type="http://schemas.openxmlformats.org/officeDocument/2006/relationships/image" Target="media/image49.png"/><Relationship Id="rId83" Type="http://schemas.openxmlformats.org/officeDocument/2006/relationships/image" Target="media/image48.wmf"/><Relationship Id="rId82" Type="http://schemas.openxmlformats.org/officeDocument/2006/relationships/image" Target="media/image47.wmf"/><Relationship Id="rId81" Type="http://schemas.openxmlformats.org/officeDocument/2006/relationships/image" Target="media/image46.png"/><Relationship Id="rId80" Type="http://schemas.openxmlformats.org/officeDocument/2006/relationships/image" Target="media/image45.png"/><Relationship Id="rId8" Type="http://schemas.openxmlformats.org/officeDocument/2006/relationships/footer" Target="footer3.xml"/><Relationship Id="rId79" Type="http://schemas.openxmlformats.org/officeDocument/2006/relationships/image" Target="media/image44.png"/><Relationship Id="rId78" Type="http://schemas.openxmlformats.org/officeDocument/2006/relationships/image" Target="media/image43.png"/><Relationship Id="rId77" Type="http://schemas.openxmlformats.org/officeDocument/2006/relationships/image" Target="media/image42.png"/><Relationship Id="rId76" Type="http://schemas.openxmlformats.org/officeDocument/2006/relationships/image" Target="media/image41.png"/><Relationship Id="rId75" Type="http://schemas.openxmlformats.org/officeDocument/2006/relationships/image" Target="media/image40.png"/><Relationship Id="rId74" Type="http://schemas.openxmlformats.org/officeDocument/2006/relationships/image" Target="media/image39.wmf"/><Relationship Id="rId73" Type="http://schemas.openxmlformats.org/officeDocument/2006/relationships/oleObject" Target="embeddings/oleObject26.bin"/><Relationship Id="rId72" Type="http://schemas.openxmlformats.org/officeDocument/2006/relationships/image" Target="media/image38.wmf"/><Relationship Id="rId71" Type="http://schemas.openxmlformats.org/officeDocument/2006/relationships/oleObject" Target="embeddings/oleObject25.bin"/><Relationship Id="rId70" Type="http://schemas.openxmlformats.org/officeDocument/2006/relationships/image" Target="media/image37.wmf"/><Relationship Id="rId7" Type="http://schemas.openxmlformats.org/officeDocument/2006/relationships/footer" Target="footer2.xml"/><Relationship Id="rId69" Type="http://schemas.openxmlformats.org/officeDocument/2006/relationships/oleObject" Target="embeddings/oleObject24.bin"/><Relationship Id="rId68" Type="http://schemas.openxmlformats.org/officeDocument/2006/relationships/oleObject" Target="embeddings/oleObject23.bin"/><Relationship Id="rId67" Type="http://schemas.openxmlformats.org/officeDocument/2006/relationships/image" Target="media/image36.wmf"/><Relationship Id="rId66" Type="http://schemas.openxmlformats.org/officeDocument/2006/relationships/oleObject" Target="embeddings/oleObject22.bin"/><Relationship Id="rId65" Type="http://schemas.openxmlformats.org/officeDocument/2006/relationships/image" Target="media/image35.wmf"/><Relationship Id="rId64" Type="http://schemas.openxmlformats.org/officeDocument/2006/relationships/oleObject" Target="embeddings/oleObject21.bin"/><Relationship Id="rId63" Type="http://schemas.openxmlformats.org/officeDocument/2006/relationships/image" Target="media/image34.wmf"/><Relationship Id="rId62" Type="http://schemas.openxmlformats.org/officeDocument/2006/relationships/oleObject" Target="embeddings/oleObject20.bin"/><Relationship Id="rId61" Type="http://schemas.openxmlformats.org/officeDocument/2006/relationships/image" Target="media/image33.wmf"/><Relationship Id="rId60" Type="http://schemas.openxmlformats.org/officeDocument/2006/relationships/oleObject" Target="embeddings/oleObject19.bin"/><Relationship Id="rId6" Type="http://schemas.openxmlformats.org/officeDocument/2006/relationships/footer" Target="footer1.xml"/><Relationship Id="rId59" Type="http://schemas.openxmlformats.org/officeDocument/2006/relationships/oleObject" Target="embeddings/oleObject18.bin"/><Relationship Id="rId58" Type="http://schemas.openxmlformats.org/officeDocument/2006/relationships/oleObject" Target="embeddings/oleObject17.bin"/><Relationship Id="rId57" Type="http://schemas.openxmlformats.org/officeDocument/2006/relationships/oleObject" Target="embeddings/oleObject16.bin"/><Relationship Id="rId56" Type="http://schemas.openxmlformats.org/officeDocument/2006/relationships/oleObject" Target="embeddings/oleObject15.bin"/><Relationship Id="rId55" Type="http://schemas.openxmlformats.org/officeDocument/2006/relationships/oleObject" Target="embeddings/oleObject14.bin"/><Relationship Id="rId54" Type="http://schemas.openxmlformats.org/officeDocument/2006/relationships/oleObject" Target="embeddings/oleObject13.bin"/><Relationship Id="rId53" Type="http://schemas.openxmlformats.org/officeDocument/2006/relationships/image" Target="media/image32.wmf"/><Relationship Id="rId52" Type="http://schemas.openxmlformats.org/officeDocument/2006/relationships/oleObject" Target="embeddings/oleObject12.bin"/><Relationship Id="rId51" Type="http://schemas.openxmlformats.org/officeDocument/2006/relationships/oleObject" Target="embeddings/oleObject11.bin"/><Relationship Id="rId50" Type="http://schemas.openxmlformats.org/officeDocument/2006/relationships/image" Target="media/image31.wmf"/><Relationship Id="rId5" Type="http://schemas.openxmlformats.org/officeDocument/2006/relationships/header" Target="header1.xml"/><Relationship Id="rId49" Type="http://schemas.openxmlformats.org/officeDocument/2006/relationships/oleObject" Target="embeddings/oleObject10.bin"/><Relationship Id="rId48" Type="http://schemas.openxmlformats.org/officeDocument/2006/relationships/image" Target="media/image30.wmf"/><Relationship Id="rId47" Type="http://schemas.openxmlformats.org/officeDocument/2006/relationships/oleObject" Target="embeddings/oleObject9.bin"/><Relationship Id="rId46" Type="http://schemas.openxmlformats.org/officeDocument/2006/relationships/image" Target="media/image29.wmf"/><Relationship Id="rId45" Type="http://schemas.openxmlformats.org/officeDocument/2006/relationships/oleObject" Target="embeddings/oleObject8.bin"/><Relationship Id="rId44" Type="http://schemas.openxmlformats.org/officeDocument/2006/relationships/image" Target="media/image28.wmf"/><Relationship Id="rId43" Type="http://schemas.openxmlformats.org/officeDocument/2006/relationships/oleObject" Target="embeddings/oleObject7.bin"/><Relationship Id="rId42" Type="http://schemas.openxmlformats.org/officeDocument/2006/relationships/image" Target="media/image27.wmf"/><Relationship Id="rId41" Type="http://schemas.openxmlformats.org/officeDocument/2006/relationships/oleObject" Target="embeddings/oleObject6.bin"/><Relationship Id="rId40" Type="http://schemas.openxmlformats.org/officeDocument/2006/relationships/image" Target="media/image26.wmf"/><Relationship Id="rId4" Type="http://schemas.openxmlformats.org/officeDocument/2006/relationships/endnotes" Target="endnotes.xml"/><Relationship Id="rId39" Type="http://schemas.openxmlformats.org/officeDocument/2006/relationships/oleObject" Target="embeddings/oleObject5.bin"/><Relationship Id="rId38" Type="http://schemas.openxmlformats.org/officeDocument/2006/relationships/image" Target="media/image25.wmf"/><Relationship Id="rId37" Type="http://schemas.openxmlformats.org/officeDocument/2006/relationships/oleObject" Target="embeddings/oleObject4.bin"/><Relationship Id="rId36" Type="http://schemas.openxmlformats.org/officeDocument/2006/relationships/image" Target="media/image24.wmf"/><Relationship Id="rId35" Type="http://schemas.openxmlformats.org/officeDocument/2006/relationships/oleObject" Target="embeddings/oleObject3.bin"/><Relationship Id="rId34" Type="http://schemas.openxmlformats.org/officeDocument/2006/relationships/image" Target="media/image23.wmf"/><Relationship Id="rId33" Type="http://schemas.openxmlformats.org/officeDocument/2006/relationships/oleObject" Target="embeddings/oleObject2.bin"/><Relationship Id="rId32" Type="http://schemas.openxmlformats.org/officeDocument/2006/relationships/image" Target="media/image22.wmf"/><Relationship Id="rId31" Type="http://schemas.openxmlformats.org/officeDocument/2006/relationships/oleObject" Target="embeddings/oleObject1.bin"/><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jpe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jpeg"/><Relationship Id="rId11" Type="http://schemas.openxmlformats.org/officeDocument/2006/relationships/image" Target="media/image2.png"/><Relationship Id="rId10" Type="http://schemas.openxmlformats.org/officeDocument/2006/relationships/theme" Target="theme/theme1.xml"/><Relationship Id="rId1" Type="http://schemas.openxmlformats.org/officeDocument/2006/relationships/styles" Target="styles.xml"/></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2050"/>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AF9E3C8-87E7-472F-B8BA-0A701DD043B3}">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343</Pages>
  <Words>213170</Words>
  <Characters>246434</Characters>
  <Lines>1603</Lines>
  <Paragraphs>451</Paragraphs>
  <TotalTime>99</TotalTime>
  <ScaleCrop>false</ScaleCrop>
  <LinksUpToDate>false</LinksUpToDate>
  <CharactersWithSpaces>249390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2024-09-26T02:47:00Z</dcterms:created>
  <dc:creator>Windows User</dc:creator>
  <cp:lastModifiedBy>刘倩雯</cp:lastModifiedBy>
  <cp:lastPrinted>2024-09-26T03:03:00Z</cp:lastPrinted>
  <dcterms:modified xsi:type="dcterms:W3CDTF">2025-10-22T10:04:43Z</dcterms:modified>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F0607C3F7B344407B332A01D4DAEA77D_13</vt:lpwstr>
  </property>
  <property fmtid="{D5CDD505-2E9C-101B-9397-08002B2CF9AE}" pid="4" name="KSOTemplateDocerSaveRecord">
    <vt:lpwstr>eyJoZGlkIjoiNjZiMWY3YmI5MzQ3MmViOTM2ODhiMzdmMTNjOWE0OGEiLCJ1c2VySWQiOiIxNjU3NTc1NDA0In0=</vt:lpwstr>
  </property>
</Properties>
</file>